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DF7C2" w14:textId="5F497F76" w:rsidR="000C44E3" w:rsidRDefault="004858E6" w:rsidP="000C44E3">
      <w:bookmarkStart w:id="0" w:name="_GoBack"/>
      <w:bookmarkEnd w:id="0"/>
      <w:r>
        <w:t>5</w:t>
      </w:r>
      <w:r w:rsidR="006A2EFE">
        <w:t xml:space="preserve"> August</w:t>
      </w:r>
      <w:r w:rsidR="00CD03B0">
        <w:t xml:space="preserve"> </w:t>
      </w:r>
      <w:r w:rsidR="007D0004" w:rsidRPr="00626F1A">
        <w:t>202</w:t>
      </w:r>
      <w:r w:rsidR="0023091B" w:rsidRPr="00626F1A">
        <w:t>1</w:t>
      </w:r>
    </w:p>
    <w:p w14:paraId="09A6A658" w14:textId="77777777" w:rsidR="000C44E3" w:rsidRDefault="000C44E3" w:rsidP="000C44E3"/>
    <w:p w14:paraId="594841C7" w14:textId="4DED84D9" w:rsidR="000C44E3" w:rsidRPr="0074655C" w:rsidRDefault="000C44E3" w:rsidP="009958E6">
      <w:pPr>
        <w:pStyle w:val="LetterCAPSTitle"/>
      </w:pPr>
      <w:r w:rsidRPr="0074655C">
        <w:t xml:space="preserve">TO: </w:t>
      </w:r>
      <w:r w:rsidR="007D0004">
        <w:t>All Authorised DEposit-taking Institutions</w:t>
      </w:r>
    </w:p>
    <w:p w14:paraId="441057E5" w14:textId="6A6788FF" w:rsidR="000C44E3" w:rsidRDefault="00C40868" w:rsidP="00E85C54">
      <w:pPr>
        <w:pStyle w:val="LetterCAPSTitle"/>
        <w:rPr>
          <w:rStyle w:val="LetterCAPSTitleChar"/>
          <w:b/>
          <w:caps/>
        </w:rPr>
      </w:pPr>
      <w:r>
        <w:rPr>
          <w:rStyle w:val="LetterCAPSTitleChar"/>
          <w:b/>
          <w:caps/>
        </w:rPr>
        <w:t>final revised PRUDENTIAL standard:</w:t>
      </w:r>
      <w:r w:rsidR="00B32F73">
        <w:rPr>
          <w:rStyle w:val="LetterCAPSTitleChar"/>
          <w:b/>
          <w:caps/>
        </w:rPr>
        <w:t xml:space="preserve"> APS 111 CAPITAL ADEQUACY: MEASUREMENT OF CAPITAL</w:t>
      </w:r>
    </w:p>
    <w:p w14:paraId="3850DF5A" w14:textId="2A17A1AC" w:rsidR="009118DE" w:rsidRDefault="008241E1" w:rsidP="00B32F73">
      <w:r>
        <w:t xml:space="preserve">APRA </w:t>
      </w:r>
      <w:r w:rsidR="00416184">
        <w:t xml:space="preserve">has </w:t>
      </w:r>
      <w:r w:rsidR="008A3849">
        <w:t xml:space="preserve">today </w:t>
      </w:r>
      <w:r>
        <w:t>releas</w:t>
      </w:r>
      <w:r w:rsidR="00416184">
        <w:t>ed</w:t>
      </w:r>
      <w:r>
        <w:t xml:space="preserve"> </w:t>
      </w:r>
      <w:r w:rsidR="00D274EE">
        <w:t>t</w:t>
      </w:r>
      <w:r w:rsidR="00416184">
        <w:t xml:space="preserve">he </w:t>
      </w:r>
      <w:r>
        <w:t xml:space="preserve">final revised </w:t>
      </w:r>
      <w:r w:rsidRPr="00787756">
        <w:rPr>
          <w:i/>
        </w:rPr>
        <w:t xml:space="preserve">Prudential Standard APS 111 Capital Adequacy: Measurement of Capital </w:t>
      </w:r>
      <w:r w:rsidRPr="008241E1">
        <w:t>(</w:t>
      </w:r>
      <w:r>
        <w:t>APS 111)</w:t>
      </w:r>
      <w:r w:rsidR="00787756">
        <w:t>.</w:t>
      </w:r>
      <w:r w:rsidR="00787756" w:rsidRPr="00787756">
        <w:t xml:space="preserve"> </w:t>
      </w:r>
      <w:r w:rsidR="00184D13">
        <w:t xml:space="preserve">APS 111 sets out detailed criteria for measuring an ADI’s regulatory capital. </w:t>
      </w:r>
      <w:r w:rsidR="009118DE">
        <w:t>T</w:t>
      </w:r>
      <w:r w:rsidR="009118DE" w:rsidRPr="008019A5">
        <w:t xml:space="preserve">he revised APS 111 </w:t>
      </w:r>
      <w:r w:rsidR="009118DE" w:rsidRPr="00F82853">
        <w:t xml:space="preserve">will come into </w:t>
      </w:r>
      <w:r w:rsidR="00D643C4">
        <w:t>effect</w:t>
      </w:r>
      <w:r w:rsidR="009118DE" w:rsidRPr="00F82853">
        <w:t xml:space="preserve"> </w:t>
      </w:r>
      <w:r w:rsidR="00C86BD1">
        <w:t>on</w:t>
      </w:r>
      <w:r w:rsidR="00C86BD1" w:rsidRPr="00F82853">
        <w:t xml:space="preserve"> </w:t>
      </w:r>
      <w:r w:rsidR="009118DE" w:rsidRPr="00F82853">
        <w:t>1</w:t>
      </w:r>
      <w:r w:rsidR="009118DE">
        <w:t> </w:t>
      </w:r>
      <w:r w:rsidR="009118DE" w:rsidRPr="00F82853">
        <w:t>January 2022</w:t>
      </w:r>
      <w:r w:rsidR="009118DE">
        <w:t>.</w:t>
      </w:r>
    </w:p>
    <w:p w14:paraId="3C14F87B" w14:textId="2BC55B66" w:rsidR="009118DE" w:rsidRDefault="009118DE" w:rsidP="00B32F73">
      <w:r>
        <w:t xml:space="preserve">The </w:t>
      </w:r>
      <w:r w:rsidR="009B4073">
        <w:t xml:space="preserve">key revisions in this update of the </w:t>
      </w:r>
      <w:r w:rsidR="00313740">
        <w:t>P</w:t>
      </w:r>
      <w:r w:rsidR="009B4073">
        <w:t xml:space="preserve">rudential </w:t>
      </w:r>
      <w:r w:rsidR="00313740">
        <w:t>S</w:t>
      </w:r>
      <w:r w:rsidR="009B4073">
        <w:t xml:space="preserve">tandard are </w:t>
      </w:r>
      <w:r w:rsidR="00D643C4">
        <w:t>designed to</w:t>
      </w:r>
      <w:r>
        <w:t xml:space="preserve">: </w:t>
      </w:r>
    </w:p>
    <w:p w14:paraId="215BE4FF" w14:textId="696F0EDA" w:rsidR="009118DE" w:rsidRDefault="009118DE" w:rsidP="009118DE">
      <w:pPr>
        <w:pStyle w:val="ListParagraph"/>
        <w:numPr>
          <w:ilvl w:val="0"/>
          <w:numId w:val="18"/>
        </w:numPr>
      </w:pPr>
      <w:bookmarkStart w:id="1" w:name="_Hlk75191591"/>
      <w:r>
        <w:t>reinforc</w:t>
      </w:r>
      <w:r w:rsidR="00D643C4">
        <w:t>e</w:t>
      </w:r>
      <w:r>
        <w:t xml:space="preserve"> financial system resilience, through changes to the capital treatment of a</w:t>
      </w:r>
      <w:r w:rsidR="00D643C4">
        <w:t>n</w:t>
      </w:r>
      <w:r>
        <w:t xml:space="preserve"> ADI’s equity investments in their banking and insurance subsidiaries; </w:t>
      </w:r>
    </w:p>
    <w:p w14:paraId="72F00D42" w14:textId="77777777" w:rsidR="009118DE" w:rsidRDefault="009118DE" w:rsidP="00CA55DE">
      <w:pPr>
        <w:pStyle w:val="ListParagraph"/>
        <w:ind w:left="360"/>
      </w:pPr>
    </w:p>
    <w:p w14:paraId="4AA7F865" w14:textId="643D0874" w:rsidR="009118DE" w:rsidRDefault="009118DE" w:rsidP="009118DE">
      <w:pPr>
        <w:pStyle w:val="ListParagraph"/>
        <w:numPr>
          <w:ilvl w:val="0"/>
          <w:numId w:val="18"/>
        </w:numPr>
      </w:pPr>
      <w:r>
        <w:t>promot</w:t>
      </w:r>
      <w:r w:rsidR="00D643C4">
        <w:t>e</w:t>
      </w:r>
      <w:r>
        <w:t xml:space="preserve"> simple and transparent capital issuance, through the removal of the allowance for the use of special purpose vehicles (SPVs) in regulatory capital issuance; and </w:t>
      </w:r>
    </w:p>
    <w:p w14:paraId="4560F386" w14:textId="77777777" w:rsidR="009118DE" w:rsidRDefault="009118DE" w:rsidP="00CA55DE">
      <w:pPr>
        <w:pStyle w:val="ListParagraph"/>
        <w:ind w:left="360"/>
      </w:pPr>
    </w:p>
    <w:p w14:paraId="68B9DFDD" w14:textId="64DF48B4" w:rsidR="008241E1" w:rsidRDefault="009118DE" w:rsidP="00CA55DE">
      <w:pPr>
        <w:pStyle w:val="ListParagraph"/>
        <w:numPr>
          <w:ilvl w:val="0"/>
          <w:numId w:val="18"/>
        </w:numPr>
      </w:pPr>
      <w:r>
        <w:t>clarify</w:t>
      </w:r>
      <w:r w:rsidR="00D643C4">
        <w:t xml:space="preserve"> aspects</w:t>
      </w:r>
      <w:r>
        <w:t xml:space="preserve"> of APS 111, including </w:t>
      </w:r>
      <w:r w:rsidR="00D643C4">
        <w:t xml:space="preserve">provision of </w:t>
      </w:r>
      <w:r>
        <w:t xml:space="preserve">additional technical information to assist ADIs in issuing capital instruments.  </w:t>
      </w:r>
    </w:p>
    <w:bookmarkEnd w:id="1"/>
    <w:p w14:paraId="5DAD3E68" w14:textId="6D4E895E" w:rsidR="009118DE" w:rsidRPr="00086703" w:rsidRDefault="009118DE" w:rsidP="009118DE">
      <w:pPr>
        <w:pStyle w:val="Heading2"/>
        <w:rPr>
          <w:sz w:val="22"/>
          <w:szCs w:val="22"/>
        </w:rPr>
      </w:pPr>
      <w:r w:rsidRPr="00086703">
        <w:rPr>
          <w:sz w:val="22"/>
          <w:szCs w:val="22"/>
        </w:rPr>
        <w:t>Consultation</w:t>
      </w:r>
    </w:p>
    <w:p w14:paraId="795DB21E" w14:textId="799233AA" w:rsidR="009118DE" w:rsidRDefault="009118DE" w:rsidP="009118DE">
      <w:r w:rsidRPr="00240529">
        <w:t>APRA first consulted on proposed revisions to APS 111 in October 2019</w:t>
      </w:r>
      <w:r>
        <w:t>.</w:t>
      </w:r>
      <w:r>
        <w:rPr>
          <w:rStyle w:val="FootnoteReference"/>
        </w:rPr>
        <w:footnoteReference w:id="2"/>
      </w:r>
      <w:r>
        <w:t xml:space="preserve"> </w:t>
      </w:r>
      <w:r w:rsidR="009B4073">
        <w:t xml:space="preserve">APRA had planned to finalise APS 111 reforms in 2020, but delayed this to allow </w:t>
      </w:r>
      <w:r w:rsidR="00EE2851">
        <w:t>ADIs</w:t>
      </w:r>
      <w:r w:rsidR="009B4073">
        <w:t xml:space="preserve"> to focus on managing risks associated with COVID-19</w:t>
      </w:r>
      <w:r w:rsidR="00564826">
        <w:t>.</w:t>
      </w:r>
      <w:r w:rsidR="00D643C4" w:rsidRPr="00D643C4">
        <w:t xml:space="preserve"> APRA received seven submissions to the 2019 consultation.</w:t>
      </w:r>
    </w:p>
    <w:p w14:paraId="255B0ECF" w14:textId="78D4F891" w:rsidR="009B4073" w:rsidRDefault="009118DE" w:rsidP="009118DE">
      <w:r>
        <w:t>In May 2021, APRA</w:t>
      </w:r>
      <w:r w:rsidRPr="00240529">
        <w:t xml:space="preserve"> </w:t>
      </w:r>
      <w:r>
        <w:t xml:space="preserve">released a </w:t>
      </w:r>
      <w:r w:rsidR="003D7335">
        <w:t xml:space="preserve">detailed </w:t>
      </w:r>
      <w:r>
        <w:t>r</w:t>
      </w:r>
      <w:r w:rsidRPr="00240529">
        <w:t xml:space="preserve">esponse to </w:t>
      </w:r>
      <w:r w:rsidR="00BB04C9">
        <w:t>issues raised by industry in</w:t>
      </w:r>
      <w:r>
        <w:t xml:space="preserve"> the 2019 consultation</w:t>
      </w:r>
      <w:r w:rsidRPr="00240529">
        <w:t>.</w:t>
      </w:r>
      <w:r>
        <w:rPr>
          <w:rStyle w:val="FootnoteReference"/>
        </w:rPr>
        <w:footnoteReference w:id="3"/>
      </w:r>
      <w:r w:rsidRPr="00240529">
        <w:t xml:space="preserve"> </w:t>
      </w:r>
      <w:r w:rsidR="00BB04C9">
        <w:t>This included</w:t>
      </w:r>
      <w:r w:rsidR="003D7335">
        <w:t xml:space="preserve"> </w:t>
      </w:r>
      <w:r w:rsidR="000920C8">
        <w:t xml:space="preserve">final </w:t>
      </w:r>
      <w:r w:rsidR="003D7335">
        <w:t xml:space="preserve">policy </w:t>
      </w:r>
      <w:r w:rsidR="000920C8">
        <w:t>positions</w:t>
      </w:r>
      <w:r w:rsidR="003D7335">
        <w:t>.</w:t>
      </w:r>
    </w:p>
    <w:p w14:paraId="79493D81" w14:textId="6D8E4E01" w:rsidR="009118DE" w:rsidRDefault="00D274EE" w:rsidP="009118DE">
      <w:r>
        <w:t>Included in the</w:t>
      </w:r>
      <w:r w:rsidR="0005650B">
        <w:t xml:space="preserve"> May 2021</w:t>
      </w:r>
      <w:r w:rsidR="007B1FA9">
        <w:t xml:space="preserve"> response, </w:t>
      </w:r>
      <w:r w:rsidR="009118DE">
        <w:t>APRA</w:t>
      </w:r>
      <w:r w:rsidR="009118DE" w:rsidRPr="007E5D65">
        <w:t xml:space="preserve"> </w:t>
      </w:r>
      <w:r w:rsidR="007B1FA9">
        <w:t xml:space="preserve">also </w:t>
      </w:r>
      <w:r w:rsidR="009118DE" w:rsidRPr="007E5D65">
        <w:t xml:space="preserve">proposed </w:t>
      </w:r>
      <w:r w:rsidR="009118DE">
        <w:t xml:space="preserve">some </w:t>
      </w:r>
      <w:r w:rsidR="000920C8">
        <w:t>new</w:t>
      </w:r>
      <w:r w:rsidR="000E6ED7">
        <w:t xml:space="preserve"> </w:t>
      </w:r>
      <w:r w:rsidR="009118DE">
        <w:t xml:space="preserve">minor </w:t>
      </w:r>
      <w:r w:rsidR="009118DE" w:rsidRPr="007E5D65">
        <w:t xml:space="preserve">revisions </w:t>
      </w:r>
      <w:r w:rsidR="009118DE">
        <w:t xml:space="preserve">to APS 111 </w:t>
      </w:r>
      <w:r w:rsidR="009118DE" w:rsidRPr="007E5D65">
        <w:t>that were not included in the 2019 consultation</w:t>
      </w:r>
      <w:r w:rsidR="009118DE">
        <w:t xml:space="preserve">. </w:t>
      </w:r>
      <w:r w:rsidR="003D7335" w:rsidRPr="0051404E">
        <w:t xml:space="preserve">APRA received </w:t>
      </w:r>
      <w:r w:rsidR="003D7335">
        <w:t>three</w:t>
      </w:r>
      <w:r w:rsidR="003D7335" w:rsidRPr="0051404E">
        <w:t xml:space="preserve"> submissions </w:t>
      </w:r>
      <w:r w:rsidR="00FE1578">
        <w:t>to this consultation</w:t>
      </w:r>
      <w:r w:rsidR="003D7335" w:rsidRPr="0051404E">
        <w:t>.</w:t>
      </w:r>
      <w:r w:rsidR="003D7335">
        <w:t xml:space="preserve"> </w:t>
      </w:r>
      <w:r w:rsidR="000920C8">
        <w:t xml:space="preserve">This letter sets out APRA’s final policy positions in regard to the issues raised in </w:t>
      </w:r>
      <w:r w:rsidR="00242E06">
        <w:t>these</w:t>
      </w:r>
      <w:r w:rsidR="000920C8">
        <w:t xml:space="preserve"> </w:t>
      </w:r>
      <w:r w:rsidR="007B1FA9">
        <w:t xml:space="preserve">final </w:t>
      </w:r>
      <w:r w:rsidR="00242E06">
        <w:t>submissions</w:t>
      </w:r>
      <w:r w:rsidR="003D7335">
        <w:t>.</w:t>
      </w:r>
      <w:r w:rsidR="003D7335" w:rsidRPr="0051404E">
        <w:t xml:space="preserve"> </w:t>
      </w:r>
    </w:p>
    <w:p w14:paraId="3A6E21D5" w14:textId="56BA454C" w:rsidR="00086703" w:rsidRDefault="008072D2">
      <w:pPr>
        <w:spacing w:after="200" w:line="276" w:lineRule="auto"/>
        <w:jc w:val="left"/>
        <w:rPr>
          <w:rFonts w:cs="Arial"/>
          <w:b/>
          <w:bCs/>
          <w:iCs/>
          <w:sz w:val="28"/>
          <w:szCs w:val="28"/>
        </w:rPr>
      </w:pPr>
      <w:r>
        <w:rPr>
          <w:rFonts w:cs="Arial"/>
          <w:b/>
          <w:bCs/>
          <w:iCs/>
          <w:noProof/>
          <w:sz w:val="28"/>
          <w:szCs w:val="28"/>
        </w:rPr>
        <w:lastRenderedPageBreak/>
        <w:drawing>
          <wp:inline distT="0" distB="0" distL="0" distR="0" wp14:anchorId="462673DD" wp14:editId="30D50233">
            <wp:extent cx="5743575" cy="28401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679" cy="2848129"/>
                    </a:xfrm>
                    <a:prstGeom prst="rect">
                      <a:avLst/>
                    </a:prstGeom>
                    <a:noFill/>
                  </pic:spPr>
                </pic:pic>
              </a:graphicData>
            </a:graphic>
          </wp:inline>
        </w:drawing>
      </w:r>
    </w:p>
    <w:p w14:paraId="55FC206A" w14:textId="1F9F560D" w:rsidR="007D39D2" w:rsidRPr="00CA55DE" w:rsidRDefault="007D39D2">
      <w:pPr>
        <w:pStyle w:val="Heading2"/>
        <w:rPr>
          <w:sz w:val="22"/>
          <w:szCs w:val="22"/>
        </w:rPr>
      </w:pPr>
      <w:r w:rsidRPr="00CA55DE">
        <w:rPr>
          <w:sz w:val="22"/>
          <w:szCs w:val="22"/>
        </w:rPr>
        <w:t xml:space="preserve">Response to </w:t>
      </w:r>
      <w:r w:rsidR="009118DE" w:rsidRPr="00CA55DE">
        <w:rPr>
          <w:sz w:val="22"/>
          <w:szCs w:val="22"/>
        </w:rPr>
        <w:t>May 2021 consultation</w:t>
      </w:r>
    </w:p>
    <w:p w14:paraId="7A4E0688" w14:textId="77327344" w:rsidR="00EE26CF" w:rsidRDefault="00086703" w:rsidP="00F37A58">
      <w:r>
        <w:t xml:space="preserve">In May 2021, APRA proposed </w:t>
      </w:r>
      <w:r w:rsidR="00B223E5">
        <w:t xml:space="preserve">some new </w:t>
      </w:r>
      <w:r w:rsidR="000920C8">
        <w:t xml:space="preserve">minor </w:t>
      </w:r>
      <w:r>
        <w:t>revisions to APS 111</w:t>
      </w:r>
      <w:r w:rsidR="00C2727F">
        <w:t xml:space="preserve">. These revisions </w:t>
      </w:r>
      <w:r w:rsidR="000920C8">
        <w:t>clarif</w:t>
      </w:r>
      <w:r>
        <w:t>ied</w:t>
      </w:r>
      <w:r w:rsidR="000920C8">
        <w:t xml:space="preserve"> </w:t>
      </w:r>
      <w:r w:rsidR="000920C8" w:rsidRPr="007003BF">
        <w:t xml:space="preserve">that </w:t>
      </w:r>
      <w:r w:rsidR="000920C8">
        <w:t>Common Equity Tier 1 (</w:t>
      </w:r>
      <w:r w:rsidR="000920C8" w:rsidRPr="007003BF">
        <w:t>CET1</w:t>
      </w:r>
      <w:r w:rsidR="000920C8">
        <w:t>)</w:t>
      </w:r>
      <w:r w:rsidR="000920C8" w:rsidRPr="007003BF">
        <w:t xml:space="preserve"> capital </w:t>
      </w:r>
      <w:r w:rsidR="000920C8">
        <w:t>would</w:t>
      </w:r>
      <w:r w:rsidR="000920C8" w:rsidRPr="007003BF">
        <w:t xml:space="preserve"> not </w:t>
      </w:r>
      <w:r w:rsidR="000920C8">
        <w:t xml:space="preserve">be </w:t>
      </w:r>
      <w:r w:rsidR="000920C8" w:rsidRPr="007003BF">
        <w:t xml:space="preserve">permitted to have </w:t>
      </w:r>
      <w:r w:rsidR="00EE26CF">
        <w:t xml:space="preserve">unusual </w:t>
      </w:r>
      <w:r w:rsidR="000920C8" w:rsidRPr="007003BF">
        <w:t>features that could undermine its role as the highest quality loss absorbing capital</w:t>
      </w:r>
      <w:r w:rsidR="00EE26CF">
        <w:t>, in line with the approach for other capital instruments</w:t>
      </w:r>
      <w:r w:rsidR="000920C8" w:rsidRPr="007003BF">
        <w:t>.</w:t>
      </w:r>
    </w:p>
    <w:p w14:paraId="5D0B7AE6" w14:textId="7E7EF903" w:rsidR="00F37A58" w:rsidRDefault="00FA060F" w:rsidP="00F37A58">
      <w:r>
        <w:t>S</w:t>
      </w:r>
      <w:r w:rsidR="00D0069A">
        <w:t xml:space="preserve">ubmissions </w:t>
      </w:r>
      <w:r w:rsidR="00EE26CF">
        <w:t xml:space="preserve">from industry </w:t>
      </w:r>
      <w:r>
        <w:t xml:space="preserve">did not </w:t>
      </w:r>
      <w:r w:rsidR="00D0069A">
        <w:t>rais</w:t>
      </w:r>
      <w:r>
        <w:t>e</w:t>
      </w:r>
      <w:r w:rsidR="00D0069A">
        <w:t xml:space="preserve"> concerns regarding </w:t>
      </w:r>
      <w:r w:rsidR="00086703">
        <w:t>this proposal</w:t>
      </w:r>
      <w:r w:rsidR="00D0069A">
        <w:t xml:space="preserve">. </w:t>
      </w:r>
      <w:r w:rsidR="00EE26CF">
        <w:t>Some ADIs</w:t>
      </w:r>
      <w:r w:rsidR="00EE26CF" w:rsidRPr="003D7981">
        <w:t xml:space="preserve"> </w:t>
      </w:r>
      <w:r w:rsidR="004A4C37">
        <w:t xml:space="preserve">did, however, </w:t>
      </w:r>
      <w:r w:rsidR="003D7981">
        <w:t xml:space="preserve">request </w:t>
      </w:r>
      <w:r>
        <w:t xml:space="preserve">that </w:t>
      </w:r>
      <w:r w:rsidR="003D7981">
        <w:t xml:space="preserve">APRA </w:t>
      </w:r>
      <w:r w:rsidR="004A4C37">
        <w:t xml:space="preserve">provide </w:t>
      </w:r>
      <w:r>
        <w:t>further clarity regarding</w:t>
      </w:r>
      <w:r w:rsidR="003D7981" w:rsidRPr="003D7981">
        <w:t xml:space="preserve"> 'repackaging</w:t>
      </w:r>
      <w:r w:rsidR="003D7981">
        <w:t>’</w:t>
      </w:r>
      <w:r w:rsidR="003D7981" w:rsidRPr="003D7981">
        <w:t xml:space="preserve"> arrangements</w:t>
      </w:r>
      <w:r w:rsidR="00EE26CF">
        <w:t xml:space="preserve"> </w:t>
      </w:r>
      <w:r w:rsidR="004A4C37">
        <w:t>and</w:t>
      </w:r>
      <w:r w:rsidR="003D7981" w:rsidRPr="003D7981">
        <w:t xml:space="preserve"> </w:t>
      </w:r>
      <w:r w:rsidR="00F37A58">
        <w:t xml:space="preserve">the applicability of the </w:t>
      </w:r>
      <w:r w:rsidR="00AB2186">
        <w:t xml:space="preserve">revised Prudential Standard </w:t>
      </w:r>
      <w:r w:rsidR="00F37A58">
        <w:t xml:space="preserve">to </w:t>
      </w:r>
      <w:r w:rsidR="008F2155">
        <w:t>foreign bank branches</w:t>
      </w:r>
      <w:r w:rsidR="00E214B0">
        <w:t>. On these issues, APRA’s response is provided below:</w:t>
      </w:r>
      <w:r w:rsidR="003946AE">
        <w:t xml:space="preserve"> </w:t>
      </w:r>
    </w:p>
    <w:p w14:paraId="5904B72E" w14:textId="461AA356" w:rsidR="00D55F51" w:rsidRDefault="00954D54" w:rsidP="00954D54">
      <w:pPr>
        <w:pStyle w:val="ListParagraph"/>
        <w:numPr>
          <w:ilvl w:val="0"/>
          <w:numId w:val="19"/>
        </w:numPr>
      </w:pPr>
      <w:r w:rsidRPr="00602474">
        <w:rPr>
          <w:b/>
          <w:i/>
        </w:rPr>
        <w:t>Repack</w:t>
      </w:r>
      <w:r w:rsidR="00795C3D">
        <w:rPr>
          <w:b/>
          <w:i/>
        </w:rPr>
        <w:t>ag</w:t>
      </w:r>
      <w:r w:rsidRPr="00602474">
        <w:rPr>
          <w:b/>
          <w:i/>
        </w:rPr>
        <w:t>ing</w:t>
      </w:r>
      <w:r w:rsidR="00564826" w:rsidRPr="00602474">
        <w:rPr>
          <w:b/>
          <w:i/>
        </w:rPr>
        <w:t xml:space="preserve"> arrangements</w:t>
      </w:r>
      <w:r>
        <w:t>: u</w:t>
      </w:r>
      <w:r w:rsidR="004A4C37">
        <w:t>nder APS 111, a</w:t>
      </w:r>
      <w:r w:rsidR="004A4C37" w:rsidRPr="003D7981">
        <w:t xml:space="preserve"> </w:t>
      </w:r>
      <w:r w:rsidR="003D7981" w:rsidRPr="003D7981">
        <w:t>capital instrument is not eligible for inclusion in Regulatory Capital if it includes ‘repackaging’ arrangements that have the effect of compromising the quality of the capital raised</w:t>
      </w:r>
      <w:r w:rsidR="003D7981">
        <w:t>.</w:t>
      </w:r>
      <w:r w:rsidR="000B4BD5">
        <w:t xml:space="preserve"> </w:t>
      </w:r>
      <w:r w:rsidR="00E214B0">
        <w:t>In response to industry requests for examples of repackaging arrangements, APRA notes th</w:t>
      </w:r>
      <w:r w:rsidR="00B2556D">
        <w:t>ese</w:t>
      </w:r>
      <w:r w:rsidR="00E214B0">
        <w:t xml:space="preserve"> </w:t>
      </w:r>
      <w:r w:rsidR="00B2556D">
        <w:t>arrangements</w:t>
      </w:r>
      <w:r w:rsidR="00E214B0">
        <w:t xml:space="preserve"> </w:t>
      </w:r>
      <w:r w:rsidR="00575B92">
        <w:t xml:space="preserve">may </w:t>
      </w:r>
      <w:r w:rsidR="004A4C37">
        <w:t xml:space="preserve">occur where </w:t>
      </w:r>
      <w:r w:rsidR="00D55F51">
        <w:t xml:space="preserve">an instrument is not </w:t>
      </w:r>
      <w:r w:rsidR="000B4BD5">
        <w:t>marketed in line with its prudential treatment</w:t>
      </w:r>
      <w:r w:rsidR="00D55F51">
        <w:t xml:space="preserve">, or if the transaction documentation </w:t>
      </w:r>
      <w:r w:rsidR="000B4BD5">
        <w:t xml:space="preserve">suggests to investors that the instrument has attributes of a lower level of capital than claimed for </w:t>
      </w:r>
      <w:r w:rsidR="00EE26CF">
        <w:t xml:space="preserve">in </w:t>
      </w:r>
      <w:r w:rsidR="000B4BD5">
        <w:t>prudential treatment</w:t>
      </w:r>
      <w:r w:rsidR="00D55F51">
        <w:t>.</w:t>
      </w:r>
      <w:r w:rsidR="00602474" w:rsidRPr="00602474">
        <w:t xml:space="preserve"> </w:t>
      </w:r>
      <w:r w:rsidR="00B2556D">
        <w:t>Repackaging arrangements</w:t>
      </w:r>
      <w:r w:rsidR="00EE2851">
        <w:t xml:space="preserve"> also </w:t>
      </w:r>
      <w:r w:rsidR="00B2556D">
        <w:t>occur</w:t>
      </w:r>
      <w:r w:rsidR="00E05FFD" w:rsidRPr="00E05FFD">
        <w:t xml:space="preserve"> where </w:t>
      </w:r>
      <w:r w:rsidR="00E05FFD">
        <w:t xml:space="preserve">a </w:t>
      </w:r>
      <w:r w:rsidR="00E05FFD" w:rsidRPr="00E05FFD">
        <w:t>capital instrument</w:t>
      </w:r>
      <w:r w:rsidR="00E05FFD">
        <w:t xml:space="preserve"> is </w:t>
      </w:r>
      <w:r w:rsidR="00E84EEC">
        <w:t xml:space="preserve">issued </w:t>
      </w:r>
      <w:r w:rsidR="00E05FFD" w:rsidRPr="00E05FFD">
        <w:t xml:space="preserve">to </w:t>
      </w:r>
      <w:r w:rsidR="004722C8">
        <w:t xml:space="preserve">a </w:t>
      </w:r>
      <w:r w:rsidR="00E05FFD" w:rsidRPr="00E05FFD">
        <w:t>vehicle which funds itself in another wa</w:t>
      </w:r>
      <w:r w:rsidR="00E05FFD">
        <w:t>y.</w:t>
      </w:r>
    </w:p>
    <w:p w14:paraId="6C5E787D" w14:textId="77777777" w:rsidR="00954D54" w:rsidRDefault="00954D54" w:rsidP="00CA55DE">
      <w:pPr>
        <w:pStyle w:val="ListParagraph"/>
        <w:ind w:left="360"/>
      </w:pPr>
    </w:p>
    <w:p w14:paraId="25070A54" w14:textId="49BE4362" w:rsidR="007D39D2" w:rsidRDefault="00954D54" w:rsidP="001C2470">
      <w:pPr>
        <w:pStyle w:val="ListParagraph"/>
        <w:numPr>
          <w:ilvl w:val="0"/>
          <w:numId w:val="19"/>
        </w:numPr>
      </w:pPr>
      <w:r w:rsidRPr="00602474">
        <w:rPr>
          <w:b/>
          <w:i/>
        </w:rPr>
        <w:t>Foreign ADIs</w:t>
      </w:r>
      <w:r w:rsidR="00313740">
        <w:t xml:space="preserve"> (foreign bank branches)</w:t>
      </w:r>
      <w:r>
        <w:t>:</w:t>
      </w:r>
      <w:r w:rsidR="001C2470">
        <w:t xml:space="preserve"> one submission requested further clarity around the application of APS 111 to foreign ADIs. </w:t>
      </w:r>
      <w:r w:rsidR="00E31DA6">
        <w:t>C</w:t>
      </w:r>
      <w:r w:rsidR="00D96333">
        <w:t xml:space="preserve">onsistent with </w:t>
      </w:r>
      <w:r w:rsidR="00313740" w:rsidRPr="00313740">
        <w:rPr>
          <w:i/>
        </w:rPr>
        <w:t xml:space="preserve">Prudential Standard </w:t>
      </w:r>
      <w:r w:rsidR="00D96333" w:rsidRPr="00313740">
        <w:rPr>
          <w:i/>
        </w:rPr>
        <w:t>APS</w:t>
      </w:r>
      <w:r w:rsidR="00D96333" w:rsidRPr="00A1511A">
        <w:rPr>
          <w:i/>
        </w:rPr>
        <w:t xml:space="preserve"> 110 </w:t>
      </w:r>
      <w:r w:rsidR="00A1511A" w:rsidRPr="00A1511A">
        <w:rPr>
          <w:i/>
        </w:rPr>
        <w:t>Capital Adequacy</w:t>
      </w:r>
      <w:r w:rsidR="00D96333">
        <w:t xml:space="preserve">, </w:t>
      </w:r>
      <w:r w:rsidR="00E31DA6">
        <w:t>APRA has clarified that APS 111 does not apply to a foreign ADI. As part of APRA’s approach to licensing, APRA will typically review whether foreign ADIs are subject to comparable capital requirements in their home country.</w:t>
      </w:r>
    </w:p>
    <w:p w14:paraId="6605CDE2" w14:textId="71471193" w:rsidR="002B254A" w:rsidRDefault="002B254A" w:rsidP="007D39D2">
      <w:pPr>
        <w:pStyle w:val="Heading2"/>
        <w:rPr>
          <w:sz w:val="22"/>
          <w:szCs w:val="22"/>
        </w:rPr>
      </w:pPr>
      <w:r>
        <w:rPr>
          <w:sz w:val="22"/>
          <w:szCs w:val="22"/>
        </w:rPr>
        <w:t>E</w:t>
      </w:r>
      <w:r w:rsidR="00C2727F">
        <w:rPr>
          <w:sz w:val="22"/>
          <w:szCs w:val="22"/>
        </w:rPr>
        <w:t xml:space="preserve">mployee </w:t>
      </w:r>
      <w:r w:rsidR="00551FF7">
        <w:rPr>
          <w:sz w:val="22"/>
          <w:szCs w:val="22"/>
        </w:rPr>
        <w:t>share</w:t>
      </w:r>
      <w:r w:rsidR="00C2727F">
        <w:rPr>
          <w:sz w:val="22"/>
          <w:szCs w:val="22"/>
        </w:rPr>
        <w:t xml:space="preserve"> schemes</w:t>
      </w:r>
    </w:p>
    <w:p w14:paraId="6BEC4F61" w14:textId="531FD127" w:rsidR="002B254A" w:rsidRPr="002B254A" w:rsidRDefault="00551FF7" w:rsidP="00602474">
      <w:r>
        <w:t>During the</w:t>
      </w:r>
      <w:r w:rsidR="002B254A">
        <w:t xml:space="preserve"> consultation process, APRA received</w:t>
      </w:r>
      <w:r w:rsidR="00EF36A1">
        <w:t xml:space="preserve"> </w:t>
      </w:r>
      <w:r w:rsidR="005411A1">
        <w:t>s</w:t>
      </w:r>
      <w:r w:rsidR="006B63F3">
        <w:t>ome</w:t>
      </w:r>
      <w:r w:rsidR="00C2727F">
        <w:t xml:space="preserve"> </w:t>
      </w:r>
      <w:r w:rsidR="002B254A">
        <w:t xml:space="preserve">queries </w:t>
      </w:r>
      <w:r w:rsidR="00ED1A3E">
        <w:t xml:space="preserve">from ADIs </w:t>
      </w:r>
      <w:r w:rsidR="002B254A">
        <w:t xml:space="preserve">regarding the </w:t>
      </w:r>
      <w:r w:rsidR="005E0795">
        <w:t xml:space="preserve">capital </w:t>
      </w:r>
      <w:r w:rsidR="002B254A">
        <w:t xml:space="preserve">treatment of </w:t>
      </w:r>
      <w:r w:rsidRPr="00551FF7">
        <w:t>equity-settled share-based payments granted to employees</w:t>
      </w:r>
      <w:r w:rsidR="00EF36A1">
        <w:t xml:space="preserve"> as part of remuneration scheme</w:t>
      </w:r>
      <w:r w:rsidR="00C2727F">
        <w:t>s</w:t>
      </w:r>
      <w:r w:rsidR="007A57B4">
        <w:t>.</w:t>
      </w:r>
      <w:r w:rsidR="004C0BE8">
        <w:t xml:space="preserve"> </w:t>
      </w:r>
      <w:r w:rsidR="005064BB">
        <w:t xml:space="preserve">After consideration of these queries, APRA has </w:t>
      </w:r>
      <w:r w:rsidR="00C2727F">
        <w:t xml:space="preserve">reverted to the original, clearer requirements in </w:t>
      </w:r>
      <w:r w:rsidR="00FD25BD">
        <w:t xml:space="preserve">APS 111 </w:t>
      </w:r>
      <w:r w:rsidR="00F03E9F">
        <w:t>in this area</w:t>
      </w:r>
      <w:r w:rsidR="005064BB">
        <w:t xml:space="preserve">. APRA will </w:t>
      </w:r>
      <w:r w:rsidR="00ED1A3E">
        <w:t>engag</w:t>
      </w:r>
      <w:r w:rsidR="00EF36A1">
        <w:t>e with</w:t>
      </w:r>
      <w:r w:rsidR="00ED1A3E">
        <w:t xml:space="preserve"> relevant ADIs</w:t>
      </w:r>
      <w:r w:rsidR="00034022">
        <w:t xml:space="preserve"> </w:t>
      </w:r>
      <w:r w:rsidR="00EF36A1">
        <w:t>t</w:t>
      </w:r>
      <w:r w:rsidR="00ED1A3E">
        <w:t xml:space="preserve">o better understand the </w:t>
      </w:r>
      <w:r w:rsidR="00FD25BD" w:rsidRPr="00FD25BD">
        <w:t xml:space="preserve">range of </w:t>
      </w:r>
      <w:r w:rsidR="00F03E9F">
        <w:t>practices</w:t>
      </w:r>
      <w:r w:rsidR="00434C06">
        <w:t xml:space="preserve"> and</w:t>
      </w:r>
      <w:r w:rsidR="00F03E9F">
        <w:t xml:space="preserve"> ensure consistent </w:t>
      </w:r>
      <w:r w:rsidR="00C2727F">
        <w:t xml:space="preserve">interpretation </w:t>
      </w:r>
      <w:r w:rsidR="00F03E9F">
        <w:t>of the</w:t>
      </w:r>
      <w:r w:rsidR="00C23924">
        <w:t>se requirements</w:t>
      </w:r>
      <w:r w:rsidR="00FD25BD">
        <w:t>.</w:t>
      </w:r>
    </w:p>
    <w:p w14:paraId="2F321B67" w14:textId="132DFB13" w:rsidR="0051404E" w:rsidRPr="007D39D2" w:rsidRDefault="0051404E" w:rsidP="007D39D2">
      <w:pPr>
        <w:pStyle w:val="Heading2"/>
        <w:rPr>
          <w:sz w:val="22"/>
          <w:szCs w:val="22"/>
        </w:rPr>
      </w:pPr>
      <w:r w:rsidRPr="007D39D2">
        <w:rPr>
          <w:sz w:val="22"/>
          <w:szCs w:val="22"/>
        </w:rPr>
        <w:lastRenderedPageBreak/>
        <w:t xml:space="preserve">Final </w:t>
      </w:r>
      <w:r w:rsidR="00F82853" w:rsidRPr="007D39D2">
        <w:rPr>
          <w:sz w:val="22"/>
          <w:szCs w:val="22"/>
        </w:rPr>
        <w:t>revised Prudential Standard</w:t>
      </w:r>
    </w:p>
    <w:p w14:paraId="53D8242A" w14:textId="74E652FA" w:rsidR="00642FEF" w:rsidRDefault="00564826" w:rsidP="0051404E">
      <w:bookmarkStart w:id="2" w:name="_Hlk74157026"/>
      <w:r>
        <w:t>T</w:t>
      </w:r>
      <w:r w:rsidRPr="008019A5">
        <w:t xml:space="preserve">he final revised APS 111 </w:t>
      </w:r>
      <w:r w:rsidRPr="00F82853">
        <w:t xml:space="preserve">will come into </w:t>
      </w:r>
      <w:r w:rsidR="0046778A">
        <w:t xml:space="preserve">effect </w:t>
      </w:r>
      <w:r w:rsidR="009D1606">
        <w:t>on</w:t>
      </w:r>
      <w:r w:rsidR="009D1606" w:rsidRPr="00F82853">
        <w:t xml:space="preserve"> </w:t>
      </w:r>
      <w:r w:rsidRPr="00F82853">
        <w:t>1</w:t>
      </w:r>
      <w:r>
        <w:t> </w:t>
      </w:r>
      <w:r w:rsidRPr="00F82853">
        <w:t>January 2022</w:t>
      </w:r>
      <w:r>
        <w:t xml:space="preserve">. This letter and the final revised APS 111 are available </w:t>
      </w:r>
      <w:r w:rsidRPr="00E23544">
        <w:t xml:space="preserve">on APRA’s website at </w:t>
      </w:r>
      <w:hyperlink r:id="rId15" w:history="1">
        <w:r w:rsidRPr="00935A23">
          <w:rPr>
            <w:rStyle w:val="Hyperlink"/>
          </w:rPr>
          <w:t>www.apra.gov.au</w:t>
        </w:r>
      </w:hyperlink>
      <w:r w:rsidRPr="00E23544">
        <w:t>.</w:t>
      </w:r>
      <w:r>
        <w:t xml:space="preserve"> </w:t>
      </w:r>
      <w:bookmarkEnd w:id="2"/>
      <w:r w:rsidR="00D17938">
        <w:t>A</w:t>
      </w:r>
      <w:r w:rsidR="00D17938" w:rsidRPr="00D17938">
        <w:t xml:space="preserve">ttachment </w:t>
      </w:r>
      <w:r w:rsidR="00D17938">
        <w:t xml:space="preserve">A </w:t>
      </w:r>
      <w:r w:rsidR="00642FEF">
        <w:t xml:space="preserve">to this letter </w:t>
      </w:r>
      <w:r w:rsidR="00C35A82">
        <w:t>outlines</w:t>
      </w:r>
      <w:r w:rsidR="00D17938" w:rsidRPr="00D17938">
        <w:t xml:space="preserve"> the steps taken in finalising the revised APS 111</w:t>
      </w:r>
      <w:r>
        <w:t>, including an assessment of the regulatory impact</w:t>
      </w:r>
      <w:r w:rsidR="00D17938" w:rsidRPr="00D17938">
        <w:t>.</w:t>
      </w:r>
      <w:r w:rsidR="00D17938">
        <w:t xml:space="preserve"> </w:t>
      </w:r>
    </w:p>
    <w:p w14:paraId="282E4719" w14:textId="77777777" w:rsidR="0051404E" w:rsidRDefault="0051404E" w:rsidP="0051404E">
      <w:pPr>
        <w:keepNext/>
        <w:spacing w:after="0"/>
      </w:pPr>
      <w:r>
        <w:t>Yours sincerely</w:t>
      </w:r>
    </w:p>
    <w:p w14:paraId="126A467A" w14:textId="77777777" w:rsidR="0051404E" w:rsidRDefault="0051404E" w:rsidP="0051404E">
      <w:pPr>
        <w:keepNext/>
        <w:spacing w:after="0"/>
      </w:pPr>
    </w:p>
    <w:p w14:paraId="121E793C" w14:textId="06A7B916" w:rsidR="0051404E" w:rsidRDefault="0051404E" w:rsidP="0051404E">
      <w:pPr>
        <w:keepNext/>
        <w:spacing w:after="0"/>
      </w:pPr>
    </w:p>
    <w:p w14:paraId="6B743464" w14:textId="77777777" w:rsidR="006B63F3" w:rsidRDefault="006B63F3" w:rsidP="0051404E">
      <w:pPr>
        <w:keepNext/>
        <w:spacing w:after="0"/>
      </w:pPr>
    </w:p>
    <w:p w14:paraId="361DAE24" w14:textId="77777777" w:rsidR="0051404E" w:rsidRDefault="0051404E" w:rsidP="0051404E">
      <w:pPr>
        <w:keepNext/>
        <w:spacing w:after="0"/>
      </w:pPr>
      <w:r>
        <w:t>John Lonsdale</w:t>
      </w:r>
    </w:p>
    <w:p w14:paraId="2BAE6F86" w14:textId="77777777" w:rsidR="0051404E" w:rsidRPr="00053576" w:rsidRDefault="0051404E" w:rsidP="0051404E">
      <w:r>
        <w:t>Deputy Chair</w:t>
      </w:r>
    </w:p>
    <w:p w14:paraId="6A17FDEF" w14:textId="77777777" w:rsidR="00C35A82" w:rsidRDefault="00C35A82" w:rsidP="00584C2B">
      <w:pPr>
        <w:pStyle w:val="Heading4"/>
      </w:pPr>
    </w:p>
    <w:p w14:paraId="7BE52476" w14:textId="77777777" w:rsidR="00C35A82" w:rsidRDefault="00C35A82">
      <w:pPr>
        <w:spacing w:after="200" w:line="276" w:lineRule="auto"/>
        <w:jc w:val="left"/>
        <w:rPr>
          <w:rFonts w:cs="Arial"/>
          <w:b/>
          <w:iCs/>
          <w:szCs w:val="26"/>
        </w:rPr>
      </w:pPr>
      <w:r>
        <w:br w:type="page"/>
      </w:r>
    </w:p>
    <w:p w14:paraId="5565F976" w14:textId="70A731F3" w:rsidR="00AA51EE" w:rsidRPr="00C35A82" w:rsidRDefault="0033115E" w:rsidP="00602474">
      <w:pPr>
        <w:pStyle w:val="Heading4"/>
        <w:spacing w:after="240"/>
      </w:pPr>
      <w:r w:rsidRPr="0033115E">
        <w:lastRenderedPageBreak/>
        <w:t>ATTACHMENT</w:t>
      </w:r>
      <w:r>
        <w:t xml:space="preserve"> </w:t>
      </w:r>
      <w:r w:rsidR="00AA51EE">
        <w:t xml:space="preserve">A: </w:t>
      </w:r>
      <w:r w:rsidR="00B32F73">
        <w:t>REGULATION IMPACT</w:t>
      </w:r>
      <w:r w:rsidR="00BC466A">
        <w:t xml:space="preserve"> ANALYSIS</w:t>
      </w:r>
      <w:r w:rsidR="005C4A24">
        <w:t xml:space="preserve"> </w:t>
      </w:r>
    </w:p>
    <w:p w14:paraId="72C0EA10" w14:textId="472C93D6" w:rsidR="003915B1" w:rsidRDefault="003915B1" w:rsidP="00576CD8">
      <w:r w:rsidRPr="003915B1">
        <w:t>Consistent with the Australian Government Guide to Regulat</w:t>
      </w:r>
      <w:r>
        <w:t>ion</w:t>
      </w:r>
      <w:r w:rsidRPr="003915B1">
        <w:t xml:space="preserve">, APRA has followed a similar process to that required for a </w:t>
      </w:r>
      <w:r>
        <w:t>Regulation Impact Statement (</w:t>
      </w:r>
      <w:r w:rsidRPr="003915B1">
        <w:t>RIS</w:t>
      </w:r>
      <w:r>
        <w:t>)</w:t>
      </w:r>
      <w:r w:rsidRPr="003915B1">
        <w:t>. APRA’s evaluation of the policy changes to APS 111 is provided below.</w:t>
      </w:r>
    </w:p>
    <w:p w14:paraId="378479FE" w14:textId="1910A15D" w:rsidR="00F602D7" w:rsidRDefault="00F602D7" w:rsidP="00576CD8">
      <w:r w:rsidRPr="00F602D7">
        <w:t>APRA has undertaken two rounds of public consultation in revising APS 111 and has also engaged with a variety of stakeholders</w:t>
      </w:r>
      <w:r w:rsidR="00F33BDC">
        <w:t xml:space="preserve"> over </w:t>
      </w:r>
      <w:r w:rsidR="0046778A">
        <w:t xml:space="preserve">a period of </w:t>
      </w:r>
      <w:r w:rsidR="00F33BDC">
        <w:t>18 months</w:t>
      </w:r>
      <w:r w:rsidRPr="00F602D7">
        <w:t xml:space="preserve">, including individual </w:t>
      </w:r>
      <w:r w:rsidR="00E12D96">
        <w:t>ADIs</w:t>
      </w:r>
      <w:r w:rsidR="00F33BDC">
        <w:t>,</w:t>
      </w:r>
      <w:r w:rsidRPr="00F602D7">
        <w:t xml:space="preserve"> industry associations</w:t>
      </w:r>
      <w:r w:rsidR="00F33BDC">
        <w:t xml:space="preserve"> and other regulatory agencies</w:t>
      </w:r>
      <w:r>
        <w:t>.</w:t>
      </w:r>
      <w:r w:rsidR="00F33BDC" w:rsidRPr="00F33BDC">
        <w:t xml:space="preserve"> </w:t>
      </w:r>
      <w:r w:rsidR="00F33BDC" w:rsidRPr="00F602D7">
        <w:t xml:space="preserve">As detailed in </w:t>
      </w:r>
      <w:r w:rsidR="00D8358D">
        <w:t>APRA’s</w:t>
      </w:r>
      <w:r w:rsidR="00F33BDC" w:rsidRPr="00F602D7">
        <w:t xml:space="preserve"> May</w:t>
      </w:r>
      <w:r w:rsidR="0033115E">
        <w:t xml:space="preserve"> 2021</w:t>
      </w:r>
      <w:r w:rsidR="00F33BDC" w:rsidRPr="00F602D7">
        <w:t xml:space="preserve"> </w:t>
      </w:r>
      <w:r w:rsidR="00D8358D">
        <w:t xml:space="preserve">and July 2021 </w:t>
      </w:r>
      <w:r w:rsidR="00F33BDC" w:rsidRPr="00F602D7">
        <w:t>response</w:t>
      </w:r>
      <w:r w:rsidR="00D8358D">
        <w:t>s</w:t>
      </w:r>
      <w:r w:rsidR="00F33BDC" w:rsidRPr="00F602D7">
        <w:t xml:space="preserve"> to submissions, APRA has clarified or amended its proposals in </w:t>
      </w:r>
      <w:r w:rsidR="00E12D96">
        <w:t>certain</w:t>
      </w:r>
      <w:r w:rsidR="00E12D96" w:rsidRPr="00F602D7">
        <w:t xml:space="preserve"> </w:t>
      </w:r>
      <w:r w:rsidR="00F33BDC" w:rsidRPr="00F602D7">
        <w:t>areas</w:t>
      </w:r>
      <w:r w:rsidR="00E12D96">
        <w:t>,</w:t>
      </w:r>
      <w:r w:rsidR="00F33BDC" w:rsidRPr="00F602D7">
        <w:t xml:space="preserve"> following consideration of issues raised </w:t>
      </w:r>
      <w:r w:rsidR="00D8358D">
        <w:t>by stakeholders</w:t>
      </w:r>
      <w:r w:rsidR="00F33BDC" w:rsidRPr="00F602D7">
        <w:t>.</w:t>
      </w:r>
      <w:r w:rsidR="00F33BDC">
        <w:rPr>
          <w:rStyle w:val="FootnoteReference"/>
        </w:rPr>
        <w:footnoteReference w:id="4"/>
      </w:r>
    </w:p>
    <w:p w14:paraId="6416DC8D" w14:textId="33EFD97A" w:rsidR="001F567D" w:rsidRDefault="00576CD8" w:rsidP="001F567D">
      <w:r>
        <w:t xml:space="preserve">In its October 2019 Discussion Paper, APRA </w:t>
      </w:r>
      <w:r w:rsidR="008C716A">
        <w:t xml:space="preserve">set out </w:t>
      </w:r>
      <w:r w:rsidR="003678F7">
        <w:t xml:space="preserve">the problem and why </w:t>
      </w:r>
      <w:r w:rsidR="00D948F3">
        <w:t>regulatory</w:t>
      </w:r>
      <w:r w:rsidR="003678F7">
        <w:t xml:space="preserve"> action was needed</w:t>
      </w:r>
      <w:r>
        <w:t>.</w:t>
      </w:r>
      <w:r w:rsidR="00A477EF">
        <w:rPr>
          <w:rStyle w:val="FootnoteReference"/>
        </w:rPr>
        <w:footnoteReference w:id="5"/>
      </w:r>
      <w:r w:rsidR="00857500" w:rsidRPr="00857500">
        <w:t xml:space="preserve"> APRA initiated the review </w:t>
      </w:r>
      <w:r w:rsidR="00857500">
        <w:t xml:space="preserve">of </w:t>
      </w:r>
      <w:r w:rsidR="004911A9">
        <w:t xml:space="preserve">APS 111 </w:t>
      </w:r>
      <w:r w:rsidR="00857500">
        <w:t>to</w:t>
      </w:r>
      <w:r w:rsidR="00857500" w:rsidRPr="00857500">
        <w:t xml:space="preserve"> ensure that the appropriate capital treatment is applied to </w:t>
      </w:r>
      <w:r w:rsidR="004911A9">
        <w:t xml:space="preserve">an </w:t>
      </w:r>
      <w:r w:rsidR="00E23390" w:rsidRPr="00E23390">
        <w:t>ADI</w:t>
      </w:r>
      <w:r w:rsidR="00E23390">
        <w:t>’</w:t>
      </w:r>
      <w:r w:rsidR="004911A9">
        <w:t>s</w:t>
      </w:r>
      <w:r w:rsidR="00E23390" w:rsidRPr="00E23390">
        <w:t xml:space="preserve"> equity investments in their banking and insurance subsidiaries </w:t>
      </w:r>
      <w:r w:rsidR="00E23390">
        <w:t>and that</w:t>
      </w:r>
      <w:r w:rsidR="00E23390" w:rsidRPr="00E23390">
        <w:t xml:space="preserve"> Australian deposit holders continue to be protected</w:t>
      </w:r>
      <w:r w:rsidR="00E23390">
        <w:t>.</w:t>
      </w:r>
      <w:r w:rsidR="00E23390" w:rsidRPr="00E23390">
        <w:t xml:space="preserve"> </w:t>
      </w:r>
      <w:r w:rsidR="008430BC" w:rsidRPr="008430BC">
        <w:t>Over time, APRA ha</w:t>
      </w:r>
      <w:r w:rsidR="008A035A">
        <w:t>s</w:t>
      </w:r>
      <w:r w:rsidR="008430BC" w:rsidRPr="008430BC">
        <w:t xml:space="preserve"> </w:t>
      </w:r>
      <w:r w:rsidR="0030400E">
        <w:t xml:space="preserve">also </w:t>
      </w:r>
      <w:r w:rsidR="008430BC" w:rsidRPr="008430BC">
        <w:t>provided a number of rulings relating to APS 111 and some of these rulings have addressed a lack of clarity in the content of the Prudential Standard</w:t>
      </w:r>
      <w:r w:rsidR="008430BC">
        <w:t>. I</w:t>
      </w:r>
      <w:r w:rsidR="008430BC" w:rsidRPr="008430BC">
        <w:t xml:space="preserve">n addition, the </w:t>
      </w:r>
      <w:r w:rsidR="00F91BC5" w:rsidRPr="00F91BC5">
        <w:t xml:space="preserve">Basel Committee on Banking Supervision </w:t>
      </w:r>
      <w:r w:rsidR="00F91BC5">
        <w:t>(</w:t>
      </w:r>
      <w:r w:rsidR="008430BC" w:rsidRPr="008430BC">
        <w:t>Basel Committee</w:t>
      </w:r>
      <w:r w:rsidR="00F91BC5">
        <w:t>)</w:t>
      </w:r>
      <w:r w:rsidR="008430BC" w:rsidRPr="008430BC">
        <w:t xml:space="preserve"> has released </w:t>
      </w:r>
      <w:r w:rsidR="00DF0235">
        <w:t xml:space="preserve">updated </w:t>
      </w:r>
      <w:r w:rsidR="008A035A" w:rsidRPr="008A035A">
        <w:t>standards, statements and guidance on capital adequacy measures</w:t>
      </w:r>
      <w:r w:rsidR="008A035A">
        <w:t xml:space="preserve">. </w:t>
      </w:r>
      <w:r w:rsidR="008A035A" w:rsidRPr="008A035A">
        <w:t>APRA</w:t>
      </w:r>
      <w:r w:rsidR="008A035A">
        <w:t>’s</w:t>
      </w:r>
      <w:r w:rsidR="008A035A" w:rsidRPr="008A035A">
        <w:t xml:space="preserve"> review</w:t>
      </w:r>
      <w:r w:rsidR="008A035A">
        <w:t xml:space="preserve"> of</w:t>
      </w:r>
      <w:r w:rsidR="008A035A" w:rsidRPr="008A035A">
        <w:t xml:space="preserve"> APS 111 </w:t>
      </w:r>
      <w:r w:rsidR="008A035A">
        <w:t xml:space="preserve">is </w:t>
      </w:r>
      <w:r w:rsidR="008A035A" w:rsidRPr="008A035A">
        <w:t>in line with these developments and with the intention of clarifying and simplifying the standard.</w:t>
      </w:r>
    </w:p>
    <w:p w14:paraId="4A881181" w14:textId="3B53AE16" w:rsidR="000E6968" w:rsidRDefault="00F33BDC" w:rsidP="000E6968">
      <w:r>
        <w:t xml:space="preserve">The </w:t>
      </w:r>
      <w:r w:rsidR="00CE0EE5">
        <w:t xml:space="preserve">2019 </w:t>
      </w:r>
      <w:r>
        <w:t xml:space="preserve">Discussion Paper </w:t>
      </w:r>
      <w:r w:rsidR="003678F7">
        <w:t xml:space="preserve">also </w:t>
      </w:r>
      <w:r w:rsidR="00481C04">
        <w:t>outlined</w:t>
      </w:r>
      <w:r>
        <w:t xml:space="preserve"> APRA’s preliminary analysis of </w:t>
      </w:r>
      <w:r w:rsidR="00481C04">
        <w:t xml:space="preserve">policy </w:t>
      </w:r>
      <w:r w:rsidR="00576CD8">
        <w:t>option</w:t>
      </w:r>
      <w:r w:rsidR="00481C04">
        <w:t>s for APS 111</w:t>
      </w:r>
      <w:r>
        <w:t>, including the potential impact for industry</w:t>
      </w:r>
      <w:r w:rsidR="00576CD8">
        <w:t>.</w:t>
      </w:r>
      <w:r w:rsidR="00CE0431">
        <w:rPr>
          <w:rStyle w:val="FootnoteReference"/>
        </w:rPr>
        <w:footnoteReference w:id="6"/>
      </w:r>
      <w:r w:rsidR="00576CD8">
        <w:t xml:space="preserve"> </w:t>
      </w:r>
      <w:r w:rsidR="00481C04">
        <w:t>This Attachment expands on APRA’s initial analysis, taking into account feedback from ADIs</w:t>
      </w:r>
      <w:r w:rsidR="00D8358D">
        <w:t xml:space="preserve"> during the consultation period</w:t>
      </w:r>
      <w:r w:rsidR="00481C04">
        <w:t>.</w:t>
      </w:r>
    </w:p>
    <w:p w14:paraId="6B19626B" w14:textId="77777777" w:rsidR="0018386C" w:rsidRPr="0018386C" w:rsidRDefault="0018386C" w:rsidP="0018386C">
      <w:pPr>
        <w:pStyle w:val="Heading2"/>
        <w:rPr>
          <w:sz w:val="22"/>
          <w:szCs w:val="22"/>
        </w:rPr>
      </w:pPr>
      <w:bookmarkStart w:id="3" w:name="_Toc23325390"/>
      <w:bookmarkStart w:id="4" w:name="_Toc24106630"/>
      <w:bookmarkStart w:id="5" w:name="_Toc25748020"/>
      <w:bookmarkStart w:id="6" w:name="_Toc26945876"/>
      <w:bookmarkStart w:id="7" w:name="_Toc26947952"/>
      <w:r w:rsidRPr="0018386C">
        <w:rPr>
          <w:sz w:val="22"/>
          <w:szCs w:val="22"/>
        </w:rPr>
        <w:t xml:space="preserve">Assessment of </w:t>
      </w:r>
      <w:r w:rsidRPr="00540ED7">
        <w:rPr>
          <w:sz w:val="22"/>
          <w:szCs w:val="22"/>
        </w:rPr>
        <w:t>regulatory</w:t>
      </w:r>
      <w:r w:rsidRPr="0018386C">
        <w:rPr>
          <w:sz w:val="22"/>
          <w:szCs w:val="22"/>
        </w:rPr>
        <w:t xml:space="preserve"> costs</w:t>
      </w:r>
      <w:bookmarkEnd w:id="3"/>
      <w:bookmarkEnd w:id="4"/>
      <w:bookmarkEnd w:id="5"/>
      <w:bookmarkEnd w:id="6"/>
      <w:bookmarkEnd w:id="7"/>
    </w:p>
    <w:p w14:paraId="47E198BC" w14:textId="7C5894F6" w:rsidR="0018386C" w:rsidRDefault="00481C04" w:rsidP="0018386C">
      <w:r>
        <w:t xml:space="preserve">As part of the consultation process, </w:t>
      </w:r>
      <w:r w:rsidR="0018386C" w:rsidRPr="00E538AB">
        <w:t>APRA invited submissions on</w:t>
      </w:r>
      <w:r w:rsidR="0018386C" w:rsidRPr="003E5944">
        <w:t xml:space="preserve"> increases or decreases to</w:t>
      </w:r>
      <w:r w:rsidR="0018386C">
        <w:t xml:space="preserve"> regulatory </w:t>
      </w:r>
      <w:r w:rsidR="0018386C" w:rsidRPr="003E5944">
        <w:t>costs</w:t>
      </w:r>
      <w:r w:rsidR="0018386C">
        <w:t xml:space="preserve"> </w:t>
      </w:r>
      <w:r w:rsidR="0018386C" w:rsidRPr="003E5944">
        <w:t xml:space="preserve">incurred as a result of </w:t>
      </w:r>
      <w:r>
        <w:t>the policy</w:t>
      </w:r>
      <w:r w:rsidRPr="003E5944">
        <w:t xml:space="preserve"> </w:t>
      </w:r>
      <w:r w:rsidR="0018386C" w:rsidRPr="003E5944">
        <w:t>option</w:t>
      </w:r>
      <w:r>
        <w:t>s under consideration</w:t>
      </w:r>
      <w:r w:rsidR="0018386C">
        <w:t xml:space="preserve">. Respondents </w:t>
      </w:r>
      <w:r w:rsidR="0018386C" w:rsidRPr="00E538AB">
        <w:t xml:space="preserve">were invited to use the </w:t>
      </w:r>
      <w:r w:rsidR="0018386C">
        <w:t xml:space="preserve">Australian Government’s </w:t>
      </w:r>
      <w:r w:rsidR="0018386C" w:rsidRPr="0001623A">
        <w:t>Burden Measurement Tool</w:t>
      </w:r>
      <w:r w:rsidR="0018386C">
        <w:t xml:space="preserve"> </w:t>
      </w:r>
      <w:r w:rsidR="0018386C" w:rsidRPr="0001623A">
        <w:t>to assess</w:t>
      </w:r>
      <w:r w:rsidR="0018386C">
        <w:t xml:space="preserve"> regulatory </w:t>
      </w:r>
      <w:r w:rsidR="0018386C" w:rsidRPr="0001623A">
        <w:t>costs</w:t>
      </w:r>
      <w:r w:rsidR="0018386C" w:rsidRPr="00E538AB">
        <w:t>.</w:t>
      </w:r>
      <w:r w:rsidR="0018386C" w:rsidRPr="009F6777">
        <w:rPr>
          <w:rStyle w:val="FootnoteReference"/>
          <w:sz w:val="20"/>
          <w:szCs w:val="20"/>
        </w:rPr>
        <w:footnoteReference w:id="7"/>
      </w:r>
      <w:r w:rsidR="0018386C" w:rsidRPr="009F6777">
        <w:rPr>
          <w:szCs w:val="20"/>
          <w:vertAlign w:val="superscript"/>
        </w:rPr>
        <w:t xml:space="preserve"> </w:t>
      </w:r>
    </w:p>
    <w:p w14:paraId="34AD337F" w14:textId="4EBA0563" w:rsidR="0018386C" w:rsidRDefault="0018386C" w:rsidP="0018386C">
      <w:r w:rsidRPr="00DE55C7">
        <w:t>APRA has considered all relevant compliance costs</w:t>
      </w:r>
      <w:r w:rsidR="00D9625F">
        <w:t xml:space="preserve">, including </w:t>
      </w:r>
      <w:r w:rsidRPr="00DE55C7">
        <w:t>administration and substantive compliance costs and delay costs</w:t>
      </w:r>
      <w:r w:rsidR="00D9625F">
        <w:t>,</w:t>
      </w:r>
      <w:r w:rsidRPr="00DE55C7">
        <w:t xml:space="preserve"> in estimating the regulatory cost</w:t>
      </w:r>
      <w:r w:rsidR="00A700BD">
        <w:t>s</w:t>
      </w:r>
      <w:r w:rsidRPr="00DE55C7">
        <w:t xml:space="preserve"> of each option.</w:t>
      </w:r>
      <w:r w:rsidRPr="00384962">
        <w:t xml:space="preserve"> </w:t>
      </w:r>
      <w:r w:rsidR="00EC6175" w:rsidRPr="00EC6175">
        <w:t>The consideration of regulatory costs</w:t>
      </w:r>
      <w:r w:rsidR="00E12D96">
        <w:t>,</w:t>
      </w:r>
      <w:r w:rsidR="00EC6175" w:rsidRPr="00EC6175">
        <w:t xml:space="preserve"> as reflected in the average annual regulatory costs </w:t>
      </w:r>
      <w:r w:rsidR="00E12D96">
        <w:t xml:space="preserve">outlined below, </w:t>
      </w:r>
      <w:r w:rsidR="00EC6175" w:rsidRPr="00EC6175">
        <w:t xml:space="preserve">relates to additional compliance costs and </w:t>
      </w:r>
      <w:bookmarkStart w:id="8" w:name="_Hlk74232754"/>
      <w:r w:rsidR="00EC6175" w:rsidRPr="00EC6175">
        <w:t xml:space="preserve">does not include </w:t>
      </w:r>
      <w:bookmarkStart w:id="9" w:name="_Hlk74144309"/>
      <w:r w:rsidR="00EC6175" w:rsidRPr="00EC6175">
        <w:t>costs</w:t>
      </w:r>
      <w:r w:rsidR="00F25211">
        <w:t xml:space="preserve"> associated with</w:t>
      </w:r>
      <w:r w:rsidR="00523588">
        <w:t xml:space="preserve"> regulatory capital</w:t>
      </w:r>
      <w:r w:rsidR="00EC6175" w:rsidRPr="00EC6175">
        <w:t>.</w:t>
      </w:r>
      <w:bookmarkEnd w:id="9"/>
      <w:r w:rsidR="00964635">
        <w:t xml:space="preserve"> The two central options considered, and other alternatives</w:t>
      </w:r>
      <w:r w:rsidR="00D11836">
        <w:t>,</w:t>
      </w:r>
      <w:r w:rsidR="00964635">
        <w:t xml:space="preserve"> are presented below.</w:t>
      </w:r>
    </w:p>
    <w:p w14:paraId="7E9B2E1D" w14:textId="19786992" w:rsidR="0018386C" w:rsidRPr="0018386C" w:rsidRDefault="0018386C" w:rsidP="0018386C">
      <w:pPr>
        <w:pStyle w:val="Heading6"/>
      </w:pPr>
      <w:bookmarkStart w:id="10" w:name="_Toc23325391"/>
      <w:bookmarkStart w:id="11" w:name="_Toc24106631"/>
      <w:bookmarkStart w:id="12" w:name="_Toc25748021"/>
      <w:bookmarkStart w:id="13" w:name="_Toc26945877"/>
      <w:bookmarkStart w:id="14" w:name="_Toc26947953"/>
      <w:bookmarkStart w:id="15" w:name="_Hlk74129645"/>
      <w:bookmarkEnd w:id="8"/>
      <w:r w:rsidRPr="0018386C">
        <w:lastRenderedPageBreak/>
        <w:t>Option 1</w:t>
      </w:r>
      <w:bookmarkEnd w:id="10"/>
      <w:bookmarkEnd w:id="11"/>
      <w:bookmarkEnd w:id="12"/>
      <w:bookmarkEnd w:id="13"/>
      <w:bookmarkEnd w:id="14"/>
      <w:r w:rsidR="00A37BCD">
        <w:t xml:space="preserve">: </w:t>
      </w:r>
      <w:r w:rsidR="00004D2E" w:rsidRPr="00004D2E">
        <w:t>No change to APS 111</w:t>
      </w:r>
    </w:p>
    <w:p w14:paraId="2244F963" w14:textId="584194B2" w:rsidR="0018386C" w:rsidRDefault="0018386C" w:rsidP="0018386C">
      <w:r w:rsidRPr="00384962">
        <w:t>Under the first option,</w:t>
      </w:r>
      <w:r w:rsidR="00E12D96">
        <w:t xml:space="preserve"> there would be no changes to APS 111 and</w:t>
      </w:r>
      <w:r w:rsidRPr="00384962">
        <w:t xml:space="preserve"> ADIs and other stakeholders would not incur additional compliance costs.</w:t>
      </w:r>
      <w:r w:rsidR="00E12D96">
        <w:t xml:space="preserve"> There would also be no benefits realised, and so no net benefit.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899"/>
        <w:gridCol w:w="1900"/>
        <w:gridCol w:w="1900"/>
        <w:gridCol w:w="1900"/>
      </w:tblGrid>
      <w:tr w:rsidR="0018386C" w:rsidRPr="00D71E2D" w14:paraId="2593852C" w14:textId="77777777" w:rsidTr="0087443B">
        <w:tc>
          <w:tcPr>
            <w:tcW w:w="9026" w:type="dxa"/>
            <w:gridSpan w:val="5"/>
            <w:tcBorders>
              <w:bottom w:val="single" w:sz="4" w:space="0" w:color="FFFFFF" w:themeColor="background1"/>
            </w:tcBorders>
            <w:shd w:val="clear" w:color="auto" w:fill="002060"/>
          </w:tcPr>
          <w:p w14:paraId="4B1FFF57" w14:textId="3F607EAB" w:rsidR="0018386C" w:rsidRPr="00D057F2" w:rsidRDefault="0018386C" w:rsidP="0087443B">
            <w:pPr>
              <w:pStyle w:val="APRANORMAL"/>
              <w:jc w:val="center"/>
              <w:rPr>
                <w:rFonts w:ascii="Arial" w:hAnsi="Arial" w:cs="Arial"/>
                <w:sz w:val="20"/>
                <w:szCs w:val="20"/>
              </w:rPr>
            </w:pPr>
            <w:r w:rsidRPr="00D057F2">
              <w:rPr>
                <w:rFonts w:ascii="Arial" w:hAnsi="Arial" w:cs="Arial"/>
                <w:color w:val="FFFFFF" w:themeColor="background1"/>
                <w:sz w:val="20"/>
                <w:szCs w:val="20"/>
              </w:rPr>
              <w:t>Annual regulatory costs, averaged over 10 years ($)</w:t>
            </w:r>
          </w:p>
        </w:tc>
      </w:tr>
      <w:tr w:rsidR="0018386C" w:rsidRPr="00D71E2D" w14:paraId="279770CC" w14:textId="77777777" w:rsidTr="0087443B">
        <w:tc>
          <w:tcPr>
            <w:tcW w:w="1427" w:type="dxa"/>
            <w:tcBorders>
              <w:bottom w:val="single" w:sz="4" w:space="0" w:color="FFFFFF" w:themeColor="background1"/>
            </w:tcBorders>
            <w:shd w:val="clear" w:color="auto" w:fill="002060"/>
          </w:tcPr>
          <w:p w14:paraId="2768B749" w14:textId="2DEEA90A" w:rsidR="0018386C" w:rsidRPr="00D057F2" w:rsidRDefault="0018386C" w:rsidP="0087443B">
            <w:pPr>
              <w:pStyle w:val="APRANORMAL"/>
              <w:rPr>
                <w:rFonts w:ascii="Arial" w:hAnsi="Arial" w:cs="Arial"/>
                <w:color w:val="FFFFFF" w:themeColor="background1"/>
                <w:sz w:val="20"/>
                <w:szCs w:val="20"/>
              </w:rPr>
            </w:pPr>
            <w:r w:rsidRPr="00D057F2">
              <w:rPr>
                <w:rFonts w:ascii="Arial" w:hAnsi="Arial" w:cs="Arial"/>
                <w:color w:val="FFFFFF" w:themeColor="background1"/>
                <w:sz w:val="20"/>
                <w:szCs w:val="20"/>
              </w:rPr>
              <w:t>Change in costs ($)</w:t>
            </w:r>
          </w:p>
        </w:tc>
        <w:tc>
          <w:tcPr>
            <w:tcW w:w="1899" w:type="dxa"/>
            <w:tcBorders>
              <w:bottom w:val="single" w:sz="4" w:space="0" w:color="FFFFFF" w:themeColor="background1"/>
            </w:tcBorders>
            <w:shd w:val="clear" w:color="auto" w:fill="F2F2F2" w:themeFill="background1" w:themeFillShade="F2"/>
          </w:tcPr>
          <w:p w14:paraId="774C3E3D"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Business</w:t>
            </w:r>
          </w:p>
        </w:tc>
        <w:tc>
          <w:tcPr>
            <w:tcW w:w="1900" w:type="dxa"/>
            <w:tcBorders>
              <w:bottom w:val="single" w:sz="4" w:space="0" w:color="FFFFFF" w:themeColor="background1"/>
            </w:tcBorders>
            <w:shd w:val="clear" w:color="auto" w:fill="F2F2F2" w:themeFill="background1" w:themeFillShade="F2"/>
          </w:tcPr>
          <w:p w14:paraId="42FC9861"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 xml:space="preserve">Community organisations </w:t>
            </w:r>
          </w:p>
        </w:tc>
        <w:tc>
          <w:tcPr>
            <w:tcW w:w="1900" w:type="dxa"/>
            <w:tcBorders>
              <w:bottom w:val="single" w:sz="4" w:space="0" w:color="FFFFFF" w:themeColor="background1"/>
            </w:tcBorders>
            <w:shd w:val="clear" w:color="auto" w:fill="F2F2F2" w:themeFill="background1" w:themeFillShade="F2"/>
          </w:tcPr>
          <w:p w14:paraId="6F6EA291"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Individuals</w:t>
            </w:r>
          </w:p>
        </w:tc>
        <w:tc>
          <w:tcPr>
            <w:tcW w:w="1900" w:type="dxa"/>
            <w:tcBorders>
              <w:bottom w:val="single" w:sz="4" w:space="0" w:color="FFFFFF" w:themeColor="background1"/>
            </w:tcBorders>
            <w:shd w:val="clear" w:color="auto" w:fill="F2F2F2" w:themeFill="background1" w:themeFillShade="F2"/>
          </w:tcPr>
          <w:p w14:paraId="025F9302"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Total change in costs</w:t>
            </w:r>
          </w:p>
        </w:tc>
      </w:tr>
      <w:tr w:rsidR="0018386C" w:rsidRPr="00D71E2D" w14:paraId="18BCB661" w14:textId="77777777" w:rsidTr="00D057F2">
        <w:tc>
          <w:tcPr>
            <w:tcW w:w="1427" w:type="dxa"/>
            <w:tcBorders>
              <w:top w:val="single" w:sz="4" w:space="0" w:color="FFFFFF" w:themeColor="background1"/>
              <w:bottom w:val="single" w:sz="4" w:space="0" w:color="FFFFFF" w:themeColor="background1"/>
            </w:tcBorders>
            <w:shd w:val="clear" w:color="auto" w:fill="002060"/>
          </w:tcPr>
          <w:p w14:paraId="77CEF702" w14:textId="77777777" w:rsidR="0018386C" w:rsidRPr="00D057F2" w:rsidRDefault="0018386C" w:rsidP="0087443B">
            <w:pPr>
              <w:pStyle w:val="APRANORMAL"/>
              <w:rPr>
                <w:rFonts w:ascii="Arial" w:hAnsi="Arial" w:cs="Arial"/>
                <w:color w:val="FFFFFF" w:themeColor="background1"/>
                <w:sz w:val="20"/>
                <w:szCs w:val="20"/>
              </w:rPr>
            </w:pPr>
            <w:r w:rsidRPr="00D057F2">
              <w:rPr>
                <w:rFonts w:ascii="Arial" w:hAnsi="Arial" w:cs="Arial"/>
                <w:color w:val="FFFFFF" w:themeColor="background1"/>
                <w:sz w:val="20"/>
                <w:szCs w:val="20"/>
              </w:rPr>
              <w:t>Total by sector</w:t>
            </w:r>
          </w:p>
        </w:tc>
        <w:tc>
          <w:tcPr>
            <w:tcW w:w="1899" w:type="dxa"/>
            <w:tcBorders>
              <w:top w:val="single" w:sz="4" w:space="0" w:color="FFFFFF" w:themeColor="background1"/>
              <w:bottom w:val="single" w:sz="4" w:space="0" w:color="FFFFFF" w:themeColor="background1"/>
            </w:tcBorders>
            <w:shd w:val="clear" w:color="auto" w:fill="D9D9D9" w:themeFill="background1" w:themeFillShade="D9"/>
          </w:tcPr>
          <w:p w14:paraId="59E701B5" w14:textId="0951DBE8" w:rsidR="0018386C" w:rsidRPr="00D057F2" w:rsidRDefault="00E5733D" w:rsidP="0087443B">
            <w:pPr>
              <w:pStyle w:val="APRANORMAL"/>
              <w:rPr>
                <w:rFonts w:ascii="Arial" w:hAnsi="Arial" w:cs="Arial"/>
                <w:sz w:val="20"/>
                <w:szCs w:val="20"/>
              </w:rPr>
            </w:pPr>
            <w:r>
              <w:rPr>
                <w:rFonts w:ascii="Arial" w:hAnsi="Arial" w:cs="Arial"/>
                <w:sz w:val="20"/>
                <w:szCs w:val="20"/>
              </w:rPr>
              <w:t>Nil</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0E3971DF" w14:textId="30512255" w:rsidR="0018386C" w:rsidRPr="00D057F2" w:rsidRDefault="00E5733D" w:rsidP="0087443B">
            <w:pPr>
              <w:pStyle w:val="APRANORMAL"/>
              <w:rPr>
                <w:rFonts w:ascii="Arial" w:hAnsi="Arial" w:cs="Arial"/>
                <w:sz w:val="20"/>
                <w:szCs w:val="20"/>
              </w:rPr>
            </w:pPr>
            <w:r>
              <w:rPr>
                <w:rFonts w:ascii="Arial" w:hAnsi="Arial" w:cs="Arial"/>
                <w:sz w:val="20"/>
                <w:szCs w:val="20"/>
              </w:rPr>
              <w:t>Nil</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4CD227D1" w14:textId="01C25B11" w:rsidR="0018386C" w:rsidRPr="00D057F2" w:rsidRDefault="00E5733D" w:rsidP="0087443B">
            <w:pPr>
              <w:pStyle w:val="APRANORMAL"/>
              <w:rPr>
                <w:rFonts w:ascii="Arial" w:hAnsi="Arial" w:cs="Arial"/>
                <w:sz w:val="20"/>
                <w:szCs w:val="20"/>
              </w:rPr>
            </w:pPr>
            <w:r>
              <w:rPr>
                <w:rFonts w:ascii="Arial" w:hAnsi="Arial" w:cs="Arial"/>
                <w:sz w:val="20"/>
                <w:szCs w:val="20"/>
              </w:rPr>
              <w:t>Nil</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354E526C" w14:textId="5FE6E7E2" w:rsidR="0018386C" w:rsidRPr="00D057F2" w:rsidRDefault="00E5733D" w:rsidP="0087443B">
            <w:pPr>
              <w:pStyle w:val="APRANORMAL"/>
              <w:rPr>
                <w:rFonts w:ascii="Arial" w:hAnsi="Arial" w:cs="Arial"/>
                <w:sz w:val="20"/>
                <w:szCs w:val="20"/>
              </w:rPr>
            </w:pPr>
            <w:r>
              <w:rPr>
                <w:rFonts w:ascii="Arial" w:hAnsi="Arial" w:cs="Arial"/>
                <w:sz w:val="20"/>
                <w:szCs w:val="20"/>
              </w:rPr>
              <w:t>Nil</w:t>
            </w:r>
          </w:p>
        </w:tc>
      </w:tr>
    </w:tbl>
    <w:bookmarkEnd w:id="15"/>
    <w:p w14:paraId="0EBE6B50" w14:textId="4235626E" w:rsidR="0018386C" w:rsidRPr="0018386C" w:rsidRDefault="00A95AD8" w:rsidP="0018386C">
      <w:pPr>
        <w:pStyle w:val="Heading6"/>
      </w:pPr>
      <w:r>
        <w:t>O</w:t>
      </w:r>
      <w:r w:rsidR="0018386C" w:rsidRPr="0018386C">
        <w:t xml:space="preserve">ption </w:t>
      </w:r>
      <w:r w:rsidR="0018386C">
        <w:t>2</w:t>
      </w:r>
      <w:r w:rsidR="00A37BCD">
        <w:t>:</w:t>
      </w:r>
      <w:r w:rsidR="00A37BCD" w:rsidRPr="00A37BCD">
        <w:t xml:space="preserve"> </w:t>
      </w:r>
      <w:r w:rsidR="00D9625F">
        <w:t>Revised</w:t>
      </w:r>
      <w:r w:rsidR="00A37BCD" w:rsidRPr="00A37BCD">
        <w:t xml:space="preserve"> APS 111</w:t>
      </w:r>
    </w:p>
    <w:p w14:paraId="5C41221D" w14:textId="150DF5B9" w:rsidR="00B7452A" w:rsidRDefault="0018386C" w:rsidP="0018386C">
      <w:r w:rsidRPr="00384962">
        <w:t xml:space="preserve">Under the </w:t>
      </w:r>
      <w:r>
        <w:t>second</w:t>
      </w:r>
      <w:r w:rsidRPr="00384962">
        <w:t xml:space="preserve"> option, ADIs would incur additional compliance costs.</w:t>
      </w:r>
      <w:r w:rsidR="003456B4" w:rsidRPr="003456B4">
        <w:t xml:space="preserve"> </w:t>
      </w:r>
      <w:r w:rsidR="00B7452A">
        <w:t>These costs include external legal costs</w:t>
      </w:r>
      <w:r w:rsidR="00B05338">
        <w:t xml:space="preserve"> and </w:t>
      </w:r>
      <w:r w:rsidR="00B7452A">
        <w:t>costs associated with the review of the revised Prudential Standard, capital calculation and reporting, revision of capital instrument terms</w:t>
      </w:r>
      <w:r w:rsidR="009F6B20">
        <w:t>, consultation responses and compliance plans and controls.</w:t>
      </w:r>
      <w:r w:rsidR="00B7452A">
        <w:t xml:space="preserve"> </w:t>
      </w:r>
    </w:p>
    <w:p w14:paraId="3A278FFD" w14:textId="78F9657B" w:rsidR="0018386C" w:rsidRDefault="003456B4" w:rsidP="0018386C">
      <w:r w:rsidRPr="003456B4">
        <w:t>APRA has estimated total industry</w:t>
      </w:r>
      <w:r w:rsidR="003B0AB7">
        <w:t xml:space="preserve"> costs</w:t>
      </w:r>
      <w:r w:rsidRPr="003456B4">
        <w:t xml:space="preserve"> </w:t>
      </w:r>
      <w:r w:rsidR="00D9625F">
        <w:t>by extrapolating estimates from a sample of</w:t>
      </w:r>
      <w:r w:rsidR="00B7452A">
        <w:t xml:space="preserve"> ADIs</w:t>
      </w:r>
      <w:r w:rsidR="00FB7C70">
        <w:t xml:space="preserve"> on</w:t>
      </w:r>
      <w:r w:rsidRPr="003456B4">
        <w:t xml:space="preserve"> the cost per hour and the number of hours</w:t>
      </w:r>
      <w:r w:rsidR="00E12D96">
        <w:t>,</w:t>
      </w:r>
      <w:r w:rsidRPr="003456B4">
        <w:t xml:space="preserve"> and personnel likely to be required to implement the </w:t>
      </w:r>
      <w:r w:rsidR="00FB7C70">
        <w:t>revised Prudential Standard</w:t>
      </w:r>
      <w:r w:rsidRPr="003456B4">
        <w:t xml:space="preserve">. APRA has </w:t>
      </w:r>
      <w:r w:rsidR="00E12D96">
        <w:t>summarised</w:t>
      </w:r>
      <w:r w:rsidR="00E12D96" w:rsidRPr="003456B4">
        <w:t xml:space="preserve"> </w:t>
      </w:r>
      <w:r w:rsidRPr="003456B4">
        <w:t>the costs in the table below</w:t>
      </w:r>
      <w:r w:rsidR="00E12D96">
        <w:t>, outlined</w:t>
      </w:r>
      <w:r w:rsidRPr="003456B4">
        <w:t xml:space="preserve"> as annual regulatory costs averaged over 10 years</w:t>
      </w:r>
      <w:r w:rsidR="00D9625F">
        <w:t>, consistent with standard practice</w:t>
      </w:r>
      <w:r w:rsidRPr="003456B4">
        <w:t>.</w:t>
      </w:r>
    </w:p>
    <w:p w14:paraId="5B52173F" w14:textId="48353DC2" w:rsidR="00E410BD" w:rsidRDefault="00E410BD" w:rsidP="0018386C">
      <w:r w:rsidRPr="00E410BD">
        <w:t xml:space="preserve">APRA considers it likely </w:t>
      </w:r>
      <w:r w:rsidR="00FB7C70">
        <w:t xml:space="preserve">that </w:t>
      </w:r>
      <w:r w:rsidRPr="00E410BD">
        <w:t xml:space="preserve">the costs </w:t>
      </w:r>
      <w:r w:rsidR="00FB7C70">
        <w:t xml:space="preserve">to ADIs would be </w:t>
      </w:r>
      <w:r w:rsidRPr="00E410BD">
        <w:t>absorbed by business</w:t>
      </w:r>
      <w:r w:rsidR="00FB7C70">
        <w:t>,</w:t>
      </w:r>
      <w:r w:rsidRPr="00E410BD">
        <w:t xml:space="preserve"> and would not </w:t>
      </w:r>
      <w:r w:rsidR="00FB7C70">
        <w:t>have an</w:t>
      </w:r>
      <w:r w:rsidR="0012165A">
        <w:t xml:space="preserve"> </w:t>
      </w:r>
      <w:r w:rsidRPr="00E410BD">
        <w:t xml:space="preserve">impact </w:t>
      </w:r>
      <w:r w:rsidR="00FB7C70">
        <w:t xml:space="preserve">on </w:t>
      </w:r>
      <w:r w:rsidRPr="00E410BD">
        <w:t>community organisations or individuals.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899"/>
        <w:gridCol w:w="1900"/>
        <w:gridCol w:w="1900"/>
        <w:gridCol w:w="1900"/>
      </w:tblGrid>
      <w:tr w:rsidR="0018386C" w:rsidRPr="00D71E2D" w14:paraId="13799D93" w14:textId="77777777" w:rsidTr="0087443B">
        <w:tc>
          <w:tcPr>
            <w:tcW w:w="9026" w:type="dxa"/>
            <w:gridSpan w:val="5"/>
            <w:tcBorders>
              <w:bottom w:val="single" w:sz="4" w:space="0" w:color="FFFFFF" w:themeColor="background1"/>
            </w:tcBorders>
            <w:shd w:val="clear" w:color="auto" w:fill="002060"/>
          </w:tcPr>
          <w:p w14:paraId="1ACBB208" w14:textId="73E830F9" w:rsidR="0018386C" w:rsidRPr="00D057F2" w:rsidRDefault="0018386C" w:rsidP="0087443B">
            <w:pPr>
              <w:pStyle w:val="APRANORMAL"/>
              <w:jc w:val="center"/>
              <w:rPr>
                <w:rFonts w:ascii="Arial" w:hAnsi="Arial" w:cs="Arial"/>
                <w:sz w:val="20"/>
                <w:szCs w:val="20"/>
              </w:rPr>
            </w:pPr>
            <w:r w:rsidRPr="00D057F2">
              <w:rPr>
                <w:rFonts w:ascii="Arial" w:hAnsi="Arial" w:cs="Arial"/>
                <w:color w:val="FFFFFF" w:themeColor="background1"/>
                <w:sz w:val="20"/>
                <w:szCs w:val="20"/>
              </w:rPr>
              <w:t>Annual regulatory costs, averaged over 10 years ($)</w:t>
            </w:r>
          </w:p>
        </w:tc>
      </w:tr>
      <w:tr w:rsidR="0018386C" w:rsidRPr="00D71E2D" w14:paraId="112FDD27" w14:textId="77777777" w:rsidTr="0087443B">
        <w:tc>
          <w:tcPr>
            <w:tcW w:w="1427" w:type="dxa"/>
            <w:tcBorders>
              <w:bottom w:val="single" w:sz="4" w:space="0" w:color="FFFFFF" w:themeColor="background1"/>
            </w:tcBorders>
            <w:shd w:val="clear" w:color="auto" w:fill="002060"/>
          </w:tcPr>
          <w:p w14:paraId="3B9EBA83" w14:textId="2DABABE8" w:rsidR="0018386C" w:rsidRPr="00D057F2" w:rsidRDefault="0018386C" w:rsidP="0087443B">
            <w:pPr>
              <w:pStyle w:val="APRANORMAL"/>
              <w:rPr>
                <w:rFonts w:ascii="Arial" w:hAnsi="Arial" w:cs="Arial"/>
                <w:color w:val="FFFFFF" w:themeColor="background1"/>
                <w:sz w:val="20"/>
                <w:szCs w:val="20"/>
              </w:rPr>
            </w:pPr>
            <w:r w:rsidRPr="00D057F2">
              <w:rPr>
                <w:rFonts w:ascii="Arial" w:hAnsi="Arial" w:cs="Arial"/>
                <w:color w:val="FFFFFF" w:themeColor="background1"/>
                <w:sz w:val="20"/>
                <w:szCs w:val="20"/>
              </w:rPr>
              <w:t>Change in costs ($)</w:t>
            </w:r>
          </w:p>
        </w:tc>
        <w:tc>
          <w:tcPr>
            <w:tcW w:w="1899" w:type="dxa"/>
            <w:tcBorders>
              <w:bottom w:val="single" w:sz="4" w:space="0" w:color="FFFFFF" w:themeColor="background1"/>
            </w:tcBorders>
            <w:shd w:val="clear" w:color="auto" w:fill="F2F2F2" w:themeFill="background1" w:themeFillShade="F2"/>
          </w:tcPr>
          <w:p w14:paraId="53661093"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Business</w:t>
            </w:r>
          </w:p>
        </w:tc>
        <w:tc>
          <w:tcPr>
            <w:tcW w:w="1900" w:type="dxa"/>
            <w:tcBorders>
              <w:bottom w:val="single" w:sz="4" w:space="0" w:color="FFFFFF" w:themeColor="background1"/>
            </w:tcBorders>
            <w:shd w:val="clear" w:color="auto" w:fill="F2F2F2" w:themeFill="background1" w:themeFillShade="F2"/>
          </w:tcPr>
          <w:p w14:paraId="0D96C134"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 xml:space="preserve">Community organisations </w:t>
            </w:r>
          </w:p>
        </w:tc>
        <w:tc>
          <w:tcPr>
            <w:tcW w:w="1900" w:type="dxa"/>
            <w:tcBorders>
              <w:bottom w:val="single" w:sz="4" w:space="0" w:color="FFFFFF" w:themeColor="background1"/>
            </w:tcBorders>
            <w:shd w:val="clear" w:color="auto" w:fill="F2F2F2" w:themeFill="background1" w:themeFillShade="F2"/>
          </w:tcPr>
          <w:p w14:paraId="6B7EADA6"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Individuals</w:t>
            </w:r>
          </w:p>
        </w:tc>
        <w:tc>
          <w:tcPr>
            <w:tcW w:w="1900" w:type="dxa"/>
            <w:tcBorders>
              <w:bottom w:val="single" w:sz="4" w:space="0" w:color="FFFFFF" w:themeColor="background1"/>
            </w:tcBorders>
            <w:shd w:val="clear" w:color="auto" w:fill="F2F2F2" w:themeFill="background1" w:themeFillShade="F2"/>
          </w:tcPr>
          <w:p w14:paraId="75D89743" w14:textId="77777777" w:rsidR="0018386C" w:rsidRPr="00D057F2" w:rsidRDefault="0018386C" w:rsidP="0087443B">
            <w:pPr>
              <w:pStyle w:val="APRANORMAL"/>
              <w:rPr>
                <w:rFonts w:ascii="Arial" w:hAnsi="Arial" w:cs="Arial"/>
                <w:sz w:val="20"/>
                <w:szCs w:val="20"/>
              </w:rPr>
            </w:pPr>
            <w:r w:rsidRPr="00D057F2">
              <w:rPr>
                <w:rFonts w:ascii="Arial" w:hAnsi="Arial" w:cs="Arial"/>
                <w:sz w:val="20"/>
                <w:szCs w:val="20"/>
              </w:rPr>
              <w:t>Total change in costs</w:t>
            </w:r>
          </w:p>
        </w:tc>
      </w:tr>
      <w:tr w:rsidR="0018386C" w:rsidRPr="00D71E2D" w14:paraId="2D699EBA" w14:textId="77777777" w:rsidTr="00D057F2">
        <w:tc>
          <w:tcPr>
            <w:tcW w:w="1427" w:type="dxa"/>
            <w:tcBorders>
              <w:top w:val="single" w:sz="4" w:space="0" w:color="FFFFFF" w:themeColor="background1"/>
              <w:bottom w:val="single" w:sz="4" w:space="0" w:color="FFFFFF" w:themeColor="background1"/>
            </w:tcBorders>
            <w:shd w:val="clear" w:color="auto" w:fill="002060"/>
          </w:tcPr>
          <w:p w14:paraId="7443E5B9" w14:textId="77777777" w:rsidR="0018386C" w:rsidRPr="00D057F2" w:rsidRDefault="0018386C" w:rsidP="0087443B">
            <w:pPr>
              <w:pStyle w:val="APRANORMAL"/>
              <w:rPr>
                <w:rFonts w:ascii="Arial" w:hAnsi="Arial" w:cs="Arial"/>
                <w:color w:val="FFFFFF" w:themeColor="background1"/>
                <w:sz w:val="20"/>
                <w:szCs w:val="20"/>
              </w:rPr>
            </w:pPr>
            <w:r w:rsidRPr="00D057F2">
              <w:rPr>
                <w:rFonts w:ascii="Arial" w:hAnsi="Arial" w:cs="Arial"/>
                <w:color w:val="FFFFFF" w:themeColor="background1"/>
                <w:sz w:val="20"/>
                <w:szCs w:val="20"/>
              </w:rPr>
              <w:t>Total by sector</w:t>
            </w:r>
          </w:p>
        </w:tc>
        <w:tc>
          <w:tcPr>
            <w:tcW w:w="1899" w:type="dxa"/>
            <w:tcBorders>
              <w:top w:val="single" w:sz="4" w:space="0" w:color="FFFFFF" w:themeColor="background1"/>
              <w:bottom w:val="single" w:sz="4" w:space="0" w:color="FFFFFF" w:themeColor="background1"/>
            </w:tcBorders>
            <w:shd w:val="clear" w:color="auto" w:fill="D9D9D9" w:themeFill="background1" w:themeFillShade="D9"/>
          </w:tcPr>
          <w:p w14:paraId="6BD0F220" w14:textId="2BB3554E" w:rsidR="0018386C" w:rsidRPr="00D057F2" w:rsidRDefault="00032790" w:rsidP="0087443B">
            <w:pPr>
              <w:pStyle w:val="APRANORMAL"/>
              <w:rPr>
                <w:rFonts w:ascii="Arial" w:hAnsi="Arial" w:cs="Arial"/>
                <w:sz w:val="20"/>
                <w:szCs w:val="20"/>
              </w:rPr>
            </w:pPr>
            <w:r>
              <w:rPr>
                <w:rFonts w:ascii="Arial" w:hAnsi="Arial" w:cs="Arial"/>
                <w:sz w:val="20"/>
                <w:szCs w:val="20"/>
              </w:rPr>
              <w:t>$743,150</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49E5A2A5" w14:textId="3DAECA31" w:rsidR="0018386C" w:rsidRPr="00D057F2" w:rsidRDefault="00622656" w:rsidP="0087443B">
            <w:pPr>
              <w:pStyle w:val="APRANORMAL"/>
              <w:rPr>
                <w:rFonts w:ascii="Arial" w:hAnsi="Arial" w:cs="Arial"/>
                <w:sz w:val="20"/>
                <w:szCs w:val="20"/>
              </w:rPr>
            </w:pPr>
            <w:r>
              <w:rPr>
                <w:rFonts w:ascii="Arial" w:hAnsi="Arial" w:cs="Arial"/>
                <w:sz w:val="20"/>
                <w:szCs w:val="20"/>
              </w:rPr>
              <w:t>Nil</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099D78E0" w14:textId="6DAE6B08" w:rsidR="0018386C" w:rsidRPr="00D057F2" w:rsidRDefault="00622656" w:rsidP="0087443B">
            <w:pPr>
              <w:pStyle w:val="APRANORMAL"/>
              <w:rPr>
                <w:rFonts w:ascii="Arial" w:hAnsi="Arial" w:cs="Arial"/>
                <w:sz w:val="20"/>
                <w:szCs w:val="20"/>
              </w:rPr>
            </w:pPr>
            <w:r>
              <w:rPr>
                <w:rFonts w:ascii="Arial" w:hAnsi="Arial" w:cs="Arial"/>
                <w:sz w:val="20"/>
                <w:szCs w:val="20"/>
              </w:rPr>
              <w:t>Nil</w:t>
            </w:r>
          </w:p>
        </w:tc>
        <w:tc>
          <w:tcPr>
            <w:tcW w:w="1900" w:type="dxa"/>
            <w:tcBorders>
              <w:top w:val="single" w:sz="4" w:space="0" w:color="FFFFFF" w:themeColor="background1"/>
              <w:bottom w:val="single" w:sz="4" w:space="0" w:color="FFFFFF" w:themeColor="background1"/>
            </w:tcBorders>
            <w:shd w:val="clear" w:color="auto" w:fill="D9D9D9" w:themeFill="background1" w:themeFillShade="D9"/>
          </w:tcPr>
          <w:p w14:paraId="7932D02F" w14:textId="679D3659" w:rsidR="0018386C" w:rsidRPr="00D057F2" w:rsidRDefault="00B22411" w:rsidP="0087443B">
            <w:pPr>
              <w:pStyle w:val="APRANORMAL"/>
              <w:rPr>
                <w:rFonts w:ascii="Arial" w:hAnsi="Arial" w:cs="Arial"/>
                <w:sz w:val="20"/>
                <w:szCs w:val="20"/>
              </w:rPr>
            </w:pPr>
            <w:r w:rsidRPr="00B22411">
              <w:rPr>
                <w:rFonts w:ascii="Arial" w:hAnsi="Arial" w:cs="Arial"/>
                <w:sz w:val="20"/>
                <w:szCs w:val="20"/>
              </w:rPr>
              <w:t>$743,150</w:t>
            </w:r>
          </w:p>
        </w:tc>
      </w:tr>
    </w:tbl>
    <w:p w14:paraId="47FAFE97" w14:textId="0C0070E5" w:rsidR="0018386C" w:rsidRDefault="0018386C" w:rsidP="0018386C">
      <w:pPr>
        <w:pStyle w:val="APRANORMAL"/>
      </w:pPr>
    </w:p>
    <w:p w14:paraId="7092EDB9" w14:textId="66EE1B66" w:rsidR="0020752A" w:rsidRDefault="003B0AB7" w:rsidP="00602474">
      <w:pPr>
        <w:pStyle w:val="APRANORMAL"/>
        <w:jc w:val="both"/>
        <w:rPr>
          <w:rFonts w:ascii="Arial" w:hAnsi="Arial" w:cs="Arial"/>
        </w:rPr>
      </w:pPr>
      <w:r>
        <w:rPr>
          <w:rFonts w:ascii="Arial" w:hAnsi="Arial" w:cs="Arial"/>
        </w:rPr>
        <w:t>Under o</w:t>
      </w:r>
      <w:r w:rsidR="00802A64">
        <w:rPr>
          <w:rFonts w:ascii="Arial" w:hAnsi="Arial" w:cs="Arial"/>
        </w:rPr>
        <w:t>ption 2</w:t>
      </w:r>
      <w:r>
        <w:rPr>
          <w:rFonts w:ascii="Arial" w:hAnsi="Arial" w:cs="Arial"/>
        </w:rPr>
        <w:t>,</w:t>
      </w:r>
      <w:r w:rsidR="00802A64">
        <w:rPr>
          <w:rFonts w:ascii="Arial" w:hAnsi="Arial" w:cs="Arial"/>
        </w:rPr>
        <w:t xml:space="preserve"> </w:t>
      </w:r>
      <w:r>
        <w:rPr>
          <w:rFonts w:ascii="Arial" w:hAnsi="Arial" w:cs="Arial"/>
        </w:rPr>
        <w:t xml:space="preserve">a key policy change is the revised </w:t>
      </w:r>
      <w:r w:rsidR="00802A64" w:rsidRPr="00802A64">
        <w:rPr>
          <w:rFonts w:ascii="Arial" w:hAnsi="Arial" w:cs="Arial"/>
        </w:rPr>
        <w:t>capital treatment of a parent ADI’s equity investments in banking and insurance subsidiaries</w:t>
      </w:r>
      <w:r w:rsidR="00802A64">
        <w:rPr>
          <w:rFonts w:ascii="Arial" w:hAnsi="Arial" w:cs="Arial"/>
        </w:rPr>
        <w:t xml:space="preserve">. </w:t>
      </w:r>
      <w:r w:rsidR="0020752A" w:rsidRPr="0020752A">
        <w:rPr>
          <w:rFonts w:ascii="Arial" w:hAnsi="Arial" w:cs="Arial"/>
        </w:rPr>
        <w:t xml:space="preserve">APRA’s objective </w:t>
      </w:r>
      <w:r w:rsidR="0020752A">
        <w:rPr>
          <w:rFonts w:ascii="Arial" w:hAnsi="Arial" w:cs="Arial"/>
        </w:rPr>
        <w:t>is</w:t>
      </w:r>
      <w:r w:rsidR="0020752A" w:rsidRPr="0020752A">
        <w:rPr>
          <w:rFonts w:ascii="Arial" w:hAnsi="Arial" w:cs="Arial"/>
        </w:rPr>
        <w:t xml:space="preserve"> to reduce the potential risks to Australian deposit</w:t>
      </w:r>
      <w:r w:rsidR="0020752A">
        <w:rPr>
          <w:rFonts w:ascii="Arial" w:hAnsi="Arial" w:cs="Arial"/>
        </w:rPr>
        <w:t xml:space="preserve"> holders</w:t>
      </w:r>
      <w:r w:rsidR="0020752A" w:rsidRPr="0020752A">
        <w:rPr>
          <w:rFonts w:ascii="Arial" w:hAnsi="Arial" w:cs="Arial"/>
        </w:rPr>
        <w:t xml:space="preserve"> from large and leveraged equity investments</w:t>
      </w:r>
      <w:r w:rsidR="0020752A">
        <w:rPr>
          <w:rFonts w:ascii="Arial" w:hAnsi="Arial" w:cs="Arial"/>
        </w:rPr>
        <w:t xml:space="preserve">. </w:t>
      </w:r>
      <w:r w:rsidR="00495314">
        <w:rPr>
          <w:rFonts w:ascii="Arial" w:hAnsi="Arial" w:cs="Arial"/>
        </w:rPr>
        <w:t>APRA does not expect t</w:t>
      </w:r>
      <w:r w:rsidR="00495314" w:rsidRPr="00407799">
        <w:rPr>
          <w:rFonts w:ascii="Arial" w:hAnsi="Arial" w:cs="Arial"/>
        </w:rPr>
        <w:t xml:space="preserve">his </w:t>
      </w:r>
      <w:r w:rsidR="00495314">
        <w:rPr>
          <w:rFonts w:ascii="Arial" w:hAnsi="Arial" w:cs="Arial"/>
        </w:rPr>
        <w:t xml:space="preserve">change </w:t>
      </w:r>
      <w:r w:rsidR="00495314" w:rsidRPr="00407799">
        <w:rPr>
          <w:rFonts w:ascii="Arial" w:hAnsi="Arial" w:cs="Arial"/>
        </w:rPr>
        <w:t>to materially increase existing capital requirements for the system in aggregate</w:t>
      </w:r>
      <w:r w:rsidR="00495314">
        <w:rPr>
          <w:rFonts w:ascii="Arial" w:hAnsi="Arial" w:cs="Arial"/>
        </w:rPr>
        <w:t>, though</w:t>
      </w:r>
      <w:r>
        <w:rPr>
          <w:rFonts w:ascii="Arial" w:hAnsi="Arial" w:cs="Arial"/>
        </w:rPr>
        <w:t xml:space="preserve"> the impact </w:t>
      </w:r>
      <w:r w:rsidRPr="00407799">
        <w:rPr>
          <w:rFonts w:ascii="Arial" w:hAnsi="Arial" w:cs="Arial"/>
        </w:rPr>
        <w:t>will differ across individual ADIs</w:t>
      </w:r>
      <w:r>
        <w:rPr>
          <w:rFonts w:ascii="Arial" w:hAnsi="Arial" w:cs="Arial"/>
        </w:rPr>
        <w:t xml:space="preserve">. </w:t>
      </w:r>
      <w:r w:rsidRPr="00407799">
        <w:rPr>
          <w:rFonts w:ascii="Arial" w:hAnsi="Arial" w:cs="Arial"/>
        </w:rPr>
        <w:t>Th</w:t>
      </w:r>
      <w:r>
        <w:rPr>
          <w:rFonts w:ascii="Arial" w:hAnsi="Arial" w:cs="Arial"/>
        </w:rPr>
        <w:t xml:space="preserve">e costs of higher capital requirements </w:t>
      </w:r>
      <w:r w:rsidRPr="00407799">
        <w:rPr>
          <w:rFonts w:ascii="Arial" w:hAnsi="Arial" w:cs="Arial"/>
        </w:rPr>
        <w:t>have not been included in the annual regulatory costs</w:t>
      </w:r>
      <w:r>
        <w:rPr>
          <w:rFonts w:ascii="Arial" w:hAnsi="Arial" w:cs="Arial"/>
        </w:rPr>
        <w:t>, as they are not considered compliance costs.</w:t>
      </w:r>
    </w:p>
    <w:p w14:paraId="634660B9" w14:textId="41604325" w:rsidR="00C41314" w:rsidRDefault="00495314" w:rsidP="00602474">
      <w:pPr>
        <w:pStyle w:val="APRANORMAL"/>
        <w:jc w:val="both"/>
        <w:rPr>
          <w:rFonts w:ascii="Arial" w:hAnsi="Arial" w:cs="Arial"/>
        </w:rPr>
      </w:pPr>
      <w:r>
        <w:rPr>
          <w:rFonts w:ascii="Arial" w:hAnsi="Arial" w:cs="Arial"/>
        </w:rPr>
        <w:t>O</w:t>
      </w:r>
      <w:r w:rsidR="00C41314" w:rsidRPr="00C41314">
        <w:rPr>
          <w:rFonts w:ascii="Arial" w:hAnsi="Arial" w:cs="Arial"/>
        </w:rPr>
        <w:t xml:space="preserve">ption 2 </w:t>
      </w:r>
      <w:r w:rsidR="00C41314">
        <w:rPr>
          <w:rFonts w:ascii="Arial" w:hAnsi="Arial" w:cs="Arial"/>
        </w:rPr>
        <w:t xml:space="preserve">also </w:t>
      </w:r>
      <w:r w:rsidR="00C41314" w:rsidRPr="00C41314">
        <w:rPr>
          <w:rFonts w:ascii="Arial" w:hAnsi="Arial" w:cs="Arial"/>
        </w:rPr>
        <w:t xml:space="preserve">removes the allowance for the use of SPVs and stapled security structures in regulatory capital issuance. </w:t>
      </w:r>
      <w:r>
        <w:rPr>
          <w:rFonts w:ascii="Arial" w:hAnsi="Arial" w:cs="Arial"/>
        </w:rPr>
        <w:t>T</w:t>
      </w:r>
      <w:r w:rsidR="00C41314" w:rsidRPr="00C41314">
        <w:rPr>
          <w:rFonts w:ascii="Arial" w:hAnsi="Arial" w:cs="Arial"/>
        </w:rPr>
        <w:t>hese structures ha</w:t>
      </w:r>
      <w:r w:rsidR="007911B4">
        <w:rPr>
          <w:rFonts w:ascii="Arial" w:hAnsi="Arial" w:cs="Arial"/>
        </w:rPr>
        <w:t>ve</w:t>
      </w:r>
      <w:r w:rsidR="00C41314" w:rsidRPr="00C41314">
        <w:rPr>
          <w:rFonts w:ascii="Arial" w:hAnsi="Arial" w:cs="Arial"/>
        </w:rPr>
        <w:t xml:space="preserve"> not been a feature of ADI capital issuance since 2013.</w:t>
      </w:r>
      <w:r>
        <w:rPr>
          <w:rFonts w:ascii="Arial" w:hAnsi="Arial" w:cs="Arial"/>
        </w:rPr>
        <w:t xml:space="preserve"> While some</w:t>
      </w:r>
      <w:r w:rsidRPr="00CA55DE">
        <w:rPr>
          <w:rFonts w:ascii="Arial" w:hAnsi="Arial" w:cs="Arial"/>
        </w:rPr>
        <w:t xml:space="preserve"> submissions suggested that the inclusion of SPVs could reduce the additional costs from the Reserve Bank of New Zealand’s </w:t>
      </w:r>
      <w:r w:rsidR="005932E2">
        <w:rPr>
          <w:rFonts w:ascii="Arial" w:hAnsi="Arial" w:cs="Arial"/>
        </w:rPr>
        <w:t xml:space="preserve">(RBNZ’s) </w:t>
      </w:r>
      <w:r w:rsidRPr="00CA55DE">
        <w:rPr>
          <w:rFonts w:ascii="Arial" w:hAnsi="Arial" w:cs="Arial"/>
        </w:rPr>
        <w:t>proposed changes to its definitions of Additional Tier 1 and Tier 2 capital</w:t>
      </w:r>
      <w:r>
        <w:rPr>
          <w:rFonts w:ascii="Arial" w:hAnsi="Arial" w:cs="Arial"/>
        </w:rPr>
        <w:t xml:space="preserve">, these costs </w:t>
      </w:r>
      <w:r w:rsidR="00F4413C">
        <w:rPr>
          <w:rFonts w:ascii="Arial" w:hAnsi="Arial" w:cs="Arial"/>
        </w:rPr>
        <w:t>have not been included in APRA’s estimates as</w:t>
      </w:r>
      <w:r>
        <w:rPr>
          <w:rFonts w:ascii="Arial" w:hAnsi="Arial" w:cs="Arial"/>
        </w:rPr>
        <w:t xml:space="preserve"> </w:t>
      </w:r>
      <w:r w:rsidR="00F4413C">
        <w:rPr>
          <w:rFonts w:ascii="Arial" w:hAnsi="Arial" w:cs="Arial"/>
        </w:rPr>
        <w:t>they relate to RBNZ proposals</w:t>
      </w:r>
      <w:r>
        <w:rPr>
          <w:rFonts w:ascii="Arial" w:hAnsi="Arial" w:cs="Arial"/>
        </w:rPr>
        <w:t>.</w:t>
      </w:r>
    </w:p>
    <w:p w14:paraId="24FCB012" w14:textId="7042E575" w:rsidR="00964635" w:rsidRPr="0087443B" w:rsidRDefault="00964635" w:rsidP="003122C2">
      <w:pPr>
        <w:pStyle w:val="Heading6"/>
      </w:pPr>
      <w:r w:rsidRPr="0087443B">
        <w:lastRenderedPageBreak/>
        <w:t xml:space="preserve">Additional </w:t>
      </w:r>
      <w:r w:rsidR="005E239E" w:rsidRPr="0087443B">
        <w:t xml:space="preserve">alternative </w:t>
      </w:r>
      <w:r w:rsidRPr="0087443B">
        <w:t>options</w:t>
      </w:r>
    </w:p>
    <w:p w14:paraId="26B7DEC0" w14:textId="1CE04326" w:rsidR="00964635" w:rsidRPr="005E239E" w:rsidRDefault="005E239E" w:rsidP="00964635">
      <w:r>
        <w:rPr>
          <w:rFonts w:cs="Arial"/>
        </w:rPr>
        <w:t>In revising APS 111</w:t>
      </w:r>
      <w:r w:rsidR="00964635">
        <w:rPr>
          <w:rFonts w:cs="Arial"/>
        </w:rPr>
        <w:t xml:space="preserve">, APRA also considered additional options </w:t>
      </w:r>
      <w:r w:rsidR="00E43D9C">
        <w:rPr>
          <w:rFonts w:cs="Arial"/>
        </w:rPr>
        <w:t xml:space="preserve">on key elements of the proposed revisions </w:t>
      </w:r>
      <w:r w:rsidR="00964635">
        <w:rPr>
          <w:rFonts w:cs="Arial"/>
        </w:rPr>
        <w:t xml:space="preserve">put forward by industry through consultation. This included a complex option suggested by the major banks, which would retain the use of SPVs in capital issuance programs. APRA’s assessment of this option was detailed in </w:t>
      </w:r>
      <w:r>
        <w:rPr>
          <w:rFonts w:cs="Arial"/>
        </w:rPr>
        <w:t>its</w:t>
      </w:r>
      <w:r w:rsidR="00964635">
        <w:rPr>
          <w:rFonts w:cs="Arial"/>
        </w:rPr>
        <w:t xml:space="preserve"> </w:t>
      </w:r>
      <w:r>
        <w:rPr>
          <w:rFonts w:cs="Arial"/>
        </w:rPr>
        <w:t>Response Paper,</w:t>
      </w:r>
      <w:r w:rsidR="00964635">
        <w:rPr>
          <w:rFonts w:cs="Arial"/>
        </w:rPr>
        <w:t xml:space="preserve"> </w:t>
      </w:r>
      <w:r w:rsidR="00964635" w:rsidRPr="003122C2">
        <w:rPr>
          <w:i/>
        </w:rPr>
        <w:t>APRA Response to submissions - APS 111 Capital Adequacy: Measurement of Capital, May 2021</w:t>
      </w:r>
      <w:r>
        <w:rPr>
          <w:i/>
        </w:rPr>
        <w:t xml:space="preserve">. </w:t>
      </w:r>
    </w:p>
    <w:p w14:paraId="2058C2E1" w14:textId="15A9FE9C" w:rsidR="003915B1" w:rsidRPr="00540ED7" w:rsidRDefault="003915B1" w:rsidP="00540ED7">
      <w:pPr>
        <w:pStyle w:val="Heading2"/>
        <w:rPr>
          <w:sz w:val="22"/>
          <w:szCs w:val="22"/>
        </w:rPr>
      </w:pPr>
      <w:r w:rsidRPr="00540ED7">
        <w:rPr>
          <w:sz w:val="22"/>
          <w:szCs w:val="22"/>
        </w:rPr>
        <w:t>Assessment of net benefits</w:t>
      </w:r>
    </w:p>
    <w:p w14:paraId="0838E3CB" w14:textId="278EFF9F" w:rsidR="003915B1" w:rsidRPr="00EC19EF" w:rsidRDefault="002B513E" w:rsidP="00B22D17">
      <w:pPr>
        <w:pStyle w:val="APRANORMAL"/>
        <w:rPr>
          <w:rFonts w:ascii="Arial" w:hAnsi="Arial" w:cs="Arial"/>
        </w:rPr>
      </w:pPr>
      <w:r>
        <w:rPr>
          <w:rFonts w:ascii="Arial" w:hAnsi="Arial" w:cs="Arial"/>
        </w:rPr>
        <w:t>T</w:t>
      </w:r>
      <w:r w:rsidR="003915B1">
        <w:rPr>
          <w:rFonts w:ascii="Arial" w:hAnsi="Arial" w:cs="Arial"/>
        </w:rPr>
        <w:t>here are several net benefits of the proposed amendments to APS 111 (</w:t>
      </w:r>
      <w:r w:rsidR="00261B01">
        <w:rPr>
          <w:rFonts w:ascii="Arial" w:hAnsi="Arial" w:cs="Arial"/>
        </w:rPr>
        <w:t>O</w:t>
      </w:r>
      <w:r w:rsidR="003915B1">
        <w:rPr>
          <w:rFonts w:ascii="Arial" w:hAnsi="Arial" w:cs="Arial"/>
        </w:rPr>
        <w:t>ption 2):</w:t>
      </w:r>
    </w:p>
    <w:p w14:paraId="0987A31D" w14:textId="3D8F12EB" w:rsidR="003915B1" w:rsidRDefault="003915B1" w:rsidP="003915B1">
      <w:pPr>
        <w:pStyle w:val="ListParagraph"/>
        <w:numPr>
          <w:ilvl w:val="0"/>
          <w:numId w:val="20"/>
        </w:numPr>
      </w:pPr>
      <w:r>
        <w:t>The Prudential Standard would be clearer and less open to interpretation. The proposed changes are expected to improve the transparency of capital instruments, and assist in their issuance.</w:t>
      </w:r>
    </w:p>
    <w:p w14:paraId="34D59A3D" w14:textId="77777777" w:rsidR="0012165A" w:rsidRDefault="0012165A" w:rsidP="0012165A">
      <w:pPr>
        <w:pStyle w:val="ListParagraph"/>
        <w:ind w:left="360"/>
      </w:pPr>
    </w:p>
    <w:p w14:paraId="33894423" w14:textId="7D7C8C4A" w:rsidR="003915B1" w:rsidRDefault="003915B1" w:rsidP="003915B1">
      <w:pPr>
        <w:pStyle w:val="ListParagraph"/>
        <w:numPr>
          <w:ilvl w:val="0"/>
          <w:numId w:val="20"/>
        </w:numPr>
      </w:pPr>
      <w:r>
        <w:t xml:space="preserve">This option also promotes certainty and comparability, which are key elements in the measurement and assessment of capital adequacy across all ADIs. Peer group comparisons with banks in other jurisdictions is also enhanced since regulators in these jurisdictions are also likely to take account of </w:t>
      </w:r>
      <w:r w:rsidR="00261B01">
        <w:t xml:space="preserve">the </w:t>
      </w:r>
      <w:r w:rsidR="008A035A">
        <w:t xml:space="preserve">Basel Committee’s </w:t>
      </w:r>
      <w:r>
        <w:t>standards, statements and guidance.</w:t>
      </w:r>
    </w:p>
    <w:p w14:paraId="35935410" w14:textId="77777777" w:rsidR="0019369E" w:rsidRDefault="0019369E" w:rsidP="0019369E">
      <w:pPr>
        <w:pStyle w:val="ListParagraph"/>
        <w:ind w:left="360"/>
      </w:pPr>
    </w:p>
    <w:p w14:paraId="3407B9D3" w14:textId="10EF8241" w:rsidR="003915B1" w:rsidRPr="00EC19EF" w:rsidRDefault="003915B1" w:rsidP="003915B1">
      <w:pPr>
        <w:pStyle w:val="ListParagraph"/>
        <w:numPr>
          <w:ilvl w:val="0"/>
          <w:numId w:val="20"/>
        </w:numPr>
      </w:pPr>
      <w:r>
        <w:t xml:space="preserve">A benefit of the proposed changes to the capital treatment of equity investments in banking and insurance subsidiaries under </w:t>
      </w:r>
      <w:r w:rsidR="00261B01">
        <w:t>O</w:t>
      </w:r>
      <w:r>
        <w:t>ption 2 is that it mitigates domestic risks, reinforces ‘unquestionably strong’ capital targets at Level 1, and enhances financial stability.</w:t>
      </w:r>
    </w:p>
    <w:p w14:paraId="6F7C0AE3" w14:textId="5B90BE4B" w:rsidR="00004D2E" w:rsidRPr="00D057F2" w:rsidRDefault="00004D2E" w:rsidP="00004D2E">
      <w:pPr>
        <w:pStyle w:val="Heading2"/>
        <w:rPr>
          <w:sz w:val="22"/>
          <w:szCs w:val="22"/>
        </w:rPr>
      </w:pPr>
      <w:r w:rsidRPr="00004D2E">
        <w:rPr>
          <w:sz w:val="22"/>
          <w:szCs w:val="22"/>
        </w:rPr>
        <w:t>Conclusion</w:t>
      </w:r>
      <w:r w:rsidR="003915B1">
        <w:rPr>
          <w:sz w:val="22"/>
          <w:szCs w:val="22"/>
        </w:rPr>
        <w:t>: comparison of policy options</w:t>
      </w:r>
    </w:p>
    <w:p w14:paraId="7133EE7A" w14:textId="40440E95" w:rsidR="00004D2E" w:rsidRDefault="00F4413C" w:rsidP="00004D2E">
      <w:r>
        <w:rPr>
          <w:rFonts w:ascii="Helvetica" w:hAnsi="Helvetica"/>
          <w:color w:val="000000"/>
        </w:rPr>
        <w:t xml:space="preserve">When developing policy, APRA is required to balance the objectives of financial safety and efficiency, competition, contestability and competitive neutrality, while promoting financial system stability in Australia. </w:t>
      </w:r>
      <w:r w:rsidRPr="008A4FCB">
        <w:t xml:space="preserve">APRA considers that, on balance, Option </w:t>
      </w:r>
      <w:r>
        <w:t>2</w:t>
      </w:r>
      <w:r w:rsidRPr="008A4FCB">
        <w:t xml:space="preserve"> will enhance prudential outcomes, improve financial safety and promote financial system stability in Australia.</w:t>
      </w:r>
      <w:r>
        <w:rPr>
          <w:rStyle w:val="FootnoteReference"/>
        </w:rPr>
        <w:footnoteReference w:id="8"/>
      </w:r>
      <w:r w:rsidR="00692672">
        <w:t xml:space="preserve"> As demonstrated in the table below,</w:t>
      </w:r>
      <w:r w:rsidR="00F4748D">
        <w:t xml:space="preserve"> Option 2 generates a net benefit</w:t>
      </w:r>
      <w:r w:rsidR="0069267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291"/>
        <w:gridCol w:w="2352"/>
        <w:gridCol w:w="1982"/>
      </w:tblGrid>
      <w:tr w:rsidR="00C739D5" w:rsidRPr="009864D8" w14:paraId="562D4EA4" w14:textId="49FD803A" w:rsidTr="00D16F95">
        <w:trPr>
          <w:trHeight w:val="700"/>
        </w:trPr>
        <w:tc>
          <w:tcPr>
            <w:tcW w:w="2401" w:type="dxa"/>
            <w:tcBorders>
              <w:bottom w:val="single" w:sz="4" w:space="0" w:color="FFFFFF" w:themeColor="background1"/>
            </w:tcBorders>
            <w:shd w:val="clear" w:color="auto" w:fill="002060"/>
          </w:tcPr>
          <w:p w14:paraId="7050C14B" w14:textId="77777777" w:rsidR="00C739D5" w:rsidRPr="00120554" w:rsidRDefault="00C739D5" w:rsidP="00004D2E">
            <w:pPr>
              <w:rPr>
                <w:rFonts w:cs="Arial"/>
                <w:color w:val="FFFFFF" w:themeColor="background1"/>
                <w:sz w:val="20"/>
                <w:szCs w:val="20"/>
              </w:rPr>
            </w:pPr>
          </w:p>
        </w:tc>
        <w:tc>
          <w:tcPr>
            <w:tcW w:w="2291" w:type="dxa"/>
            <w:tcBorders>
              <w:bottom w:val="single" w:sz="4" w:space="0" w:color="FFFFFF" w:themeColor="background1"/>
            </w:tcBorders>
            <w:shd w:val="clear" w:color="auto" w:fill="002060"/>
          </w:tcPr>
          <w:p w14:paraId="65144791" w14:textId="77777777" w:rsidR="00C739D5" w:rsidRPr="00120554" w:rsidRDefault="00C739D5" w:rsidP="00004D2E">
            <w:pPr>
              <w:rPr>
                <w:rFonts w:cs="Arial"/>
                <w:sz w:val="20"/>
                <w:szCs w:val="20"/>
              </w:rPr>
            </w:pPr>
            <w:r w:rsidRPr="00120554">
              <w:rPr>
                <w:rFonts w:cs="Arial"/>
                <w:sz w:val="20"/>
                <w:szCs w:val="20"/>
              </w:rPr>
              <w:t>Option 1</w:t>
            </w:r>
          </w:p>
        </w:tc>
        <w:tc>
          <w:tcPr>
            <w:tcW w:w="2352" w:type="dxa"/>
            <w:tcBorders>
              <w:bottom w:val="single" w:sz="4" w:space="0" w:color="FFFFFF" w:themeColor="background1"/>
            </w:tcBorders>
            <w:shd w:val="clear" w:color="auto" w:fill="002060"/>
          </w:tcPr>
          <w:p w14:paraId="560A601D" w14:textId="77777777" w:rsidR="00C739D5" w:rsidRPr="00120554" w:rsidRDefault="00C739D5" w:rsidP="00004D2E">
            <w:pPr>
              <w:rPr>
                <w:rFonts w:cs="Arial"/>
                <w:sz w:val="20"/>
                <w:szCs w:val="20"/>
              </w:rPr>
            </w:pPr>
            <w:r w:rsidRPr="00120554">
              <w:rPr>
                <w:rFonts w:cs="Arial"/>
                <w:sz w:val="20"/>
                <w:szCs w:val="20"/>
              </w:rPr>
              <w:t>Option 2</w:t>
            </w:r>
          </w:p>
        </w:tc>
        <w:tc>
          <w:tcPr>
            <w:tcW w:w="1982" w:type="dxa"/>
            <w:tcBorders>
              <w:bottom w:val="single" w:sz="4" w:space="0" w:color="FFFFFF" w:themeColor="background1"/>
            </w:tcBorders>
            <w:shd w:val="clear" w:color="auto" w:fill="002060"/>
          </w:tcPr>
          <w:p w14:paraId="1D2D1481" w14:textId="25CE4EC4" w:rsidR="00C739D5" w:rsidRPr="00120554" w:rsidRDefault="00C739D5" w:rsidP="00004D2E">
            <w:pPr>
              <w:rPr>
                <w:rFonts w:cs="Arial"/>
                <w:sz w:val="20"/>
                <w:szCs w:val="20"/>
              </w:rPr>
            </w:pPr>
            <w:r>
              <w:rPr>
                <w:rFonts w:cs="Arial"/>
                <w:sz w:val="20"/>
                <w:szCs w:val="20"/>
              </w:rPr>
              <w:t>Additional alternative options</w:t>
            </w:r>
          </w:p>
        </w:tc>
      </w:tr>
      <w:tr w:rsidR="00C739D5" w:rsidRPr="009864D8" w14:paraId="63000ED7" w14:textId="28C7941B"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425E05CB" w14:textId="6B26EDB9" w:rsidR="00C739D5" w:rsidRPr="00120554" w:rsidRDefault="00C739D5" w:rsidP="003122C2">
            <w:pPr>
              <w:jc w:val="left"/>
              <w:rPr>
                <w:rFonts w:cs="Arial"/>
                <w:color w:val="FFFFFF" w:themeColor="background1"/>
                <w:sz w:val="20"/>
                <w:szCs w:val="20"/>
              </w:rPr>
            </w:pPr>
            <w:r w:rsidRPr="00120554">
              <w:rPr>
                <w:rFonts w:cs="Arial"/>
                <w:color w:val="FFFFFF" w:themeColor="background1"/>
                <w:sz w:val="20"/>
                <w:szCs w:val="20"/>
              </w:rPr>
              <w:t>Regulatory costs</w:t>
            </w:r>
          </w:p>
        </w:tc>
        <w:tc>
          <w:tcPr>
            <w:tcW w:w="2291" w:type="dxa"/>
            <w:tcBorders>
              <w:top w:val="single" w:sz="4" w:space="0" w:color="FFFFFF" w:themeColor="background1"/>
              <w:bottom w:val="single" w:sz="4" w:space="0" w:color="FFFFFF" w:themeColor="background1"/>
            </w:tcBorders>
            <w:shd w:val="clear" w:color="auto" w:fill="F2F2F2" w:themeFill="background1" w:themeFillShade="F2"/>
          </w:tcPr>
          <w:p w14:paraId="2C110760" w14:textId="0817DF38" w:rsidR="00C739D5" w:rsidRPr="00120554" w:rsidRDefault="00C739D5" w:rsidP="003122C2">
            <w:pPr>
              <w:jc w:val="left"/>
              <w:rPr>
                <w:rFonts w:cs="Arial"/>
                <w:sz w:val="20"/>
                <w:szCs w:val="20"/>
              </w:rPr>
            </w:pPr>
            <w:r w:rsidRPr="00120554">
              <w:rPr>
                <w:rFonts w:cs="Arial"/>
                <w:sz w:val="20"/>
                <w:szCs w:val="20"/>
              </w:rPr>
              <w:t>No change</w:t>
            </w:r>
          </w:p>
        </w:tc>
        <w:tc>
          <w:tcPr>
            <w:tcW w:w="2352" w:type="dxa"/>
            <w:tcBorders>
              <w:top w:val="single" w:sz="4" w:space="0" w:color="FFFFFF" w:themeColor="background1"/>
              <w:bottom w:val="single" w:sz="4" w:space="0" w:color="FFFFFF" w:themeColor="background1"/>
            </w:tcBorders>
            <w:shd w:val="clear" w:color="auto" w:fill="F2F2F2" w:themeFill="background1" w:themeFillShade="F2"/>
          </w:tcPr>
          <w:p w14:paraId="2454C46B" w14:textId="4BBF012C" w:rsidR="00C739D5" w:rsidRPr="00120554" w:rsidRDefault="00C739D5" w:rsidP="003122C2">
            <w:pPr>
              <w:jc w:val="left"/>
              <w:rPr>
                <w:rFonts w:cs="Arial"/>
                <w:sz w:val="20"/>
                <w:szCs w:val="20"/>
              </w:rPr>
            </w:pPr>
            <w:r w:rsidRPr="00120554">
              <w:rPr>
                <w:rFonts w:cs="Arial"/>
                <w:sz w:val="20"/>
                <w:szCs w:val="20"/>
              </w:rPr>
              <w:t xml:space="preserve">Low to moderate </w:t>
            </w:r>
            <w:r>
              <w:rPr>
                <w:rFonts w:cs="Arial"/>
                <w:sz w:val="20"/>
                <w:szCs w:val="20"/>
              </w:rPr>
              <w:t>compliance</w:t>
            </w:r>
            <w:r w:rsidRPr="00120554">
              <w:rPr>
                <w:rFonts w:cs="Arial"/>
                <w:sz w:val="20"/>
                <w:szCs w:val="20"/>
              </w:rPr>
              <w:t xml:space="preserve"> costs</w:t>
            </w:r>
          </w:p>
        </w:tc>
        <w:tc>
          <w:tcPr>
            <w:tcW w:w="1982" w:type="dxa"/>
            <w:tcBorders>
              <w:top w:val="single" w:sz="4" w:space="0" w:color="FFFFFF" w:themeColor="background1"/>
              <w:bottom w:val="single" w:sz="4" w:space="0" w:color="FFFFFF" w:themeColor="background1"/>
            </w:tcBorders>
            <w:shd w:val="clear" w:color="auto" w:fill="F2F2F2" w:themeFill="background1" w:themeFillShade="F2"/>
          </w:tcPr>
          <w:p w14:paraId="0B89A528" w14:textId="2AC4280D" w:rsidR="00C739D5" w:rsidRPr="00120554" w:rsidRDefault="00C739D5" w:rsidP="003122C2">
            <w:pPr>
              <w:jc w:val="left"/>
              <w:rPr>
                <w:rFonts w:cs="Arial"/>
                <w:sz w:val="20"/>
                <w:szCs w:val="20"/>
              </w:rPr>
            </w:pPr>
            <w:r w:rsidRPr="00120554">
              <w:rPr>
                <w:rFonts w:cs="Arial"/>
                <w:sz w:val="20"/>
                <w:szCs w:val="20"/>
              </w:rPr>
              <w:t xml:space="preserve">Low to moderate </w:t>
            </w:r>
            <w:r>
              <w:rPr>
                <w:rFonts w:cs="Arial"/>
                <w:sz w:val="20"/>
                <w:szCs w:val="20"/>
              </w:rPr>
              <w:t>compliance</w:t>
            </w:r>
            <w:r w:rsidRPr="00120554">
              <w:rPr>
                <w:rFonts w:cs="Arial"/>
                <w:sz w:val="20"/>
                <w:szCs w:val="20"/>
              </w:rPr>
              <w:t xml:space="preserve"> costs</w:t>
            </w:r>
          </w:p>
        </w:tc>
      </w:tr>
      <w:tr w:rsidR="000B386C" w:rsidRPr="009864D8" w14:paraId="5AC1269E" w14:textId="72566FAC"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232EBACD" w14:textId="4A0F31B6" w:rsidR="000B386C" w:rsidRPr="00120554" w:rsidRDefault="000B386C" w:rsidP="003122C2">
            <w:pPr>
              <w:jc w:val="left"/>
              <w:rPr>
                <w:rFonts w:cs="Arial"/>
                <w:color w:val="FFFFFF" w:themeColor="background1"/>
                <w:sz w:val="20"/>
                <w:szCs w:val="20"/>
              </w:rPr>
            </w:pPr>
            <w:r w:rsidRPr="00120554">
              <w:rPr>
                <w:rFonts w:cs="Arial"/>
                <w:color w:val="FFFFFF" w:themeColor="background1"/>
                <w:sz w:val="20"/>
                <w:szCs w:val="20"/>
              </w:rPr>
              <w:t>Promotion of simple and transparent capital issuance</w:t>
            </w:r>
          </w:p>
        </w:tc>
        <w:tc>
          <w:tcPr>
            <w:tcW w:w="2291" w:type="dxa"/>
            <w:tcBorders>
              <w:top w:val="single" w:sz="4" w:space="0" w:color="FFFFFF" w:themeColor="background1"/>
              <w:bottom w:val="single" w:sz="4" w:space="0" w:color="FFFFFF" w:themeColor="background1"/>
            </w:tcBorders>
            <w:shd w:val="clear" w:color="auto" w:fill="D9D9D9" w:themeFill="background1" w:themeFillShade="D9"/>
          </w:tcPr>
          <w:p w14:paraId="52C1206A" w14:textId="1B858130" w:rsidR="000B386C" w:rsidRPr="00120554" w:rsidRDefault="000B386C" w:rsidP="003122C2">
            <w:pPr>
              <w:jc w:val="left"/>
              <w:rPr>
                <w:rFonts w:cs="Arial"/>
                <w:sz w:val="20"/>
                <w:szCs w:val="20"/>
              </w:rPr>
            </w:pPr>
            <w:r w:rsidRPr="00120554">
              <w:rPr>
                <w:rFonts w:cs="Arial"/>
                <w:sz w:val="20"/>
                <w:szCs w:val="20"/>
              </w:rPr>
              <w:t>Does not meet this criterion</w:t>
            </w:r>
          </w:p>
        </w:tc>
        <w:tc>
          <w:tcPr>
            <w:tcW w:w="2352" w:type="dxa"/>
            <w:tcBorders>
              <w:top w:val="single" w:sz="4" w:space="0" w:color="FFFFFF" w:themeColor="background1"/>
              <w:bottom w:val="single" w:sz="4" w:space="0" w:color="FFFFFF" w:themeColor="background1"/>
            </w:tcBorders>
            <w:shd w:val="clear" w:color="auto" w:fill="D9D9D9" w:themeFill="background1" w:themeFillShade="D9"/>
          </w:tcPr>
          <w:p w14:paraId="56056975" w14:textId="2D37B7A9" w:rsidR="000B386C" w:rsidRPr="00120554" w:rsidRDefault="000B386C" w:rsidP="003122C2">
            <w:pPr>
              <w:jc w:val="left"/>
              <w:rPr>
                <w:rFonts w:cs="Arial"/>
                <w:sz w:val="20"/>
                <w:szCs w:val="20"/>
              </w:rPr>
            </w:pPr>
            <w:r w:rsidRPr="00120554">
              <w:rPr>
                <w:rFonts w:cs="Arial"/>
                <w:sz w:val="20"/>
                <w:szCs w:val="20"/>
              </w:rPr>
              <w:t>Meets this criterion</w:t>
            </w:r>
          </w:p>
        </w:tc>
        <w:tc>
          <w:tcPr>
            <w:tcW w:w="1982" w:type="dxa"/>
            <w:tcBorders>
              <w:top w:val="single" w:sz="4" w:space="0" w:color="FFFFFF" w:themeColor="background1"/>
              <w:bottom w:val="single" w:sz="4" w:space="0" w:color="FFFFFF" w:themeColor="background1"/>
            </w:tcBorders>
            <w:shd w:val="clear" w:color="auto" w:fill="D9D9D9" w:themeFill="background1" w:themeFillShade="D9"/>
          </w:tcPr>
          <w:p w14:paraId="79071F14" w14:textId="0232358E" w:rsidR="000B386C" w:rsidRPr="00120554" w:rsidRDefault="000B386C" w:rsidP="003122C2">
            <w:pPr>
              <w:jc w:val="left"/>
              <w:rPr>
                <w:rFonts w:cs="Arial"/>
                <w:sz w:val="20"/>
                <w:szCs w:val="20"/>
              </w:rPr>
            </w:pPr>
            <w:r w:rsidRPr="00120554">
              <w:rPr>
                <w:rFonts w:cs="Arial"/>
                <w:sz w:val="20"/>
                <w:szCs w:val="20"/>
              </w:rPr>
              <w:t>Does not meet this criterion</w:t>
            </w:r>
          </w:p>
        </w:tc>
      </w:tr>
      <w:tr w:rsidR="00E86D55" w:rsidRPr="009864D8" w14:paraId="4D176D40" w14:textId="07321467"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3EF364D3" w14:textId="511D8370" w:rsidR="00E86D55" w:rsidRPr="00120554" w:rsidRDefault="00E86D55" w:rsidP="003122C2">
            <w:pPr>
              <w:jc w:val="left"/>
              <w:rPr>
                <w:rFonts w:cs="Arial"/>
                <w:color w:val="FFFFFF" w:themeColor="background1"/>
                <w:sz w:val="20"/>
                <w:szCs w:val="20"/>
              </w:rPr>
            </w:pPr>
            <w:r w:rsidRPr="00120554">
              <w:rPr>
                <w:rFonts w:cs="Arial"/>
                <w:color w:val="FFFFFF" w:themeColor="background1"/>
                <w:sz w:val="20"/>
                <w:szCs w:val="20"/>
              </w:rPr>
              <w:t>Clarification and simplification of standard</w:t>
            </w:r>
          </w:p>
        </w:tc>
        <w:tc>
          <w:tcPr>
            <w:tcW w:w="2291" w:type="dxa"/>
            <w:tcBorders>
              <w:top w:val="single" w:sz="4" w:space="0" w:color="FFFFFF" w:themeColor="background1"/>
              <w:bottom w:val="single" w:sz="4" w:space="0" w:color="FFFFFF" w:themeColor="background1"/>
            </w:tcBorders>
            <w:shd w:val="clear" w:color="auto" w:fill="F2F2F2" w:themeFill="background1" w:themeFillShade="F2"/>
          </w:tcPr>
          <w:p w14:paraId="1A6FBBEF" w14:textId="5FC9CE63" w:rsidR="00E86D55" w:rsidRPr="00120554" w:rsidRDefault="00E86D55" w:rsidP="003122C2">
            <w:pPr>
              <w:jc w:val="left"/>
              <w:rPr>
                <w:rFonts w:cs="Arial"/>
                <w:sz w:val="20"/>
                <w:szCs w:val="20"/>
              </w:rPr>
            </w:pPr>
            <w:r w:rsidRPr="00120554">
              <w:rPr>
                <w:rFonts w:cs="Arial"/>
                <w:sz w:val="20"/>
                <w:szCs w:val="20"/>
              </w:rPr>
              <w:t>Does not meet this criterion</w:t>
            </w:r>
          </w:p>
        </w:tc>
        <w:tc>
          <w:tcPr>
            <w:tcW w:w="2352" w:type="dxa"/>
            <w:tcBorders>
              <w:top w:val="single" w:sz="4" w:space="0" w:color="FFFFFF" w:themeColor="background1"/>
              <w:bottom w:val="single" w:sz="4" w:space="0" w:color="FFFFFF" w:themeColor="background1"/>
            </w:tcBorders>
            <w:shd w:val="clear" w:color="auto" w:fill="F2F2F2" w:themeFill="background1" w:themeFillShade="F2"/>
          </w:tcPr>
          <w:p w14:paraId="4B898C07" w14:textId="4D8D9DBE" w:rsidR="00E86D55" w:rsidRPr="00120554" w:rsidRDefault="00E86D55" w:rsidP="003122C2">
            <w:pPr>
              <w:jc w:val="left"/>
              <w:rPr>
                <w:rFonts w:cs="Arial"/>
                <w:sz w:val="20"/>
                <w:szCs w:val="20"/>
              </w:rPr>
            </w:pPr>
            <w:r w:rsidRPr="00120554">
              <w:rPr>
                <w:rFonts w:cs="Arial"/>
                <w:sz w:val="20"/>
                <w:szCs w:val="20"/>
              </w:rPr>
              <w:t>Meets this criterion</w:t>
            </w:r>
          </w:p>
        </w:tc>
        <w:tc>
          <w:tcPr>
            <w:tcW w:w="1982" w:type="dxa"/>
            <w:tcBorders>
              <w:top w:val="single" w:sz="4" w:space="0" w:color="FFFFFF" w:themeColor="background1"/>
              <w:bottom w:val="single" w:sz="4" w:space="0" w:color="FFFFFF" w:themeColor="background1"/>
            </w:tcBorders>
            <w:shd w:val="clear" w:color="auto" w:fill="F2F2F2" w:themeFill="background1" w:themeFillShade="F2"/>
          </w:tcPr>
          <w:p w14:paraId="2745640C" w14:textId="5E375CBF" w:rsidR="00E86D55" w:rsidRPr="00120554" w:rsidRDefault="00E86D55" w:rsidP="003122C2">
            <w:pPr>
              <w:jc w:val="left"/>
              <w:rPr>
                <w:rFonts w:cs="Arial"/>
                <w:sz w:val="20"/>
                <w:szCs w:val="20"/>
              </w:rPr>
            </w:pPr>
            <w:r w:rsidRPr="00120554">
              <w:rPr>
                <w:rFonts w:cs="Arial"/>
                <w:sz w:val="20"/>
                <w:szCs w:val="20"/>
              </w:rPr>
              <w:t>Does not meet this criterion</w:t>
            </w:r>
          </w:p>
        </w:tc>
      </w:tr>
      <w:tr w:rsidR="00E86D55" w:rsidRPr="009864D8" w14:paraId="3B240596" w14:textId="60563E5E"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16C70718" w14:textId="18168A1D" w:rsidR="00E86D55" w:rsidRPr="00120554" w:rsidRDefault="00E86D55" w:rsidP="003122C2">
            <w:pPr>
              <w:jc w:val="left"/>
              <w:rPr>
                <w:rFonts w:cs="Arial"/>
                <w:color w:val="FFFFFF" w:themeColor="background1"/>
                <w:sz w:val="20"/>
                <w:szCs w:val="20"/>
              </w:rPr>
            </w:pPr>
            <w:r w:rsidRPr="00120554">
              <w:rPr>
                <w:rFonts w:cs="Arial"/>
                <w:color w:val="FFFFFF" w:themeColor="background1"/>
                <w:sz w:val="20"/>
                <w:szCs w:val="20"/>
              </w:rPr>
              <w:t>Inclusion of international standards, statements and guidance on capital adequacy measures</w:t>
            </w:r>
          </w:p>
        </w:tc>
        <w:tc>
          <w:tcPr>
            <w:tcW w:w="2291" w:type="dxa"/>
            <w:tcBorders>
              <w:top w:val="single" w:sz="4" w:space="0" w:color="FFFFFF" w:themeColor="background1"/>
              <w:bottom w:val="single" w:sz="4" w:space="0" w:color="FFFFFF" w:themeColor="background1"/>
            </w:tcBorders>
            <w:shd w:val="clear" w:color="auto" w:fill="D9D9D9" w:themeFill="background1" w:themeFillShade="D9"/>
          </w:tcPr>
          <w:p w14:paraId="6C67EB33" w14:textId="1747067D" w:rsidR="00E86D55" w:rsidRPr="00120554" w:rsidRDefault="00E86D55" w:rsidP="003122C2">
            <w:pPr>
              <w:jc w:val="left"/>
              <w:rPr>
                <w:rFonts w:cs="Arial"/>
                <w:sz w:val="20"/>
                <w:szCs w:val="20"/>
              </w:rPr>
            </w:pPr>
            <w:r w:rsidRPr="00120554">
              <w:rPr>
                <w:rFonts w:cs="Arial"/>
                <w:sz w:val="20"/>
                <w:szCs w:val="20"/>
              </w:rPr>
              <w:t>Does not meet this criterion</w:t>
            </w:r>
          </w:p>
        </w:tc>
        <w:tc>
          <w:tcPr>
            <w:tcW w:w="2352" w:type="dxa"/>
            <w:tcBorders>
              <w:top w:val="single" w:sz="4" w:space="0" w:color="FFFFFF" w:themeColor="background1"/>
              <w:bottom w:val="single" w:sz="4" w:space="0" w:color="FFFFFF" w:themeColor="background1"/>
            </w:tcBorders>
            <w:shd w:val="clear" w:color="auto" w:fill="D9D9D9" w:themeFill="background1" w:themeFillShade="D9"/>
          </w:tcPr>
          <w:p w14:paraId="69B6E84E" w14:textId="4CE96993" w:rsidR="00E86D55" w:rsidRPr="00120554" w:rsidRDefault="00E86D55" w:rsidP="003122C2">
            <w:pPr>
              <w:jc w:val="left"/>
              <w:rPr>
                <w:rFonts w:cs="Arial"/>
                <w:sz w:val="20"/>
                <w:szCs w:val="20"/>
              </w:rPr>
            </w:pPr>
            <w:r w:rsidRPr="00120554">
              <w:rPr>
                <w:rFonts w:cs="Arial"/>
                <w:sz w:val="20"/>
                <w:szCs w:val="20"/>
              </w:rPr>
              <w:t>Meets this criterion</w:t>
            </w:r>
          </w:p>
        </w:tc>
        <w:tc>
          <w:tcPr>
            <w:tcW w:w="1982" w:type="dxa"/>
            <w:tcBorders>
              <w:top w:val="single" w:sz="4" w:space="0" w:color="FFFFFF" w:themeColor="background1"/>
              <w:bottom w:val="single" w:sz="4" w:space="0" w:color="FFFFFF" w:themeColor="background1"/>
            </w:tcBorders>
            <w:shd w:val="clear" w:color="auto" w:fill="D9D9D9" w:themeFill="background1" w:themeFillShade="D9"/>
          </w:tcPr>
          <w:p w14:paraId="67A37AA2" w14:textId="050CE93E" w:rsidR="00E86D55" w:rsidRPr="00120554" w:rsidRDefault="003122C2" w:rsidP="003122C2">
            <w:pPr>
              <w:jc w:val="left"/>
              <w:rPr>
                <w:rFonts w:cs="Arial"/>
                <w:sz w:val="20"/>
                <w:szCs w:val="20"/>
              </w:rPr>
            </w:pPr>
            <w:r>
              <w:rPr>
                <w:rFonts w:cs="Arial"/>
                <w:sz w:val="20"/>
                <w:szCs w:val="20"/>
              </w:rPr>
              <w:t>Does not meet this</w:t>
            </w:r>
            <w:r w:rsidR="00E86D55" w:rsidRPr="00120554">
              <w:rPr>
                <w:rFonts w:cs="Arial"/>
                <w:sz w:val="20"/>
                <w:szCs w:val="20"/>
              </w:rPr>
              <w:t xml:space="preserve"> criterion</w:t>
            </w:r>
          </w:p>
        </w:tc>
      </w:tr>
      <w:tr w:rsidR="000B386C" w:rsidRPr="009864D8" w14:paraId="786AA685" w14:textId="788E9E1C"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73C252E8" w14:textId="406409F5" w:rsidR="000B386C" w:rsidRPr="00120554" w:rsidRDefault="000B386C" w:rsidP="003122C2">
            <w:pPr>
              <w:jc w:val="left"/>
              <w:rPr>
                <w:rFonts w:cs="Arial"/>
                <w:color w:val="FFFFFF" w:themeColor="background1"/>
                <w:sz w:val="20"/>
                <w:szCs w:val="20"/>
              </w:rPr>
            </w:pPr>
            <w:r w:rsidRPr="00120554">
              <w:rPr>
                <w:rFonts w:cs="Arial"/>
                <w:color w:val="FFFFFF" w:themeColor="background1"/>
                <w:sz w:val="20"/>
                <w:szCs w:val="20"/>
              </w:rPr>
              <w:t>Protection of Australian deposit holders when ADIs hold significant investments in subsidiaries</w:t>
            </w:r>
          </w:p>
        </w:tc>
        <w:tc>
          <w:tcPr>
            <w:tcW w:w="2291" w:type="dxa"/>
            <w:tcBorders>
              <w:top w:val="single" w:sz="4" w:space="0" w:color="FFFFFF" w:themeColor="background1"/>
              <w:bottom w:val="single" w:sz="4" w:space="0" w:color="FFFFFF" w:themeColor="background1"/>
            </w:tcBorders>
            <w:shd w:val="clear" w:color="auto" w:fill="F2F2F2" w:themeFill="background1" w:themeFillShade="F2"/>
          </w:tcPr>
          <w:p w14:paraId="00F38E1D" w14:textId="77D81A50" w:rsidR="000B386C" w:rsidRPr="00120554" w:rsidRDefault="000B386C" w:rsidP="003122C2">
            <w:pPr>
              <w:jc w:val="left"/>
              <w:rPr>
                <w:rFonts w:cs="Arial"/>
                <w:sz w:val="20"/>
                <w:szCs w:val="20"/>
              </w:rPr>
            </w:pPr>
            <w:r w:rsidRPr="00120554">
              <w:rPr>
                <w:rFonts w:cs="Arial"/>
                <w:sz w:val="20"/>
                <w:szCs w:val="20"/>
              </w:rPr>
              <w:t>Partly meets this criterion</w:t>
            </w:r>
          </w:p>
        </w:tc>
        <w:tc>
          <w:tcPr>
            <w:tcW w:w="2352" w:type="dxa"/>
            <w:tcBorders>
              <w:top w:val="single" w:sz="4" w:space="0" w:color="FFFFFF" w:themeColor="background1"/>
              <w:bottom w:val="single" w:sz="4" w:space="0" w:color="FFFFFF" w:themeColor="background1"/>
            </w:tcBorders>
            <w:shd w:val="clear" w:color="auto" w:fill="F2F2F2" w:themeFill="background1" w:themeFillShade="F2"/>
          </w:tcPr>
          <w:p w14:paraId="1A9F9D85" w14:textId="0F536E31" w:rsidR="000B386C" w:rsidRPr="00120554" w:rsidRDefault="000B386C" w:rsidP="003122C2">
            <w:pPr>
              <w:jc w:val="left"/>
              <w:rPr>
                <w:rFonts w:cs="Arial"/>
                <w:sz w:val="20"/>
                <w:szCs w:val="20"/>
              </w:rPr>
            </w:pPr>
            <w:r w:rsidRPr="00120554">
              <w:rPr>
                <w:rFonts w:cs="Arial"/>
                <w:sz w:val="20"/>
                <w:szCs w:val="20"/>
              </w:rPr>
              <w:t>Meets this criterion</w:t>
            </w:r>
          </w:p>
        </w:tc>
        <w:tc>
          <w:tcPr>
            <w:tcW w:w="1982" w:type="dxa"/>
            <w:tcBorders>
              <w:top w:val="single" w:sz="4" w:space="0" w:color="FFFFFF" w:themeColor="background1"/>
              <w:bottom w:val="single" w:sz="4" w:space="0" w:color="FFFFFF" w:themeColor="background1"/>
            </w:tcBorders>
            <w:shd w:val="clear" w:color="auto" w:fill="F2F2F2" w:themeFill="background1" w:themeFillShade="F2"/>
          </w:tcPr>
          <w:p w14:paraId="12549621" w14:textId="6359DFB8" w:rsidR="000B386C" w:rsidRPr="00120554" w:rsidRDefault="000B386C" w:rsidP="003122C2">
            <w:pPr>
              <w:jc w:val="left"/>
              <w:rPr>
                <w:rFonts w:cs="Arial"/>
                <w:sz w:val="20"/>
                <w:szCs w:val="20"/>
              </w:rPr>
            </w:pPr>
            <w:r w:rsidRPr="00120554">
              <w:rPr>
                <w:rFonts w:cs="Arial"/>
                <w:sz w:val="20"/>
                <w:szCs w:val="20"/>
              </w:rPr>
              <w:t>Meets this criterion</w:t>
            </w:r>
          </w:p>
        </w:tc>
      </w:tr>
      <w:tr w:rsidR="000B386C" w:rsidRPr="009864D8" w14:paraId="3168C516" w14:textId="6B543948" w:rsidTr="00D16F95">
        <w:trPr>
          <w:trHeight w:val="700"/>
        </w:trPr>
        <w:tc>
          <w:tcPr>
            <w:tcW w:w="2401" w:type="dxa"/>
            <w:tcBorders>
              <w:top w:val="single" w:sz="4" w:space="0" w:color="FFFFFF" w:themeColor="background1"/>
              <w:bottom w:val="single" w:sz="4" w:space="0" w:color="FFFFFF" w:themeColor="background1"/>
            </w:tcBorders>
            <w:shd w:val="clear" w:color="auto" w:fill="002060"/>
          </w:tcPr>
          <w:p w14:paraId="04AB5686" w14:textId="41B4C227" w:rsidR="000B386C" w:rsidRPr="00120554" w:rsidRDefault="000B386C" w:rsidP="003122C2">
            <w:pPr>
              <w:jc w:val="left"/>
              <w:rPr>
                <w:rFonts w:cs="Arial"/>
                <w:color w:val="FFFFFF" w:themeColor="background1"/>
                <w:sz w:val="20"/>
                <w:szCs w:val="20"/>
              </w:rPr>
            </w:pPr>
            <w:r w:rsidRPr="00120554">
              <w:rPr>
                <w:rFonts w:cs="Arial"/>
                <w:sz w:val="20"/>
                <w:szCs w:val="20"/>
              </w:rPr>
              <w:t>Overall</w:t>
            </w:r>
          </w:p>
        </w:tc>
        <w:tc>
          <w:tcPr>
            <w:tcW w:w="2291" w:type="dxa"/>
            <w:tcBorders>
              <w:top w:val="single" w:sz="4" w:space="0" w:color="FFFFFF" w:themeColor="background1"/>
              <w:bottom w:val="single" w:sz="4" w:space="0" w:color="FFFFFF" w:themeColor="background1"/>
            </w:tcBorders>
            <w:shd w:val="clear" w:color="auto" w:fill="D9D9D9" w:themeFill="background1" w:themeFillShade="D9"/>
          </w:tcPr>
          <w:p w14:paraId="3C22F945" w14:textId="6FD517BE" w:rsidR="000B386C" w:rsidRPr="00120554" w:rsidRDefault="000B386C" w:rsidP="003122C2">
            <w:pPr>
              <w:jc w:val="left"/>
              <w:rPr>
                <w:rFonts w:cs="Arial"/>
                <w:sz w:val="20"/>
                <w:szCs w:val="20"/>
              </w:rPr>
            </w:pPr>
            <w:r>
              <w:rPr>
                <w:rFonts w:cs="Arial"/>
                <w:sz w:val="20"/>
                <w:szCs w:val="20"/>
              </w:rPr>
              <w:t xml:space="preserve">Moderate </w:t>
            </w:r>
            <w:r w:rsidRPr="00120554">
              <w:rPr>
                <w:rFonts w:cs="Arial"/>
                <w:sz w:val="20"/>
                <w:szCs w:val="20"/>
              </w:rPr>
              <w:t>net costs</w:t>
            </w:r>
          </w:p>
        </w:tc>
        <w:tc>
          <w:tcPr>
            <w:tcW w:w="2352" w:type="dxa"/>
            <w:tcBorders>
              <w:top w:val="single" w:sz="4" w:space="0" w:color="FFFFFF" w:themeColor="background1"/>
              <w:bottom w:val="single" w:sz="4" w:space="0" w:color="FFFFFF" w:themeColor="background1"/>
            </w:tcBorders>
            <w:shd w:val="clear" w:color="auto" w:fill="D9D9D9" w:themeFill="background1" w:themeFillShade="D9"/>
          </w:tcPr>
          <w:p w14:paraId="24C19473" w14:textId="6A165BFF" w:rsidR="000B386C" w:rsidRPr="00120554" w:rsidRDefault="000B386C" w:rsidP="003122C2">
            <w:pPr>
              <w:jc w:val="left"/>
              <w:rPr>
                <w:rFonts w:cs="Arial"/>
                <w:sz w:val="20"/>
                <w:szCs w:val="20"/>
              </w:rPr>
            </w:pPr>
            <w:r>
              <w:rPr>
                <w:rFonts w:cs="Arial"/>
                <w:sz w:val="20"/>
                <w:szCs w:val="20"/>
              </w:rPr>
              <w:t>Moderate net benefit</w:t>
            </w:r>
          </w:p>
        </w:tc>
        <w:tc>
          <w:tcPr>
            <w:tcW w:w="1982" w:type="dxa"/>
            <w:tcBorders>
              <w:top w:val="single" w:sz="4" w:space="0" w:color="FFFFFF" w:themeColor="background1"/>
              <w:bottom w:val="single" w:sz="4" w:space="0" w:color="FFFFFF" w:themeColor="background1"/>
            </w:tcBorders>
            <w:shd w:val="clear" w:color="auto" w:fill="D9D9D9" w:themeFill="background1" w:themeFillShade="D9"/>
          </w:tcPr>
          <w:p w14:paraId="19266835" w14:textId="3ED76503" w:rsidR="000B386C" w:rsidRDefault="000B386C" w:rsidP="003122C2">
            <w:pPr>
              <w:jc w:val="left"/>
              <w:rPr>
                <w:rFonts w:cs="Arial"/>
                <w:sz w:val="20"/>
                <w:szCs w:val="20"/>
              </w:rPr>
            </w:pPr>
            <w:r>
              <w:rPr>
                <w:rFonts w:cs="Arial"/>
                <w:sz w:val="20"/>
                <w:szCs w:val="20"/>
              </w:rPr>
              <w:t>Low benefit</w:t>
            </w:r>
          </w:p>
        </w:tc>
      </w:tr>
    </w:tbl>
    <w:p w14:paraId="316B1265" w14:textId="77777777" w:rsidR="00004D2E" w:rsidRDefault="00004D2E" w:rsidP="00004D2E"/>
    <w:p w14:paraId="3130F8BE" w14:textId="389DCD24" w:rsidR="00F25211" w:rsidRDefault="00AA3E81" w:rsidP="00F25211">
      <w:pPr>
        <w:pStyle w:val="Heading2"/>
        <w:rPr>
          <w:sz w:val="22"/>
          <w:szCs w:val="22"/>
        </w:rPr>
      </w:pPr>
      <w:r>
        <w:rPr>
          <w:sz w:val="22"/>
          <w:szCs w:val="22"/>
        </w:rPr>
        <w:t>R</w:t>
      </w:r>
      <w:r w:rsidR="00F25211" w:rsidRPr="00F25211">
        <w:rPr>
          <w:sz w:val="22"/>
          <w:szCs w:val="22"/>
        </w:rPr>
        <w:t>eview</w:t>
      </w:r>
    </w:p>
    <w:p w14:paraId="1ACFCA7D" w14:textId="7705A207" w:rsidR="00E91364" w:rsidRDefault="00E91364" w:rsidP="00E91364">
      <w:r>
        <w:t>As delegated legislation, prudential standards impose enforceable obligations on APRA-regulated institutions. APRA monitors ongoing compliance with its prudential framework as part of its supervisory activities. APRA has a range of remedial powers available for non-compliance with a prudential standard, including issuing a direction requiring compliance, the breach of which is a criminal offence. Other actions include imposing a condition on an APRA-regulated institution’s authority to carry on its business or increasing regulatory capital requirements.</w:t>
      </w:r>
    </w:p>
    <w:p w14:paraId="18D3C1BC" w14:textId="6152445D" w:rsidR="00E91364" w:rsidRPr="00E91364" w:rsidRDefault="00E91364" w:rsidP="00E91364">
      <w:r>
        <w:t>Under APRA’s policy development process, reviews of new measures are typically</w:t>
      </w:r>
      <w:r w:rsidR="000A4520">
        <w:t xml:space="preserve"> </w:t>
      </w:r>
      <w:r w:rsidR="003915B1">
        <w:t xml:space="preserve">scheduled following </w:t>
      </w:r>
      <w:r w:rsidR="00DD1012">
        <w:t>implementation</w:t>
      </w:r>
      <w:r>
        <w:t>. Such a review would consider whether the requirements continue to reflect good practice, remain consistent with international standards, and remain relevant and effective in facilitating sound risk management practices. APRA will also take action within a shorter timeframe where there is a demonstrable need to amend a prudential requirement.</w:t>
      </w:r>
    </w:p>
    <w:sectPr w:rsidR="00E91364" w:rsidRPr="00E91364" w:rsidSect="00A11434">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1CDAE" w14:textId="77777777" w:rsidR="008072D2" w:rsidRDefault="008072D2" w:rsidP="00DF67F7">
      <w:pPr>
        <w:spacing w:after="0"/>
      </w:pPr>
      <w:r>
        <w:separator/>
      </w:r>
    </w:p>
  </w:endnote>
  <w:endnote w:type="continuationSeparator" w:id="0">
    <w:p w14:paraId="1E995639" w14:textId="77777777" w:rsidR="008072D2" w:rsidRDefault="008072D2" w:rsidP="00DF67F7">
      <w:pPr>
        <w:spacing w:after="0"/>
      </w:pPr>
      <w:r>
        <w:continuationSeparator/>
      </w:r>
    </w:p>
  </w:endnote>
  <w:endnote w:type="continuationNotice" w:id="1">
    <w:p w14:paraId="02A1D20C" w14:textId="77777777" w:rsidR="008072D2" w:rsidRDefault="008072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BFBE" w14:textId="77777777" w:rsidR="008072D2" w:rsidRDefault="008072D2">
    <w:pPr>
      <w:pStyle w:val="Footer"/>
      <w:rPr>
        <w:noProof/>
      </w:rPr>
    </w:pPr>
    <w:r w:rsidRPr="00164712">
      <w:rPr>
        <w:noProof/>
      </w:rPr>
      <mc:AlternateContent>
        <mc:Choice Requires="wps">
          <w:drawing>
            <wp:anchor distT="0" distB="0" distL="114300" distR="114300" simplePos="0" relativeHeight="251658241" behindDoc="0" locked="0" layoutInCell="1" allowOverlap="1" wp14:anchorId="006ED922" wp14:editId="378C972A">
              <wp:simplePos x="0" y="0"/>
              <wp:positionH relativeFrom="column">
                <wp:posOffset>-920750</wp:posOffset>
              </wp:positionH>
              <wp:positionV relativeFrom="paragraph">
                <wp:posOffset>-120015</wp:posOffset>
              </wp:positionV>
              <wp:extent cx="44132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1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F0C19" w14:textId="77777777" w:rsidR="008072D2" w:rsidRPr="002D724A" w:rsidRDefault="008072D2" w:rsidP="00164712">
                          <w:pPr>
                            <w:spacing w:before="100" w:beforeAutospacing="1" w:after="480"/>
                            <w:ind w:left="1304"/>
                            <w:rPr>
                              <w:rFonts w:cs="Arial"/>
                              <w:b/>
                              <w:color w:val="595959" w:themeColor="text1" w:themeTint="A6"/>
                              <w:sz w:val="16"/>
                              <w:szCs w:val="16"/>
                            </w:rPr>
                          </w:pPr>
                          <w:r w:rsidRPr="002D724A">
                            <w:rPr>
                              <w:rFonts w:cs="Arial"/>
                              <w:b/>
                              <w:color w:val="595959" w:themeColor="text1" w:themeTint="A6"/>
                              <w:sz w:val="16"/>
                              <w:szCs w:val="16"/>
                            </w:rPr>
                            <w:t>AUSTRALIAN PRUDENTIAL REGULATION AUTHORITY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06ED922" id="_x0000_t202" coordsize="21600,21600" o:spt="202" path="m,l,21600r21600,l21600,xe">
              <v:stroke joinstyle="miter"/>
              <v:path gradientshapeok="t" o:connecttype="rect"/>
            </v:shapetype>
            <v:shape id="Text Box 4" o:spid="_x0000_s1026" type="#_x0000_t202" style="position:absolute;left:0;text-align:left;margin-left:-72.5pt;margin-top:-9.45pt;width:347.5pt;height:64.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" filled="f" stroked="f" strokeweight=".5pt">
              <v:textbox>
                <w:txbxContent>
                  <w:p w14:paraId="53FF0C19" w14:textId="77777777" w:rsidR="008072D2" w:rsidRPr="002D724A" w:rsidRDefault="008072D2" w:rsidP="00164712">
                    <w:pPr>
                      <w:spacing w:before="100" w:beforeAutospacing="1" w:after="480"/>
                      <w:ind w:left="1304"/>
                      <w:rPr>
                        <w:rFonts w:cs="Arial"/>
                        <w:b/>
                        <w:color w:val="595959" w:themeColor="text1" w:themeTint="A6"/>
                        <w:sz w:val="16"/>
                        <w:szCs w:val="16"/>
                      </w:rPr>
                    </w:pPr>
                    <w:r w:rsidRPr="002D724A">
                      <w:rPr>
                        <w:rFonts w:cs="Arial"/>
                        <w:b/>
                        <w:color w:val="595959" w:themeColor="text1" w:themeTint="A6"/>
                        <w:sz w:val="16"/>
                        <w:szCs w:val="16"/>
                      </w:rPr>
                      <w:t>AUSTRALIAN PRUDENTIAL REGULATION AUTHORITY</w:t>
                    </w:r>
                  </w:p>
                </w:txbxContent>
              </v:textbox>
            </v:shape>
          </w:pict>
        </mc:Fallback>
      </mc:AlternateContent>
    </w:r>
    <w:r w:rsidRPr="00164712">
      <w:rPr>
        <w:noProof/>
      </w:rPr>
      <mc:AlternateContent>
        <mc:Choice Requires="wps">
          <w:drawing>
            <wp:anchor distT="0" distB="0" distL="114300" distR="114300" simplePos="0" relativeHeight="251658242" behindDoc="0" locked="0" layoutInCell="1" allowOverlap="1" wp14:anchorId="278FE760" wp14:editId="56AC06E5">
              <wp:simplePos x="0" y="0"/>
              <wp:positionH relativeFrom="page">
                <wp:posOffset>4410710</wp:posOffset>
              </wp:positionH>
              <wp:positionV relativeFrom="paragraph">
                <wp:posOffset>-119380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F88CE" w14:textId="77777777" w:rsidR="008072D2" w:rsidRPr="002D724A" w:rsidRDefault="008072D2" w:rsidP="00164712">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Pr>
                              <w:rFonts w:cs="Arial"/>
                              <w:b/>
                              <w:noProof/>
                              <w:color w:val="595959" w:themeColor="text1" w:themeTint="A6"/>
                              <w:sz w:val="16"/>
                              <w:szCs w:val="16"/>
                              <w:lang w:eastAsia="en-US"/>
                            </w:rPr>
                            <w:t>2</w:t>
                          </w:r>
                          <w:r w:rsidRPr="002D724A">
                            <w:rPr>
                              <w:rFonts w:cs="Arial"/>
                              <w:b/>
                              <w:color w:val="595959" w:themeColor="text1" w:themeTint="A6"/>
                              <w:sz w:val="16"/>
                              <w:szCs w:val="16"/>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 w14:anchorId="278FE760" id="Text Box 5" o:spid="_x0000_s1027" type="#_x0000_t202" style="position:absolute;left:0;text-align:left;margin-left:347.3pt;margin-top:-9.4pt;width:247.5pt;height:64.5pt;z-index:251658242;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H2fQIAAGk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" filled="f" stroked="f" strokeweight=".5pt">
              <v:textbox>
                <w:txbxContent>
                  <w:p w14:paraId="1ACF88CE" w14:textId="77777777" w:rsidR="008072D2" w:rsidRPr="002D724A" w:rsidRDefault="008072D2" w:rsidP="00164712">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Pr>
                        <w:rFonts w:cs="Arial"/>
                        <w:b/>
                        <w:noProof/>
                        <w:color w:val="595959" w:themeColor="text1" w:themeTint="A6"/>
                        <w:sz w:val="16"/>
                        <w:szCs w:val="16"/>
                        <w:lang w:eastAsia="en-US"/>
                      </w:rPr>
                      <w:t>2</w:t>
                    </w:r>
                    <w:r w:rsidRPr="002D724A">
                      <w:rPr>
                        <w:rFonts w:cs="Arial"/>
                        <w:b/>
                        <w:color w:val="595959" w:themeColor="text1" w:themeTint="A6"/>
                        <w:sz w:val="16"/>
                        <w:szCs w:val="16"/>
                        <w:lang w:eastAsia="en-US"/>
                      </w:rPr>
                      <w:fldChar w:fldCharType="end"/>
                    </w:r>
                  </w:p>
                </w:txbxContent>
              </v:textbox>
              <w10:wrap anchorx="page"/>
            </v:shape>
          </w:pict>
        </mc:Fallback>
      </mc:AlternateContent>
    </w:r>
  </w:p>
  <w:p w14:paraId="25D1A561" w14:textId="77777777" w:rsidR="008072D2" w:rsidRDefault="008072D2">
    <w:pPr>
      <w:pStyle w:val="Footer"/>
    </w:pPr>
    <w:r>
      <w:rPr>
        <w:noProof/>
      </w:rPr>
      <w:drawing>
        <wp:anchor distT="0" distB="0" distL="114300" distR="114300" simplePos="0" relativeHeight="251658240" behindDoc="1" locked="0" layoutInCell="1" allowOverlap="1" wp14:anchorId="209161CD" wp14:editId="0461AA73">
          <wp:simplePos x="0" y="0"/>
          <wp:positionH relativeFrom="page">
            <wp:posOffset>19050</wp:posOffset>
          </wp:positionH>
          <wp:positionV relativeFrom="paragraph">
            <wp:posOffset>318770</wp:posOffset>
          </wp:positionV>
          <wp:extent cx="7543800" cy="248920"/>
          <wp:effectExtent l="0" t="0" r="0" b="0"/>
          <wp:wrapNone/>
          <wp:docPr id="18" name="Picture 18" descr="C:\Users\bxcoop\AppData\Local\Microsoft\Windows\INetCache\Content.Word\Stationary-Master-ADELA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xcoop\AppData\Local\Microsoft\Windows\INetCache\Content.Word\Stationary-Master-ADELAID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7667"/>
                  <a:stretch/>
                </pic:blipFill>
                <pic:spPr bwMode="auto">
                  <a:xfrm>
                    <a:off x="0" y="0"/>
                    <a:ext cx="7543800" cy="248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6644B" w14:textId="77777777" w:rsidR="008072D2" w:rsidRDefault="008072D2" w:rsidP="00DF67F7">
      <w:pPr>
        <w:spacing w:after="0"/>
      </w:pPr>
      <w:r>
        <w:separator/>
      </w:r>
    </w:p>
  </w:footnote>
  <w:footnote w:type="continuationSeparator" w:id="0">
    <w:p w14:paraId="1C20571C" w14:textId="77777777" w:rsidR="008072D2" w:rsidRDefault="008072D2" w:rsidP="00DF67F7">
      <w:pPr>
        <w:spacing w:after="0"/>
      </w:pPr>
      <w:r>
        <w:continuationSeparator/>
      </w:r>
    </w:p>
  </w:footnote>
  <w:footnote w:type="continuationNotice" w:id="1">
    <w:p w14:paraId="537E341A" w14:textId="77777777" w:rsidR="008072D2" w:rsidRDefault="008072D2">
      <w:pPr>
        <w:spacing w:after="0"/>
      </w:pPr>
    </w:p>
  </w:footnote>
  <w:footnote w:id="2">
    <w:p w14:paraId="09C988DC" w14:textId="77777777" w:rsidR="008072D2" w:rsidRDefault="008072D2" w:rsidP="009118DE">
      <w:pPr>
        <w:pStyle w:val="FootnoteText"/>
      </w:pPr>
      <w:r>
        <w:rPr>
          <w:rStyle w:val="FootnoteReference"/>
        </w:rPr>
        <w:footnoteRef/>
      </w:r>
      <w:r>
        <w:t xml:space="preserve"> APRA </w:t>
      </w:r>
      <w:r w:rsidRPr="00721724">
        <w:t>Discussion paper - Revisions to APS 111 Capital Adequacy: Measurement of Capital</w:t>
      </w:r>
      <w:r>
        <w:t>, October 2019</w:t>
      </w:r>
      <w:r w:rsidRPr="008E1F80">
        <w:t xml:space="preserve"> </w:t>
      </w:r>
      <w:hyperlink r:id="rId1" w:history="1">
        <w:r w:rsidRPr="00F95784">
          <w:rPr>
            <w:rStyle w:val="Hyperlink"/>
            <w:sz w:val="18"/>
          </w:rPr>
          <w:t>https://www.apra.gov.au/revisions-to-prudential-standard-aps-111-capital-adequacy-measurement-of-capital</w:t>
        </w:r>
      </w:hyperlink>
      <w:r>
        <w:t xml:space="preserve"> </w:t>
      </w:r>
    </w:p>
  </w:footnote>
  <w:footnote w:id="3">
    <w:p w14:paraId="1394114D" w14:textId="77777777" w:rsidR="008072D2" w:rsidRDefault="008072D2" w:rsidP="009118DE">
      <w:pPr>
        <w:pStyle w:val="FootnoteText"/>
      </w:pPr>
      <w:r>
        <w:rPr>
          <w:rStyle w:val="FootnoteReference"/>
        </w:rPr>
        <w:footnoteRef/>
      </w:r>
      <w:r>
        <w:t xml:space="preserve"> APRA Response to submissions - APS 111 Capital Adequacy: Measurement of Capital, May 2021 </w:t>
      </w:r>
      <w:hyperlink r:id="rId2" w:history="1">
        <w:r w:rsidRPr="00F95784">
          <w:rPr>
            <w:rStyle w:val="Hyperlink"/>
            <w:sz w:val="18"/>
          </w:rPr>
          <w:t>https://www.apra.gov.au/revisions-to-prudential-standard-aps-111-capital-adequacy-measurement-of-capital</w:t>
        </w:r>
      </w:hyperlink>
      <w:r>
        <w:t xml:space="preserve"> </w:t>
      </w:r>
    </w:p>
  </w:footnote>
  <w:footnote w:id="4">
    <w:p w14:paraId="706E40AF" w14:textId="77777777" w:rsidR="008072D2" w:rsidRDefault="008072D2" w:rsidP="00F33BDC">
      <w:pPr>
        <w:pStyle w:val="FootnoteText"/>
      </w:pPr>
      <w:r>
        <w:rPr>
          <w:rStyle w:val="FootnoteReference"/>
        </w:rPr>
        <w:footnoteRef/>
      </w:r>
      <w:r>
        <w:t xml:space="preserve"> Executive Summary, </w:t>
      </w:r>
      <w:r w:rsidRPr="000E6830">
        <w:t xml:space="preserve">Chapter 1 – Introduction </w:t>
      </w:r>
      <w:r>
        <w:t xml:space="preserve">and Chapter 2 </w:t>
      </w:r>
      <w:r w:rsidRPr="00A477EF">
        <w:t>–</w:t>
      </w:r>
      <w:r>
        <w:t xml:space="preserve"> Response to consultation, A</w:t>
      </w:r>
      <w:r w:rsidRPr="002F2D47">
        <w:t xml:space="preserve">PRA Response to submissions </w:t>
      </w:r>
      <w:r w:rsidRPr="00A477EF">
        <w:t>–</w:t>
      </w:r>
      <w:r w:rsidRPr="002F2D47">
        <w:t xml:space="preserve"> APS 111 Capital Adequacy: Measurement of Capital, May 2021</w:t>
      </w:r>
      <w:r>
        <w:t>.</w:t>
      </w:r>
    </w:p>
  </w:footnote>
  <w:footnote w:id="5">
    <w:p w14:paraId="6A3D7FB2" w14:textId="57764988" w:rsidR="008072D2" w:rsidRDefault="008072D2">
      <w:pPr>
        <w:pStyle w:val="FootnoteText"/>
      </w:pPr>
      <w:r>
        <w:rPr>
          <w:rStyle w:val="FootnoteReference"/>
        </w:rPr>
        <w:footnoteRef/>
      </w:r>
      <w:r>
        <w:t xml:space="preserve"> </w:t>
      </w:r>
      <w:r w:rsidRPr="00A477EF">
        <w:t>Executive Summary and Chapter 1 – Introduction, APRA Discussion paper – Revisions to APS 111 Capital Adequacy: Measurement of Capital, October 2019</w:t>
      </w:r>
      <w:r>
        <w:t>.</w:t>
      </w:r>
    </w:p>
  </w:footnote>
  <w:footnote w:id="6">
    <w:p w14:paraId="4CA94EF2" w14:textId="5C3BDC38" w:rsidR="008072D2" w:rsidRDefault="008072D2">
      <w:pPr>
        <w:pStyle w:val="FootnoteText"/>
      </w:pPr>
      <w:r>
        <w:rPr>
          <w:rStyle w:val="FootnoteReference"/>
        </w:rPr>
        <w:footnoteRef/>
      </w:r>
      <w:r>
        <w:t xml:space="preserve"> </w:t>
      </w:r>
      <w:r w:rsidRPr="00CE0431">
        <w:t xml:space="preserve">Attachment A – Policy options and estimated comparative net benefits, APRA Discussion paper </w:t>
      </w:r>
      <w:r w:rsidRPr="00A477EF">
        <w:t>–</w:t>
      </w:r>
      <w:r w:rsidRPr="00CE0431">
        <w:t xml:space="preserve"> Revisions to APS 111 Capital Adequacy: Measurement of Capital, October 2019.</w:t>
      </w:r>
    </w:p>
  </w:footnote>
  <w:footnote w:id="7">
    <w:p w14:paraId="78C870E1" w14:textId="77777777" w:rsidR="008072D2" w:rsidRDefault="008072D2" w:rsidP="0018386C">
      <w:pPr>
        <w:pStyle w:val="FootnoteText"/>
      </w:pPr>
      <w:r>
        <w:rPr>
          <w:rStyle w:val="FootnoteReference"/>
        </w:rPr>
        <w:footnoteRef/>
      </w:r>
      <w:r>
        <w:t xml:space="preserve"> </w:t>
      </w:r>
      <w:r w:rsidRPr="00DE2523">
        <w:rPr>
          <w:rFonts w:cs="Arial"/>
        </w:rPr>
        <w:t xml:space="preserve">This tool calculates the compliance costs of regulatory proposals on business, individuals and community organisations using an activity-based costing methodology. The tool is designed to capture the relevant costs in a structured way, including a separate assessment of upfront costs and ongoing costs. It is available at: </w:t>
      </w:r>
      <w:hyperlink r:id="rId3" w:history="1">
        <w:r w:rsidRPr="00DE2523">
          <w:rPr>
            <w:rStyle w:val="Hyperlink"/>
            <w:rFonts w:cs="Arial"/>
            <w:sz w:val="16"/>
          </w:rPr>
          <w:t>https://rbm.obpr.gov.au/home.aspx</w:t>
        </w:r>
      </w:hyperlink>
    </w:p>
  </w:footnote>
  <w:footnote w:id="8">
    <w:p w14:paraId="461A564B" w14:textId="77777777" w:rsidR="008072D2" w:rsidRDefault="008072D2" w:rsidP="00F4413C">
      <w:pPr>
        <w:pStyle w:val="FootnoteText"/>
      </w:pPr>
      <w:r>
        <w:rPr>
          <w:rStyle w:val="FootnoteReference"/>
        </w:rPr>
        <w:footnoteRef/>
      </w:r>
      <w:r>
        <w:t xml:space="preserve"> </w:t>
      </w:r>
      <w:r w:rsidRPr="00EE1EE6">
        <w:t xml:space="preserve">Chapter 1 – Introduction, </w:t>
      </w:r>
      <w:r>
        <w:t xml:space="preserve">1.2 </w:t>
      </w:r>
      <w:r w:rsidRPr="00EE1EE6">
        <w:t>Balancing APRA’s objectives</w:t>
      </w:r>
      <w:r>
        <w:t xml:space="preserve">, </w:t>
      </w:r>
      <w:r w:rsidRPr="00EE1EE6">
        <w:t>APRA Discussion paper – Revisions to APS 111 Capital Adequacy: Measurement of Capital, October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640E" w14:textId="01F760A6" w:rsidR="008072D2" w:rsidRPr="00B815BC" w:rsidRDefault="008072D2" w:rsidP="000A180E">
    <w:pPr>
      <w:tabs>
        <w:tab w:val="right" w:pos="9072"/>
      </w:tabs>
      <w:autoSpaceDE w:val="0"/>
      <w:autoSpaceDN w:val="0"/>
      <w:adjustRightInd w:val="0"/>
      <w:spacing w:after="0"/>
      <w:ind w:right="-46"/>
      <w:rPr>
        <w:rFonts w:cs="Arial"/>
        <w:color w:val="A6A6A6" w:themeColor="background1" w:themeShade="A6"/>
        <w:sz w:val="16"/>
        <w:szCs w:val="16"/>
        <w:lang w:eastAsia="en-US"/>
      </w:rPr>
    </w:pPr>
    <w:r w:rsidRPr="00B815BC">
      <w:rPr>
        <w:rFonts w:cs="Arial"/>
        <w:color w:val="A6A6A6" w:themeColor="background1" w:themeShade="A6"/>
        <w:sz w:val="16"/>
        <w:szCs w:val="16"/>
        <w:lang w:eastAsia="en-US"/>
      </w:rPr>
      <w:tab/>
    </w:r>
  </w:p>
  <w:p w14:paraId="17A54488" w14:textId="77777777" w:rsidR="008072D2" w:rsidRPr="00B815BC" w:rsidRDefault="008072D2" w:rsidP="000A180E">
    <w:pPr>
      <w:autoSpaceDE w:val="0"/>
      <w:autoSpaceDN w:val="0"/>
      <w:adjustRightInd w:val="0"/>
      <w:spacing w:after="0"/>
      <w:ind w:right="-46"/>
      <w:rPr>
        <w:rFonts w:cs="Arial"/>
        <w:color w:val="808080" w:themeColor="background1" w:themeShade="80"/>
        <w:sz w:val="18"/>
        <w:szCs w:val="18"/>
      </w:rPr>
    </w:pPr>
  </w:p>
  <w:p w14:paraId="3A42C7E9" w14:textId="77777777" w:rsidR="008072D2" w:rsidRPr="00B815BC" w:rsidRDefault="008072D2" w:rsidP="00504FA2">
    <w:pPr>
      <w:pStyle w:val="Header"/>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8073" w14:textId="3E76A71A" w:rsidR="008072D2" w:rsidRPr="00B815BC" w:rsidRDefault="008072D2" w:rsidP="00A97747">
    <w:pPr>
      <w:pStyle w:val="Header"/>
      <w:tabs>
        <w:tab w:val="left" w:pos="1843"/>
      </w:tabs>
      <w:rPr>
        <w:rFonts w:cs="Arial"/>
        <w:color w:val="000066"/>
        <w:sz w:val="16"/>
        <w:szCs w:val="16"/>
      </w:rPr>
    </w:pPr>
    <w:r>
      <w:rPr>
        <w:noProof/>
      </w:rPr>
      <w:drawing>
        <wp:anchor distT="0" distB="0" distL="114300" distR="114300" simplePos="0" relativeHeight="251658243" behindDoc="1" locked="0" layoutInCell="1" allowOverlap="1" wp14:anchorId="31D4C15D" wp14:editId="1BBF1E90">
          <wp:simplePos x="0" y="0"/>
          <wp:positionH relativeFrom="column">
            <wp:posOffset>-914400</wp:posOffset>
          </wp:positionH>
          <wp:positionV relativeFrom="paragraph">
            <wp:posOffset>-476250</wp:posOffset>
          </wp:positionV>
          <wp:extent cx="7581900" cy="10723245"/>
          <wp:effectExtent l="0" t="0" r="0" b="1905"/>
          <wp:wrapNone/>
          <wp:docPr id="1" name="Picture 1" descr="Stationary-Master-V2-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ionary-Master-V2-Sydn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3245"/>
                  </a:xfrm>
                  <a:prstGeom prst="rect">
                    <a:avLst/>
                  </a:prstGeom>
                  <a:noFill/>
                </pic:spPr>
              </pic:pic>
            </a:graphicData>
          </a:graphic>
          <wp14:sizeRelH relativeFrom="page">
            <wp14:pctWidth>0</wp14:pctWidth>
          </wp14:sizeRelH>
          <wp14:sizeRelV relativeFrom="page">
            <wp14:pctHeight>0</wp14:pctHeight>
          </wp14:sizeRelV>
        </wp:anchor>
      </w:drawing>
    </w:r>
  </w:p>
  <w:p w14:paraId="54EC8462" w14:textId="77777777" w:rsidR="008072D2" w:rsidRPr="00B815BC" w:rsidRDefault="008072D2" w:rsidP="00504FA2">
    <w:pPr>
      <w:pStyle w:val="Header"/>
      <w:rPr>
        <w:rFonts w:cs="Arial"/>
        <w:color w:val="000066"/>
        <w:sz w:val="16"/>
        <w:szCs w:val="16"/>
      </w:rPr>
    </w:pPr>
  </w:p>
  <w:p w14:paraId="109F7DD2" w14:textId="77777777" w:rsidR="008072D2" w:rsidRDefault="008072D2">
    <w:pPr>
      <w:pStyle w:val="Header"/>
      <w:rPr>
        <w:rFonts w:cs="Arial"/>
      </w:rPr>
    </w:pPr>
  </w:p>
  <w:p w14:paraId="51AA8913" w14:textId="77777777" w:rsidR="008072D2" w:rsidRPr="00B815BC" w:rsidRDefault="008072D2">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8C7737"/>
    <w:multiLevelType w:val="hybridMultilevel"/>
    <w:tmpl w:val="B23E8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06A61"/>
    <w:multiLevelType w:val="hybridMultilevel"/>
    <w:tmpl w:val="B3D8D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409B1"/>
    <w:multiLevelType w:val="multilevel"/>
    <w:tmpl w:val="0C09001F"/>
    <w:numStyleLink w:val="111111"/>
  </w:abstractNum>
  <w:abstractNum w:abstractNumId="10"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A768E"/>
    <w:multiLevelType w:val="hybridMultilevel"/>
    <w:tmpl w:val="6D38584A"/>
    <w:lvl w:ilvl="0" w:tplc="9260D8E6">
      <w:start w:val="1"/>
      <w:numFmt w:val="decimal"/>
      <w:pStyle w:val="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C0181D"/>
    <w:multiLevelType w:val="hybridMultilevel"/>
    <w:tmpl w:val="ADD43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444DF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485E9F"/>
    <w:multiLevelType w:val="hybridMultilevel"/>
    <w:tmpl w:val="81EE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357AD9"/>
    <w:multiLevelType w:val="hybridMultilevel"/>
    <w:tmpl w:val="2252F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D956D5"/>
    <w:multiLevelType w:val="hybridMultilevel"/>
    <w:tmpl w:val="E6F6E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97174F"/>
    <w:multiLevelType w:val="hybridMultilevel"/>
    <w:tmpl w:val="20E69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D7735A"/>
    <w:multiLevelType w:val="hybridMultilevel"/>
    <w:tmpl w:val="37D8A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1"/>
  </w:num>
  <w:num w:numId="2">
    <w:abstractNumId w:val="14"/>
  </w:num>
  <w:num w:numId="3">
    <w:abstractNumId w:val="20"/>
  </w:num>
  <w:num w:numId="4">
    <w:abstractNumId w:val="10"/>
  </w:num>
  <w:num w:numId="5">
    <w:abstractNumId w:val="6"/>
  </w:num>
  <w:num w:numId="6">
    <w:abstractNumId w:val="5"/>
  </w:num>
  <w:num w:numId="7">
    <w:abstractNumId w:val="12"/>
  </w:num>
  <w:num w:numId="8">
    <w:abstractNumId w:val="4"/>
  </w:num>
  <w:num w:numId="9">
    <w:abstractNumId w:val="3"/>
  </w:num>
  <w:num w:numId="10">
    <w:abstractNumId w:val="2"/>
  </w:num>
  <w:num w:numId="11">
    <w:abstractNumId w:val="1"/>
  </w:num>
  <w:num w:numId="12">
    <w:abstractNumId w:val="0"/>
  </w:num>
  <w:num w:numId="13">
    <w:abstractNumId w:val="9"/>
  </w:num>
  <w:num w:numId="14">
    <w:abstractNumId w:val="18"/>
  </w:num>
  <w:num w:numId="15">
    <w:abstractNumId w:val="16"/>
  </w:num>
  <w:num w:numId="16">
    <w:abstractNumId w:val="17"/>
  </w:num>
  <w:num w:numId="17">
    <w:abstractNumId w:val="8"/>
  </w:num>
  <w:num w:numId="18">
    <w:abstractNumId w:val="13"/>
  </w:num>
  <w:num w:numId="19">
    <w:abstractNumId w:val="15"/>
  </w:num>
  <w:num w:numId="20">
    <w:abstractNumId w:val="19"/>
  </w:num>
  <w:num w:numId="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4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4F"/>
    <w:rsid w:val="00000165"/>
    <w:rsid w:val="00002386"/>
    <w:rsid w:val="00004D2E"/>
    <w:rsid w:val="00007197"/>
    <w:rsid w:val="00010BE4"/>
    <w:rsid w:val="00014361"/>
    <w:rsid w:val="000150A9"/>
    <w:rsid w:val="00023F37"/>
    <w:rsid w:val="00030047"/>
    <w:rsid w:val="000309AD"/>
    <w:rsid w:val="00031757"/>
    <w:rsid w:val="00031E73"/>
    <w:rsid w:val="00032754"/>
    <w:rsid w:val="00032790"/>
    <w:rsid w:val="00034022"/>
    <w:rsid w:val="00034EE0"/>
    <w:rsid w:val="0004205F"/>
    <w:rsid w:val="00045358"/>
    <w:rsid w:val="00047F05"/>
    <w:rsid w:val="0005650B"/>
    <w:rsid w:val="000725EB"/>
    <w:rsid w:val="0007377E"/>
    <w:rsid w:val="00074D95"/>
    <w:rsid w:val="0007536C"/>
    <w:rsid w:val="00080238"/>
    <w:rsid w:val="00085E40"/>
    <w:rsid w:val="00086703"/>
    <w:rsid w:val="00091B3F"/>
    <w:rsid w:val="000920C8"/>
    <w:rsid w:val="000965BB"/>
    <w:rsid w:val="000A04F3"/>
    <w:rsid w:val="000A180E"/>
    <w:rsid w:val="000A4520"/>
    <w:rsid w:val="000A619E"/>
    <w:rsid w:val="000A6D61"/>
    <w:rsid w:val="000A7858"/>
    <w:rsid w:val="000B3196"/>
    <w:rsid w:val="000B386C"/>
    <w:rsid w:val="000B4BD5"/>
    <w:rsid w:val="000B68A4"/>
    <w:rsid w:val="000B751D"/>
    <w:rsid w:val="000C44E3"/>
    <w:rsid w:val="000C5A89"/>
    <w:rsid w:val="000C6167"/>
    <w:rsid w:val="000C6EB6"/>
    <w:rsid w:val="000C740C"/>
    <w:rsid w:val="000D0E37"/>
    <w:rsid w:val="000D2BA2"/>
    <w:rsid w:val="000D30E7"/>
    <w:rsid w:val="000D667C"/>
    <w:rsid w:val="000E473A"/>
    <w:rsid w:val="000E679F"/>
    <w:rsid w:val="000E6830"/>
    <w:rsid w:val="000E6968"/>
    <w:rsid w:val="000E6ED7"/>
    <w:rsid w:val="000E769B"/>
    <w:rsid w:val="000F3080"/>
    <w:rsid w:val="000F6092"/>
    <w:rsid w:val="000F777F"/>
    <w:rsid w:val="00112EBB"/>
    <w:rsid w:val="00114C4C"/>
    <w:rsid w:val="00115CB9"/>
    <w:rsid w:val="00117C1B"/>
    <w:rsid w:val="00120554"/>
    <w:rsid w:val="0012165A"/>
    <w:rsid w:val="001239E3"/>
    <w:rsid w:val="00125F83"/>
    <w:rsid w:val="001273E8"/>
    <w:rsid w:val="00127422"/>
    <w:rsid w:val="00133CE7"/>
    <w:rsid w:val="00144F3E"/>
    <w:rsid w:val="00145D5E"/>
    <w:rsid w:val="001500F5"/>
    <w:rsid w:val="001526BA"/>
    <w:rsid w:val="00153454"/>
    <w:rsid w:val="00153FF7"/>
    <w:rsid w:val="00156053"/>
    <w:rsid w:val="00156F30"/>
    <w:rsid w:val="00162013"/>
    <w:rsid w:val="00162B1A"/>
    <w:rsid w:val="00164712"/>
    <w:rsid w:val="00164B52"/>
    <w:rsid w:val="00167578"/>
    <w:rsid w:val="00171D53"/>
    <w:rsid w:val="001729E0"/>
    <w:rsid w:val="001738F4"/>
    <w:rsid w:val="00176751"/>
    <w:rsid w:val="00182AB4"/>
    <w:rsid w:val="0018386C"/>
    <w:rsid w:val="00183AEF"/>
    <w:rsid w:val="00184D13"/>
    <w:rsid w:val="00185EF6"/>
    <w:rsid w:val="00190BE2"/>
    <w:rsid w:val="00192F34"/>
    <w:rsid w:val="0019369E"/>
    <w:rsid w:val="001A438C"/>
    <w:rsid w:val="001A54BC"/>
    <w:rsid w:val="001B0B1C"/>
    <w:rsid w:val="001B0B4E"/>
    <w:rsid w:val="001B51B3"/>
    <w:rsid w:val="001B6297"/>
    <w:rsid w:val="001C0BA0"/>
    <w:rsid w:val="001C2470"/>
    <w:rsid w:val="001D47F3"/>
    <w:rsid w:val="001E4A62"/>
    <w:rsid w:val="001E53DA"/>
    <w:rsid w:val="001E7701"/>
    <w:rsid w:val="001F22F9"/>
    <w:rsid w:val="001F567D"/>
    <w:rsid w:val="001F7C18"/>
    <w:rsid w:val="00202BCB"/>
    <w:rsid w:val="00203DB7"/>
    <w:rsid w:val="0020601D"/>
    <w:rsid w:val="0020752A"/>
    <w:rsid w:val="0022054D"/>
    <w:rsid w:val="0022105C"/>
    <w:rsid w:val="00222CA5"/>
    <w:rsid w:val="00223E24"/>
    <w:rsid w:val="002257C8"/>
    <w:rsid w:val="0023091B"/>
    <w:rsid w:val="00240529"/>
    <w:rsid w:val="00242E06"/>
    <w:rsid w:val="0024492F"/>
    <w:rsid w:val="00244DD5"/>
    <w:rsid w:val="00246D35"/>
    <w:rsid w:val="00252C9F"/>
    <w:rsid w:val="00255A37"/>
    <w:rsid w:val="00261B01"/>
    <w:rsid w:val="00264F8E"/>
    <w:rsid w:val="002657C9"/>
    <w:rsid w:val="00266AD5"/>
    <w:rsid w:val="002719C2"/>
    <w:rsid w:val="0027431C"/>
    <w:rsid w:val="002857F0"/>
    <w:rsid w:val="0028703B"/>
    <w:rsid w:val="00287706"/>
    <w:rsid w:val="002948F4"/>
    <w:rsid w:val="00296A90"/>
    <w:rsid w:val="002A2D03"/>
    <w:rsid w:val="002A39F8"/>
    <w:rsid w:val="002B158F"/>
    <w:rsid w:val="002B254A"/>
    <w:rsid w:val="002B3C80"/>
    <w:rsid w:val="002B513E"/>
    <w:rsid w:val="002B55E6"/>
    <w:rsid w:val="002B6555"/>
    <w:rsid w:val="002B7666"/>
    <w:rsid w:val="002C0030"/>
    <w:rsid w:val="002C4187"/>
    <w:rsid w:val="002C6F35"/>
    <w:rsid w:val="002D0028"/>
    <w:rsid w:val="002D1AA8"/>
    <w:rsid w:val="002D67B3"/>
    <w:rsid w:val="002E20C7"/>
    <w:rsid w:val="002E221E"/>
    <w:rsid w:val="002F028B"/>
    <w:rsid w:val="002F1140"/>
    <w:rsid w:val="002F1E3C"/>
    <w:rsid w:val="002F2D47"/>
    <w:rsid w:val="002F53D0"/>
    <w:rsid w:val="002F7CAA"/>
    <w:rsid w:val="00301A1F"/>
    <w:rsid w:val="0030400E"/>
    <w:rsid w:val="00311997"/>
    <w:rsid w:val="003122C2"/>
    <w:rsid w:val="00313740"/>
    <w:rsid w:val="00314053"/>
    <w:rsid w:val="00314596"/>
    <w:rsid w:val="00315D70"/>
    <w:rsid w:val="00316DCB"/>
    <w:rsid w:val="00320824"/>
    <w:rsid w:val="00322ECC"/>
    <w:rsid w:val="0033115E"/>
    <w:rsid w:val="00334435"/>
    <w:rsid w:val="00334E50"/>
    <w:rsid w:val="003425B7"/>
    <w:rsid w:val="00343190"/>
    <w:rsid w:val="003456B4"/>
    <w:rsid w:val="00351FB1"/>
    <w:rsid w:val="003526A1"/>
    <w:rsid w:val="00354EBD"/>
    <w:rsid w:val="00362230"/>
    <w:rsid w:val="003678F7"/>
    <w:rsid w:val="003711CD"/>
    <w:rsid w:val="0038061A"/>
    <w:rsid w:val="00381991"/>
    <w:rsid w:val="00381B8C"/>
    <w:rsid w:val="003875BF"/>
    <w:rsid w:val="00387979"/>
    <w:rsid w:val="003903BA"/>
    <w:rsid w:val="00390417"/>
    <w:rsid w:val="003915B1"/>
    <w:rsid w:val="003946AE"/>
    <w:rsid w:val="003960F1"/>
    <w:rsid w:val="00396D59"/>
    <w:rsid w:val="003A5DCE"/>
    <w:rsid w:val="003A7338"/>
    <w:rsid w:val="003A7E88"/>
    <w:rsid w:val="003B0AB7"/>
    <w:rsid w:val="003B0EA7"/>
    <w:rsid w:val="003B6610"/>
    <w:rsid w:val="003C1B5A"/>
    <w:rsid w:val="003C1C58"/>
    <w:rsid w:val="003C7B4B"/>
    <w:rsid w:val="003D21D2"/>
    <w:rsid w:val="003D2848"/>
    <w:rsid w:val="003D4961"/>
    <w:rsid w:val="003D59BF"/>
    <w:rsid w:val="003D6EE3"/>
    <w:rsid w:val="003D7335"/>
    <w:rsid w:val="003D7981"/>
    <w:rsid w:val="003E5A68"/>
    <w:rsid w:val="003E5E49"/>
    <w:rsid w:val="003F2778"/>
    <w:rsid w:val="003F2ACA"/>
    <w:rsid w:val="003F4379"/>
    <w:rsid w:val="00400B21"/>
    <w:rsid w:val="004013EA"/>
    <w:rsid w:val="004018B5"/>
    <w:rsid w:val="00404D5F"/>
    <w:rsid w:val="004055F4"/>
    <w:rsid w:val="00407799"/>
    <w:rsid w:val="00410D24"/>
    <w:rsid w:val="00416184"/>
    <w:rsid w:val="00417261"/>
    <w:rsid w:val="00417277"/>
    <w:rsid w:val="004231A9"/>
    <w:rsid w:val="004245E8"/>
    <w:rsid w:val="00434C06"/>
    <w:rsid w:val="004350AB"/>
    <w:rsid w:val="0043754B"/>
    <w:rsid w:val="00440A8F"/>
    <w:rsid w:val="004426D2"/>
    <w:rsid w:val="00442B5B"/>
    <w:rsid w:val="004459E0"/>
    <w:rsid w:val="00450AD3"/>
    <w:rsid w:val="004538BA"/>
    <w:rsid w:val="0046013F"/>
    <w:rsid w:val="00460BEB"/>
    <w:rsid w:val="00461361"/>
    <w:rsid w:val="00461946"/>
    <w:rsid w:val="00465437"/>
    <w:rsid w:val="00465750"/>
    <w:rsid w:val="0046778A"/>
    <w:rsid w:val="004701FF"/>
    <w:rsid w:val="00471D74"/>
    <w:rsid w:val="004722C8"/>
    <w:rsid w:val="004766D2"/>
    <w:rsid w:val="00480E2B"/>
    <w:rsid w:val="00481C04"/>
    <w:rsid w:val="00482AD9"/>
    <w:rsid w:val="004853E5"/>
    <w:rsid w:val="004858E6"/>
    <w:rsid w:val="00487977"/>
    <w:rsid w:val="004911A9"/>
    <w:rsid w:val="00495314"/>
    <w:rsid w:val="00495F8B"/>
    <w:rsid w:val="004978F1"/>
    <w:rsid w:val="004A39A5"/>
    <w:rsid w:val="004A4C37"/>
    <w:rsid w:val="004C0370"/>
    <w:rsid w:val="004C0BE8"/>
    <w:rsid w:val="004C0C13"/>
    <w:rsid w:val="004C5182"/>
    <w:rsid w:val="004C57BA"/>
    <w:rsid w:val="004D02EA"/>
    <w:rsid w:val="004D4657"/>
    <w:rsid w:val="004D4760"/>
    <w:rsid w:val="004E1DB8"/>
    <w:rsid w:val="004E26D6"/>
    <w:rsid w:val="004E3673"/>
    <w:rsid w:val="004E38C2"/>
    <w:rsid w:val="004E3DBC"/>
    <w:rsid w:val="004E5127"/>
    <w:rsid w:val="004E7142"/>
    <w:rsid w:val="004F5F32"/>
    <w:rsid w:val="005018D7"/>
    <w:rsid w:val="005020C7"/>
    <w:rsid w:val="00502BD3"/>
    <w:rsid w:val="00504FA2"/>
    <w:rsid w:val="0050575A"/>
    <w:rsid w:val="005064BB"/>
    <w:rsid w:val="00513C11"/>
    <w:rsid w:val="0051404E"/>
    <w:rsid w:val="00516736"/>
    <w:rsid w:val="00517163"/>
    <w:rsid w:val="00521B41"/>
    <w:rsid w:val="00523588"/>
    <w:rsid w:val="00526AE8"/>
    <w:rsid w:val="00531927"/>
    <w:rsid w:val="0053234F"/>
    <w:rsid w:val="0053276D"/>
    <w:rsid w:val="00534652"/>
    <w:rsid w:val="005354DB"/>
    <w:rsid w:val="00535EFF"/>
    <w:rsid w:val="00536788"/>
    <w:rsid w:val="005403A4"/>
    <w:rsid w:val="00540ED7"/>
    <w:rsid w:val="005411A1"/>
    <w:rsid w:val="00551FF7"/>
    <w:rsid w:val="00552DAC"/>
    <w:rsid w:val="005610D3"/>
    <w:rsid w:val="00564811"/>
    <w:rsid w:val="00564826"/>
    <w:rsid w:val="00565F9C"/>
    <w:rsid w:val="00575B92"/>
    <w:rsid w:val="005762E7"/>
    <w:rsid w:val="00576CD8"/>
    <w:rsid w:val="00581AB8"/>
    <w:rsid w:val="00584C2B"/>
    <w:rsid w:val="00585D97"/>
    <w:rsid w:val="005864A4"/>
    <w:rsid w:val="0058712D"/>
    <w:rsid w:val="00591EB0"/>
    <w:rsid w:val="005932E2"/>
    <w:rsid w:val="00595696"/>
    <w:rsid w:val="00596798"/>
    <w:rsid w:val="005976AF"/>
    <w:rsid w:val="005A2DBB"/>
    <w:rsid w:val="005B3A41"/>
    <w:rsid w:val="005B5183"/>
    <w:rsid w:val="005B64E3"/>
    <w:rsid w:val="005C0DD0"/>
    <w:rsid w:val="005C48C7"/>
    <w:rsid w:val="005C4A24"/>
    <w:rsid w:val="005C5E3F"/>
    <w:rsid w:val="005D2CFE"/>
    <w:rsid w:val="005D3D00"/>
    <w:rsid w:val="005D45B7"/>
    <w:rsid w:val="005D4C8D"/>
    <w:rsid w:val="005D5880"/>
    <w:rsid w:val="005E0795"/>
    <w:rsid w:val="005E239E"/>
    <w:rsid w:val="005E526E"/>
    <w:rsid w:val="005F737B"/>
    <w:rsid w:val="005F7814"/>
    <w:rsid w:val="00601888"/>
    <w:rsid w:val="00602474"/>
    <w:rsid w:val="00602AB7"/>
    <w:rsid w:val="00604AD5"/>
    <w:rsid w:val="006168AD"/>
    <w:rsid w:val="00622656"/>
    <w:rsid w:val="00622C62"/>
    <w:rsid w:val="00623B9E"/>
    <w:rsid w:val="00625A5D"/>
    <w:rsid w:val="00626F1A"/>
    <w:rsid w:val="00630841"/>
    <w:rsid w:val="00631381"/>
    <w:rsid w:val="00631B76"/>
    <w:rsid w:val="00631BFE"/>
    <w:rsid w:val="0063740D"/>
    <w:rsid w:val="00641B81"/>
    <w:rsid w:val="00642FEF"/>
    <w:rsid w:val="00644CFD"/>
    <w:rsid w:val="0064566E"/>
    <w:rsid w:val="0064797E"/>
    <w:rsid w:val="00651EE7"/>
    <w:rsid w:val="00655C0F"/>
    <w:rsid w:val="0065677D"/>
    <w:rsid w:val="00662A59"/>
    <w:rsid w:val="006708CA"/>
    <w:rsid w:val="00677438"/>
    <w:rsid w:val="00677492"/>
    <w:rsid w:val="00683A97"/>
    <w:rsid w:val="006906C0"/>
    <w:rsid w:val="00692672"/>
    <w:rsid w:val="00693F2B"/>
    <w:rsid w:val="006A2EFE"/>
    <w:rsid w:val="006A51EB"/>
    <w:rsid w:val="006A6C23"/>
    <w:rsid w:val="006A7263"/>
    <w:rsid w:val="006B4691"/>
    <w:rsid w:val="006B63F3"/>
    <w:rsid w:val="006C24E7"/>
    <w:rsid w:val="006C4126"/>
    <w:rsid w:val="006C4C59"/>
    <w:rsid w:val="006D033E"/>
    <w:rsid w:val="006D087F"/>
    <w:rsid w:val="006D63D6"/>
    <w:rsid w:val="006D7414"/>
    <w:rsid w:val="006E22E8"/>
    <w:rsid w:val="006E2CB6"/>
    <w:rsid w:val="006E6444"/>
    <w:rsid w:val="006F05E8"/>
    <w:rsid w:val="006F5599"/>
    <w:rsid w:val="006F605A"/>
    <w:rsid w:val="007003BF"/>
    <w:rsid w:val="00703C9B"/>
    <w:rsid w:val="0071061D"/>
    <w:rsid w:val="00711E7B"/>
    <w:rsid w:val="00713012"/>
    <w:rsid w:val="0071347C"/>
    <w:rsid w:val="00714836"/>
    <w:rsid w:val="00721724"/>
    <w:rsid w:val="00726308"/>
    <w:rsid w:val="007265EC"/>
    <w:rsid w:val="00726E65"/>
    <w:rsid w:val="00731562"/>
    <w:rsid w:val="007358EC"/>
    <w:rsid w:val="0074585B"/>
    <w:rsid w:val="0074585C"/>
    <w:rsid w:val="00745D24"/>
    <w:rsid w:val="0074655C"/>
    <w:rsid w:val="00747F7F"/>
    <w:rsid w:val="00751EE8"/>
    <w:rsid w:val="00752068"/>
    <w:rsid w:val="00754429"/>
    <w:rsid w:val="007561B3"/>
    <w:rsid w:val="00757846"/>
    <w:rsid w:val="007617EA"/>
    <w:rsid w:val="00761BE8"/>
    <w:rsid w:val="00762A0A"/>
    <w:rsid w:val="007630BA"/>
    <w:rsid w:val="00767969"/>
    <w:rsid w:val="00773273"/>
    <w:rsid w:val="00776ACC"/>
    <w:rsid w:val="00780FB0"/>
    <w:rsid w:val="00781C27"/>
    <w:rsid w:val="00787756"/>
    <w:rsid w:val="0078785E"/>
    <w:rsid w:val="00790369"/>
    <w:rsid w:val="007911B4"/>
    <w:rsid w:val="00793665"/>
    <w:rsid w:val="00795C3D"/>
    <w:rsid w:val="00796E22"/>
    <w:rsid w:val="007A0B4E"/>
    <w:rsid w:val="007A1C2D"/>
    <w:rsid w:val="007A4289"/>
    <w:rsid w:val="007A57B4"/>
    <w:rsid w:val="007B1D16"/>
    <w:rsid w:val="007B1FA9"/>
    <w:rsid w:val="007B2822"/>
    <w:rsid w:val="007B3BC6"/>
    <w:rsid w:val="007C4177"/>
    <w:rsid w:val="007D0004"/>
    <w:rsid w:val="007D0C7C"/>
    <w:rsid w:val="007D39D2"/>
    <w:rsid w:val="007D4C0F"/>
    <w:rsid w:val="007E0D0B"/>
    <w:rsid w:val="007E3D50"/>
    <w:rsid w:val="007E49E5"/>
    <w:rsid w:val="007E5D65"/>
    <w:rsid w:val="007E79D9"/>
    <w:rsid w:val="007F1F6D"/>
    <w:rsid w:val="007F2254"/>
    <w:rsid w:val="007F3DA3"/>
    <w:rsid w:val="007F5033"/>
    <w:rsid w:val="007F5BA4"/>
    <w:rsid w:val="007F77F9"/>
    <w:rsid w:val="008019A5"/>
    <w:rsid w:val="00802A64"/>
    <w:rsid w:val="00803804"/>
    <w:rsid w:val="00805210"/>
    <w:rsid w:val="008072D2"/>
    <w:rsid w:val="008073BA"/>
    <w:rsid w:val="00807D8D"/>
    <w:rsid w:val="008179AE"/>
    <w:rsid w:val="0082037C"/>
    <w:rsid w:val="008241E1"/>
    <w:rsid w:val="00824E3D"/>
    <w:rsid w:val="00825414"/>
    <w:rsid w:val="00825B8A"/>
    <w:rsid w:val="00833129"/>
    <w:rsid w:val="00835FF4"/>
    <w:rsid w:val="00837AE3"/>
    <w:rsid w:val="008430BC"/>
    <w:rsid w:val="00845F93"/>
    <w:rsid w:val="0085156D"/>
    <w:rsid w:val="00851D27"/>
    <w:rsid w:val="00856657"/>
    <w:rsid w:val="00857500"/>
    <w:rsid w:val="00857BF5"/>
    <w:rsid w:val="0086050B"/>
    <w:rsid w:val="00872B24"/>
    <w:rsid w:val="0087443B"/>
    <w:rsid w:val="00881304"/>
    <w:rsid w:val="008843DE"/>
    <w:rsid w:val="00886631"/>
    <w:rsid w:val="00890267"/>
    <w:rsid w:val="008906C2"/>
    <w:rsid w:val="00891059"/>
    <w:rsid w:val="00892FF9"/>
    <w:rsid w:val="008A035A"/>
    <w:rsid w:val="008A1972"/>
    <w:rsid w:val="008A3849"/>
    <w:rsid w:val="008A4F67"/>
    <w:rsid w:val="008A5EA9"/>
    <w:rsid w:val="008B2837"/>
    <w:rsid w:val="008C0F5E"/>
    <w:rsid w:val="008C716A"/>
    <w:rsid w:val="008E1F80"/>
    <w:rsid w:val="008E2636"/>
    <w:rsid w:val="008E59E8"/>
    <w:rsid w:val="008F2155"/>
    <w:rsid w:val="009118DE"/>
    <w:rsid w:val="0091527D"/>
    <w:rsid w:val="0091630E"/>
    <w:rsid w:val="00923192"/>
    <w:rsid w:val="00923D10"/>
    <w:rsid w:val="00930108"/>
    <w:rsid w:val="0093486E"/>
    <w:rsid w:val="00936CC5"/>
    <w:rsid w:val="009419DA"/>
    <w:rsid w:val="009429EB"/>
    <w:rsid w:val="00954D54"/>
    <w:rsid w:val="0095735B"/>
    <w:rsid w:val="00961D56"/>
    <w:rsid w:val="00964262"/>
    <w:rsid w:val="00964635"/>
    <w:rsid w:val="0096676E"/>
    <w:rsid w:val="00973467"/>
    <w:rsid w:val="009748AA"/>
    <w:rsid w:val="00983032"/>
    <w:rsid w:val="00983892"/>
    <w:rsid w:val="00984A79"/>
    <w:rsid w:val="00993729"/>
    <w:rsid w:val="009940AE"/>
    <w:rsid w:val="009958E6"/>
    <w:rsid w:val="009A1F1D"/>
    <w:rsid w:val="009A2B10"/>
    <w:rsid w:val="009A60C4"/>
    <w:rsid w:val="009B116B"/>
    <w:rsid w:val="009B1B27"/>
    <w:rsid w:val="009B1D71"/>
    <w:rsid w:val="009B4073"/>
    <w:rsid w:val="009B6C25"/>
    <w:rsid w:val="009C1A26"/>
    <w:rsid w:val="009C3067"/>
    <w:rsid w:val="009C54D3"/>
    <w:rsid w:val="009C58A6"/>
    <w:rsid w:val="009D1606"/>
    <w:rsid w:val="009D3516"/>
    <w:rsid w:val="009D5D98"/>
    <w:rsid w:val="009D6AE2"/>
    <w:rsid w:val="009E4681"/>
    <w:rsid w:val="009E587E"/>
    <w:rsid w:val="009E5FF8"/>
    <w:rsid w:val="009E6D2E"/>
    <w:rsid w:val="009F0D2F"/>
    <w:rsid w:val="009F0F77"/>
    <w:rsid w:val="009F1A49"/>
    <w:rsid w:val="009F21C0"/>
    <w:rsid w:val="009F6B20"/>
    <w:rsid w:val="00A0411F"/>
    <w:rsid w:val="00A11434"/>
    <w:rsid w:val="00A1234E"/>
    <w:rsid w:val="00A13A59"/>
    <w:rsid w:val="00A13DFC"/>
    <w:rsid w:val="00A1511A"/>
    <w:rsid w:val="00A15302"/>
    <w:rsid w:val="00A22715"/>
    <w:rsid w:val="00A312D3"/>
    <w:rsid w:val="00A37BCD"/>
    <w:rsid w:val="00A410E5"/>
    <w:rsid w:val="00A469C7"/>
    <w:rsid w:val="00A477EF"/>
    <w:rsid w:val="00A51512"/>
    <w:rsid w:val="00A535BB"/>
    <w:rsid w:val="00A53AA4"/>
    <w:rsid w:val="00A6115E"/>
    <w:rsid w:val="00A65BC4"/>
    <w:rsid w:val="00A669BB"/>
    <w:rsid w:val="00A700BD"/>
    <w:rsid w:val="00A75E04"/>
    <w:rsid w:val="00A76018"/>
    <w:rsid w:val="00A83220"/>
    <w:rsid w:val="00A8649B"/>
    <w:rsid w:val="00A901A6"/>
    <w:rsid w:val="00A92CD4"/>
    <w:rsid w:val="00A95AD8"/>
    <w:rsid w:val="00A97747"/>
    <w:rsid w:val="00AA1823"/>
    <w:rsid w:val="00AA3E81"/>
    <w:rsid w:val="00AA51EE"/>
    <w:rsid w:val="00AA7BF4"/>
    <w:rsid w:val="00AA7DA5"/>
    <w:rsid w:val="00AA7DBD"/>
    <w:rsid w:val="00AB2186"/>
    <w:rsid w:val="00AB330F"/>
    <w:rsid w:val="00AB5C3D"/>
    <w:rsid w:val="00AC4CDC"/>
    <w:rsid w:val="00AD35DE"/>
    <w:rsid w:val="00AD6D79"/>
    <w:rsid w:val="00AD6FC9"/>
    <w:rsid w:val="00AF10F3"/>
    <w:rsid w:val="00AF6581"/>
    <w:rsid w:val="00AF6652"/>
    <w:rsid w:val="00B04AA0"/>
    <w:rsid w:val="00B05338"/>
    <w:rsid w:val="00B207DF"/>
    <w:rsid w:val="00B21E23"/>
    <w:rsid w:val="00B223E5"/>
    <w:rsid w:val="00B22411"/>
    <w:rsid w:val="00B22D17"/>
    <w:rsid w:val="00B23186"/>
    <w:rsid w:val="00B24A46"/>
    <w:rsid w:val="00B25567"/>
    <w:rsid w:val="00B2556D"/>
    <w:rsid w:val="00B25FBB"/>
    <w:rsid w:val="00B275EA"/>
    <w:rsid w:val="00B27AA8"/>
    <w:rsid w:val="00B30264"/>
    <w:rsid w:val="00B31B0A"/>
    <w:rsid w:val="00B321B9"/>
    <w:rsid w:val="00B329B6"/>
    <w:rsid w:val="00B32F73"/>
    <w:rsid w:val="00B333A4"/>
    <w:rsid w:val="00B42941"/>
    <w:rsid w:val="00B45B30"/>
    <w:rsid w:val="00B514FF"/>
    <w:rsid w:val="00B54676"/>
    <w:rsid w:val="00B55674"/>
    <w:rsid w:val="00B6028B"/>
    <w:rsid w:val="00B61FD4"/>
    <w:rsid w:val="00B70916"/>
    <w:rsid w:val="00B7452A"/>
    <w:rsid w:val="00B74889"/>
    <w:rsid w:val="00B80209"/>
    <w:rsid w:val="00B815BC"/>
    <w:rsid w:val="00B81EB1"/>
    <w:rsid w:val="00B867F3"/>
    <w:rsid w:val="00B8713B"/>
    <w:rsid w:val="00B94D5E"/>
    <w:rsid w:val="00B97A98"/>
    <w:rsid w:val="00BA1313"/>
    <w:rsid w:val="00BA38F4"/>
    <w:rsid w:val="00BA6874"/>
    <w:rsid w:val="00BB04C9"/>
    <w:rsid w:val="00BB253E"/>
    <w:rsid w:val="00BB3813"/>
    <w:rsid w:val="00BB5EF4"/>
    <w:rsid w:val="00BC2869"/>
    <w:rsid w:val="00BC3CB6"/>
    <w:rsid w:val="00BC45FC"/>
    <w:rsid w:val="00BC466A"/>
    <w:rsid w:val="00BC5B3B"/>
    <w:rsid w:val="00BC7F6A"/>
    <w:rsid w:val="00BD681A"/>
    <w:rsid w:val="00BD7C62"/>
    <w:rsid w:val="00BE21CE"/>
    <w:rsid w:val="00BE2B38"/>
    <w:rsid w:val="00BE7496"/>
    <w:rsid w:val="00BF2A7D"/>
    <w:rsid w:val="00BF325A"/>
    <w:rsid w:val="00C07EF7"/>
    <w:rsid w:val="00C23924"/>
    <w:rsid w:val="00C24160"/>
    <w:rsid w:val="00C252AC"/>
    <w:rsid w:val="00C2727F"/>
    <w:rsid w:val="00C35A82"/>
    <w:rsid w:val="00C362CB"/>
    <w:rsid w:val="00C363A8"/>
    <w:rsid w:val="00C40868"/>
    <w:rsid w:val="00C41314"/>
    <w:rsid w:val="00C5147F"/>
    <w:rsid w:val="00C679E1"/>
    <w:rsid w:val="00C739D5"/>
    <w:rsid w:val="00C7473C"/>
    <w:rsid w:val="00C75E02"/>
    <w:rsid w:val="00C80380"/>
    <w:rsid w:val="00C83623"/>
    <w:rsid w:val="00C86BD1"/>
    <w:rsid w:val="00C90088"/>
    <w:rsid w:val="00C9070B"/>
    <w:rsid w:val="00C91A96"/>
    <w:rsid w:val="00C96CFF"/>
    <w:rsid w:val="00CA55DE"/>
    <w:rsid w:val="00CB09D8"/>
    <w:rsid w:val="00CB57C5"/>
    <w:rsid w:val="00CC2F37"/>
    <w:rsid w:val="00CC339D"/>
    <w:rsid w:val="00CC4492"/>
    <w:rsid w:val="00CC5715"/>
    <w:rsid w:val="00CC774C"/>
    <w:rsid w:val="00CC7D50"/>
    <w:rsid w:val="00CD0371"/>
    <w:rsid w:val="00CD03B0"/>
    <w:rsid w:val="00CD1389"/>
    <w:rsid w:val="00CD17E0"/>
    <w:rsid w:val="00CD4752"/>
    <w:rsid w:val="00CD77CB"/>
    <w:rsid w:val="00CE0431"/>
    <w:rsid w:val="00CE0EA1"/>
    <w:rsid w:val="00CE0EE5"/>
    <w:rsid w:val="00CF1404"/>
    <w:rsid w:val="00CF7BFD"/>
    <w:rsid w:val="00CF7DED"/>
    <w:rsid w:val="00D0069A"/>
    <w:rsid w:val="00D044BF"/>
    <w:rsid w:val="00D057F2"/>
    <w:rsid w:val="00D0665D"/>
    <w:rsid w:val="00D11836"/>
    <w:rsid w:val="00D12048"/>
    <w:rsid w:val="00D129E5"/>
    <w:rsid w:val="00D132E7"/>
    <w:rsid w:val="00D13D2A"/>
    <w:rsid w:val="00D15ACD"/>
    <w:rsid w:val="00D15FB0"/>
    <w:rsid w:val="00D16F95"/>
    <w:rsid w:val="00D17938"/>
    <w:rsid w:val="00D26038"/>
    <w:rsid w:val="00D26C09"/>
    <w:rsid w:val="00D2709A"/>
    <w:rsid w:val="00D274EE"/>
    <w:rsid w:val="00D3563A"/>
    <w:rsid w:val="00D37DF9"/>
    <w:rsid w:val="00D40676"/>
    <w:rsid w:val="00D41459"/>
    <w:rsid w:val="00D4565E"/>
    <w:rsid w:val="00D50EE8"/>
    <w:rsid w:val="00D51A00"/>
    <w:rsid w:val="00D525D0"/>
    <w:rsid w:val="00D55F51"/>
    <w:rsid w:val="00D6130A"/>
    <w:rsid w:val="00D643C4"/>
    <w:rsid w:val="00D670D1"/>
    <w:rsid w:val="00D74217"/>
    <w:rsid w:val="00D7560A"/>
    <w:rsid w:val="00D8243A"/>
    <w:rsid w:val="00D8358D"/>
    <w:rsid w:val="00D845FD"/>
    <w:rsid w:val="00D86B40"/>
    <w:rsid w:val="00D86F14"/>
    <w:rsid w:val="00D948F3"/>
    <w:rsid w:val="00D9625F"/>
    <w:rsid w:val="00D96333"/>
    <w:rsid w:val="00D96B31"/>
    <w:rsid w:val="00D9788B"/>
    <w:rsid w:val="00DC4710"/>
    <w:rsid w:val="00DC574A"/>
    <w:rsid w:val="00DC72F0"/>
    <w:rsid w:val="00DD1012"/>
    <w:rsid w:val="00DE2523"/>
    <w:rsid w:val="00DE2BD9"/>
    <w:rsid w:val="00DE658F"/>
    <w:rsid w:val="00DE6B05"/>
    <w:rsid w:val="00DE7716"/>
    <w:rsid w:val="00DF0235"/>
    <w:rsid w:val="00DF0408"/>
    <w:rsid w:val="00DF043C"/>
    <w:rsid w:val="00DF0A06"/>
    <w:rsid w:val="00DF402F"/>
    <w:rsid w:val="00DF67F7"/>
    <w:rsid w:val="00E03CD6"/>
    <w:rsid w:val="00E05FFD"/>
    <w:rsid w:val="00E070D8"/>
    <w:rsid w:val="00E10458"/>
    <w:rsid w:val="00E12D96"/>
    <w:rsid w:val="00E13EC3"/>
    <w:rsid w:val="00E214B0"/>
    <w:rsid w:val="00E22F74"/>
    <w:rsid w:val="00E23390"/>
    <w:rsid w:val="00E23544"/>
    <w:rsid w:val="00E253D4"/>
    <w:rsid w:val="00E31512"/>
    <w:rsid w:val="00E31DA6"/>
    <w:rsid w:val="00E323EC"/>
    <w:rsid w:val="00E329F7"/>
    <w:rsid w:val="00E34090"/>
    <w:rsid w:val="00E34D80"/>
    <w:rsid w:val="00E34E79"/>
    <w:rsid w:val="00E350F0"/>
    <w:rsid w:val="00E357BD"/>
    <w:rsid w:val="00E408EA"/>
    <w:rsid w:val="00E410BD"/>
    <w:rsid w:val="00E4174F"/>
    <w:rsid w:val="00E43D9C"/>
    <w:rsid w:val="00E46096"/>
    <w:rsid w:val="00E46C8A"/>
    <w:rsid w:val="00E5733D"/>
    <w:rsid w:val="00E66237"/>
    <w:rsid w:val="00E71B69"/>
    <w:rsid w:val="00E72DD5"/>
    <w:rsid w:val="00E75CB0"/>
    <w:rsid w:val="00E76C29"/>
    <w:rsid w:val="00E774AF"/>
    <w:rsid w:val="00E77A64"/>
    <w:rsid w:val="00E84EEC"/>
    <w:rsid w:val="00E85C54"/>
    <w:rsid w:val="00E8641D"/>
    <w:rsid w:val="00E86D55"/>
    <w:rsid w:val="00E873F9"/>
    <w:rsid w:val="00E91364"/>
    <w:rsid w:val="00E9383D"/>
    <w:rsid w:val="00E94DA4"/>
    <w:rsid w:val="00E963C5"/>
    <w:rsid w:val="00EA0E09"/>
    <w:rsid w:val="00EA5EEB"/>
    <w:rsid w:val="00EC01AE"/>
    <w:rsid w:val="00EC0653"/>
    <w:rsid w:val="00EC2C56"/>
    <w:rsid w:val="00EC6175"/>
    <w:rsid w:val="00EC7CB1"/>
    <w:rsid w:val="00ED0457"/>
    <w:rsid w:val="00ED1A3E"/>
    <w:rsid w:val="00ED79DD"/>
    <w:rsid w:val="00EE1EE6"/>
    <w:rsid w:val="00EE26CF"/>
    <w:rsid w:val="00EE2851"/>
    <w:rsid w:val="00EF2C10"/>
    <w:rsid w:val="00EF2D07"/>
    <w:rsid w:val="00EF36A1"/>
    <w:rsid w:val="00EF4A71"/>
    <w:rsid w:val="00EF72F6"/>
    <w:rsid w:val="00F01189"/>
    <w:rsid w:val="00F03BCD"/>
    <w:rsid w:val="00F03E9F"/>
    <w:rsid w:val="00F05552"/>
    <w:rsid w:val="00F05B53"/>
    <w:rsid w:val="00F06CF6"/>
    <w:rsid w:val="00F072C2"/>
    <w:rsid w:val="00F1436D"/>
    <w:rsid w:val="00F14E01"/>
    <w:rsid w:val="00F15867"/>
    <w:rsid w:val="00F16222"/>
    <w:rsid w:val="00F20DFA"/>
    <w:rsid w:val="00F210B2"/>
    <w:rsid w:val="00F248A6"/>
    <w:rsid w:val="00F25211"/>
    <w:rsid w:val="00F33BDC"/>
    <w:rsid w:val="00F33E8E"/>
    <w:rsid w:val="00F36EF7"/>
    <w:rsid w:val="00F37A58"/>
    <w:rsid w:val="00F37DEA"/>
    <w:rsid w:val="00F429A4"/>
    <w:rsid w:val="00F43947"/>
    <w:rsid w:val="00F4413C"/>
    <w:rsid w:val="00F44BA5"/>
    <w:rsid w:val="00F4748D"/>
    <w:rsid w:val="00F50654"/>
    <w:rsid w:val="00F51781"/>
    <w:rsid w:val="00F51E02"/>
    <w:rsid w:val="00F53758"/>
    <w:rsid w:val="00F56E31"/>
    <w:rsid w:val="00F602D7"/>
    <w:rsid w:val="00F60AFA"/>
    <w:rsid w:val="00F63F77"/>
    <w:rsid w:val="00F65F75"/>
    <w:rsid w:val="00F6683F"/>
    <w:rsid w:val="00F67B5A"/>
    <w:rsid w:val="00F71655"/>
    <w:rsid w:val="00F82853"/>
    <w:rsid w:val="00F84496"/>
    <w:rsid w:val="00F87678"/>
    <w:rsid w:val="00F879C4"/>
    <w:rsid w:val="00F91647"/>
    <w:rsid w:val="00F91BC5"/>
    <w:rsid w:val="00F94BBD"/>
    <w:rsid w:val="00F95335"/>
    <w:rsid w:val="00F96B68"/>
    <w:rsid w:val="00F97324"/>
    <w:rsid w:val="00FA060F"/>
    <w:rsid w:val="00FA3001"/>
    <w:rsid w:val="00FA32DE"/>
    <w:rsid w:val="00FA5B0E"/>
    <w:rsid w:val="00FB0818"/>
    <w:rsid w:val="00FB7C70"/>
    <w:rsid w:val="00FC20E2"/>
    <w:rsid w:val="00FC27D6"/>
    <w:rsid w:val="00FC7EF5"/>
    <w:rsid w:val="00FD22F8"/>
    <w:rsid w:val="00FD25BD"/>
    <w:rsid w:val="00FD31D5"/>
    <w:rsid w:val="00FD77B8"/>
    <w:rsid w:val="00FE05A6"/>
    <w:rsid w:val="00FE0A22"/>
    <w:rsid w:val="00FE1578"/>
    <w:rsid w:val="00FE1D27"/>
    <w:rsid w:val="00FE1F27"/>
    <w:rsid w:val="00FE3328"/>
    <w:rsid w:val="00FE350C"/>
    <w:rsid w:val="00FE5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4257"/>
    <o:shapelayout v:ext="edit">
      <o:idmap v:ext="edit" data="1"/>
    </o:shapelayout>
  </w:shapeDefaults>
  <w:decimalSymbol w:val="."/>
  <w:listSeparator w:val=","/>
  <w14:docId w14:val="52D871D1"/>
  <w15:docId w15:val="{CB8574F0-F400-40E7-900F-4CA0FA8D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434"/>
    <w:pPr>
      <w:spacing w:after="24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A11434"/>
    <w:pPr>
      <w:spacing w:after="360"/>
      <w:outlineLvl w:val="0"/>
    </w:pPr>
    <w:rPr>
      <w:rFonts w:cs="Arial"/>
      <w:b/>
      <w:sz w:val="32"/>
    </w:rPr>
  </w:style>
  <w:style w:type="paragraph" w:styleId="Heading2">
    <w:name w:val="heading 2"/>
    <w:basedOn w:val="Normal"/>
    <w:next w:val="Normal"/>
    <w:link w:val="Heading2Char"/>
    <w:qFormat/>
    <w:rsid w:val="00A11434"/>
    <w:pPr>
      <w:keepNext/>
      <w:outlineLvl w:val="1"/>
    </w:pPr>
    <w:rPr>
      <w:rFonts w:cs="Arial"/>
      <w:b/>
      <w:bCs/>
      <w:iCs/>
      <w:sz w:val="28"/>
      <w:szCs w:val="28"/>
    </w:rPr>
  </w:style>
  <w:style w:type="paragraph" w:styleId="Heading3">
    <w:name w:val="heading 3"/>
    <w:basedOn w:val="Normal"/>
    <w:next w:val="Normal"/>
    <w:link w:val="Heading3Char"/>
    <w:qFormat/>
    <w:rsid w:val="00A11434"/>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A11434"/>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A11434"/>
    <w:pPr>
      <w:numPr>
        <w:ilvl w:val="4"/>
      </w:numPr>
      <w:outlineLvl w:val="4"/>
    </w:pPr>
    <w:rPr>
      <w:i/>
    </w:rPr>
  </w:style>
  <w:style w:type="paragraph" w:styleId="Heading6">
    <w:name w:val="heading 6"/>
    <w:basedOn w:val="Heading5"/>
    <w:next w:val="Normal"/>
    <w:link w:val="Heading6Char"/>
    <w:uiPriority w:val="9"/>
    <w:unhideWhenUsed/>
    <w:qFormat/>
    <w:rsid w:val="00A11434"/>
    <w:pPr>
      <w:numPr>
        <w:ilvl w:val="5"/>
      </w:numPr>
      <w:outlineLvl w:val="5"/>
    </w:pPr>
    <w:rPr>
      <w:b w:val="0"/>
    </w:rPr>
  </w:style>
  <w:style w:type="paragraph" w:styleId="Heading7">
    <w:name w:val="heading 7"/>
    <w:basedOn w:val="Heading6"/>
    <w:next w:val="Normal"/>
    <w:link w:val="Heading7Char"/>
    <w:uiPriority w:val="9"/>
    <w:unhideWhenUsed/>
    <w:rsid w:val="00A11434"/>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A1143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A1143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1434"/>
    <w:pPr>
      <w:tabs>
        <w:tab w:val="center" w:pos="4513"/>
        <w:tab w:val="right" w:pos="9026"/>
      </w:tabs>
    </w:pPr>
  </w:style>
  <w:style w:type="character" w:customStyle="1" w:styleId="HeaderChar">
    <w:name w:val="Header Char"/>
    <w:link w:val="Header"/>
    <w:rsid w:val="00A11434"/>
    <w:rPr>
      <w:rFonts w:ascii="Arial" w:eastAsia="Times New Roman" w:hAnsi="Arial" w:cs="Times New Roman"/>
      <w:szCs w:val="24"/>
    </w:rPr>
  </w:style>
  <w:style w:type="paragraph" w:styleId="Footer">
    <w:name w:val="footer"/>
    <w:basedOn w:val="Normal"/>
    <w:link w:val="FooterChar"/>
    <w:uiPriority w:val="99"/>
    <w:unhideWhenUsed/>
    <w:rsid w:val="00A11434"/>
    <w:pPr>
      <w:tabs>
        <w:tab w:val="center" w:pos="4513"/>
        <w:tab w:val="right" w:pos="9026"/>
      </w:tabs>
      <w:spacing w:after="0"/>
      <w:jc w:val="right"/>
    </w:pPr>
    <w:rPr>
      <w:sz w:val="18"/>
    </w:rPr>
  </w:style>
  <w:style w:type="character" w:customStyle="1" w:styleId="FooterChar">
    <w:name w:val="Footer Char"/>
    <w:link w:val="Footer"/>
    <w:uiPriority w:val="99"/>
    <w:rsid w:val="00A11434"/>
    <w:rPr>
      <w:rFonts w:ascii="Arial" w:eastAsia="Times New Roman" w:hAnsi="Arial" w:cs="Times New Roman"/>
      <w:sz w:val="18"/>
      <w:szCs w:val="24"/>
    </w:rPr>
  </w:style>
  <w:style w:type="character" w:styleId="Hyperlink">
    <w:name w:val="Hyperlink"/>
    <w:uiPriority w:val="99"/>
    <w:rsid w:val="00A11434"/>
    <w:rPr>
      <w:rFonts w:ascii="Arial" w:hAnsi="Arial"/>
      <w:color w:val="0000FF"/>
      <w:sz w:val="22"/>
      <w:u w:val="single"/>
    </w:rPr>
  </w:style>
  <w:style w:type="paragraph" w:customStyle="1" w:styleId="APRALogoheading">
    <w:name w:val="APRA Logo heading"/>
    <w:rsid w:val="00FD22F8"/>
    <w:pPr>
      <w:tabs>
        <w:tab w:val="center" w:pos="4513"/>
        <w:tab w:val="right" w:pos="9026"/>
      </w:tabs>
      <w:spacing w:after="120" w:line="288" w:lineRule="auto"/>
    </w:pPr>
    <w:rPr>
      <w:rFonts w:eastAsiaTheme="minorHAnsi" w:cs="Times New Roman"/>
      <w:lang w:eastAsia="en-US"/>
    </w:rPr>
  </w:style>
  <w:style w:type="paragraph" w:styleId="Title">
    <w:name w:val="Title"/>
    <w:basedOn w:val="Normal"/>
    <w:next w:val="Normal"/>
    <w:link w:val="TitleChar"/>
    <w:uiPriority w:val="10"/>
    <w:qFormat/>
    <w:rsid w:val="00A11434"/>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A11434"/>
    <w:rPr>
      <w:rFonts w:ascii="Arial" w:eastAsiaTheme="majorEastAsia" w:hAnsi="Arial" w:cstheme="majorBidi"/>
      <w:b/>
      <w:caps/>
      <w:spacing w:val="5"/>
      <w:kern w:val="28"/>
      <w:sz w:val="40"/>
      <w:szCs w:val="52"/>
    </w:rPr>
  </w:style>
  <w:style w:type="paragraph" w:styleId="NoSpacing">
    <w:name w:val="No Spacing"/>
    <w:uiPriority w:val="1"/>
    <w:rsid w:val="00A11434"/>
    <w:pPr>
      <w:spacing w:after="120" w:line="240" w:lineRule="auto"/>
    </w:pPr>
    <w:rPr>
      <w:rFonts w:ascii="Arial" w:eastAsia="Times New Roman" w:hAnsi="Arial" w:cs="Times New Roman"/>
      <w:lang w:eastAsia="en-US"/>
    </w:rPr>
  </w:style>
  <w:style w:type="character" w:customStyle="1" w:styleId="Heading1Char">
    <w:name w:val="Heading 1 Char"/>
    <w:basedOn w:val="DefaultParagraphFont"/>
    <w:link w:val="Heading1"/>
    <w:rsid w:val="00A11434"/>
    <w:rPr>
      <w:rFonts w:ascii="Arial" w:eastAsia="Times New Roman" w:hAnsi="Arial" w:cs="Arial"/>
      <w:b/>
      <w:sz w:val="32"/>
      <w:szCs w:val="24"/>
    </w:rPr>
  </w:style>
  <w:style w:type="character" w:customStyle="1" w:styleId="Heading2Char">
    <w:name w:val="Heading 2 Char"/>
    <w:basedOn w:val="DefaultParagraphFont"/>
    <w:link w:val="Heading2"/>
    <w:rsid w:val="00A11434"/>
    <w:rPr>
      <w:rFonts w:ascii="Arial" w:eastAsia="Times New Roman" w:hAnsi="Arial" w:cs="Arial"/>
      <w:b/>
      <w:bCs/>
      <w:iCs/>
      <w:sz w:val="28"/>
      <w:szCs w:val="28"/>
    </w:rPr>
  </w:style>
  <w:style w:type="character" w:customStyle="1" w:styleId="Heading3Char">
    <w:name w:val="Heading 3 Char"/>
    <w:basedOn w:val="DefaultParagraphFont"/>
    <w:link w:val="Heading3"/>
    <w:rsid w:val="00A11434"/>
    <w:rPr>
      <w:rFonts w:ascii="Arial" w:eastAsia="Times New Roman" w:hAnsi="Arial" w:cs="Arial"/>
      <w:b/>
      <w:bCs/>
      <w:i/>
      <w:sz w:val="24"/>
      <w:szCs w:val="26"/>
    </w:rPr>
  </w:style>
  <w:style w:type="character" w:styleId="Emphasis">
    <w:name w:val="Emphasis"/>
    <w:uiPriority w:val="20"/>
    <w:qFormat/>
    <w:rsid w:val="00A11434"/>
    <w:rPr>
      <w:rFonts w:ascii="Arial" w:hAnsi="Arial"/>
      <w:i/>
      <w:iCs/>
      <w:sz w:val="22"/>
    </w:rPr>
  </w:style>
  <w:style w:type="paragraph" w:customStyle="1" w:styleId="Dotpoint1">
    <w:name w:val="Dot point 1"/>
    <w:basedOn w:val="Normal"/>
    <w:link w:val="Dotpoint1Char"/>
    <w:rsid w:val="00DE658F"/>
  </w:style>
  <w:style w:type="paragraph" w:customStyle="1" w:styleId="Dotpoint2">
    <w:name w:val="Dot point 2"/>
    <w:basedOn w:val="Dotpoint1"/>
    <w:link w:val="Dotpoint2Char"/>
    <w:rsid w:val="00351FB1"/>
  </w:style>
  <w:style w:type="character" w:customStyle="1" w:styleId="Dotpoint1Char">
    <w:name w:val="Dot point 1 Char"/>
    <w:basedOn w:val="DefaultParagraphFont"/>
    <w:link w:val="Dotpoint1"/>
    <w:rsid w:val="00DE658F"/>
    <w:rPr>
      <w:rFonts w:ascii="Trebuchet MS" w:hAnsi="Trebuchet MS"/>
    </w:rPr>
  </w:style>
  <w:style w:type="paragraph" w:customStyle="1" w:styleId="Dotpoint3">
    <w:name w:val="Dot point 3"/>
    <w:basedOn w:val="Dotpoint1"/>
    <w:link w:val="Dotpoint3Char"/>
    <w:rsid w:val="00DE658F"/>
  </w:style>
  <w:style w:type="character" w:customStyle="1" w:styleId="Dotpoint2Char">
    <w:name w:val="Dot point 2 Char"/>
    <w:basedOn w:val="DefaultParagraphFont"/>
    <w:link w:val="Dotpoint2"/>
    <w:rsid w:val="00351FB1"/>
    <w:rPr>
      <w:rFonts w:ascii="Trebuchet MS" w:hAnsi="Trebuchet MS"/>
    </w:rPr>
  </w:style>
  <w:style w:type="paragraph" w:customStyle="1" w:styleId="Tabletext">
    <w:name w:val="Table text"/>
    <w:basedOn w:val="Normal"/>
    <w:link w:val="TabletextChar"/>
    <w:qFormat/>
    <w:rsid w:val="00A11434"/>
    <w:pPr>
      <w:spacing w:before="60" w:after="60"/>
    </w:pPr>
    <w:rPr>
      <w:rFonts w:cs="Arial"/>
    </w:rPr>
  </w:style>
  <w:style w:type="character" w:customStyle="1" w:styleId="Dotpoint3Char">
    <w:name w:val="Dot point 3 Char"/>
    <w:basedOn w:val="Dotpoint1Char"/>
    <w:link w:val="Dotpoint3"/>
    <w:rsid w:val="00DE658F"/>
    <w:rPr>
      <w:rFonts w:ascii="Trebuchet MS" w:hAnsi="Trebuchet MS"/>
    </w:rPr>
  </w:style>
  <w:style w:type="table" w:styleId="TableGrid">
    <w:name w:val="Table Grid"/>
    <w:basedOn w:val="TableNormal"/>
    <w:uiPriority w:val="59"/>
    <w:rsid w:val="00A11434"/>
    <w:pPr>
      <w:spacing w:after="120" w:line="240" w:lineRule="auto"/>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11434"/>
    <w:rPr>
      <w:rFonts w:ascii="Arial" w:eastAsia="Times New Roman" w:hAnsi="Arial" w:cs="Arial"/>
      <w:szCs w:val="24"/>
    </w:rPr>
  </w:style>
  <w:style w:type="paragraph" w:styleId="FootnoteText">
    <w:name w:val="footnote text"/>
    <w:aliases w:val=" Char"/>
    <w:basedOn w:val="Normal"/>
    <w:link w:val="FootnoteTextChar"/>
    <w:uiPriority w:val="99"/>
    <w:unhideWhenUsed/>
    <w:rsid w:val="00A11434"/>
    <w:rPr>
      <w:sz w:val="18"/>
    </w:rPr>
  </w:style>
  <w:style w:type="character" w:customStyle="1" w:styleId="FootnoteTextChar">
    <w:name w:val="Footnote Text Char"/>
    <w:aliases w:val=" Char Char"/>
    <w:link w:val="FootnoteText"/>
    <w:uiPriority w:val="99"/>
    <w:rsid w:val="00A11434"/>
    <w:rPr>
      <w:rFonts w:ascii="Arial" w:eastAsia="Times New Roman" w:hAnsi="Arial" w:cs="Times New Roman"/>
      <w:sz w:val="18"/>
      <w:szCs w:val="24"/>
    </w:rPr>
  </w:style>
  <w:style w:type="character" w:styleId="FootnoteReference">
    <w:name w:val="footnote reference"/>
    <w:uiPriority w:val="99"/>
    <w:unhideWhenUsed/>
    <w:qFormat/>
    <w:rsid w:val="00A11434"/>
    <w:rPr>
      <w:rFonts w:ascii="Arial" w:hAnsi="Arial"/>
      <w:i w:val="0"/>
      <w:color w:val="595959" w:themeColor="text1" w:themeTint="A6"/>
      <w:sz w:val="18"/>
      <w:vertAlign w:val="superscript"/>
    </w:rPr>
  </w:style>
  <w:style w:type="paragraph" w:customStyle="1" w:styleId="Footnotes">
    <w:name w:val="Footnotes"/>
    <w:basedOn w:val="FootnoteText"/>
    <w:link w:val="FootnotesChar"/>
    <w:qFormat/>
    <w:rsid w:val="003D2848"/>
    <w:pPr>
      <w:tabs>
        <w:tab w:val="left" w:pos="425"/>
      </w:tabs>
      <w:spacing w:after="120"/>
      <w:ind w:left="113" w:hanging="113"/>
    </w:pPr>
    <w:rPr>
      <w:szCs w:val="20"/>
    </w:rPr>
  </w:style>
  <w:style w:type="character" w:customStyle="1" w:styleId="Heading4Char">
    <w:name w:val="Heading 4 Char"/>
    <w:link w:val="Heading4"/>
    <w:uiPriority w:val="9"/>
    <w:rsid w:val="00A11434"/>
    <w:rPr>
      <w:rFonts w:ascii="Arial" w:eastAsia="Times New Roman" w:hAnsi="Arial" w:cs="Arial"/>
      <w:b/>
      <w:iCs/>
      <w:szCs w:val="26"/>
    </w:rPr>
  </w:style>
  <w:style w:type="character" w:customStyle="1" w:styleId="FootnotesChar">
    <w:name w:val="Footnotes Char"/>
    <w:basedOn w:val="FootnoteTextChar"/>
    <w:link w:val="Footnotes"/>
    <w:rsid w:val="003D2848"/>
    <w:rPr>
      <w:rFonts w:ascii="Arial" w:eastAsia="Times New Roman" w:hAnsi="Arial" w:cs="Times New Roman"/>
      <w:sz w:val="18"/>
      <w:szCs w:val="20"/>
    </w:rPr>
  </w:style>
  <w:style w:type="paragraph" w:styleId="IntenseQuote">
    <w:name w:val="Intense Quote"/>
    <w:basedOn w:val="Normal"/>
    <w:next w:val="Normal"/>
    <w:link w:val="IntenseQuoteChar"/>
    <w:uiPriority w:val="30"/>
    <w:rsid w:val="004018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18B5"/>
    <w:rPr>
      <w:rFonts w:ascii="Trebuchet MS" w:hAnsi="Trebuchet MS"/>
      <w:i/>
      <w:iCs/>
      <w:color w:val="4F81BD" w:themeColor="accent1"/>
    </w:rPr>
  </w:style>
  <w:style w:type="paragraph" w:customStyle="1" w:styleId="Number1">
    <w:name w:val="Number 1"/>
    <w:basedOn w:val="Normal"/>
    <w:link w:val="Number1Char"/>
    <w:rsid w:val="00693F2B"/>
    <w:pPr>
      <w:numPr>
        <w:numId w:val="1"/>
      </w:numPr>
      <w:ind w:left="425" w:hanging="425"/>
    </w:pPr>
  </w:style>
  <w:style w:type="paragraph" w:styleId="BalloonText">
    <w:name w:val="Balloon Text"/>
    <w:basedOn w:val="Normal"/>
    <w:link w:val="BalloonTextChar"/>
    <w:uiPriority w:val="99"/>
    <w:semiHidden/>
    <w:unhideWhenUsed/>
    <w:rsid w:val="00A11434"/>
    <w:pPr>
      <w:spacing w:after="0"/>
    </w:pPr>
    <w:rPr>
      <w:rFonts w:cs="Tahoma"/>
      <w:sz w:val="16"/>
      <w:szCs w:val="16"/>
    </w:rPr>
  </w:style>
  <w:style w:type="character" w:customStyle="1" w:styleId="Number1Char">
    <w:name w:val="Number 1 Char"/>
    <w:basedOn w:val="DefaultParagraphFont"/>
    <w:link w:val="Number1"/>
    <w:rsid w:val="00693F2B"/>
    <w:rPr>
      <w:rFonts w:ascii="Arial" w:eastAsia="Times New Roman" w:hAnsi="Arial" w:cs="Times New Roman"/>
      <w:szCs w:val="24"/>
    </w:rPr>
  </w:style>
  <w:style w:type="character" w:customStyle="1" w:styleId="BalloonTextChar">
    <w:name w:val="Balloon Text Char"/>
    <w:basedOn w:val="DefaultParagraphFont"/>
    <w:link w:val="BalloonText"/>
    <w:uiPriority w:val="99"/>
    <w:semiHidden/>
    <w:rsid w:val="00A11434"/>
    <w:rPr>
      <w:rFonts w:ascii="Arial" w:eastAsia="Times New Roman" w:hAnsi="Arial" w:cs="Tahoma"/>
      <w:sz w:val="16"/>
      <w:szCs w:val="16"/>
    </w:rPr>
  </w:style>
  <w:style w:type="numbering" w:styleId="111111">
    <w:name w:val="Outline List 2"/>
    <w:basedOn w:val="NoList"/>
    <w:uiPriority w:val="99"/>
    <w:semiHidden/>
    <w:unhideWhenUsed/>
    <w:rsid w:val="00A11434"/>
    <w:pPr>
      <w:numPr>
        <w:numId w:val="2"/>
      </w:numPr>
    </w:pPr>
  </w:style>
  <w:style w:type="paragraph" w:customStyle="1" w:styleId="APRASignature">
    <w:name w:val="APRA Signature"/>
    <w:basedOn w:val="Normal"/>
    <w:link w:val="APRASignatureChar"/>
    <w:rsid w:val="00A11434"/>
    <w:pPr>
      <w:spacing w:after="0"/>
    </w:pPr>
    <w:rPr>
      <w:i/>
    </w:rPr>
  </w:style>
  <w:style w:type="character" w:customStyle="1" w:styleId="APRASignatureChar">
    <w:name w:val="APRA Signature Char"/>
    <w:basedOn w:val="DefaultParagraphFont"/>
    <w:link w:val="APRASignature"/>
    <w:rsid w:val="00A11434"/>
    <w:rPr>
      <w:rFonts w:ascii="Arial" w:eastAsia="Times New Roman" w:hAnsi="Arial" w:cs="Times New Roman"/>
      <w:i/>
      <w:szCs w:val="24"/>
    </w:rPr>
  </w:style>
  <w:style w:type="table" w:customStyle="1" w:styleId="APRAWorkingPaperTable">
    <w:name w:val="APRA Working Paper Table"/>
    <w:basedOn w:val="TableNormal"/>
    <w:uiPriority w:val="99"/>
    <w:rsid w:val="00A11434"/>
    <w:pPr>
      <w:spacing w:after="0" w:line="240" w:lineRule="auto"/>
    </w:pPr>
    <w:rPr>
      <w:rFonts w:ascii="Arial" w:eastAsia="Times New Roman" w:hAnsi="Arial" w:cs="Times New Roman"/>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lockText">
    <w:name w:val="Block Text"/>
    <w:basedOn w:val="Normal"/>
    <w:uiPriority w:val="99"/>
    <w:semiHidden/>
    <w:unhideWhenUsed/>
    <w:rsid w:val="00A114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A11434"/>
  </w:style>
  <w:style w:type="character" w:customStyle="1" w:styleId="BodyTextChar">
    <w:name w:val="Body Text Char"/>
    <w:basedOn w:val="DefaultParagraphFont"/>
    <w:link w:val="BodyText"/>
    <w:uiPriority w:val="99"/>
    <w:semiHidden/>
    <w:rsid w:val="00A11434"/>
    <w:rPr>
      <w:rFonts w:ascii="Arial" w:eastAsia="Times New Roman" w:hAnsi="Arial" w:cs="Times New Roman"/>
      <w:szCs w:val="24"/>
    </w:rPr>
  </w:style>
  <w:style w:type="character" w:styleId="BookTitle">
    <w:name w:val="Book Title"/>
    <w:basedOn w:val="DefaultParagraphFont"/>
    <w:uiPriority w:val="33"/>
    <w:rsid w:val="00A11434"/>
    <w:rPr>
      <w:b/>
      <w:bCs/>
      <w:i/>
      <w:iCs/>
      <w:spacing w:val="5"/>
    </w:rPr>
  </w:style>
  <w:style w:type="paragraph" w:customStyle="1" w:styleId="Bullet">
    <w:name w:val="Bullet"/>
    <w:basedOn w:val="Normal"/>
    <w:link w:val="BulletChar"/>
    <w:rsid w:val="00A11434"/>
    <w:pPr>
      <w:numPr>
        <w:numId w:val="3"/>
      </w:numPr>
      <w:tabs>
        <w:tab w:val="left" w:pos="1935"/>
      </w:tabs>
      <w:spacing w:before="120"/>
    </w:pPr>
    <w:rPr>
      <w:sz w:val="24"/>
    </w:rPr>
  </w:style>
  <w:style w:type="character" w:customStyle="1" w:styleId="BulletChar">
    <w:name w:val="Bullet Char"/>
    <w:link w:val="Bullet"/>
    <w:rsid w:val="00A11434"/>
    <w:rPr>
      <w:rFonts w:ascii="Arial" w:eastAsia="Times New Roman" w:hAnsi="Arial" w:cs="Times New Roman"/>
      <w:sz w:val="24"/>
      <w:szCs w:val="24"/>
    </w:rPr>
  </w:style>
  <w:style w:type="paragraph" w:customStyle="1" w:styleId="Bullet10">
    <w:name w:val="Bullet 1"/>
    <w:basedOn w:val="Normal"/>
    <w:link w:val="Bullet1Char"/>
    <w:rsid w:val="00A11434"/>
    <w:pPr>
      <w:tabs>
        <w:tab w:val="left" w:pos="426"/>
      </w:tabs>
    </w:pPr>
    <w:rPr>
      <w:rFonts w:cs="Arial"/>
      <w:color w:val="000000"/>
      <w:szCs w:val="22"/>
    </w:rPr>
  </w:style>
  <w:style w:type="character" w:customStyle="1" w:styleId="Bullet1Char">
    <w:name w:val="Bullet 1 Char"/>
    <w:basedOn w:val="DefaultParagraphFont"/>
    <w:link w:val="Bullet10"/>
    <w:rsid w:val="00A11434"/>
    <w:rPr>
      <w:rFonts w:ascii="Arial" w:eastAsia="Times New Roman" w:hAnsi="Arial" w:cs="Arial"/>
      <w:color w:val="000000"/>
    </w:rPr>
  </w:style>
  <w:style w:type="paragraph" w:customStyle="1" w:styleId="BULLET1">
    <w:name w:val="BULLET 1"/>
    <w:basedOn w:val="Normal"/>
    <w:link w:val="BULLET1Char0"/>
    <w:qFormat/>
    <w:rsid w:val="00A11434"/>
    <w:pPr>
      <w:numPr>
        <w:numId w:val="4"/>
      </w:numPr>
    </w:pPr>
    <w:rPr>
      <w:rFonts w:eastAsiaTheme="minorEastAsia" w:cstheme="minorBidi"/>
      <w:szCs w:val="22"/>
    </w:rPr>
  </w:style>
  <w:style w:type="character" w:customStyle="1" w:styleId="BULLET1Char0">
    <w:name w:val="BULLET 1 Char"/>
    <w:basedOn w:val="DefaultParagraphFont"/>
    <w:link w:val="BULLET1"/>
    <w:rsid w:val="00A11434"/>
    <w:rPr>
      <w:rFonts w:ascii="Arial" w:hAnsi="Arial"/>
    </w:rPr>
  </w:style>
  <w:style w:type="paragraph" w:customStyle="1" w:styleId="Bullet20">
    <w:name w:val="Bullet 2"/>
    <w:basedOn w:val="Normal"/>
    <w:link w:val="Bullet2Char"/>
    <w:rsid w:val="00A11434"/>
    <w:pPr>
      <w:spacing w:before="240"/>
    </w:pPr>
    <w:rPr>
      <w:rFonts w:cs="Arial"/>
      <w:color w:val="000000"/>
      <w:szCs w:val="22"/>
    </w:rPr>
  </w:style>
  <w:style w:type="character" w:customStyle="1" w:styleId="Bullet2Char">
    <w:name w:val="Bullet 2 Char"/>
    <w:basedOn w:val="DefaultParagraphFont"/>
    <w:link w:val="Bullet20"/>
    <w:rsid w:val="00A11434"/>
    <w:rPr>
      <w:rFonts w:ascii="Arial" w:eastAsia="Times New Roman" w:hAnsi="Arial" w:cs="Arial"/>
      <w:color w:val="000000"/>
    </w:rPr>
  </w:style>
  <w:style w:type="paragraph" w:customStyle="1" w:styleId="BULLET2">
    <w:name w:val="BULLET 2"/>
    <w:basedOn w:val="BULLET1"/>
    <w:link w:val="BULLET2Char0"/>
    <w:qFormat/>
    <w:rsid w:val="00A11434"/>
    <w:pPr>
      <w:numPr>
        <w:numId w:val="5"/>
      </w:numPr>
    </w:pPr>
  </w:style>
  <w:style w:type="character" w:customStyle="1" w:styleId="BULLET2Char0">
    <w:name w:val="BULLET 2 Char"/>
    <w:basedOn w:val="DefaultParagraphFont"/>
    <w:link w:val="BULLET2"/>
    <w:rsid w:val="00A11434"/>
    <w:rPr>
      <w:rFonts w:ascii="Arial" w:hAnsi="Arial"/>
    </w:rPr>
  </w:style>
  <w:style w:type="paragraph" w:customStyle="1" w:styleId="Bullet30">
    <w:name w:val="Bullet 3"/>
    <w:basedOn w:val="Normal"/>
    <w:link w:val="Bullet3Char"/>
    <w:rsid w:val="00A11434"/>
    <w:rPr>
      <w:rFonts w:cs="Arial"/>
      <w:color w:val="000000"/>
    </w:rPr>
  </w:style>
  <w:style w:type="character" w:customStyle="1" w:styleId="Bullet3Char">
    <w:name w:val="Bullet 3 Char"/>
    <w:basedOn w:val="Bullet1Char"/>
    <w:link w:val="Bullet30"/>
    <w:rsid w:val="00A11434"/>
    <w:rPr>
      <w:rFonts w:ascii="Arial" w:eastAsia="Times New Roman" w:hAnsi="Arial" w:cs="Arial"/>
      <w:color w:val="000000"/>
      <w:szCs w:val="24"/>
    </w:rPr>
  </w:style>
  <w:style w:type="paragraph" w:customStyle="1" w:styleId="BULLET3">
    <w:name w:val="BULLET 3"/>
    <w:basedOn w:val="BULLET1"/>
    <w:link w:val="BULLET3Char0"/>
    <w:qFormat/>
    <w:rsid w:val="009C58A6"/>
    <w:pPr>
      <w:numPr>
        <w:numId w:val="6"/>
      </w:numPr>
      <w:ind w:left="1208" w:hanging="357"/>
    </w:pPr>
  </w:style>
  <w:style w:type="character" w:customStyle="1" w:styleId="BULLET3Char0">
    <w:name w:val="BULLET 3 Char"/>
    <w:basedOn w:val="BULLET1Char0"/>
    <w:link w:val="BULLET3"/>
    <w:rsid w:val="009C58A6"/>
    <w:rPr>
      <w:rFonts w:ascii="Arial" w:hAnsi="Arial"/>
    </w:rPr>
  </w:style>
  <w:style w:type="table" w:styleId="ColorfulGrid">
    <w:name w:val="Colorful Grid"/>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434"/>
    <w:pPr>
      <w:spacing w:after="0" w:line="240" w:lineRule="auto"/>
    </w:pPr>
    <w:rPr>
      <w:rFonts w:ascii="Arial" w:eastAsia="Times New Roman" w:hAnsi="Arial" w:cs="Times New Roman"/>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A1143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A11434"/>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A11434"/>
    <w:rPr>
      <w:color w:val="800080" w:themeColor="followedHyperlink"/>
      <w:u w:val="single"/>
    </w:rPr>
  </w:style>
  <w:style w:type="table" w:styleId="GridTable1Light">
    <w:name w:val="Grid Table 1 Light"/>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5Char">
    <w:name w:val="Heading 5 Char"/>
    <w:link w:val="Heading5"/>
    <w:uiPriority w:val="9"/>
    <w:rsid w:val="00A11434"/>
    <w:rPr>
      <w:rFonts w:ascii="Arial" w:eastAsia="Times New Roman" w:hAnsi="Arial" w:cs="Arial"/>
      <w:b/>
      <w:i/>
      <w:iCs/>
      <w:szCs w:val="26"/>
    </w:rPr>
  </w:style>
  <w:style w:type="character" w:customStyle="1" w:styleId="Heading6Char">
    <w:name w:val="Heading 6 Char"/>
    <w:link w:val="Heading6"/>
    <w:uiPriority w:val="9"/>
    <w:rsid w:val="00A11434"/>
    <w:rPr>
      <w:rFonts w:ascii="Arial" w:eastAsia="Times New Roman" w:hAnsi="Arial" w:cs="Arial"/>
      <w:i/>
      <w:iCs/>
      <w:szCs w:val="26"/>
    </w:rPr>
  </w:style>
  <w:style w:type="character" w:customStyle="1" w:styleId="Heading7Char">
    <w:name w:val="Heading 7 Char"/>
    <w:link w:val="Heading7"/>
    <w:uiPriority w:val="9"/>
    <w:rsid w:val="00A11434"/>
    <w:rPr>
      <w:rFonts w:ascii="Arial" w:eastAsia="Times New Roman" w:hAnsi="Arial" w:cs="Arial"/>
      <w:b/>
      <w:iCs/>
      <w:color w:val="404040"/>
    </w:rPr>
  </w:style>
  <w:style w:type="character" w:customStyle="1" w:styleId="Heading8Char">
    <w:name w:val="Heading 8 Char"/>
    <w:basedOn w:val="DefaultParagraphFont"/>
    <w:link w:val="Heading8"/>
    <w:uiPriority w:val="9"/>
    <w:rsid w:val="00A1143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11434"/>
    <w:rPr>
      <w:rFonts w:ascii="Arial" w:eastAsiaTheme="majorEastAsia" w:hAnsi="Arial" w:cstheme="majorBidi"/>
      <w:i/>
      <w:iCs/>
      <w:color w:val="404040" w:themeColor="text1" w:themeTint="BF"/>
      <w:sz w:val="20"/>
      <w:szCs w:val="20"/>
    </w:rPr>
  </w:style>
  <w:style w:type="paragraph" w:styleId="Index1">
    <w:name w:val="index 1"/>
    <w:basedOn w:val="Normal"/>
    <w:next w:val="Normal"/>
    <w:autoRedefine/>
    <w:uiPriority w:val="99"/>
    <w:semiHidden/>
    <w:unhideWhenUsed/>
    <w:rsid w:val="00A11434"/>
    <w:pPr>
      <w:spacing w:after="0"/>
      <w:ind w:left="220" w:hanging="220"/>
    </w:pPr>
  </w:style>
  <w:style w:type="paragraph" w:styleId="IndexHeading">
    <w:name w:val="index heading"/>
    <w:basedOn w:val="Normal"/>
    <w:next w:val="Index1"/>
    <w:uiPriority w:val="99"/>
    <w:semiHidden/>
    <w:unhideWhenUsed/>
    <w:rsid w:val="00A11434"/>
    <w:rPr>
      <w:rFonts w:eastAsiaTheme="majorEastAsia" w:cstheme="majorBidi"/>
      <w:b/>
      <w:bCs/>
    </w:rPr>
  </w:style>
  <w:style w:type="character" w:styleId="IntenseEmphasis">
    <w:name w:val="Intense Emphasis"/>
    <w:uiPriority w:val="21"/>
    <w:rsid w:val="00A11434"/>
    <w:rPr>
      <w:rFonts w:ascii="Trebuchet MS" w:hAnsi="Trebuchet MS"/>
      <w:b/>
      <w:bCs/>
      <w:i/>
      <w:iCs/>
      <w:color w:val="000000" w:themeColor="text1"/>
      <w:sz w:val="22"/>
    </w:rPr>
  </w:style>
  <w:style w:type="table" w:styleId="LightGrid">
    <w:name w:val="Light Grid"/>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434"/>
    <w:pPr>
      <w:spacing w:after="0" w:line="240" w:lineRule="auto"/>
    </w:pPr>
    <w:rPr>
      <w:rFonts w:ascii="Arial" w:eastAsia="Times New Roman" w:hAnsi="Arial" w:cs="Times New Roman"/>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A11434"/>
    <w:pPr>
      <w:ind w:left="283" w:hanging="283"/>
      <w:contextualSpacing/>
    </w:pPr>
  </w:style>
  <w:style w:type="paragraph" w:styleId="List2">
    <w:name w:val="List 2"/>
    <w:basedOn w:val="Normal"/>
    <w:uiPriority w:val="99"/>
    <w:unhideWhenUsed/>
    <w:rsid w:val="00A11434"/>
    <w:pPr>
      <w:ind w:left="566" w:hanging="283"/>
      <w:contextualSpacing/>
    </w:pPr>
  </w:style>
  <w:style w:type="paragraph" w:styleId="List3">
    <w:name w:val="List 3"/>
    <w:basedOn w:val="Normal"/>
    <w:uiPriority w:val="99"/>
    <w:unhideWhenUsed/>
    <w:rsid w:val="00A11434"/>
    <w:pPr>
      <w:ind w:left="849" w:hanging="283"/>
      <w:contextualSpacing/>
    </w:pPr>
  </w:style>
  <w:style w:type="paragraph" w:styleId="List4">
    <w:name w:val="List 4"/>
    <w:basedOn w:val="Normal"/>
    <w:uiPriority w:val="99"/>
    <w:unhideWhenUsed/>
    <w:rsid w:val="00A11434"/>
    <w:pPr>
      <w:ind w:left="1132" w:hanging="283"/>
      <w:contextualSpacing/>
    </w:pPr>
  </w:style>
  <w:style w:type="paragraph" w:styleId="ListBullet">
    <w:name w:val="List Bullet"/>
    <w:basedOn w:val="List"/>
    <w:uiPriority w:val="99"/>
    <w:unhideWhenUsed/>
    <w:rsid w:val="00A11434"/>
    <w:pPr>
      <w:numPr>
        <w:numId w:val="7"/>
      </w:numPr>
      <w:contextualSpacing w:val="0"/>
    </w:pPr>
  </w:style>
  <w:style w:type="paragraph" w:styleId="ListNumber">
    <w:name w:val="List Number"/>
    <w:basedOn w:val="Normal"/>
    <w:uiPriority w:val="99"/>
    <w:unhideWhenUsed/>
    <w:rsid w:val="00A11434"/>
    <w:pPr>
      <w:numPr>
        <w:numId w:val="8"/>
      </w:numPr>
      <w:contextualSpacing/>
    </w:pPr>
  </w:style>
  <w:style w:type="paragraph" w:styleId="ListNumber2">
    <w:name w:val="List Number 2"/>
    <w:basedOn w:val="Normal"/>
    <w:uiPriority w:val="99"/>
    <w:unhideWhenUsed/>
    <w:rsid w:val="00A11434"/>
    <w:pPr>
      <w:numPr>
        <w:numId w:val="9"/>
      </w:numPr>
      <w:contextualSpacing/>
    </w:pPr>
  </w:style>
  <w:style w:type="paragraph" w:styleId="ListNumber3">
    <w:name w:val="List Number 3"/>
    <w:basedOn w:val="Normal"/>
    <w:link w:val="ListNumber3Char"/>
    <w:uiPriority w:val="99"/>
    <w:unhideWhenUsed/>
    <w:rsid w:val="00A11434"/>
    <w:pPr>
      <w:numPr>
        <w:numId w:val="10"/>
      </w:numPr>
      <w:contextualSpacing/>
    </w:pPr>
  </w:style>
  <w:style w:type="character" w:customStyle="1" w:styleId="ListNumber3Char">
    <w:name w:val="List Number 3 Char"/>
    <w:basedOn w:val="DefaultParagraphFont"/>
    <w:link w:val="ListNumber3"/>
    <w:uiPriority w:val="99"/>
    <w:rsid w:val="00A11434"/>
    <w:rPr>
      <w:rFonts w:ascii="Arial" w:eastAsia="Times New Roman" w:hAnsi="Arial" w:cs="Times New Roman"/>
      <w:szCs w:val="24"/>
    </w:rPr>
  </w:style>
  <w:style w:type="paragraph" w:styleId="ListNumber4">
    <w:name w:val="List Number 4"/>
    <w:basedOn w:val="Normal"/>
    <w:uiPriority w:val="99"/>
    <w:semiHidden/>
    <w:unhideWhenUsed/>
    <w:rsid w:val="00A11434"/>
    <w:pPr>
      <w:numPr>
        <w:numId w:val="11"/>
      </w:numPr>
      <w:contextualSpacing/>
    </w:pPr>
  </w:style>
  <w:style w:type="paragraph" w:styleId="ListNumber5">
    <w:name w:val="List Number 5"/>
    <w:basedOn w:val="Normal"/>
    <w:uiPriority w:val="99"/>
    <w:semiHidden/>
    <w:unhideWhenUsed/>
    <w:rsid w:val="00A11434"/>
    <w:pPr>
      <w:numPr>
        <w:numId w:val="12"/>
      </w:numPr>
      <w:contextualSpacing/>
    </w:pPr>
  </w:style>
  <w:style w:type="paragraph" w:styleId="ListParagraph">
    <w:name w:val="List Paragraph"/>
    <w:basedOn w:val="Normal"/>
    <w:uiPriority w:val="34"/>
    <w:rsid w:val="00A11434"/>
    <w:pPr>
      <w:ind w:left="720"/>
      <w:contextualSpacing/>
    </w:pPr>
  </w:style>
  <w:style w:type="table" w:styleId="ListTable1Light">
    <w:name w:val="List Table 1 Light"/>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434"/>
    <w:pPr>
      <w:spacing w:after="0" w:line="240" w:lineRule="auto"/>
    </w:pPr>
    <w:rPr>
      <w:rFonts w:ascii="Arial" w:eastAsia="Times New Roman" w:hAnsi="Arial" w:cs="Times New Roman"/>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434"/>
    <w:pPr>
      <w:spacing w:after="0" w:line="240" w:lineRule="auto"/>
    </w:pPr>
    <w:rPr>
      <w:rFonts w:ascii="Arial" w:eastAsia="Times New Roman" w:hAnsi="Arial" w:cs="Times New Roman"/>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434"/>
    <w:pPr>
      <w:spacing w:after="0" w:line="240" w:lineRule="auto"/>
    </w:pPr>
    <w:rPr>
      <w:rFonts w:ascii="Arial" w:eastAsia="Times New Roman" w:hAnsi="Arial" w:cs="Times New Roman"/>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434"/>
    <w:pPr>
      <w:spacing w:after="0" w:line="240" w:lineRule="auto"/>
    </w:pPr>
    <w:rPr>
      <w:rFonts w:ascii="Arial" w:eastAsia="Times New Roman" w:hAnsi="Arial" w:cs="Times New Roman"/>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434"/>
    <w:pPr>
      <w:spacing w:after="0" w:line="240" w:lineRule="auto"/>
    </w:pPr>
    <w:rPr>
      <w:rFonts w:ascii="Arial" w:eastAsia="Times New Roman" w:hAnsi="Arial" w:cs="Times New Roman"/>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434"/>
    <w:pPr>
      <w:spacing w:after="0" w:line="240" w:lineRule="auto"/>
    </w:pPr>
    <w:rPr>
      <w:rFonts w:ascii="Arial" w:eastAsia="Times New Roman" w:hAnsi="Arial" w:cs="Times New Roman"/>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434"/>
    <w:pPr>
      <w:spacing w:after="0" w:line="240" w:lineRule="auto"/>
    </w:pPr>
    <w:rPr>
      <w:rFonts w:ascii="Arial" w:eastAsia="Times New Roman" w:hAnsi="Arial" w:cs="Times New Roman"/>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4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A11434"/>
    <w:rPr>
      <w:rFonts w:ascii="Arial" w:eastAsia="Times New Roman" w:hAnsi="Arial" w:cs="Times New Roman"/>
      <w:sz w:val="20"/>
      <w:szCs w:val="20"/>
    </w:rPr>
  </w:style>
  <w:style w:type="table" w:styleId="MediumGrid1">
    <w:name w:val="Medium Grid 1"/>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434"/>
    <w:pPr>
      <w:spacing w:after="0" w:line="240" w:lineRule="auto"/>
    </w:pPr>
    <w:rPr>
      <w:rFonts w:ascii="Arial" w:eastAsia="Times New Roman" w:hAnsi="Arial" w:cs="Times New Roman"/>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434"/>
    <w:pPr>
      <w:spacing w:after="0" w:line="240" w:lineRule="auto"/>
    </w:pPr>
    <w:rPr>
      <w:rFonts w:ascii="Arial" w:eastAsiaTheme="majorEastAsia" w:hAnsi="Arial"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434"/>
    <w:pPr>
      <w:spacing w:after="0" w:line="240" w:lineRule="auto"/>
    </w:pPr>
    <w:rPr>
      <w:rFonts w:ascii="Arial" w:eastAsia="Times New Roman" w:hAnsi="Arial"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114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A11434"/>
    <w:rPr>
      <w:rFonts w:ascii="Arial" w:eastAsiaTheme="majorEastAsia" w:hAnsi="Arial" w:cstheme="majorBidi"/>
      <w:sz w:val="24"/>
      <w:szCs w:val="24"/>
      <w:shd w:val="pct20" w:color="auto" w:fill="auto"/>
    </w:rPr>
  </w:style>
  <w:style w:type="paragraph" w:customStyle="1" w:styleId="Nonchapterheading">
    <w:name w:val="Non chapter heading"/>
    <w:basedOn w:val="Heading5"/>
    <w:link w:val="NonchapterheadingChar"/>
    <w:rsid w:val="00A1143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A11434"/>
    <w:rPr>
      <w:rFonts w:ascii="Arial" w:eastAsia="Times New Roman" w:hAnsi="Arial" w:cs="Arial"/>
      <w:b/>
      <w:i/>
      <w:iCs w:val="0"/>
      <w:szCs w:val="26"/>
    </w:rPr>
  </w:style>
  <w:style w:type="paragraph" w:customStyle="1" w:styleId="Non-numberedchapterheading">
    <w:name w:val="Non-numbered chapter heading"/>
    <w:basedOn w:val="Heading5"/>
    <w:link w:val="Non-numberedchapterheadingChar"/>
    <w:rsid w:val="00A1143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A11434"/>
    <w:rPr>
      <w:rFonts w:ascii="Arial" w:eastAsia="Times New Roman" w:hAnsi="Arial" w:cs="Arial"/>
      <w:b/>
      <w:i/>
      <w:iCs w:val="0"/>
      <w:szCs w:val="26"/>
    </w:rPr>
  </w:style>
  <w:style w:type="paragraph" w:styleId="NormalWeb">
    <w:name w:val="Normal (Web)"/>
    <w:basedOn w:val="Normal"/>
    <w:uiPriority w:val="99"/>
    <w:semiHidden/>
    <w:unhideWhenUsed/>
    <w:rsid w:val="00A11434"/>
    <w:rPr>
      <w:sz w:val="24"/>
    </w:rPr>
  </w:style>
  <w:style w:type="paragraph" w:customStyle="1" w:styleId="NumberedList">
    <w:name w:val="Numbered List"/>
    <w:basedOn w:val="ListNumber3"/>
    <w:link w:val="NumberedListChar"/>
    <w:rsid w:val="00A11434"/>
    <w:pPr>
      <w:numPr>
        <w:numId w:val="13"/>
      </w:numPr>
    </w:pPr>
  </w:style>
  <w:style w:type="character" w:customStyle="1" w:styleId="NumberedListChar">
    <w:name w:val="Numbered List Char"/>
    <w:basedOn w:val="ListNumber3Char"/>
    <w:link w:val="NumberedList"/>
    <w:rsid w:val="00A11434"/>
    <w:rPr>
      <w:rFonts w:ascii="Arial" w:eastAsia="Times New Roman" w:hAnsi="Arial" w:cs="Times New Roman"/>
      <w:szCs w:val="24"/>
    </w:rPr>
  </w:style>
  <w:style w:type="character" w:styleId="PlaceholderText">
    <w:name w:val="Placeholder Text"/>
    <w:basedOn w:val="DefaultParagraphFont"/>
    <w:uiPriority w:val="99"/>
    <w:semiHidden/>
    <w:rsid w:val="00A11434"/>
    <w:rPr>
      <w:color w:val="808080"/>
    </w:rPr>
  </w:style>
  <w:style w:type="table" w:styleId="PlainTable1">
    <w:name w:val="Plain Table 1"/>
    <w:basedOn w:val="TableNormal"/>
    <w:uiPriority w:val="41"/>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434"/>
    <w:pPr>
      <w:spacing w:after="0" w:line="240" w:lineRule="auto"/>
    </w:pPr>
    <w:rPr>
      <w:rFonts w:ascii="Arial" w:eastAsia="Times New Roman" w:hAnsi="Arial" w:cs="Times New Roman"/>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434"/>
    <w:pPr>
      <w:spacing w:after="0" w:line="240" w:lineRule="auto"/>
    </w:pPr>
    <w:rPr>
      <w:rFonts w:ascii="Arial" w:eastAsia="Times New Roman" w:hAnsi="Arial" w:cs="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434"/>
    <w:pPr>
      <w:spacing w:after="0" w:line="240" w:lineRule="auto"/>
    </w:pPr>
    <w:rPr>
      <w:rFonts w:ascii="Arial" w:eastAsia="Times New Roman" w:hAnsi="Arial" w:cs="Times New Roman"/>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434"/>
    <w:pPr>
      <w:spacing w:after="0"/>
    </w:pPr>
    <w:rPr>
      <w:sz w:val="21"/>
      <w:szCs w:val="21"/>
    </w:rPr>
  </w:style>
  <w:style w:type="character" w:customStyle="1" w:styleId="PlainTextChar">
    <w:name w:val="Plain Text Char"/>
    <w:basedOn w:val="DefaultParagraphFont"/>
    <w:link w:val="PlainText"/>
    <w:uiPriority w:val="99"/>
    <w:semiHidden/>
    <w:rsid w:val="00A11434"/>
    <w:rPr>
      <w:rFonts w:ascii="Arial" w:eastAsia="Times New Roman" w:hAnsi="Arial" w:cs="Times New Roman"/>
      <w:sz w:val="21"/>
      <w:szCs w:val="21"/>
    </w:rPr>
  </w:style>
  <w:style w:type="paragraph" w:styleId="Quote">
    <w:name w:val="Quote"/>
    <w:basedOn w:val="Normal"/>
    <w:next w:val="Normal"/>
    <w:link w:val="QuoteChar"/>
    <w:uiPriority w:val="29"/>
    <w:qFormat/>
    <w:rsid w:val="00A11434"/>
    <w:rPr>
      <w:i/>
      <w:iCs/>
      <w:color w:val="000000"/>
    </w:rPr>
  </w:style>
  <w:style w:type="character" w:customStyle="1" w:styleId="QuoteChar">
    <w:name w:val="Quote Char"/>
    <w:link w:val="Quote"/>
    <w:uiPriority w:val="29"/>
    <w:rsid w:val="00A11434"/>
    <w:rPr>
      <w:rFonts w:ascii="Arial" w:eastAsia="Times New Roman" w:hAnsi="Arial" w:cs="Times New Roman"/>
      <w:i/>
      <w:iCs/>
      <w:color w:val="000000"/>
      <w:szCs w:val="24"/>
    </w:rPr>
  </w:style>
  <w:style w:type="character" w:styleId="Strong">
    <w:name w:val="Strong"/>
    <w:uiPriority w:val="22"/>
    <w:rsid w:val="00A11434"/>
    <w:rPr>
      <w:rFonts w:ascii="Arial" w:hAnsi="Arial"/>
      <w:b/>
      <w:bCs/>
      <w:sz w:val="22"/>
    </w:rPr>
  </w:style>
  <w:style w:type="paragraph" w:styleId="Subtitle">
    <w:name w:val="Subtitle"/>
    <w:basedOn w:val="Normal"/>
    <w:next w:val="Normal"/>
    <w:link w:val="SubtitleChar"/>
    <w:uiPriority w:val="11"/>
    <w:rsid w:val="00A11434"/>
    <w:pPr>
      <w:numPr>
        <w:ilvl w:val="1"/>
      </w:numPr>
    </w:pPr>
    <w:rPr>
      <w:rFonts w:eastAsiaTheme="majorEastAsia" w:cstheme="majorBidi"/>
      <w:i/>
      <w:iCs/>
      <w:spacing w:val="15"/>
    </w:rPr>
  </w:style>
  <w:style w:type="character" w:customStyle="1" w:styleId="SubtitleChar">
    <w:name w:val="Subtitle Char"/>
    <w:link w:val="Subtitle"/>
    <w:uiPriority w:val="11"/>
    <w:rsid w:val="00A11434"/>
    <w:rPr>
      <w:rFonts w:ascii="Arial" w:eastAsiaTheme="majorEastAsia" w:hAnsi="Arial" w:cstheme="majorBidi"/>
      <w:i/>
      <w:iCs/>
      <w:spacing w:val="15"/>
      <w:szCs w:val="24"/>
    </w:rPr>
  </w:style>
  <w:style w:type="character" w:styleId="SubtleEmphasis">
    <w:name w:val="Subtle Emphasis"/>
    <w:basedOn w:val="DefaultParagraphFont"/>
    <w:uiPriority w:val="19"/>
    <w:rsid w:val="00A11434"/>
    <w:rPr>
      <w:i/>
      <w:iCs/>
      <w:color w:val="808080" w:themeColor="text1" w:themeTint="7F"/>
    </w:rPr>
  </w:style>
  <w:style w:type="table" w:styleId="Table3Deffects1">
    <w:name w:val="Table 3D effects 1"/>
    <w:basedOn w:val="TableNormal"/>
    <w:uiPriority w:val="99"/>
    <w:semiHidden/>
    <w:unhideWhenUsed/>
    <w:rsid w:val="00A11434"/>
    <w:pPr>
      <w:spacing w:after="240" w:line="240" w:lineRule="auto"/>
      <w:jc w:val="both"/>
    </w:pPr>
    <w:rPr>
      <w:rFonts w:ascii="Arial" w:eastAsia="Times New Roman" w:hAnsi="Arial" w:cs="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434"/>
    <w:pPr>
      <w:spacing w:after="240" w:line="240" w:lineRule="auto"/>
      <w:jc w:val="both"/>
    </w:pPr>
    <w:rPr>
      <w:rFonts w:ascii="Arial" w:eastAsia="Times New Roman" w:hAnsi="Arial" w:cs="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434"/>
    <w:pPr>
      <w:spacing w:after="240" w:line="240" w:lineRule="auto"/>
      <w:jc w:val="both"/>
    </w:pPr>
    <w:rPr>
      <w:rFonts w:ascii="Arial" w:eastAsia="Times New Roman" w:hAnsi="Arial" w:cs="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A1143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A11434"/>
    <w:pPr>
      <w:keepNext/>
      <w:widowControl w:val="0"/>
      <w:spacing w:before="60" w:after="60"/>
    </w:pPr>
    <w:rPr>
      <w:rFonts w:cstheme="minorBidi"/>
      <w:b/>
      <w:sz w:val="20"/>
    </w:rPr>
  </w:style>
  <w:style w:type="table" w:styleId="TableColumns1">
    <w:name w:val="Table Columns 1"/>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434"/>
    <w:pPr>
      <w:spacing w:after="240" w:line="240" w:lineRule="auto"/>
      <w:jc w:val="both"/>
    </w:pPr>
    <w:rPr>
      <w:rFonts w:ascii="Arial" w:eastAsia="Times New Roman" w:hAnsi="Arial" w:cs="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434"/>
    <w:pPr>
      <w:spacing w:after="240" w:line="240" w:lineRule="auto"/>
      <w:jc w:val="both"/>
    </w:pPr>
    <w:rPr>
      <w:rFonts w:ascii="Arial" w:eastAsia="Times New Roman" w:hAnsi="Arial" w:cs="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434"/>
    <w:pPr>
      <w:spacing w:after="240" w:line="240" w:lineRule="auto"/>
      <w:jc w:val="both"/>
    </w:pPr>
    <w:rPr>
      <w:rFonts w:ascii="Arial" w:eastAsia="Times New Roman" w:hAnsi="Arial" w:cs="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434"/>
    <w:pPr>
      <w:spacing w:after="0" w:line="240" w:lineRule="auto"/>
    </w:pPr>
    <w:rPr>
      <w:rFonts w:ascii="Arial" w:eastAsia="Times New Roman" w:hAnsi="Arial"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A11434"/>
    <w:pPr>
      <w:keepNext/>
      <w:widowControl w:val="0"/>
      <w:spacing w:before="120"/>
    </w:pPr>
    <w:rPr>
      <w:b/>
      <w:i/>
      <w:sz w:val="20"/>
    </w:rPr>
  </w:style>
  <w:style w:type="table" w:styleId="TableSimple1">
    <w:name w:val="Table Simple 1"/>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434"/>
    <w:pPr>
      <w:spacing w:after="240" w:line="240" w:lineRule="auto"/>
      <w:jc w:val="both"/>
    </w:pPr>
    <w:rPr>
      <w:rFonts w:ascii="Arial" w:eastAsia="Times New Roman" w:hAnsi="Arial" w:cs="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434"/>
    <w:pPr>
      <w:spacing w:after="240" w:line="240" w:lineRule="auto"/>
      <w:jc w:val="both"/>
    </w:pPr>
    <w:rPr>
      <w:rFonts w:ascii="Arial" w:eastAsia="Times New Roman" w:hAnsi="Arial" w:cs="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434"/>
    <w:pPr>
      <w:spacing w:after="240" w:line="240" w:lineRule="auto"/>
      <w:jc w:val="both"/>
    </w:pPr>
    <w:rPr>
      <w:rFonts w:ascii="Arial" w:eastAsia="Times New Roman"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434"/>
    <w:pPr>
      <w:spacing w:after="240" w:line="240" w:lineRule="auto"/>
      <w:jc w:val="both"/>
    </w:pPr>
    <w:rPr>
      <w:rFonts w:ascii="Arial" w:eastAsia="Times New Roman" w:hAnsi="Arial" w:cs="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11434"/>
    <w:pPr>
      <w:spacing w:before="120"/>
    </w:pPr>
    <w:rPr>
      <w:rFonts w:eastAsiaTheme="majorEastAsia" w:cstheme="majorBidi"/>
      <w:b/>
      <w:bCs/>
      <w:sz w:val="28"/>
    </w:rPr>
  </w:style>
  <w:style w:type="paragraph" w:styleId="TOC1">
    <w:name w:val="toc 1"/>
    <w:basedOn w:val="Normal"/>
    <w:next w:val="Normal"/>
    <w:autoRedefine/>
    <w:uiPriority w:val="39"/>
    <w:unhideWhenUsed/>
    <w:qFormat/>
    <w:rsid w:val="00A11434"/>
    <w:pPr>
      <w:tabs>
        <w:tab w:val="right" w:leader="dot" w:pos="9016"/>
      </w:tabs>
    </w:pPr>
    <w:rPr>
      <w:b/>
      <w:noProof/>
      <w:sz w:val="28"/>
    </w:rPr>
  </w:style>
  <w:style w:type="paragraph" w:styleId="TOC2">
    <w:name w:val="toc 2"/>
    <w:basedOn w:val="Normal"/>
    <w:next w:val="Normal"/>
    <w:autoRedefine/>
    <w:uiPriority w:val="39"/>
    <w:unhideWhenUsed/>
    <w:qFormat/>
    <w:rsid w:val="00A11434"/>
    <w:pPr>
      <w:ind w:left="220"/>
    </w:pPr>
    <w:rPr>
      <w:sz w:val="24"/>
    </w:rPr>
  </w:style>
  <w:style w:type="paragraph" w:styleId="TOC3">
    <w:name w:val="toc 3"/>
    <w:basedOn w:val="Normal"/>
    <w:next w:val="Normal"/>
    <w:autoRedefine/>
    <w:uiPriority w:val="39"/>
    <w:unhideWhenUsed/>
    <w:qFormat/>
    <w:rsid w:val="00A11434"/>
    <w:pPr>
      <w:ind w:left="440"/>
    </w:pPr>
  </w:style>
  <w:style w:type="paragraph" w:styleId="TOC4">
    <w:name w:val="toc 4"/>
    <w:basedOn w:val="Normal"/>
    <w:next w:val="Normal"/>
    <w:autoRedefine/>
    <w:uiPriority w:val="39"/>
    <w:unhideWhenUsed/>
    <w:rsid w:val="00A11434"/>
    <w:pPr>
      <w:ind w:left="660"/>
    </w:pPr>
  </w:style>
  <w:style w:type="paragraph" w:styleId="TOCHeading">
    <w:name w:val="TOC Heading"/>
    <w:basedOn w:val="Heading1"/>
    <w:next w:val="Normal"/>
    <w:uiPriority w:val="39"/>
    <w:unhideWhenUsed/>
    <w:qFormat/>
    <w:rsid w:val="00A11434"/>
    <w:pPr>
      <w:spacing w:after="0"/>
      <w:outlineLvl w:val="9"/>
    </w:pPr>
    <w:rPr>
      <w:szCs w:val="28"/>
    </w:rPr>
  </w:style>
  <w:style w:type="paragraph" w:customStyle="1" w:styleId="LetterHeadingCAPS">
    <w:name w:val="Letter Heading CAPS"/>
    <w:basedOn w:val="Normal"/>
    <w:link w:val="LetterHeadingCAPSChar"/>
    <w:rsid w:val="00A11434"/>
    <w:rPr>
      <w:b/>
      <w:lang w:val="en-US"/>
    </w:rPr>
  </w:style>
  <w:style w:type="character" w:customStyle="1" w:styleId="LetterHeadingCAPSChar">
    <w:name w:val="Letter Heading CAPS Char"/>
    <w:basedOn w:val="DefaultParagraphFont"/>
    <w:link w:val="LetterHeadingCAPS"/>
    <w:rsid w:val="00A11434"/>
    <w:rPr>
      <w:rFonts w:ascii="Arial" w:eastAsia="Times New Roman" w:hAnsi="Arial" w:cs="Times New Roman"/>
      <w:b/>
      <w:szCs w:val="24"/>
      <w:lang w:val="en-US"/>
    </w:rPr>
  </w:style>
  <w:style w:type="paragraph" w:customStyle="1" w:styleId="LetterCAPS">
    <w:name w:val="Letter CAPS"/>
    <w:basedOn w:val="LetterHeadingCAPS"/>
    <w:link w:val="LetterCAPSChar"/>
    <w:rsid w:val="00A11434"/>
  </w:style>
  <w:style w:type="character" w:customStyle="1" w:styleId="LetterCAPSChar">
    <w:name w:val="Letter CAPS Char"/>
    <w:basedOn w:val="LetterHeadingCAPSChar"/>
    <w:link w:val="LetterCAPS"/>
    <w:rsid w:val="00A11434"/>
    <w:rPr>
      <w:rFonts w:ascii="Arial" w:eastAsia="Times New Roman" w:hAnsi="Arial" w:cs="Times New Roman"/>
      <w:b/>
      <w:szCs w:val="24"/>
      <w:lang w:val="en-US"/>
    </w:rPr>
  </w:style>
  <w:style w:type="paragraph" w:customStyle="1" w:styleId="LetterTitleCAPS">
    <w:name w:val="Letter Title CAPS"/>
    <w:basedOn w:val="Title"/>
    <w:link w:val="LetterTitleCAPSChar"/>
    <w:autoRedefine/>
    <w:rsid w:val="00A11434"/>
  </w:style>
  <w:style w:type="character" w:customStyle="1" w:styleId="LetterTitleCAPSChar">
    <w:name w:val="Letter Title CAPS Char"/>
    <w:basedOn w:val="TitleChar"/>
    <w:link w:val="LetterTitleCAPS"/>
    <w:rsid w:val="00A11434"/>
    <w:rPr>
      <w:rFonts w:ascii="Arial" w:eastAsiaTheme="majorEastAsia" w:hAnsi="Arial" w:cstheme="majorBidi"/>
      <w:b/>
      <w:caps/>
      <w:spacing w:val="5"/>
      <w:kern w:val="28"/>
      <w:sz w:val="40"/>
      <w:szCs w:val="52"/>
    </w:rPr>
  </w:style>
  <w:style w:type="paragraph" w:customStyle="1" w:styleId="LetterCAPSTitle">
    <w:name w:val="Letter CAPS Title"/>
    <w:basedOn w:val="Normal"/>
    <w:link w:val="LetterCAPSTitleChar"/>
    <w:qFormat/>
    <w:rsid w:val="00A11434"/>
    <w:rPr>
      <w:b/>
      <w:caps/>
      <w:szCs w:val="22"/>
    </w:rPr>
  </w:style>
  <w:style w:type="character" w:customStyle="1" w:styleId="LetterCAPSTitleChar">
    <w:name w:val="Letter CAPS Title Char"/>
    <w:basedOn w:val="DefaultParagraphFont"/>
    <w:link w:val="LetterCAPSTitle"/>
    <w:rsid w:val="00A11434"/>
    <w:rPr>
      <w:rFonts w:ascii="Arial" w:eastAsia="Times New Roman" w:hAnsi="Arial" w:cs="Times New Roman"/>
      <w:b/>
      <w:caps/>
    </w:rPr>
  </w:style>
  <w:style w:type="character" w:styleId="CommentReference">
    <w:name w:val="annotation reference"/>
    <w:basedOn w:val="DefaultParagraphFont"/>
    <w:uiPriority w:val="99"/>
    <w:semiHidden/>
    <w:unhideWhenUsed/>
    <w:rsid w:val="00A11434"/>
    <w:rPr>
      <w:sz w:val="16"/>
      <w:szCs w:val="16"/>
    </w:rPr>
  </w:style>
  <w:style w:type="paragraph" w:styleId="CommentText">
    <w:name w:val="annotation text"/>
    <w:basedOn w:val="Normal"/>
    <w:link w:val="CommentTextChar"/>
    <w:uiPriority w:val="99"/>
    <w:semiHidden/>
    <w:unhideWhenUsed/>
    <w:rsid w:val="00A11434"/>
    <w:rPr>
      <w:sz w:val="20"/>
      <w:szCs w:val="20"/>
    </w:rPr>
  </w:style>
  <w:style w:type="character" w:customStyle="1" w:styleId="CommentTextChar">
    <w:name w:val="Comment Text Char"/>
    <w:basedOn w:val="DefaultParagraphFont"/>
    <w:link w:val="CommentText"/>
    <w:uiPriority w:val="99"/>
    <w:semiHidden/>
    <w:rsid w:val="00A11434"/>
    <w:rPr>
      <w:rFonts w:ascii="Arial" w:eastAsia="Times New Roman" w:hAnsi="Arial" w:cs="Times New Roman"/>
      <w:sz w:val="20"/>
      <w:szCs w:val="20"/>
    </w:rPr>
  </w:style>
  <w:style w:type="paragraph" w:customStyle="1" w:styleId="SecurityClassification">
    <w:name w:val="Security Classification"/>
    <w:basedOn w:val="Normal"/>
    <w:link w:val="SecurityClassificationChar"/>
    <w:rsid w:val="00A11434"/>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A11434"/>
    <w:rPr>
      <w:rFonts w:ascii="Arial" w:eastAsia="Times New Roman" w:hAnsi="Arial" w:cs="Arial"/>
      <w:b/>
      <w:color w:val="FF0000"/>
      <w:sz w:val="24"/>
      <w:szCs w:val="24"/>
    </w:rPr>
  </w:style>
  <w:style w:type="paragraph" w:styleId="CommentSubject">
    <w:name w:val="annotation subject"/>
    <w:basedOn w:val="CommentText"/>
    <w:next w:val="CommentText"/>
    <w:link w:val="CommentSubjectChar"/>
    <w:uiPriority w:val="99"/>
    <w:semiHidden/>
    <w:unhideWhenUsed/>
    <w:rsid w:val="00C5147F"/>
    <w:rPr>
      <w:b/>
      <w:bCs/>
    </w:rPr>
  </w:style>
  <w:style w:type="character" w:customStyle="1" w:styleId="CommentSubjectChar">
    <w:name w:val="Comment Subject Char"/>
    <w:basedOn w:val="CommentTextChar"/>
    <w:link w:val="CommentSubject"/>
    <w:uiPriority w:val="99"/>
    <w:semiHidden/>
    <w:rsid w:val="00C5147F"/>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A312D3"/>
    <w:rPr>
      <w:color w:val="605E5C"/>
      <w:shd w:val="clear" w:color="auto" w:fill="E1DFDD"/>
    </w:rPr>
  </w:style>
  <w:style w:type="paragraph" w:styleId="Revision">
    <w:name w:val="Revision"/>
    <w:hidden/>
    <w:uiPriority w:val="99"/>
    <w:semiHidden/>
    <w:rsid w:val="000E769B"/>
    <w:pPr>
      <w:spacing w:after="0" w:line="240" w:lineRule="auto"/>
    </w:pPr>
    <w:rPr>
      <w:rFonts w:ascii="Arial" w:eastAsia="Times New Roman" w:hAnsi="Arial" w:cs="Times New Roman"/>
      <w:szCs w:val="24"/>
    </w:rPr>
  </w:style>
  <w:style w:type="paragraph" w:customStyle="1" w:styleId="APRANORMAL">
    <w:name w:val="APRA NORMAL"/>
    <w:basedOn w:val="Normal"/>
    <w:link w:val="APRANORMALChar"/>
    <w:qFormat/>
    <w:rsid w:val="0018386C"/>
    <w:pPr>
      <w:jc w:val="left"/>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18386C"/>
    <w:rPr>
      <w:rFonts w:ascii="DIN OT Light" w:eastAsiaTheme="minorHAnsi" w:hAnsi="DIN OT Light" w:cs="Times New Roman"/>
      <w:lang w:val="en-GB" w:eastAsia="en-US"/>
    </w:rPr>
  </w:style>
  <w:style w:type="paragraph" w:customStyle="1" w:styleId="APRAHEADING2">
    <w:name w:val="APRA HEADING 2"/>
    <w:link w:val="APRAHEADING2Char"/>
    <w:qFormat/>
    <w:rsid w:val="0018386C"/>
    <w:pPr>
      <w:pBdr>
        <w:bottom w:val="single" w:sz="4" w:space="1" w:color="D9D9D9" w:themeColor="background1" w:themeShade="D9"/>
      </w:pBdr>
      <w:spacing w:before="360" w:after="240" w:line="288" w:lineRule="auto"/>
    </w:pPr>
    <w:rPr>
      <w:rFonts w:ascii="DIN OT Medium" w:eastAsiaTheme="minorHAnsi" w:hAnsi="DIN OT Medium" w:cs="Times New Roman"/>
      <w:color w:val="002060"/>
      <w:sz w:val="30"/>
      <w:szCs w:val="28"/>
      <w:lang w:eastAsia="en-US"/>
    </w:rPr>
  </w:style>
  <w:style w:type="character" w:customStyle="1" w:styleId="APRAHEADING2Char">
    <w:name w:val="APRA HEADING 2 Char"/>
    <w:basedOn w:val="DefaultParagraphFont"/>
    <w:link w:val="APRAHEADING2"/>
    <w:rsid w:val="0018386C"/>
    <w:rPr>
      <w:rFonts w:ascii="DIN OT Medium" w:eastAsiaTheme="minorHAnsi" w:hAnsi="DIN OT Medium" w:cs="Times New Roman"/>
      <w:color w:val="002060"/>
      <w:sz w:val="30"/>
      <w:szCs w:val="28"/>
      <w:lang w:eastAsia="en-US"/>
    </w:rPr>
  </w:style>
  <w:style w:type="paragraph" w:customStyle="1" w:styleId="APRAHEADING3">
    <w:name w:val="APRA HEADING 3"/>
    <w:basedOn w:val="APRANORMAL"/>
    <w:link w:val="APRAHEADING3Char"/>
    <w:qFormat/>
    <w:rsid w:val="0018386C"/>
    <w:pPr>
      <w:spacing w:before="360" w:after="120"/>
    </w:pPr>
    <w:rPr>
      <w:rFonts w:ascii="DIN OT Medium" w:hAnsi="DIN OT Medium"/>
      <w:color w:val="002060"/>
      <w:sz w:val="26"/>
      <w:szCs w:val="24"/>
    </w:rPr>
  </w:style>
  <w:style w:type="character" w:customStyle="1" w:styleId="APRAHEADING3Char">
    <w:name w:val="APRA HEADING 3 Char"/>
    <w:basedOn w:val="APRANORMALChar"/>
    <w:link w:val="APRAHEADING3"/>
    <w:rsid w:val="0018386C"/>
    <w:rPr>
      <w:rFonts w:ascii="DIN OT Medium" w:eastAsiaTheme="minorHAnsi" w:hAnsi="DIN OT Medium" w:cs="Times New Roman"/>
      <w:color w:val="002060"/>
      <w:sz w:val="26"/>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27695">
      <w:bodyDiv w:val="1"/>
      <w:marLeft w:val="0"/>
      <w:marRight w:val="0"/>
      <w:marTop w:val="0"/>
      <w:marBottom w:val="0"/>
      <w:divBdr>
        <w:top w:val="none" w:sz="0" w:space="0" w:color="auto"/>
        <w:left w:val="none" w:sz="0" w:space="0" w:color="auto"/>
        <w:bottom w:val="none" w:sz="0" w:space="0" w:color="auto"/>
        <w:right w:val="none" w:sz="0" w:space="0" w:color="auto"/>
      </w:divBdr>
    </w:div>
    <w:div w:id="6860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apra.gov.a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rbm.obpr.gov.au/home.aspx" TargetMode="External"/><Relationship Id="rId2" Type="http://schemas.openxmlformats.org/officeDocument/2006/relationships/hyperlink" Target="https://www.apra.gov.au/revisions-to-prudential-standard-aps-111-capital-adequacy-measurement-of-capital" TargetMode="External"/><Relationship Id="rId1" Type="http://schemas.openxmlformats.org/officeDocument/2006/relationships/hyperlink" Target="https://www.apra.gov.au/revisions-to-prudential-standard-aps-111-capital-adequacy-measurement-of-capi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cdm:cachedDataManifest xmlns:cdm="http://schemas.microsoft.com/2004/VisualStudio/Tools/Applications/CachedDataManifest.xsd" cdm:revi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UNOFFICIAL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_dlc_DocId xmlns="814d62cb-2db6-4c25-ab62-b9075facbc11">5JENXJJSCC7A-445999044-11564</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Response Letter for Banking (prudential standard) determination No. 3 of 2021</APRADescription>
    <APRAApprovedBy xmlns="814d62cb-2db6-4c25-ab62-b9075facbc11">
      <UserInfo>
        <DisplayName/>
        <AccountId xsi:nil="true"/>
        <AccountType/>
      </UserInfo>
    </APRAApprovedBy>
    <f284b4f8578a44cfae4f67a86df81119 xmlns="814d62cb-2db6-4c25-ab62-b9075facbc11">
      <Terms xmlns="http://schemas.microsoft.com/office/infopath/2007/PartnerControls"/>
    </f284b4f8578a44cfae4f67a86df81119>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Keywords xmlns="814d62cb-2db6-4c25-ab62-b9075facbc11" xsi:nil="true"/>
    <ic4067bd02f14cf3a95ad35878404a71 xmlns="814d62cb-2db6-4c25-ab62-b9075facbc11">
      <Terms xmlns="http://schemas.microsoft.com/office/infopath/2007/PartnerControls"/>
    </ic4067bd02f14cf3a95ad35878404a71>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_dlc_DocIdUrl xmlns="814d62cb-2db6-4c25-ab62-b9075facbc11">
      <Url>https://im/teams/LEGAL/_layouts/15/DocIdRedir.aspx?ID=5JENXJJSCC7A-445999044-11564</Url>
      <Description>5JENXJJSCC7A-445999044-11564</Description>
    </_dlc_DocIdUrl>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m2df5fdf6d1643b4a596982762bb3d00 xmlns="814d62cb-2db6-4c25-ab62-b9075facbc11">
      <Terms xmlns="http://schemas.microsoft.com/office/infopath/2007/PartnerControls"/>
    </m2df5fdf6d1643b4a596982762bb3d00>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TaxCatchAll xmlns="814d62cb-2db6-4c25-ab62-b9075facbc11">
      <Value>24</Value>
      <Value>134</Value>
      <Value>83</Value>
      <Value>10</Value>
      <Value>435</Value>
      <Value>26</Value>
      <Value>93</Value>
      <Value>109</Value>
      <Value>230</Value>
      <Value>4</Value>
      <Value>19</Value>
    </TaxCatchAll>
    <APRAActivityID xmlns="814d62cb-2db6-4c25-ab62-b9075facbc11" xsi:nil="true"/>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B7FF-68F0-442F-BA11-13C5C8137E82}">
  <ds:schemaRefs>
    <ds:schemaRef ds:uri="http://schemas.microsoft.com/sharepoint/events"/>
  </ds:schemaRefs>
</ds:datastoreItem>
</file>

<file path=customXml/itemProps2.xml><?xml version="1.0" encoding="utf-8"?>
<ds:datastoreItem xmlns:ds="http://schemas.openxmlformats.org/officeDocument/2006/customXml" ds:itemID="{2C517D78-EE67-49FE-99E5-65C8BFA2D1F4}">
  <ds:schemaRefs>
    <ds:schemaRef ds:uri="Microsoft.SharePoint.Taxonomy.ContentTypeSync"/>
  </ds:schemaRefs>
</ds:datastoreItem>
</file>

<file path=customXml/itemProps3.xml><?xml version="1.0" encoding="utf-8"?>
<ds:datastoreItem xmlns:ds="http://schemas.openxmlformats.org/officeDocument/2006/customXml" ds:itemID="{6ADB6556-5274-4BD2-B11D-FD959FEC8CA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59C82691-FDB4-4B24-8339-363158219C6D}">
  <ds:schemaRefs>
    <ds:schemaRef ds:uri="http://schemas.microsoft.com/sharepoint/v3/contenttype/forms"/>
  </ds:schemaRefs>
</ds:datastoreItem>
</file>

<file path=customXml/itemProps5.xml><?xml version="1.0" encoding="utf-8"?>
<ds:datastoreItem xmlns:ds="http://schemas.openxmlformats.org/officeDocument/2006/customXml" ds:itemID="{D33EBBC7-A659-4790-8131-3EF657C1E6AC}">
  <ds:schemaRefs>
    <ds:schemaRef ds:uri="814d62cb-2db6-4c25-ab62-b9075facbc11"/>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6.xml><?xml version="1.0" encoding="utf-8"?>
<ds:datastoreItem xmlns:ds="http://schemas.openxmlformats.org/officeDocument/2006/customXml" ds:itemID="{003AE8AA-3B4F-4AB7-BA78-AF624F3A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FA70D6-6DD9-4956-A417-D0F343CF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1963</Words>
  <Characters>11175</Characters>
  <Application>Microsoft Office Word</Application>
  <DocSecurity>0</DocSecurity>
  <Lines>259</Lines>
  <Paragraphs>118</Paragraphs>
  <ScaleCrop>false</ScaleCrop>
  <HeadingPairs>
    <vt:vector size="2" baseType="variant">
      <vt:variant>
        <vt:lpstr>Title</vt:lpstr>
      </vt:variant>
      <vt:variant>
        <vt:i4>1</vt:i4>
      </vt:variant>
    </vt:vector>
  </HeadingPairs>
  <TitlesOfParts>
    <vt:vector size="1" baseType="lpstr">
      <vt:lpstr>Letter to ADIs - Response to submissions</vt:lpstr>
    </vt:vector>
  </TitlesOfParts>
  <Company>APRA</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Letter - Banking (prudential standard) determination No. 3 of 2021</dc:title>
  <dc:subject/>
  <dc:creator>Say, Tiffany</dc:creator>
  <cp:keywords>[SEC=UNOFFICIAL]</cp:keywords>
  <dc:description/>
  <cp:lastModifiedBy>Michalis, Toni</cp:lastModifiedBy>
  <cp:revision>2</cp:revision>
  <cp:lastPrinted>2017-06-13T23:34:00Z</cp:lastPrinted>
  <dcterms:created xsi:type="dcterms:W3CDTF">2021-09-16T05:21:00Z</dcterms:created>
  <dcterms:modified xsi:type="dcterms:W3CDTF">2021-09-16T05:21:00Z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Letter.vsto|f3f861eb-44d8-4311-bd88-6bfbae40bfe2</vt:lpwstr>
  </property>
  <property fmtid="{D5CDD505-2E9C-101B-9397-08002B2CF9AE}" pid="3" name="_AssemblyName">
    <vt:lpwstr>4E3C66D5-58D4-491E-A7D4-64AF99AF6E8B</vt:lpwstr>
  </property>
  <property fmtid="{D5CDD505-2E9C-101B-9397-08002B2CF9AE}" pid="4" name="PM_Qualifier">
    <vt:lpwstr/>
  </property>
  <property fmtid="{D5CDD505-2E9C-101B-9397-08002B2CF9AE}" pid="5" name="PM_InsertionValue">
    <vt:lpwstr>Personal</vt:lpwstr>
  </property>
  <property fmtid="{D5CDD505-2E9C-101B-9397-08002B2CF9AE}" pid="6" name="PM_SecurityClassification">
    <vt:lpwstr>UNOFFICIAL</vt:lpwstr>
  </property>
  <property fmtid="{D5CDD505-2E9C-101B-9397-08002B2CF9AE}" pid="7" name="PM_DisplayValueSecClassificationWithQualifier">
    <vt:lpwstr>Personal</vt:lpwstr>
  </property>
  <property fmtid="{D5CDD505-2E9C-101B-9397-08002B2CF9AE}" pid="8" name="PM_Hash_Version">
    <vt:lpwstr>2018.0</vt:lpwstr>
  </property>
  <property fmtid="{D5CDD505-2E9C-101B-9397-08002B2CF9AE}" pid="9" name="PM_Hash_Salt_Prev">
    <vt:lpwstr>5752ADC5A2B27C4049DF69F21DFB5B02</vt:lpwstr>
  </property>
  <property fmtid="{D5CDD505-2E9C-101B-9397-08002B2CF9AE}" pid="10" name="PM_Hash_Salt">
    <vt:lpwstr>45CF3FBA7C97C4F71F4B07F5946ABA46</vt:lpwstr>
  </property>
  <property fmtid="{D5CDD505-2E9C-101B-9397-08002B2CF9AE}" pid="11" name="PM_Hash_SHA1">
    <vt:lpwstr>420561F1FB6AE9D6A90CB05C3F329A1C170812DD</vt:lpwstr>
  </property>
  <property fmtid="{D5CDD505-2E9C-101B-9397-08002B2CF9AE}" pid="12" name="PM_Caveats_Count">
    <vt:lpwstr>0</vt:lpwstr>
  </property>
  <property fmtid="{D5CDD505-2E9C-101B-9397-08002B2CF9AE}" pid="13" name="PM_SecurityClassification_Prev">
    <vt:lpwstr>UNOFFICIAL</vt:lpwstr>
  </property>
  <property fmtid="{D5CDD505-2E9C-101B-9397-08002B2CF9AE}" pid="14" name="PM_Qualifier_Prev">
    <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038C2EDF04594D7F854C35D24BCE91C3</vt:lpwstr>
  </property>
  <property fmtid="{D5CDD505-2E9C-101B-9397-08002B2CF9AE}" pid="22" name="PM_OriginationTimeStamp">
    <vt:lpwstr>2021-09-16T05:20:31Z</vt:lpwstr>
  </property>
  <property fmtid="{D5CDD505-2E9C-101B-9397-08002B2CF9AE}" pid="23" name="PM_MinimumSecurityClassification">
    <vt:lpwstr/>
  </property>
  <property fmtid="{D5CDD505-2E9C-101B-9397-08002B2CF9AE}" pid="24" name="APRASupervisionActivity">
    <vt:lpwstr/>
  </property>
  <property fmtid="{D5CDD505-2E9C-101B-9397-08002B2CF9AE}" pid="25" name="ddd07bbf36a141a39f8147ea6432ba05">
    <vt:lpwstr/>
  </property>
  <property fmtid="{D5CDD505-2E9C-101B-9397-08002B2CF9AE}" pid="26" name="g0806d3060cc4942a58b2ecf989290ba">
    <vt:lpwstr/>
  </property>
  <property fmtid="{D5CDD505-2E9C-101B-9397-08002B2CF9AE}" pid="27"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8" name="APRALevelRole">
    <vt:lpwstr/>
  </property>
  <property fmtid="{D5CDD505-2E9C-101B-9397-08002B2CF9AE}" pid="29" name="i4e4d1b1941346c0a613fbc8252e9520">
    <vt:lpwstr/>
  </property>
  <property fmtid="{D5CDD505-2E9C-101B-9397-08002B2CF9AE}" pid="30" name="ContentTypeId">
    <vt:lpwstr>0x0101008CA7A4F8331B45C7B0D3158B4994D0CA0200577EC0F5A1FBFC498F9A8436B963F8A6</vt:lpwstr>
  </property>
  <property fmtid="{D5CDD505-2E9C-101B-9397-08002B2CF9AE}" pid="31" name="APRACourse">
    <vt:lpwstr/>
  </property>
  <property fmtid="{D5CDD505-2E9C-101B-9397-08002B2CF9AE}" pid="32" name="ad304c4a429d418787e029ef4ecab7ed">
    <vt:lpwstr/>
  </property>
  <property fmtid="{D5CDD505-2E9C-101B-9397-08002B2CF9AE}" pid="33" name="IT system type">
    <vt:lpwstr/>
  </property>
  <property fmtid="{D5CDD505-2E9C-101B-9397-08002B2CF9AE}" pid="34" name="APRACategory">
    <vt:lpwstr/>
  </property>
  <property fmtid="{D5CDD505-2E9C-101B-9397-08002B2CF9AE}" pid="35" name="_dlc_DocIdItemGuid">
    <vt:lpwstr>5690744b-58f0-4481-84cb-205589dbdd89</vt:lpwstr>
  </property>
  <property fmtid="{D5CDD505-2E9C-101B-9397-08002B2CF9AE}" pid="36" name="APRAPeerGroup">
    <vt:lpwstr/>
  </property>
  <property fmtid="{D5CDD505-2E9C-101B-9397-08002B2CF9AE}" pid="37" name="nd319d6a8658476c9a69eb3486399f3a">
    <vt:lpwstr/>
  </property>
  <property fmtid="{D5CDD505-2E9C-101B-9397-08002B2CF9AE}" pid="38" name="lf4d1daa69264fbd938fe6384736f7f1">
    <vt:lpwstr/>
  </property>
  <property fmtid="{D5CDD505-2E9C-101B-9397-08002B2CF9AE}" pid="39" name="APRADocumentType">
    <vt:lpwstr>435;#Regulation impact statement|a6de7b22-aec6-40f3-a54e-dbfeb004713c</vt:lpwstr>
  </property>
  <property fmtid="{D5CDD505-2E9C-101B-9397-08002B2CF9AE}" pid="40" name="APRAStatus">
    <vt:lpwstr>19;#Final|84d6b2d0-8498-4d62-bf46-bab38babbe9e</vt:lpwstr>
  </property>
  <property fmtid="{D5CDD505-2E9C-101B-9397-08002B2CF9AE}" pid="41" name="APRAPRSG">
    <vt:lpwstr/>
  </property>
  <property fmtid="{D5CDD505-2E9C-101B-9397-08002B2CF9AE}" pid="42" name="APRAEntityAdviceSupport">
    <vt:lpwstr/>
  </property>
  <property fmtid="{D5CDD505-2E9C-101B-9397-08002B2CF9AE}" pid="43" name="APRAActivity">
    <vt:lpwstr>10;#Registration|390476ce-d76d-4e8d-905f-28e32d2df127;#109;#Statutory instrument|fe68928c-5a9c-4caf-bc8c-6c18cedcb17f</vt:lpwstr>
  </property>
  <property fmtid="{D5CDD505-2E9C-101B-9397-08002B2CF9AE}" pid="44" name="APRATemplateType">
    <vt:lpwstr>9;#Common|b6fb27ac-f757-4d62-bc99-778f68d8a9b3;#36;#Administration|b70f8201-ad13-464d-8a4a-a47a8ca55844</vt:lpwstr>
  </property>
  <property fmtid="{D5CDD505-2E9C-101B-9397-08002B2CF9AE}" pid="45" name="ic765c8e09034901a685bcb96e8e5b2b">
    <vt:lpwstr/>
  </property>
  <property fmtid="{D5CDD505-2E9C-101B-9397-08002B2CF9AE}" pid="46" name="APRAReportingGroup">
    <vt:lpwstr/>
  </property>
  <property fmtid="{D5CDD505-2E9C-101B-9397-08002B2CF9AE}" pid="47" name="APRAYear">
    <vt:lpwstr>230;#2021|0e1e43df-81ea-47af-89d8-970d5d5956ff</vt:lpwstr>
  </property>
  <property fmtid="{D5CDD505-2E9C-101B-9397-08002B2CF9AE}" pid="48" name="APRAIndustry">
    <vt:lpwstr/>
  </property>
  <property fmtid="{D5CDD505-2E9C-101B-9397-08002B2CF9AE}" pid="49" name="APRALegislation">
    <vt:lpwstr/>
  </property>
  <property fmtid="{D5CDD505-2E9C-101B-9397-08002B2CF9AE}" pid="50" name="d08d6dad2c984a7fac728f38cd2b3368">
    <vt:lpwstr/>
  </property>
  <property fmtid="{D5CDD505-2E9C-101B-9397-08002B2CF9AE}" pid="51" name="APRAExternalOrganisation">
    <vt:lpwstr/>
  </property>
  <property fmtid="{D5CDD505-2E9C-101B-9397-08002B2CF9AE}" pid="52" name="APRAPrecedentCategory">
    <vt:lpwstr/>
  </property>
  <property fmtid="{D5CDD505-2E9C-101B-9397-08002B2CF9AE}" pid="53" name="i203ac9837b842bb9bbae1464c65f93b">
    <vt:lpwstr/>
  </property>
  <property fmtid="{D5CDD505-2E9C-101B-9397-08002B2CF9AE}" pid="54" name="APRAIRTR">
    <vt:lpwstr/>
  </property>
  <property fmtid="{D5CDD505-2E9C-101B-9397-08002B2CF9AE}" pid="55" name="APRAPeriod">
    <vt:lpwstr/>
  </property>
  <property fmtid="{D5CDD505-2E9C-101B-9397-08002B2CF9AE}" pid="56" name="APRAPrecedentSubCategory">
    <vt:lpwstr/>
  </property>
  <property fmtid="{D5CDD505-2E9C-101B-9397-08002B2CF9AE}" pid="57" name="PM_Note">
    <vt:lpwstr/>
  </property>
  <property fmtid="{D5CDD505-2E9C-101B-9397-08002B2CF9AE}" pid="58" name="PM_Markers">
    <vt:lpwstr/>
  </property>
  <property fmtid="{D5CDD505-2E9C-101B-9397-08002B2CF9AE}" pid="59" name="IsLocked">
    <vt:lpwstr>False</vt:lpwstr>
  </property>
  <property fmtid="{D5CDD505-2E9C-101B-9397-08002B2CF9AE}" pid="60" name="RecordPoint_WorkflowType">
    <vt:lpwstr>ActiveSubmitStub</vt:lpwstr>
  </property>
  <property fmtid="{D5CDD505-2E9C-101B-9397-08002B2CF9AE}" pid="61" name="RecordPoint_ActiveItemUniqueId">
    <vt:lpwstr>{5690744b-58f0-4481-84cb-205589dbdd89}</vt:lpwstr>
  </property>
  <property fmtid="{D5CDD505-2E9C-101B-9397-08002B2CF9AE}" pid="62" name="RecordPoint_ActiveItemSiteId">
    <vt:lpwstr>{88691c01-5bbb-4215-adc0-66cb7065b0af}</vt:lpwstr>
  </property>
  <property fmtid="{D5CDD505-2E9C-101B-9397-08002B2CF9AE}" pid="63" name="RecordPoint_ActiveItemListId">
    <vt:lpwstr>{0e59e171-09d8-4401-800a-327154450cb3}</vt:lpwstr>
  </property>
  <property fmtid="{D5CDD505-2E9C-101B-9397-08002B2CF9AE}" pid="64" name="RecordPoint_ActiveItemWebId">
    <vt:lpwstr>{75a71c27-8d66-4282-ae60-1bfc22a83be1}</vt:lpwstr>
  </property>
  <property fmtid="{D5CDD505-2E9C-101B-9397-08002B2CF9AE}" pid="65" name="RecordPoint_RecordNumberSubmitted">
    <vt:lpwstr/>
  </property>
  <property fmtid="{D5CDD505-2E9C-101B-9397-08002B2CF9AE}" pid="66" name="_docset_NoMedatataSyncRequired">
    <vt:lpwstr>False</vt:lpwstr>
  </property>
  <property fmtid="{D5CDD505-2E9C-101B-9397-08002B2CF9AE}" pid="67" name="RecordPoint_SubmissionDate">
    <vt:lpwstr/>
  </property>
  <property fmtid="{D5CDD505-2E9C-101B-9397-08002B2CF9AE}" pid="68" name="RecordPoint_ActiveItemMoved">
    <vt:lpwstr/>
  </property>
  <property fmtid="{D5CDD505-2E9C-101B-9397-08002B2CF9AE}" pid="69" name="RecordPoint_RecordFormat">
    <vt:lpwstr/>
  </property>
  <property fmtid="{D5CDD505-2E9C-101B-9397-08002B2CF9AE}" pid="70" name="RecordPoint_SubmissionCompleted">
    <vt:lpwstr/>
  </property>
  <property fmtid="{D5CDD505-2E9C-101B-9397-08002B2CF9AE}" pid="71" name="PM_Originator_Hash_SHA1">
    <vt:lpwstr>C3AD57350F36D8E1BD75F8F67CB06D435C9C43CA</vt:lpwstr>
  </property>
</Properties>
</file>