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CC83" w14:textId="4D351A8D" w:rsidR="00976332" w:rsidRPr="004D5A79" w:rsidRDefault="00976332" w:rsidP="00976332">
      <w:pPr>
        <w:pStyle w:val="Heading"/>
        <w:spacing w:before="120"/>
        <w:jc w:val="center"/>
        <w:rPr>
          <w:rFonts w:ascii="Times New Roman" w:hAnsi="Times New Roman"/>
          <w:sz w:val="24"/>
          <w:szCs w:val="24"/>
        </w:rPr>
      </w:pPr>
      <w:bookmarkStart w:id="0" w:name="_GoBack"/>
      <w:bookmarkEnd w:id="0"/>
      <w:r w:rsidRPr="004D5A79">
        <w:rPr>
          <w:rFonts w:ascii="Times New Roman" w:hAnsi="Times New Roman"/>
          <w:sz w:val="24"/>
          <w:szCs w:val="24"/>
        </w:rPr>
        <w:t xml:space="preserve">Banking (prudential standard) determination No. </w:t>
      </w:r>
      <w:r w:rsidR="008E4A5F">
        <w:rPr>
          <w:rFonts w:ascii="Times New Roman" w:hAnsi="Times New Roman"/>
          <w:sz w:val="24"/>
          <w:szCs w:val="24"/>
        </w:rPr>
        <w:t>3</w:t>
      </w:r>
      <w:r w:rsidRPr="004D5A79">
        <w:rPr>
          <w:rFonts w:ascii="Times New Roman" w:hAnsi="Times New Roman"/>
          <w:sz w:val="24"/>
          <w:szCs w:val="24"/>
        </w:rPr>
        <w:t xml:space="preserve"> of 202</w:t>
      </w:r>
      <w:r w:rsidR="00C223B4">
        <w:rPr>
          <w:rFonts w:ascii="Times New Roman" w:hAnsi="Times New Roman"/>
          <w:sz w:val="24"/>
          <w:szCs w:val="24"/>
        </w:rPr>
        <w:t>1</w:t>
      </w:r>
    </w:p>
    <w:p w14:paraId="4247969B" w14:textId="77777777" w:rsidR="00976332" w:rsidRPr="004D5A79" w:rsidRDefault="00976332" w:rsidP="00976332">
      <w:pPr>
        <w:pStyle w:val="Heading"/>
        <w:tabs>
          <w:tab w:val="left" w:pos="360"/>
        </w:tabs>
        <w:spacing w:before="120"/>
        <w:jc w:val="center"/>
        <w:rPr>
          <w:rFonts w:ascii="Times New Roman" w:hAnsi="Times New Roman"/>
          <w:sz w:val="24"/>
          <w:szCs w:val="24"/>
          <w:u w:val="single"/>
        </w:rPr>
      </w:pPr>
      <w:bookmarkStart w:id="1" w:name="bkInstrumentSubTitle"/>
      <w:bookmarkEnd w:id="1"/>
      <w:r w:rsidRPr="004D5A79">
        <w:rPr>
          <w:rFonts w:ascii="Times New Roman" w:hAnsi="Times New Roman"/>
          <w:sz w:val="24"/>
          <w:szCs w:val="24"/>
          <w:u w:val="single"/>
        </w:rPr>
        <w:t>EXPLANATORY STATEMENT</w:t>
      </w:r>
    </w:p>
    <w:p w14:paraId="4F698A0E" w14:textId="77777777" w:rsidR="00976332" w:rsidRPr="004D5A79" w:rsidRDefault="00976332" w:rsidP="00976332">
      <w:pPr>
        <w:pStyle w:val="Heading"/>
        <w:spacing w:before="120"/>
        <w:jc w:val="center"/>
        <w:rPr>
          <w:rFonts w:ascii="Times New Roman" w:hAnsi="Times New Roman"/>
          <w:sz w:val="24"/>
          <w:szCs w:val="24"/>
        </w:rPr>
      </w:pPr>
      <w:r w:rsidRPr="004D5A79">
        <w:rPr>
          <w:rFonts w:ascii="Times New Roman" w:hAnsi="Times New Roman"/>
          <w:sz w:val="24"/>
          <w:szCs w:val="24"/>
        </w:rPr>
        <w:t>Prepared by the Australian Prudential Regulation Authority (APRA)</w:t>
      </w:r>
    </w:p>
    <w:p w14:paraId="1EE21B72" w14:textId="77777777" w:rsidR="00976332" w:rsidRPr="004D5A79" w:rsidRDefault="00976332" w:rsidP="00976332">
      <w:pPr>
        <w:pStyle w:val="Heading"/>
        <w:tabs>
          <w:tab w:val="left" w:pos="360"/>
        </w:tabs>
        <w:spacing w:before="120"/>
        <w:jc w:val="center"/>
        <w:rPr>
          <w:rFonts w:ascii="Times New Roman" w:hAnsi="Times New Roman"/>
          <w:b w:val="0"/>
          <w:sz w:val="24"/>
          <w:szCs w:val="24"/>
        </w:rPr>
      </w:pPr>
      <w:r w:rsidRPr="004D5A79">
        <w:rPr>
          <w:rFonts w:ascii="Times New Roman" w:hAnsi="Times New Roman"/>
          <w:b w:val="0"/>
          <w:i/>
          <w:sz w:val="24"/>
          <w:szCs w:val="24"/>
        </w:rPr>
        <w:t>Banking Act 1959</w:t>
      </w:r>
      <w:r w:rsidRPr="004D5A79">
        <w:rPr>
          <w:rFonts w:ascii="Times New Roman" w:hAnsi="Times New Roman"/>
          <w:b w:val="0"/>
          <w:sz w:val="24"/>
          <w:szCs w:val="24"/>
        </w:rPr>
        <w:t xml:space="preserve">, </w:t>
      </w:r>
      <w:r w:rsidRPr="004D5A79">
        <w:rPr>
          <w:rFonts w:ascii="Times New Roman" w:hAnsi="Times New Roman"/>
          <w:b w:val="0"/>
          <w:color w:val="000000"/>
          <w:sz w:val="24"/>
          <w:szCs w:val="24"/>
        </w:rPr>
        <w:t>section 11AF</w:t>
      </w:r>
    </w:p>
    <w:p w14:paraId="67450E33" w14:textId="77777777" w:rsidR="0012246A" w:rsidRPr="004D5A79" w:rsidRDefault="0012246A" w:rsidP="00976332">
      <w:pPr>
        <w:widowControl w:val="0"/>
        <w:spacing w:after="240" w:line="240" w:lineRule="auto"/>
        <w:jc w:val="both"/>
        <w:rPr>
          <w:rFonts w:ascii="Times New Roman" w:hAnsi="Times New Roman" w:cs="Times New Roman"/>
          <w:sz w:val="24"/>
          <w:szCs w:val="24"/>
        </w:rPr>
      </w:pPr>
      <w:bookmarkStart w:id="2" w:name="bkAct"/>
      <w:bookmarkStart w:id="3" w:name="bkExplanatory"/>
      <w:bookmarkEnd w:id="2"/>
      <w:bookmarkEnd w:id="3"/>
    </w:p>
    <w:p w14:paraId="368AF072" w14:textId="77777777" w:rsidR="00976332" w:rsidRPr="00FD005A" w:rsidRDefault="00976332" w:rsidP="00E94957">
      <w:pPr>
        <w:jc w:val="both"/>
        <w:rPr>
          <w:rFonts w:ascii="Times New Roman" w:hAnsi="Times New Roman" w:cs="Times New Roman"/>
          <w:sz w:val="24"/>
          <w:szCs w:val="24"/>
        </w:rPr>
      </w:pPr>
      <w:r w:rsidRPr="00FD005A">
        <w:rPr>
          <w:rFonts w:ascii="Times New Roman" w:hAnsi="Times New Roman" w:cs="Times New Roman"/>
          <w:sz w:val="24"/>
          <w:szCs w:val="24"/>
        </w:rPr>
        <w:t xml:space="preserve">Under subsection 11AF(1) of the </w:t>
      </w:r>
      <w:r w:rsidRPr="00FD005A">
        <w:rPr>
          <w:rFonts w:ascii="Times New Roman" w:hAnsi="Times New Roman" w:cs="Times New Roman"/>
          <w:i/>
          <w:sz w:val="24"/>
          <w:szCs w:val="24"/>
        </w:rPr>
        <w:t>Banking Act 1959</w:t>
      </w:r>
      <w:r w:rsidRPr="00FD005A">
        <w:rPr>
          <w:rFonts w:ascii="Times New Roman" w:hAnsi="Times New Roman" w:cs="Times New Roman"/>
          <w:sz w:val="24"/>
          <w:szCs w:val="24"/>
        </w:rPr>
        <w:t xml:space="preserve"> (the</w:t>
      </w:r>
      <w:r w:rsidRPr="00FD005A">
        <w:rPr>
          <w:rFonts w:ascii="Times New Roman" w:hAnsi="Times New Roman" w:cs="Times New Roman"/>
          <w:b/>
          <w:i/>
          <w:sz w:val="24"/>
          <w:szCs w:val="24"/>
        </w:rPr>
        <w:t xml:space="preserve"> </w:t>
      </w:r>
      <w:r w:rsidRPr="00E94957">
        <w:rPr>
          <w:rFonts w:ascii="Times New Roman" w:hAnsi="Times New Roman" w:cs="Times New Roman"/>
          <w:sz w:val="24"/>
          <w:szCs w:val="24"/>
        </w:rPr>
        <w:t>Act</w:t>
      </w:r>
      <w:r w:rsidRPr="00FD005A">
        <w:rPr>
          <w:rFonts w:ascii="Times New Roman" w:hAnsi="Times New Roman" w:cs="Times New Roman"/>
          <w:sz w:val="24"/>
          <w:szCs w:val="24"/>
        </w:rPr>
        <w:t>), APRA has the power to determine standards (</w:t>
      </w:r>
      <w:r w:rsidRPr="00E94957">
        <w:rPr>
          <w:rFonts w:ascii="Times New Roman" w:hAnsi="Times New Roman" w:cs="Times New Roman"/>
          <w:sz w:val="24"/>
          <w:szCs w:val="24"/>
        </w:rPr>
        <w:t>prudential standards</w:t>
      </w:r>
      <w:r w:rsidRPr="00FD005A">
        <w:rPr>
          <w:rFonts w:ascii="Times New Roman" w:hAnsi="Times New Roman" w:cs="Times New Roman"/>
          <w:sz w:val="24"/>
          <w:szCs w:val="24"/>
        </w:rPr>
        <w:t>), in writing, in relation to prudential matters to be complied with by authorised deposit-taking institutions (</w:t>
      </w:r>
      <w:r w:rsidRPr="00E94957">
        <w:rPr>
          <w:rFonts w:ascii="Times New Roman" w:hAnsi="Times New Roman" w:cs="Times New Roman"/>
          <w:sz w:val="24"/>
          <w:szCs w:val="24"/>
        </w:rPr>
        <w:t>ADIs</w:t>
      </w:r>
      <w:r w:rsidRPr="00FD005A">
        <w:rPr>
          <w:rFonts w:ascii="Times New Roman" w:hAnsi="Times New Roman" w:cs="Times New Roman"/>
          <w:sz w:val="24"/>
          <w:szCs w:val="24"/>
        </w:rPr>
        <w:t>) and authorised non-operating holding companies (</w:t>
      </w:r>
      <w:r w:rsidRPr="00E94957">
        <w:rPr>
          <w:rFonts w:ascii="Times New Roman" w:hAnsi="Times New Roman" w:cs="Times New Roman"/>
          <w:sz w:val="24"/>
          <w:szCs w:val="24"/>
        </w:rPr>
        <w:t>authorised NOHCs</w:t>
      </w:r>
      <w:r w:rsidRPr="00FD005A">
        <w:rPr>
          <w:rFonts w:ascii="Times New Roman" w:hAnsi="Times New Roman" w:cs="Times New Roman"/>
          <w:sz w:val="24"/>
          <w:szCs w:val="24"/>
        </w:rPr>
        <w:t>). Under subsection 11AF(3) of the Act, APRA may, in writing, vary or revoke a prudential standard.</w:t>
      </w:r>
    </w:p>
    <w:p w14:paraId="7015F0D3" w14:textId="65335E68" w:rsidR="00976332" w:rsidRPr="00FD005A" w:rsidRDefault="00976332" w:rsidP="00E94957">
      <w:pPr>
        <w:jc w:val="both"/>
        <w:rPr>
          <w:rFonts w:ascii="Times New Roman" w:hAnsi="Times New Roman" w:cs="Times New Roman"/>
          <w:sz w:val="24"/>
          <w:szCs w:val="24"/>
        </w:rPr>
      </w:pPr>
      <w:r w:rsidRPr="00FD005A">
        <w:rPr>
          <w:rFonts w:ascii="Times New Roman" w:hAnsi="Times New Roman" w:cs="Times New Roman"/>
          <w:sz w:val="24"/>
          <w:szCs w:val="24"/>
        </w:rPr>
        <w:t xml:space="preserve">On </w:t>
      </w:r>
      <w:r w:rsidR="00000F47">
        <w:rPr>
          <w:rFonts w:ascii="Times New Roman" w:hAnsi="Times New Roman" w:cs="Times New Roman"/>
          <w:sz w:val="24"/>
          <w:szCs w:val="24"/>
        </w:rPr>
        <w:t>16</w:t>
      </w:r>
      <w:r w:rsidR="00E94957" w:rsidRPr="00E94957">
        <w:rPr>
          <w:rFonts w:ascii="Times New Roman" w:hAnsi="Times New Roman" w:cs="Times New Roman"/>
          <w:sz w:val="24"/>
          <w:szCs w:val="24"/>
        </w:rPr>
        <w:t xml:space="preserve"> September 2021</w:t>
      </w:r>
      <w:r w:rsidR="00672456" w:rsidRPr="00FD005A">
        <w:rPr>
          <w:rFonts w:ascii="Times New Roman" w:hAnsi="Times New Roman" w:cs="Times New Roman"/>
          <w:sz w:val="24"/>
          <w:szCs w:val="24"/>
        </w:rPr>
        <w:t xml:space="preserve">, </w:t>
      </w:r>
      <w:r w:rsidRPr="00FD005A">
        <w:rPr>
          <w:rFonts w:ascii="Times New Roman" w:hAnsi="Times New Roman" w:cs="Times New Roman"/>
          <w:sz w:val="24"/>
          <w:szCs w:val="24"/>
        </w:rPr>
        <w:t>APRA made</w:t>
      </w:r>
      <w:r w:rsidR="00183EB6">
        <w:rPr>
          <w:rFonts w:ascii="Times New Roman" w:hAnsi="Times New Roman" w:cs="Times New Roman"/>
          <w:sz w:val="24"/>
          <w:szCs w:val="24"/>
        </w:rPr>
        <w:t xml:space="preserve"> </w:t>
      </w:r>
      <w:r w:rsidRPr="00FD005A">
        <w:rPr>
          <w:rFonts w:ascii="Times New Roman" w:hAnsi="Times New Roman" w:cs="Times New Roman"/>
          <w:sz w:val="24"/>
          <w:szCs w:val="24"/>
        </w:rPr>
        <w:t xml:space="preserve">Banking (prudential standard) determination No. </w:t>
      </w:r>
      <w:r w:rsidR="008E4A5F">
        <w:rPr>
          <w:rFonts w:ascii="Times New Roman" w:hAnsi="Times New Roman" w:cs="Times New Roman"/>
          <w:sz w:val="24"/>
          <w:szCs w:val="24"/>
        </w:rPr>
        <w:t>3</w:t>
      </w:r>
      <w:r w:rsidRPr="00FD005A">
        <w:rPr>
          <w:rFonts w:ascii="Times New Roman" w:hAnsi="Times New Roman" w:cs="Times New Roman"/>
          <w:sz w:val="24"/>
          <w:szCs w:val="24"/>
        </w:rPr>
        <w:t xml:space="preserve"> of 20</w:t>
      </w:r>
      <w:r w:rsidR="00C25FA1" w:rsidRPr="00FD005A">
        <w:rPr>
          <w:rFonts w:ascii="Times New Roman" w:hAnsi="Times New Roman" w:cs="Times New Roman"/>
          <w:sz w:val="24"/>
          <w:szCs w:val="24"/>
        </w:rPr>
        <w:t>2</w:t>
      </w:r>
      <w:r w:rsidR="00C223B4" w:rsidRPr="00FD005A">
        <w:rPr>
          <w:rFonts w:ascii="Times New Roman" w:hAnsi="Times New Roman" w:cs="Times New Roman"/>
          <w:sz w:val="24"/>
          <w:szCs w:val="24"/>
        </w:rPr>
        <w:t>1</w:t>
      </w:r>
      <w:r w:rsidRPr="00FD005A">
        <w:rPr>
          <w:rFonts w:ascii="Times New Roman" w:hAnsi="Times New Roman" w:cs="Times New Roman"/>
          <w:sz w:val="24"/>
          <w:szCs w:val="24"/>
        </w:rPr>
        <w:t xml:space="preserve"> (the instrument), which revokes </w:t>
      </w:r>
      <w:r w:rsidRPr="00FD005A">
        <w:rPr>
          <w:rFonts w:ascii="Times New Roman" w:hAnsi="Times New Roman" w:cs="Times New Roman"/>
          <w:i/>
          <w:sz w:val="24"/>
          <w:szCs w:val="24"/>
        </w:rPr>
        <w:t xml:space="preserve">Prudential Standard APS </w:t>
      </w:r>
      <w:r w:rsidR="00C223B4" w:rsidRPr="00FD005A">
        <w:rPr>
          <w:rFonts w:ascii="Times New Roman" w:hAnsi="Times New Roman" w:cs="Times New Roman"/>
          <w:i/>
          <w:sz w:val="24"/>
          <w:szCs w:val="24"/>
        </w:rPr>
        <w:t>111</w:t>
      </w:r>
      <w:r w:rsidR="00C25FA1" w:rsidRPr="00FD005A">
        <w:rPr>
          <w:rFonts w:ascii="Times New Roman" w:hAnsi="Times New Roman" w:cs="Times New Roman"/>
          <w:i/>
          <w:sz w:val="24"/>
          <w:szCs w:val="24"/>
        </w:rPr>
        <w:t xml:space="preserve"> C</w:t>
      </w:r>
      <w:r w:rsidR="00C223B4" w:rsidRPr="00FD005A">
        <w:rPr>
          <w:rFonts w:ascii="Times New Roman" w:hAnsi="Times New Roman" w:cs="Times New Roman"/>
          <w:i/>
          <w:sz w:val="24"/>
          <w:szCs w:val="24"/>
        </w:rPr>
        <w:t>apital Adequacy: Measurement of Capital</w:t>
      </w:r>
      <w:r w:rsidRPr="00FD005A">
        <w:rPr>
          <w:rFonts w:ascii="Times New Roman" w:hAnsi="Times New Roman" w:cs="Times New Roman"/>
          <w:i/>
          <w:sz w:val="24"/>
          <w:szCs w:val="24"/>
        </w:rPr>
        <w:t xml:space="preserve"> </w:t>
      </w:r>
      <w:r w:rsidRPr="00FD005A">
        <w:rPr>
          <w:rFonts w:ascii="Times New Roman" w:hAnsi="Times New Roman" w:cs="Times New Roman"/>
          <w:sz w:val="24"/>
          <w:szCs w:val="24"/>
        </w:rPr>
        <w:t>made under Banking (prudential standard) determination No.</w:t>
      </w:r>
      <w:r w:rsidR="00672456" w:rsidRPr="00FD005A">
        <w:rPr>
          <w:rFonts w:ascii="Times New Roman" w:hAnsi="Times New Roman" w:cs="Times New Roman"/>
          <w:sz w:val="24"/>
          <w:szCs w:val="24"/>
        </w:rPr>
        <w:t xml:space="preserve"> </w:t>
      </w:r>
      <w:r w:rsidR="00C223B4" w:rsidRPr="00FD005A">
        <w:rPr>
          <w:rFonts w:ascii="Times New Roman" w:hAnsi="Times New Roman" w:cs="Times New Roman"/>
          <w:sz w:val="24"/>
          <w:szCs w:val="24"/>
        </w:rPr>
        <w:t>4</w:t>
      </w:r>
      <w:r w:rsidRPr="00FD005A">
        <w:rPr>
          <w:rFonts w:ascii="Times New Roman" w:hAnsi="Times New Roman" w:cs="Times New Roman"/>
          <w:sz w:val="24"/>
          <w:szCs w:val="24"/>
        </w:rPr>
        <w:t xml:space="preserve"> of </w:t>
      </w:r>
      <w:r w:rsidR="004C10F8" w:rsidRPr="00FD005A">
        <w:rPr>
          <w:rFonts w:ascii="Times New Roman" w:hAnsi="Times New Roman" w:cs="Times New Roman"/>
          <w:sz w:val="24"/>
          <w:szCs w:val="24"/>
        </w:rPr>
        <w:t>201</w:t>
      </w:r>
      <w:r w:rsidR="00C223B4" w:rsidRPr="00FD005A">
        <w:rPr>
          <w:rFonts w:ascii="Times New Roman" w:hAnsi="Times New Roman" w:cs="Times New Roman"/>
          <w:sz w:val="24"/>
          <w:szCs w:val="24"/>
        </w:rPr>
        <w:t>7</w:t>
      </w:r>
      <w:r w:rsidRPr="00FD005A">
        <w:rPr>
          <w:rFonts w:ascii="Times New Roman" w:hAnsi="Times New Roman" w:cs="Times New Roman"/>
          <w:sz w:val="24"/>
          <w:szCs w:val="24"/>
        </w:rPr>
        <w:t xml:space="preserve"> and determine</w:t>
      </w:r>
      <w:r w:rsidR="004C10F8" w:rsidRPr="00FD005A">
        <w:rPr>
          <w:rFonts w:ascii="Times New Roman" w:hAnsi="Times New Roman" w:cs="Times New Roman"/>
          <w:sz w:val="24"/>
          <w:szCs w:val="24"/>
        </w:rPr>
        <w:t>s</w:t>
      </w:r>
      <w:r w:rsidRPr="00FD005A">
        <w:rPr>
          <w:rFonts w:ascii="Times New Roman" w:hAnsi="Times New Roman" w:cs="Times New Roman"/>
          <w:sz w:val="24"/>
          <w:szCs w:val="24"/>
        </w:rPr>
        <w:t xml:space="preserve"> a new </w:t>
      </w:r>
      <w:r w:rsidRPr="00FD005A">
        <w:rPr>
          <w:rFonts w:ascii="Times New Roman" w:hAnsi="Times New Roman" w:cs="Times New Roman"/>
          <w:i/>
          <w:sz w:val="24"/>
          <w:szCs w:val="24"/>
        </w:rPr>
        <w:t>Prudential Standard</w:t>
      </w:r>
      <w:r w:rsidR="00C223B4" w:rsidRPr="00FD005A">
        <w:rPr>
          <w:rFonts w:ascii="Times New Roman" w:hAnsi="Times New Roman" w:cs="Times New Roman"/>
          <w:i/>
          <w:sz w:val="24"/>
          <w:szCs w:val="24"/>
        </w:rPr>
        <w:t xml:space="preserve"> APS 111 Capital Adequacy: Measurement of Capital</w:t>
      </w:r>
      <w:r w:rsidR="00EE08FF">
        <w:rPr>
          <w:rFonts w:ascii="Times New Roman" w:hAnsi="Times New Roman" w:cs="Times New Roman"/>
          <w:i/>
          <w:sz w:val="24"/>
          <w:szCs w:val="24"/>
        </w:rPr>
        <w:t xml:space="preserve"> </w:t>
      </w:r>
      <w:r w:rsidR="00EE08FF">
        <w:rPr>
          <w:rFonts w:ascii="Times New Roman" w:hAnsi="Times New Roman" w:cs="Times New Roman"/>
          <w:sz w:val="24"/>
          <w:szCs w:val="24"/>
        </w:rPr>
        <w:t>(APS 111)</w:t>
      </w:r>
      <w:r w:rsidR="00C25FA1" w:rsidRPr="00FD005A">
        <w:rPr>
          <w:rFonts w:ascii="Times New Roman" w:hAnsi="Times New Roman" w:cs="Times New Roman"/>
          <w:sz w:val="24"/>
          <w:szCs w:val="24"/>
        </w:rPr>
        <w:t>.</w:t>
      </w:r>
    </w:p>
    <w:p w14:paraId="14C4CC29" w14:textId="707B8A58" w:rsidR="00976332" w:rsidRPr="00FD005A" w:rsidRDefault="00976332" w:rsidP="00E94957">
      <w:pPr>
        <w:jc w:val="both"/>
        <w:rPr>
          <w:rFonts w:ascii="Times New Roman" w:hAnsi="Times New Roman" w:cs="Times New Roman"/>
          <w:sz w:val="24"/>
          <w:szCs w:val="24"/>
        </w:rPr>
      </w:pPr>
      <w:r w:rsidRPr="00FD005A">
        <w:rPr>
          <w:rFonts w:ascii="Times New Roman" w:hAnsi="Times New Roman" w:cs="Times New Roman"/>
          <w:sz w:val="24"/>
          <w:szCs w:val="24"/>
        </w:rPr>
        <w:t>The instrument commence</w:t>
      </w:r>
      <w:r w:rsidR="00510C0E" w:rsidRPr="00FD005A">
        <w:rPr>
          <w:rFonts w:ascii="Times New Roman" w:hAnsi="Times New Roman" w:cs="Times New Roman"/>
          <w:sz w:val="24"/>
          <w:szCs w:val="24"/>
        </w:rPr>
        <w:t>s</w:t>
      </w:r>
      <w:r w:rsidRPr="00FD005A">
        <w:rPr>
          <w:rFonts w:ascii="Times New Roman" w:hAnsi="Times New Roman" w:cs="Times New Roman"/>
          <w:sz w:val="24"/>
          <w:szCs w:val="24"/>
        </w:rPr>
        <w:t xml:space="preserve"> on 1 January 20</w:t>
      </w:r>
      <w:r w:rsidR="00C25FA1" w:rsidRPr="00FD005A">
        <w:rPr>
          <w:rFonts w:ascii="Times New Roman" w:hAnsi="Times New Roman" w:cs="Times New Roman"/>
          <w:sz w:val="24"/>
          <w:szCs w:val="24"/>
        </w:rPr>
        <w:t>2</w:t>
      </w:r>
      <w:r w:rsidR="00C223B4" w:rsidRPr="00FD005A">
        <w:rPr>
          <w:rFonts w:ascii="Times New Roman" w:hAnsi="Times New Roman" w:cs="Times New Roman"/>
          <w:sz w:val="24"/>
          <w:szCs w:val="24"/>
        </w:rPr>
        <w:t>2</w:t>
      </w:r>
      <w:r w:rsidRPr="00FD005A">
        <w:rPr>
          <w:rFonts w:ascii="Times New Roman" w:hAnsi="Times New Roman" w:cs="Times New Roman"/>
          <w:sz w:val="24"/>
          <w:szCs w:val="24"/>
        </w:rPr>
        <w:t>.</w:t>
      </w:r>
    </w:p>
    <w:p w14:paraId="26D38409" w14:textId="77777777" w:rsidR="00197A23" w:rsidRPr="00FD005A" w:rsidRDefault="00197A23" w:rsidP="001E7618">
      <w:pPr>
        <w:pStyle w:val="ListParagraph"/>
        <w:numPr>
          <w:ilvl w:val="0"/>
          <w:numId w:val="16"/>
        </w:numPr>
        <w:spacing w:after="240" w:line="240" w:lineRule="auto"/>
        <w:ind w:left="567" w:hanging="567"/>
        <w:jc w:val="both"/>
        <w:rPr>
          <w:rFonts w:ascii="Times New Roman" w:hAnsi="Times New Roman" w:cs="Times New Roman"/>
          <w:b/>
          <w:sz w:val="24"/>
          <w:szCs w:val="24"/>
          <w:lang w:eastAsia="en-US"/>
        </w:rPr>
      </w:pPr>
      <w:r w:rsidRPr="00FD005A">
        <w:rPr>
          <w:rFonts w:ascii="Times New Roman" w:hAnsi="Times New Roman" w:cs="Times New Roman"/>
          <w:b/>
          <w:sz w:val="24"/>
          <w:szCs w:val="24"/>
          <w:lang w:eastAsia="en-US"/>
        </w:rPr>
        <w:t>Background</w:t>
      </w:r>
    </w:p>
    <w:p w14:paraId="7377287F" w14:textId="3EE8997B" w:rsidR="00C25FA1" w:rsidRPr="00FD005A" w:rsidRDefault="00C25FA1" w:rsidP="00E94957">
      <w:pPr>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APRA’s mandate is to ensure the safety and soundness of prudentially regulated financial institutions so that they can meet their financial promises to depositors, policyholders and fund members within a stable, efficient and competitive financial system.</w:t>
      </w:r>
    </w:p>
    <w:p w14:paraId="3D599309" w14:textId="2D5A1A4D" w:rsidR="00C25FA1" w:rsidRPr="00FD005A" w:rsidRDefault="00C25FA1" w:rsidP="00E94957">
      <w:pPr>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 xml:space="preserve">APRA carries out this mandate through a multi-layered prudential framework that encompasses licensing and supervision of institutions. In the case of the banking industry, APRA is empowered under </w:t>
      </w:r>
      <w:r w:rsidRPr="00E94957">
        <w:rPr>
          <w:rFonts w:ascii="Times New Roman" w:hAnsi="Times New Roman" w:cs="Times New Roman"/>
          <w:sz w:val="24"/>
          <w:szCs w:val="24"/>
          <w:lang w:eastAsia="en-US"/>
        </w:rPr>
        <w:t>the Act</w:t>
      </w:r>
      <w:r w:rsidRPr="00FD005A">
        <w:rPr>
          <w:rFonts w:ascii="Times New Roman" w:hAnsi="Times New Roman" w:cs="Times New Roman"/>
          <w:sz w:val="24"/>
          <w:szCs w:val="24"/>
          <w:lang w:eastAsia="en-US"/>
        </w:rPr>
        <w:t xml:space="preserve"> to </w:t>
      </w:r>
      <w:bookmarkStart w:id="4" w:name="_Hlk78984313"/>
      <w:r w:rsidRPr="00FD005A">
        <w:rPr>
          <w:rFonts w:ascii="Times New Roman" w:hAnsi="Times New Roman" w:cs="Times New Roman"/>
          <w:sz w:val="24"/>
          <w:szCs w:val="24"/>
          <w:lang w:eastAsia="en-US"/>
        </w:rPr>
        <w:t>issue legally binding prudential standards that set out specific prudential requirements with which ADIs must comply</w:t>
      </w:r>
      <w:bookmarkEnd w:id="4"/>
      <w:r w:rsidRPr="00FD005A">
        <w:rPr>
          <w:rFonts w:ascii="Times New Roman" w:hAnsi="Times New Roman" w:cs="Times New Roman"/>
          <w:sz w:val="24"/>
          <w:szCs w:val="24"/>
          <w:lang w:eastAsia="en-US"/>
        </w:rPr>
        <w:t xml:space="preserve">. </w:t>
      </w:r>
    </w:p>
    <w:p w14:paraId="306AA6B3" w14:textId="77777777" w:rsidR="00C25FA1" w:rsidRPr="00FD005A" w:rsidRDefault="00C25FA1" w:rsidP="00E94957">
      <w:pPr>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APRA regularly reviews its regulatory regime and amends its prudential requirements as a result of a number of factors including:</w:t>
      </w:r>
    </w:p>
    <w:p w14:paraId="0689E01F" w14:textId="17C30B37" w:rsidR="00C25FA1" w:rsidRPr="00FD005A" w:rsidRDefault="00C25FA1" w:rsidP="00E94957">
      <w:pPr>
        <w:pStyle w:val="ListParagraph"/>
        <w:numPr>
          <w:ilvl w:val="0"/>
          <w:numId w:val="11"/>
        </w:numPr>
        <w:ind w:left="567" w:hanging="567"/>
        <w:contextualSpacing w:val="0"/>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international developments;</w:t>
      </w:r>
    </w:p>
    <w:p w14:paraId="7267B67D" w14:textId="39B6F888" w:rsidR="00C25FA1" w:rsidRPr="00FD005A" w:rsidRDefault="00C25FA1" w:rsidP="00E94957">
      <w:pPr>
        <w:pStyle w:val="ListParagraph"/>
        <w:numPr>
          <w:ilvl w:val="0"/>
          <w:numId w:val="11"/>
        </w:numPr>
        <w:ind w:left="567" w:hanging="567"/>
        <w:contextualSpacing w:val="0"/>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changes in financial market conditions</w:t>
      </w:r>
      <w:r w:rsidR="001509C9">
        <w:rPr>
          <w:rFonts w:ascii="Times New Roman" w:hAnsi="Times New Roman" w:cs="Times New Roman"/>
          <w:sz w:val="24"/>
          <w:szCs w:val="24"/>
          <w:lang w:eastAsia="en-US"/>
        </w:rPr>
        <w:t>,</w:t>
      </w:r>
      <w:r w:rsidRPr="00FD005A">
        <w:rPr>
          <w:rFonts w:ascii="Times New Roman" w:hAnsi="Times New Roman" w:cs="Times New Roman"/>
          <w:sz w:val="24"/>
          <w:szCs w:val="24"/>
          <w:lang w:eastAsia="en-US"/>
        </w:rPr>
        <w:t xml:space="preserve"> or changes in risk management practices, in response to identified weaknesses in the prudential framework; and</w:t>
      </w:r>
    </w:p>
    <w:p w14:paraId="79F40E91" w14:textId="1ED62B57" w:rsidR="00C30660" w:rsidRPr="00FD005A" w:rsidRDefault="00C25FA1" w:rsidP="00E94957">
      <w:pPr>
        <w:pStyle w:val="ListParagraph"/>
        <w:numPr>
          <w:ilvl w:val="0"/>
          <w:numId w:val="11"/>
        </w:numPr>
        <w:ind w:left="567" w:hanging="567"/>
        <w:contextualSpacing w:val="0"/>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to reduce potential negative impacts of emerging industry issues.</w:t>
      </w:r>
    </w:p>
    <w:p w14:paraId="3966ABD5" w14:textId="5E25CF42" w:rsidR="00A26A42" w:rsidRDefault="004665D8" w:rsidP="00E94957">
      <w:pPr>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An ADI</w:t>
      </w:r>
      <w:r w:rsidR="00183EB6">
        <w:rPr>
          <w:rFonts w:ascii="Times New Roman" w:hAnsi="Times New Roman" w:cs="Times New Roman"/>
          <w:sz w:val="24"/>
          <w:szCs w:val="24"/>
          <w:lang w:eastAsia="en-US"/>
        </w:rPr>
        <w:t>’</w:t>
      </w:r>
      <w:r w:rsidRPr="00FD005A">
        <w:rPr>
          <w:rFonts w:ascii="Times New Roman" w:hAnsi="Times New Roman" w:cs="Times New Roman"/>
          <w:sz w:val="24"/>
          <w:szCs w:val="24"/>
          <w:lang w:eastAsia="en-US"/>
        </w:rPr>
        <w:t xml:space="preserve">s capital base is the cornerstone of its financial soundness. APS 111 </w:t>
      </w:r>
      <w:r w:rsidR="00FC7C2B" w:rsidRPr="00FD005A">
        <w:rPr>
          <w:rFonts w:ascii="Times New Roman" w:hAnsi="Times New Roman" w:cs="Times New Roman"/>
          <w:sz w:val="24"/>
          <w:szCs w:val="24"/>
          <w:lang w:eastAsia="en-US"/>
        </w:rPr>
        <w:t xml:space="preserve">is </w:t>
      </w:r>
      <w:r w:rsidR="00C4329D" w:rsidRPr="00FD005A">
        <w:rPr>
          <w:rFonts w:ascii="Times New Roman" w:hAnsi="Times New Roman" w:cs="Times New Roman"/>
          <w:sz w:val="24"/>
          <w:szCs w:val="24"/>
          <w:lang w:eastAsia="en-US"/>
        </w:rPr>
        <w:t>one of A</w:t>
      </w:r>
      <w:r w:rsidR="00FC7C2B" w:rsidRPr="00FD005A">
        <w:rPr>
          <w:rFonts w:ascii="Times New Roman" w:hAnsi="Times New Roman" w:cs="Times New Roman"/>
          <w:sz w:val="24"/>
          <w:szCs w:val="24"/>
          <w:lang w:eastAsia="en-US"/>
        </w:rPr>
        <w:t xml:space="preserve">PRA’s prudential standards relevant to an ADI’s capital base </w:t>
      </w:r>
      <w:r w:rsidR="00FE1C5B" w:rsidRPr="00FD005A">
        <w:rPr>
          <w:rFonts w:ascii="Times New Roman" w:hAnsi="Times New Roman" w:cs="Times New Roman"/>
          <w:sz w:val="24"/>
          <w:szCs w:val="24"/>
          <w:lang w:eastAsia="en-US"/>
        </w:rPr>
        <w:t xml:space="preserve">and </w:t>
      </w:r>
      <w:r w:rsidRPr="00FD005A">
        <w:rPr>
          <w:rFonts w:ascii="Times New Roman" w:hAnsi="Times New Roman" w:cs="Times New Roman"/>
          <w:sz w:val="24"/>
          <w:szCs w:val="24"/>
          <w:lang w:eastAsia="en-US"/>
        </w:rPr>
        <w:t xml:space="preserve">sets out detailed criteria for measuring an ADI's </w:t>
      </w:r>
      <w:r w:rsidR="005B498C" w:rsidRPr="00FD005A">
        <w:rPr>
          <w:rFonts w:ascii="Times New Roman" w:hAnsi="Times New Roman" w:cs="Times New Roman"/>
          <w:sz w:val="24"/>
          <w:szCs w:val="24"/>
          <w:lang w:eastAsia="en-US"/>
        </w:rPr>
        <w:t>r</w:t>
      </w:r>
      <w:r w:rsidRPr="00FD005A">
        <w:rPr>
          <w:rFonts w:ascii="Times New Roman" w:hAnsi="Times New Roman" w:cs="Times New Roman"/>
          <w:sz w:val="24"/>
          <w:szCs w:val="24"/>
          <w:lang w:eastAsia="en-US"/>
        </w:rPr>
        <w:t xml:space="preserve">egulatory </w:t>
      </w:r>
      <w:r w:rsidR="005B498C" w:rsidRPr="00FD005A">
        <w:rPr>
          <w:rFonts w:ascii="Times New Roman" w:hAnsi="Times New Roman" w:cs="Times New Roman"/>
          <w:sz w:val="24"/>
          <w:szCs w:val="24"/>
          <w:lang w:eastAsia="en-US"/>
        </w:rPr>
        <w:t>c</w:t>
      </w:r>
      <w:r w:rsidRPr="00FD005A">
        <w:rPr>
          <w:rFonts w:ascii="Times New Roman" w:hAnsi="Times New Roman" w:cs="Times New Roman"/>
          <w:sz w:val="24"/>
          <w:szCs w:val="24"/>
          <w:lang w:eastAsia="en-US"/>
        </w:rPr>
        <w:t xml:space="preserve">apital. </w:t>
      </w:r>
      <w:r w:rsidR="00ED674A">
        <w:rPr>
          <w:rFonts w:ascii="Times New Roman" w:hAnsi="Times New Roman" w:cs="Times New Roman"/>
          <w:sz w:val="24"/>
          <w:szCs w:val="24"/>
          <w:lang w:eastAsia="en-US"/>
        </w:rPr>
        <w:t xml:space="preserve">Other than minor additions to the framework, </w:t>
      </w:r>
      <w:r w:rsidR="005B498C" w:rsidRPr="00FD005A">
        <w:rPr>
          <w:rFonts w:ascii="Times New Roman" w:hAnsi="Times New Roman" w:cs="Times New Roman"/>
          <w:sz w:val="24"/>
          <w:szCs w:val="24"/>
          <w:lang w:eastAsia="en-US"/>
        </w:rPr>
        <w:t xml:space="preserve">APS 111 has not significantly changed since 2013. </w:t>
      </w:r>
    </w:p>
    <w:p w14:paraId="507B2794" w14:textId="55C40BC2" w:rsidR="002C2F6A" w:rsidRDefault="002C2F6A" w:rsidP="00E94957">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Since 2013, </w:t>
      </w:r>
      <w:r w:rsidR="00CF2848">
        <w:rPr>
          <w:rFonts w:ascii="Times New Roman" w:hAnsi="Times New Roman" w:cs="Times New Roman"/>
          <w:sz w:val="24"/>
          <w:szCs w:val="24"/>
          <w:lang w:eastAsia="en-US"/>
        </w:rPr>
        <w:t xml:space="preserve">there have been a number of changes to international standards and market conditions that </w:t>
      </w:r>
      <w:r w:rsidR="00264048">
        <w:rPr>
          <w:rFonts w:ascii="Times New Roman" w:hAnsi="Times New Roman" w:cs="Times New Roman"/>
          <w:sz w:val="24"/>
          <w:szCs w:val="24"/>
          <w:lang w:eastAsia="en-US"/>
        </w:rPr>
        <w:t>have made it necessary for APRA to update</w:t>
      </w:r>
      <w:r w:rsidR="00CF2848">
        <w:rPr>
          <w:rFonts w:ascii="Times New Roman" w:hAnsi="Times New Roman" w:cs="Times New Roman"/>
          <w:sz w:val="24"/>
          <w:szCs w:val="24"/>
          <w:lang w:eastAsia="en-US"/>
        </w:rPr>
        <w:t xml:space="preserve"> APS 111. In particular, </w:t>
      </w:r>
      <w:r w:rsidR="00CF2848" w:rsidRPr="00FD005A">
        <w:rPr>
          <w:rFonts w:ascii="Times New Roman" w:hAnsi="Times New Roman" w:cs="Times New Roman"/>
          <w:sz w:val="24"/>
          <w:szCs w:val="24"/>
          <w:lang w:eastAsia="en-US"/>
        </w:rPr>
        <w:t>the Basel Committee on Banking Supervision (Basel Committee)</w:t>
      </w:r>
      <w:r w:rsidR="00CF2848" w:rsidRPr="00FD005A">
        <w:rPr>
          <w:rStyle w:val="FootnoteReference"/>
          <w:rFonts w:ascii="Times New Roman" w:hAnsi="Times New Roman" w:cs="Times New Roman"/>
          <w:sz w:val="24"/>
          <w:szCs w:val="24"/>
          <w:lang w:eastAsia="en-US"/>
        </w:rPr>
        <w:footnoteReference w:id="1"/>
      </w:r>
      <w:r w:rsidR="00CF2848" w:rsidRPr="00FD005A">
        <w:rPr>
          <w:rFonts w:ascii="Times New Roman" w:hAnsi="Times New Roman" w:cs="Times New Roman"/>
          <w:sz w:val="24"/>
          <w:szCs w:val="24"/>
          <w:lang w:eastAsia="en-US"/>
        </w:rPr>
        <w:t xml:space="preserve"> has released </w:t>
      </w:r>
      <w:r w:rsidR="00CF2848">
        <w:rPr>
          <w:rFonts w:ascii="Times New Roman" w:hAnsi="Times New Roman" w:cs="Times New Roman"/>
          <w:sz w:val="24"/>
          <w:szCs w:val="24"/>
          <w:lang w:eastAsia="en-US"/>
        </w:rPr>
        <w:t xml:space="preserve">updated </w:t>
      </w:r>
      <w:r w:rsidR="00CF2848" w:rsidRPr="00FD005A">
        <w:rPr>
          <w:rFonts w:ascii="Times New Roman" w:hAnsi="Times New Roman" w:cs="Times New Roman"/>
          <w:sz w:val="24"/>
          <w:szCs w:val="24"/>
        </w:rPr>
        <w:t>standards, statements and guidance</w:t>
      </w:r>
      <w:r w:rsidR="00CF2848" w:rsidRPr="00FD005A">
        <w:rPr>
          <w:rFonts w:ascii="Times New Roman" w:hAnsi="Times New Roman" w:cs="Times New Roman"/>
          <w:sz w:val="24"/>
          <w:szCs w:val="24"/>
          <w:lang w:eastAsia="en-US"/>
        </w:rPr>
        <w:t xml:space="preserve"> on capital-related matters</w:t>
      </w:r>
      <w:r w:rsidR="00CF2848">
        <w:rPr>
          <w:rFonts w:ascii="Times New Roman" w:hAnsi="Times New Roman" w:cs="Times New Roman"/>
          <w:sz w:val="24"/>
          <w:szCs w:val="24"/>
          <w:lang w:eastAsia="en-US"/>
        </w:rPr>
        <w:t xml:space="preserve">. Reforms by other overseas regulators, particularly the </w:t>
      </w:r>
      <w:r w:rsidR="00CF2848" w:rsidRPr="00FD005A">
        <w:rPr>
          <w:rFonts w:ascii="Times New Roman" w:hAnsi="Times New Roman" w:cs="Times New Roman"/>
          <w:color w:val="000000"/>
          <w:sz w:val="24"/>
          <w:szCs w:val="24"/>
        </w:rPr>
        <w:t>Reserve Bank of New Zealand (RBNZ)</w:t>
      </w:r>
      <w:r w:rsidR="00CF2848">
        <w:rPr>
          <w:rFonts w:ascii="Times New Roman" w:hAnsi="Times New Roman" w:cs="Times New Roman"/>
          <w:color w:val="000000"/>
          <w:sz w:val="24"/>
          <w:szCs w:val="24"/>
        </w:rPr>
        <w:t xml:space="preserve">, have also </w:t>
      </w:r>
      <w:r w:rsidR="00264048">
        <w:rPr>
          <w:rFonts w:ascii="Times New Roman" w:hAnsi="Times New Roman" w:cs="Times New Roman"/>
          <w:color w:val="000000"/>
          <w:sz w:val="24"/>
          <w:szCs w:val="24"/>
        </w:rPr>
        <w:t xml:space="preserve">brought into focus risks associated with the capital treatment of banks’ equity investments in their subsidiaries.  </w:t>
      </w:r>
    </w:p>
    <w:p w14:paraId="54035651" w14:textId="2E07F20D" w:rsidR="004F6333" w:rsidRPr="00FD005A" w:rsidRDefault="00D92B39" w:rsidP="00E9495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APRA has also sought to update, </w:t>
      </w:r>
      <w:r w:rsidRPr="00FD005A">
        <w:rPr>
          <w:rFonts w:ascii="Times New Roman" w:hAnsi="Times New Roman" w:cs="Times New Roman"/>
          <w:sz w:val="24"/>
          <w:szCs w:val="24"/>
          <w:lang w:eastAsia="en-US"/>
        </w:rPr>
        <w:t xml:space="preserve">clarify and simplify </w:t>
      </w:r>
      <w:r>
        <w:rPr>
          <w:rFonts w:ascii="Times New Roman" w:hAnsi="Times New Roman" w:cs="Times New Roman"/>
          <w:sz w:val="24"/>
          <w:szCs w:val="24"/>
          <w:lang w:eastAsia="en-US"/>
        </w:rPr>
        <w:t>APS 111</w:t>
      </w:r>
      <w:r w:rsidRPr="00FD005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taking into account information contained in </w:t>
      </w:r>
      <w:r w:rsidRPr="00FD005A">
        <w:rPr>
          <w:rFonts w:ascii="Times New Roman" w:hAnsi="Times New Roman" w:cs="Times New Roman"/>
          <w:sz w:val="24"/>
          <w:szCs w:val="24"/>
          <w:lang w:eastAsia="en-US"/>
        </w:rPr>
        <w:t>frequently asked questions (FAQs)</w:t>
      </w:r>
      <w:r w:rsidRPr="00FD005A">
        <w:rPr>
          <w:rStyle w:val="FootnoteReference"/>
          <w:rFonts w:ascii="Times New Roman" w:hAnsi="Times New Roman" w:cs="Times New Roman"/>
          <w:sz w:val="24"/>
          <w:szCs w:val="24"/>
          <w:lang w:eastAsia="en-US"/>
        </w:rPr>
        <w:footnoteReference w:id="2"/>
      </w:r>
      <w:r w:rsidRPr="00FD005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and findings from supervision. Complex capital issuance structures, which have not been a feature of market practice in recent years, have also been reviewed.</w:t>
      </w:r>
    </w:p>
    <w:p w14:paraId="080AA574" w14:textId="6B8D0FAF" w:rsidR="0012246A" w:rsidRPr="00FD005A" w:rsidRDefault="0012246A" w:rsidP="001E7618">
      <w:pPr>
        <w:numPr>
          <w:ilvl w:val="0"/>
          <w:numId w:val="16"/>
        </w:numPr>
        <w:spacing w:after="240" w:line="240" w:lineRule="auto"/>
        <w:ind w:left="567" w:hanging="567"/>
        <w:jc w:val="both"/>
        <w:rPr>
          <w:rFonts w:ascii="Times New Roman" w:hAnsi="Times New Roman" w:cs="Times New Roman"/>
          <w:b/>
          <w:sz w:val="24"/>
          <w:szCs w:val="24"/>
          <w:lang w:eastAsia="en-US"/>
        </w:rPr>
      </w:pPr>
      <w:r w:rsidRPr="00FD005A">
        <w:rPr>
          <w:rFonts w:ascii="Times New Roman" w:hAnsi="Times New Roman" w:cs="Times New Roman"/>
          <w:b/>
          <w:sz w:val="24"/>
          <w:szCs w:val="24"/>
          <w:lang w:eastAsia="en-US"/>
        </w:rPr>
        <w:t>Purpose and operation of the instrument</w:t>
      </w:r>
    </w:p>
    <w:p w14:paraId="3C0F2572" w14:textId="3032E508" w:rsidR="0012246A" w:rsidRPr="00FD005A" w:rsidRDefault="0012246A" w:rsidP="00E94957">
      <w:pPr>
        <w:jc w:val="both"/>
        <w:rPr>
          <w:rFonts w:ascii="Times New Roman" w:hAnsi="Times New Roman" w:cs="Times New Roman"/>
          <w:sz w:val="24"/>
          <w:szCs w:val="24"/>
          <w:lang w:eastAsia="en-US"/>
        </w:rPr>
      </w:pPr>
      <w:r w:rsidRPr="00FD005A">
        <w:rPr>
          <w:rFonts w:ascii="Times New Roman" w:hAnsi="Times New Roman" w:cs="Times New Roman"/>
          <w:sz w:val="24"/>
          <w:szCs w:val="24"/>
          <w:lang w:eastAsia="en-US"/>
        </w:rPr>
        <w:t xml:space="preserve">The purpose of the instrument is to revoke </w:t>
      </w:r>
      <w:r w:rsidR="00B34BEB">
        <w:rPr>
          <w:rFonts w:ascii="Times New Roman" w:hAnsi="Times New Roman" w:cs="Times New Roman"/>
          <w:sz w:val="24"/>
          <w:szCs w:val="24"/>
          <w:lang w:eastAsia="en-US"/>
        </w:rPr>
        <w:t>APS 111</w:t>
      </w:r>
      <w:r w:rsidR="00487899" w:rsidRPr="00FD005A">
        <w:rPr>
          <w:rFonts w:ascii="Times New Roman" w:hAnsi="Times New Roman" w:cs="Times New Roman"/>
          <w:sz w:val="24"/>
          <w:szCs w:val="24"/>
        </w:rPr>
        <w:t xml:space="preserve"> </w:t>
      </w:r>
      <w:r w:rsidRPr="00FD005A">
        <w:rPr>
          <w:rFonts w:ascii="Times New Roman" w:hAnsi="Times New Roman" w:cs="Times New Roman"/>
          <w:sz w:val="24"/>
          <w:szCs w:val="24"/>
          <w:lang w:eastAsia="en-US"/>
        </w:rPr>
        <w:t xml:space="preserve">and to replace it with a new version of </w:t>
      </w:r>
      <w:r w:rsidR="00B34BEB">
        <w:rPr>
          <w:rFonts w:ascii="Times New Roman" w:hAnsi="Times New Roman" w:cs="Times New Roman"/>
          <w:sz w:val="24"/>
          <w:szCs w:val="24"/>
          <w:lang w:eastAsia="en-US"/>
        </w:rPr>
        <w:t>APS 111</w:t>
      </w:r>
      <w:r w:rsidR="00C466A5" w:rsidRPr="00FD005A">
        <w:rPr>
          <w:rFonts w:ascii="Times New Roman" w:hAnsi="Times New Roman" w:cs="Times New Roman"/>
          <w:sz w:val="24"/>
          <w:szCs w:val="24"/>
          <w:lang w:eastAsia="en-US"/>
        </w:rPr>
        <w:t>.</w:t>
      </w:r>
    </w:p>
    <w:p w14:paraId="3AFA2BF6" w14:textId="2B89302F" w:rsidR="004665D8" w:rsidRPr="00FD005A" w:rsidRDefault="004665D8" w:rsidP="00E94957">
      <w:pPr>
        <w:jc w:val="both"/>
        <w:rPr>
          <w:rFonts w:ascii="Times New Roman" w:hAnsi="Times New Roman" w:cs="Times New Roman"/>
          <w:sz w:val="24"/>
          <w:szCs w:val="24"/>
        </w:rPr>
      </w:pPr>
      <w:r w:rsidRPr="00FD005A">
        <w:rPr>
          <w:rFonts w:ascii="Times New Roman" w:hAnsi="Times New Roman" w:cs="Times New Roman"/>
          <w:sz w:val="24"/>
          <w:szCs w:val="24"/>
        </w:rPr>
        <w:t xml:space="preserve">The </w:t>
      </w:r>
      <w:r w:rsidR="00E23F3D" w:rsidRPr="00FD005A">
        <w:rPr>
          <w:rFonts w:ascii="Times New Roman" w:hAnsi="Times New Roman" w:cs="Times New Roman"/>
          <w:sz w:val="24"/>
          <w:szCs w:val="24"/>
        </w:rPr>
        <w:t xml:space="preserve">new version of </w:t>
      </w:r>
      <w:r w:rsidR="00B34BEB">
        <w:rPr>
          <w:rFonts w:ascii="Times New Roman" w:hAnsi="Times New Roman" w:cs="Times New Roman"/>
          <w:sz w:val="24"/>
          <w:szCs w:val="24"/>
        </w:rPr>
        <w:t>APS 111</w:t>
      </w:r>
      <w:r w:rsidRPr="00FD005A">
        <w:rPr>
          <w:rFonts w:ascii="Times New Roman" w:hAnsi="Times New Roman" w:cs="Times New Roman"/>
          <w:sz w:val="24"/>
          <w:szCs w:val="24"/>
        </w:rPr>
        <w:t xml:space="preserve"> </w:t>
      </w:r>
      <w:r w:rsidR="00E23F3D" w:rsidRPr="00FD005A">
        <w:rPr>
          <w:rFonts w:ascii="Times New Roman" w:hAnsi="Times New Roman" w:cs="Times New Roman"/>
          <w:sz w:val="24"/>
          <w:szCs w:val="24"/>
        </w:rPr>
        <w:t>is</w:t>
      </w:r>
      <w:r w:rsidRPr="00FD005A">
        <w:rPr>
          <w:rFonts w:ascii="Times New Roman" w:hAnsi="Times New Roman" w:cs="Times New Roman"/>
          <w:sz w:val="24"/>
          <w:szCs w:val="24"/>
        </w:rPr>
        <w:t xml:space="preserve"> designed to: </w:t>
      </w:r>
    </w:p>
    <w:p w14:paraId="6FBEA373" w14:textId="77777777" w:rsidR="001E7618" w:rsidRPr="00FD005A" w:rsidRDefault="004665D8" w:rsidP="00E94957">
      <w:pPr>
        <w:pStyle w:val="ListParagraph"/>
        <w:numPr>
          <w:ilvl w:val="0"/>
          <w:numId w:val="12"/>
        </w:numPr>
        <w:ind w:left="567" w:hanging="567"/>
        <w:contextualSpacing w:val="0"/>
        <w:jc w:val="both"/>
        <w:rPr>
          <w:rFonts w:ascii="Times New Roman" w:hAnsi="Times New Roman" w:cs="Times New Roman"/>
          <w:sz w:val="24"/>
          <w:szCs w:val="24"/>
        </w:rPr>
      </w:pPr>
      <w:bookmarkStart w:id="5" w:name="_Hlk75191591"/>
      <w:r w:rsidRPr="00FD005A">
        <w:rPr>
          <w:rFonts w:ascii="Times New Roman" w:hAnsi="Times New Roman" w:cs="Times New Roman"/>
          <w:sz w:val="24"/>
          <w:szCs w:val="24"/>
        </w:rPr>
        <w:t xml:space="preserve">reinforce financial system resilience, through changes to the capital treatment of an ADI’s equity investments in their banking and insurance subsidiaries; </w:t>
      </w:r>
    </w:p>
    <w:p w14:paraId="1D725D5D" w14:textId="19AE78AD" w:rsidR="00A23744" w:rsidRPr="00FD005A" w:rsidRDefault="004665D8" w:rsidP="00E94957">
      <w:pPr>
        <w:pStyle w:val="ListParagraph"/>
        <w:numPr>
          <w:ilvl w:val="0"/>
          <w:numId w:val="12"/>
        </w:numPr>
        <w:ind w:left="567" w:hanging="567"/>
        <w:contextualSpacing w:val="0"/>
        <w:jc w:val="both"/>
        <w:rPr>
          <w:rFonts w:ascii="Times New Roman" w:hAnsi="Times New Roman" w:cs="Times New Roman"/>
          <w:sz w:val="24"/>
          <w:szCs w:val="24"/>
        </w:rPr>
      </w:pPr>
      <w:r w:rsidRPr="00FD005A">
        <w:rPr>
          <w:rFonts w:ascii="Times New Roman" w:hAnsi="Times New Roman" w:cs="Times New Roman"/>
          <w:sz w:val="24"/>
          <w:szCs w:val="24"/>
        </w:rPr>
        <w:t xml:space="preserve">promote simple and transparent capital issuance, through the removal of the allowance for the use of </w:t>
      </w:r>
      <w:r w:rsidR="008E0176">
        <w:rPr>
          <w:rFonts w:ascii="Times New Roman" w:hAnsi="Times New Roman" w:cs="Times New Roman"/>
          <w:sz w:val="24"/>
          <w:szCs w:val="24"/>
        </w:rPr>
        <w:t>special purpose vehicles (</w:t>
      </w:r>
      <w:r w:rsidRPr="00FD005A">
        <w:rPr>
          <w:rFonts w:ascii="Times New Roman" w:hAnsi="Times New Roman" w:cs="Times New Roman"/>
          <w:sz w:val="24"/>
          <w:szCs w:val="24"/>
        </w:rPr>
        <w:t>SPVs</w:t>
      </w:r>
      <w:r w:rsidR="008E0176">
        <w:rPr>
          <w:rFonts w:ascii="Times New Roman" w:hAnsi="Times New Roman" w:cs="Times New Roman"/>
          <w:sz w:val="24"/>
          <w:szCs w:val="24"/>
        </w:rPr>
        <w:t>)</w:t>
      </w:r>
      <w:r w:rsidRPr="00FD005A">
        <w:rPr>
          <w:rFonts w:ascii="Times New Roman" w:hAnsi="Times New Roman" w:cs="Times New Roman"/>
          <w:sz w:val="24"/>
          <w:szCs w:val="24"/>
        </w:rPr>
        <w:t xml:space="preserve"> and stapled security structures in regulatory capital issuance; and </w:t>
      </w:r>
    </w:p>
    <w:p w14:paraId="5FDF90AA" w14:textId="65202683" w:rsidR="004665D8" w:rsidRPr="00FD005A" w:rsidRDefault="004665D8" w:rsidP="00E94957">
      <w:pPr>
        <w:pStyle w:val="ListParagraph"/>
        <w:numPr>
          <w:ilvl w:val="0"/>
          <w:numId w:val="12"/>
        </w:numPr>
        <w:ind w:left="567" w:hanging="567"/>
        <w:contextualSpacing w:val="0"/>
        <w:jc w:val="both"/>
        <w:rPr>
          <w:rFonts w:ascii="Times New Roman" w:hAnsi="Times New Roman" w:cs="Times New Roman"/>
          <w:sz w:val="24"/>
          <w:szCs w:val="24"/>
        </w:rPr>
      </w:pPr>
      <w:r w:rsidRPr="00FD005A">
        <w:rPr>
          <w:rFonts w:ascii="Times New Roman" w:hAnsi="Times New Roman" w:cs="Times New Roman"/>
          <w:sz w:val="24"/>
          <w:szCs w:val="24"/>
        </w:rPr>
        <w:t>clarify aspects of APS 111, including provision of additional technical information to assist ADIs in issuing capital instruments</w:t>
      </w:r>
      <w:r w:rsidR="000E3C6B" w:rsidRPr="00FD005A">
        <w:rPr>
          <w:rFonts w:ascii="Times New Roman" w:hAnsi="Times New Roman" w:cs="Times New Roman"/>
          <w:sz w:val="24"/>
          <w:szCs w:val="24"/>
        </w:rPr>
        <w:t>.</w:t>
      </w:r>
      <w:r w:rsidRPr="00FD005A">
        <w:rPr>
          <w:rFonts w:ascii="Times New Roman" w:hAnsi="Times New Roman" w:cs="Times New Roman"/>
          <w:sz w:val="24"/>
          <w:szCs w:val="24"/>
        </w:rPr>
        <w:t xml:space="preserve"> </w:t>
      </w:r>
    </w:p>
    <w:bookmarkEnd w:id="5"/>
    <w:p w14:paraId="4A29A70B" w14:textId="7C90A42C" w:rsidR="004665D8" w:rsidRPr="00FD005A" w:rsidRDefault="00CE5D14" w:rsidP="00E94957">
      <w:pPr>
        <w:jc w:val="both"/>
        <w:rPr>
          <w:rFonts w:ascii="Times New Roman" w:hAnsi="Times New Roman" w:cs="Times New Roman"/>
          <w:sz w:val="24"/>
          <w:szCs w:val="24"/>
        </w:rPr>
      </w:pPr>
      <w:r w:rsidRPr="00FD005A">
        <w:rPr>
          <w:rFonts w:ascii="Times New Roman" w:hAnsi="Times New Roman" w:cs="Times New Roman"/>
          <w:sz w:val="24"/>
          <w:szCs w:val="24"/>
          <w:lang w:eastAsia="en-US"/>
        </w:rPr>
        <w:t>The change to the capital treatment of an ADI’s equity investments in their banking and insurance subsidiaries is the most material change to the Prudential Standard. The new version of APS 111 limits the amount of equity exposures in banking and insurance subsidiaries</w:t>
      </w:r>
      <w:r w:rsidR="00D7372D">
        <w:rPr>
          <w:rFonts w:ascii="Times New Roman" w:hAnsi="Times New Roman" w:cs="Times New Roman"/>
          <w:sz w:val="24"/>
          <w:szCs w:val="24"/>
          <w:lang w:eastAsia="en-US"/>
        </w:rPr>
        <w:t xml:space="preserve"> that can be leveraged</w:t>
      </w:r>
      <w:r w:rsidRPr="00FD005A">
        <w:rPr>
          <w:rFonts w:ascii="Times New Roman" w:hAnsi="Times New Roman" w:cs="Times New Roman"/>
          <w:sz w:val="24"/>
          <w:szCs w:val="24"/>
          <w:lang w:eastAsia="en-US"/>
        </w:rPr>
        <w:t xml:space="preserve"> to 10 per cent of an ADI’s </w:t>
      </w:r>
      <w:r w:rsidR="00DF49D8" w:rsidRPr="00FD005A">
        <w:rPr>
          <w:rFonts w:ascii="Times New Roman" w:hAnsi="Times New Roman" w:cs="Times New Roman"/>
          <w:sz w:val="24"/>
          <w:szCs w:val="24"/>
          <w:lang w:eastAsia="en-US"/>
        </w:rPr>
        <w:t>C</w:t>
      </w:r>
      <w:r w:rsidR="00846656" w:rsidRPr="00FD005A">
        <w:rPr>
          <w:rFonts w:ascii="Times New Roman" w:hAnsi="Times New Roman" w:cs="Times New Roman"/>
          <w:sz w:val="24"/>
          <w:szCs w:val="24"/>
          <w:lang w:eastAsia="en-US"/>
        </w:rPr>
        <w:t>ommon Equity Tier 1 (C</w:t>
      </w:r>
      <w:r w:rsidR="00DF49D8" w:rsidRPr="00FD005A">
        <w:rPr>
          <w:rFonts w:ascii="Times New Roman" w:hAnsi="Times New Roman" w:cs="Times New Roman"/>
          <w:sz w:val="24"/>
          <w:szCs w:val="24"/>
          <w:lang w:eastAsia="en-US"/>
        </w:rPr>
        <w:t>ET1</w:t>
      </w:r>
      <w:r w:rsidR="00846656" w:rsidRPr="00FD005A">
        <w:rPr>
          <w:rFonts w:ascii="Times New Roman" w:hAnsi="Times New Roman" w:cs="Times New Roman"/>
          <w:sz w:val="24"/>
          <w:szCs w:val="24"/>
          <w:lang w:eastAsia="en-US"/>
        </w:rPr>
        <w:t>)</w:t>
      </w:r>
      <w:r w:rsidRPr="00FD005A">
        <w:rPr>
          <w:rFonts w:ascii="Times New Roman" w:hAnsi="Times New Roman" w:cs="Times New Roman"/>
          <w:sz w:val="24"/>
          <w:szCs w:val="24"/>
          <w:lang w:eastAsia="en-US"/>
        </w:rPr>
        <w:t xml:space="preserve"> </w:t>
      </w:r>
      <w:r w:rsidR="00741AEF" w:rsidRPr="00FD005A">
        <w:rPr>
          <w:rFonts w:ascii="Times New Roman" w:hAnsi="Times New Roman" w:cs="Times New Roman"/>
          <w:sz w:val="24"/>
          <w:szCs w:val="24"/>
          <w:lang w:eastAsia="en-US"/>
        </w:rPr>
        <w:t>c</w:t>
      </w:r>
      <w:r w:rsidRPr="00FD005A">
        <w:rPr>
          <w:rFonts w:ascii="Times New Roman" w:hAnsi="Times New Roman" w:cs="Times New Roman"/>
          <w:sz w:val="24"/>
          <w:szCs w:val="24"/>
          <w:lang w:eastAsia="en-US"/>
        </w:rPr>
        <w:t>apital</w:t>
      </w:r>
      <w:r w:rsidR="00D7372D">
        <w:rPr>
          <w:rFonts w:ascii="Times New Roman" w:hAnsi="Times New Roman" w:cs="Times New Roman"/>
          <w:sz w:val="24"/>
          <w:szCs w:val="24"/>
          <w:lang w:eastAsia="en-US"/>
        </w:rPr>
        <w:t xml:space="preserve"> for each exposure</w:t>
      </w:r>
      <w:r w:rsidRPr="00FD005A">
        <w:rPr>
          <w:rFonts w:ascii="Times New Roman" w:hAnsi="Times New Roman" w:cs="Times New Roman"/>
          <w:sz w:val="24"/>
          <w:szCs w:val="24"/>
          <w:lang w:eastAsia="en-US"/>
        </w:rPr>
        <w:t>.</w:t>
      </w:r>
      <w:r w:rsidR="00DF49D8" w:rsidRPr="00FD005A">
        <w:rPr>
          <w:rStyle w:val="FootnoteReference"/>
          <w:rFonts w:ascii="Times New Roman" w:hAnsi="Times New Roman" w:cs="Times New Roman"/>
          <w:sz w:val="24"/>
          <w:szCs w:val="24"/>
          <w:lang w:eastAsia="en-US"/>
        </w:rPr>
        <w:footnoteReference w:id="3"/>
      </w:r>
      <w:r w:rsidRPr="00FD005A">
        <w:rPr>
          <w:rFonts w:ascii="Times New Roman" w:hAnsi="Times New Roman" w:cs="Times New Roman"/>
          <w:sz w:val="24"/>
          <w:szCs w:val="24"/>
          <w:lang w:eastAsia="en-US"/>
        </w:rPr>
        <w:t xml:space="preserve"> Amounts over th</w:t>
      </w:r>
      <w:r w:rsidR="00B85101" w:rsidRPr="00FD005A">
        <w:rPr>
          <w:rFonts w:ascii="Times New Roman" w:hAnsi="Times New Roman" w:cs="Times New Roman"/>
          <w:sz w:val="24"/>
          <w:szCs w:val="24"/>
          <w:lang w:eastAsia="en-US"/>
        </w:rPr>
        <w:t>is</w:t>
      </w:r>
      <w:r w:rsidRPr="00FD005A">
        <w:rPr>
          <w:rFonts w:ascii="Times New Roman" w:hAnsi="Times New Roman" w:cs="Times New Roman"/>
          <w:sz w:val="24"/>
          <w:szCs w:val="24"/>
          <w:lang w:eastAsia="en-US"/>
        </w:rPr>
        <w:t xml:space="preserve"> 10 per cent threshold </w:t>
      </w:r>
      <w:r w:rsidR="00741AEF" w:rsidRPr="00FD005A">
        <w:rPr>
          <w:rFonts w:ascii="Times New Roman" w:hAnsi="Times New Roman" w:cs="Times New Roman"/>
          <w:sz w:val="24"/>
          <w:szCs w:val="24"/>
          <w:lang w:eastAsia="en-US"/>
        </w:rPr>
        <w:t>are</w:t>
      </w:r>
      <w:r w:rsidRPr="00FD005A">
        <w:rPr>
          <w:rFonts w:ascii="Times New Roman" w:hAnsi="Times New Roman" w:cs="Times New Roman"/>
          <w:sz w:val="24"/>
          <w:szCs w:val="24"/>
          <w:lang w:eastAsia="en-US"/>
        </w:rPr>
        <w:t xml:space="preserve"> required to be deducted from CET1 </w:t>
      </w:r>
      <w:r w:rsidR="00741AEF" w:rsidRPr="00FD005A">
        <w:rPr>
          <w:rFonts w:ascii="Times New Roman" w:hAnsi="Times New Roman" w:cs="Times New Roman"/>
          <w:sz w:val="24"/>
          <w:szCs w:val="24"/>
          <w:lang w:eastAsia="en-US"/>
        </w:rPr>
        <w:t>c</w:t>
      </w:r>
      <w:r w:rsidRPr="00FD005A">
        <w:rPr>
          <w:rFonts w:ascii="Times New Roman" w:hAnsi="Times New Roman" w:cs="Times New Roman"/>
          <w:sz w:val="24"/>
          <w:szCs w:val="24"/>
          <w:lang w:eastAsia="en-US"/>
        </w:rPr>
        <w:t>apital.</w:t>
      </w:r>
      <w:r w:rsidR="00741AEF" w:rsidRPr="00FD005A">
        <w:rPr>
          <w:rFonts w:ascii="Times New Roman" w:hAnsi="Times New Roman" w:cs="Times New Roman"/>
          <w:sz w:val="24"/>
          <w:szCs w:val="24"/>
        </w:rPr>
        <w:t xml:space="preserve"> This treatment </w:t>
      </w:r>
      <w:r w:rsidR="00C4329D" w:rsidRPr="00FD005A">
        <w:rPr>
          <w:rFonts w:ascii="Times New Roman" w:hAnsi="Times New Roman" w:cs="Times New Roman"/>
          <w:sz w:val="24"/>
          <w:szCs w:val="24"/>
        </w:rPr>
        <w:t>ensures there is adequate capital in Australian parent ADIs for bank</w:t>
      </w:r>
      <w:r w:rsidR="00B366DB" w:rsidRPr="00FD005A">
        <w:rPr>
          <w:rFonts w:ascii="Times New Roman" w:hAnsi="Times New Roman" w:cs="Times New Roman"/>
          <w:sz w:val="24"/>
          <w:szCs w:val="24"/>
        </w:rPr>
        <w:t>ing</w:t>
      </w:r>
      <w:r w:rsidR="00C4329D" w:rsidRPr="00FD005A">
        <w:rPr>
          <w:rFonts w:ascii="Times New Roman" w:hAnsi="Times New Roman" w:cs="Times New Roman"/>
          <w:sz w:val="24"/>
          <w:szCs w:val="24"/>
        </w:rPr>
        <w:t xml:space="preserve"> </w:t>
      </w:r>
      <w:r w:rsidR="00C4329D" w:rsidRPr="00FD005A">
        <w:rPr>
          <w:rFonts w:ascii="Times New Roman" w:hAnsi="Times New Roman" w:cs="Times New Roman"/>
          <w:sz w:val="24"/>
          <w:szCs w:val="24"/>
        </w:rPr>
        <w:lastRenderedPageBreak/>
        <w:t xml:space="preserve">subsidiaries (such as the New Zealand banking subsidiaries of </w:t>
      </w:r>
      <w:r w:rsidR="00846656" w:rsidRPr="00FD005A">
        <w:rPr>
          <w:rFonts w:ascii="Times New Roman" w:hAnsi="Times New Roman" w:cs="Times New Roman"/>
          <w:sz w:val="24"/>
          <w:szCs w:val="24"/>
        </w:rPr>
        <w:t>Australia’s</w:t>
      </w:r>
      <w:r w:rsidR="00C4329D" w:rsidRPr="00FD005A">
        <w:rPr>
          <w:rFonts w:ascii="Times New Roman" w:hAnsi="Times New Roman" w:cs="Times New Roman"/>
          <w:sz w:val="24"/>
          <w:szCs w:val="24"/>
        </w:rPr>
        <w:t xml:space="preserve"> major banks) and enhances the protection to the ADI’s depositors. </w:t>
      </w:r>
    </w:p>
    <w:p w14:paraId="0C200828" w14:textId="6E64AB3D" w:rsidR="00B366DB" w:rsidRPr="00FD005A" w:rsidRDefault="00B366DB" w:rsidP="00E94957">
      <w:pPr>
        <w:jc w:val="both"/>
        <w:rPr>
          <w:rFonts w:ascii="Times New Roman" w:hAnsi="Times New Roman" w:cs="Times New Roman"/>
          <w:sz w:val="24"/>
          <w:szCs w:val="24"/>
        </w:rPr>
      </w:pPr>
      <w:r w:rsidRPr="00FD005A">
        <w:rPr>
          <w:rFonts w:ascii="Times New Roman" w:hAnsi="Times New Roman" w:cs="Times New Roman"/>
          <w:sz w:val="24"/>
          <w:szCs w:val="24"/>
        </w:rPr>
        <w:t>Promoting simple and transparent capital issuance, through the removal of the allowance for the use of SPVs and stapled security structures</w:t>
      </w:r>
      <w:r w:rsidR="00457868">
        <w:rPr>
          <w:rFonts w:ascii="Times New Roman" w:hAnsi="Times New Roman" w:cs="Times New Roman"/>
          <w:sz w:val="24"/>
          <w:szCs w:val="24"/>
        </w:rPr>
        <w:t>,</w:t>
      </w:r>
      <w:r w:rsidRPr="00FD005A">
        <w:rPr>
          <w:rFonts w:ascii="Times New Roman" w:hAnsi="Times New Roman" w:cs="Times New Roman"/>
          <w:sz w:val="24"/>
          <w:szCs w:val="24"/>
        </w:rPr>
        <w:t xml:space="preserve"> is consistent with the principle that capital instruments should be transparent and capable of being readily understood.</w:t>
      </w:r>
    </w:p>
    <w:p w14:paraId="712C2637" w14:textId="294E142C" w:rsidR="00132ABE" w:rsidRDefault="00E268EE" w:rsidP="00E94957">
      <w:pPr>
        <w:jc w:val="both"/>
        <w:rPr>
          <w:rFonts w:ascii="Times New Roman" w:hAnsi="Times New Roman" w:cs="Times New Roman"/>
          <w:sz w:val="24"/>
          <w:szCs w:val="24"/>
        </w:rPr>
      </w:pPr>
      <w:r>
        <w:rPr>
          <w:rFonts w:ascii="Times New Roman" w:hAnsi="Times New Roman" w:cs="Times New Roman"/>
          <w:sz w:val="24"/>
          <w:szCs w:val="24"/>
        </w:rPr>
        <w:t>C</w:t>
      </w:r>
      <w:r w:rsidR="00132ABE" w:rsidRPr="00FD005A">
        <w:rPr>
          <w:rFonts w:ascii="Times New Roman" w:hAnsi="Times New Roman" w:cs="Times New Roman"/>
          <w:sz w:val="24"/>
          <w:szCs w:val="24"/>
        </w:rPr>
        <w:t>larifying aspects of APS 111</w:t>
      </w:r>
      <w:r w:rsidR="000E3C6B" w:rsidRPr="00FD005A">
        <w:rPr>
          <w:rFonts w:ascii="Times New Roman" w:hAnsi="Times New Roman" w:cs="Times New Roman"/>
          <w:sz w:val="24"/>
          <w:szCs w:val="24"/>
        </w:rPr>
        <w:t>, which comprise the bulk of the changes</w:t>
      </w:r>
      <w:r w:rsidR="00B2743B">
        <w:rPr>
          <w:rFonts w:ascii="Times New Roman" w:hAnsi="Times New Roman" w:cs="Times New Roman"/>
          <w:sz w:val="24"/>
          <w:szCs w:val="24"/>
        </w:rPr>
        <w:t xml:space="preserve"> to APS 111</w:t>
      </w:r>
      <w:r w:rsidR="000E3C6B" w:rsidRPr="00FD005A">
        <w:rPr>
          <w:rFonts w:ascii="Times New Roman" w:hAnsi="Times New Roman" w:cs="Times New Roman"/>
          <w:sz w:val="24"/>
          <w:szCs w:val="24"/>
        </w:rPr>
        <w:t xml:space="preserve">, </w:t>
      </w:r>
      <w:r w:rsidR="00132ABE" w:rsidRPr="00FD005A">
        <w:rPr>
          <w:rFonts w:ascii="Times New Roman" w:hAnsi="Times New Roman" w:cs="Times New Roman"/>
          <w:sz w:val="24"/>
          <w:szCs w:val="24"/>
        </w:rPr>
        <w:t>promotes certainty and comparability, which are key elements in the measurement and assessment of capital adequacy across all ADIs. Peer group comparisons with banks in other jurisdictions is also enhanced since regulators in these jurisdictions are also likely to take account of the Basel Committee’s standards, statements and guidance.</w:t>
      </w:r>
    </w:p>
    <w:p w14:paraId="3508C44A" w14:textId="32DF4AD8" w:rsidR="003C1296" w:rsidRPr="003C1296" w:rsidRDefault="003C1296" w:rsidP="00E94957">
      <w:pPr>
        <w:jc w:val="both"/>
        <w:rPr>
          <w:rFonts w:ascii="Times New Roman" w:eastAsia="Times New Roman" w:hAnsi="Times New Roman" w:cs="Times New Roman"/>
          <w:sz w:val="24"/>
          <w:szCs w:val="24"/>
        </w:rPr>
      </w:pPr>
      <w:r w:rsidRPr="003C1296">
        <w:rPr>
          <w:rFonts w:ascii="Times New Roman" w:hAnsi="Times New Roman" w:cs="Times New Roman"/>
          <w:sz w:val="24"/>
          <w:szCs w:val="24"/>
        </w:rPr>
        <w:t>Where APS </w:t>
      </w:r>
      <w:r>
        <w:rPr>
          <w:rFonts w:ascii="Times New Roman" w:hAnsi="Times New Roman" w:cs="Times New Roman"/>
          <w:sz w:val="24"/>
          <w:szCs w:val="24"/>
        </w:rPr>
        <w:t>111</w:t>
      </w:r>
      <w:r w:rsidRPr="003C1296">
        <w:rPr>
          <w:rFonts w:ascii="Times New Roman" w:hAnsi="Times New Roman" w:cs="Times New Roman"/>
          <w:sz w:val="24"/>
          <w:szCs w:val="24"/>
        </w:rPr>
        <w:t xml:space="preserve"> refers to an Act, Regulation, prudential standard</w:t>
      </w:r>
      <w:r w:rsidR="00650BF3">
        <w:rPr>
          <w:rFonts w:ascii="Times New Roman" w:hAnsi="Times New Roman" w:cs="Times New Roman"/>
          <w:sz w:val="24"/>
          <w:szCs w:val="24"/>
        </w:rPr>
        <w:t>,</w:t>
      </w:r>
      <w:r w:rsidRPr="003C1296">
        <w:rPr>
          <w:rFonts w:ascii="Times New Roman" w:hAnsi="Times New Roman" w:cs="Times New Roman"/>
          <w:sz w:val="24"/>
          <w:szCs w:val="24"/>
        </w:rPr>
        <w:t xml:space="preserve"> Australian Accounting Standard</w:t>
      </w:r>
      <w:r w:rsidR="00650BF3">
        <w:rPr>
          <w:rFonts w:ascii="Times New Roman" w:hAnsi="Times New Roman" w:cs="Times New Roman"/>
          <w:sz w:val="24"/>
          <w:szCs w:val="24"/>
        </w:rPr>
        <w:t xml:space="preserve"> or Australian Auditing and Assurance Standard</w:t>
      </w:r>
      <w:r w:rsidRPr="003C1296">
        <w:rPr>
          <w:rFonts w:ascii="Times New Roman" w:hAnsi="Times New Roman" w:cs="Times New Roman"/>
          <w:sz w:val="24"/>
          <w:szCs w:val="24"/>
        </w:rPr>
        <w:t>,</w:t>
      </w:r>
      <w:r w:rsidRPr="003C1296">
        <w:rPr>
          <w:rStyle w:val="FootnoteReference"/>
          <w:rFonts w:ascii="Times New Roman" w:hAnsi="Times New Roman" w:cs="Times New Roman"/>
          <w:b/>
          <w:sz w:val="24"/>
          <w:szCs w:val="24"/>
        </w:rPr>
        <w:footnoteReference w:id="4"/>
      </w:r>
      <w:r w:rsidRPr="003C1296">
        <w:rPr>
          <w:rFonts w:ascii="Times New Roman" w:hAnsi="Times New Roman" w:cs="Times New Roman"/>
          <w:sz w:val="24"/>
          <w:szCs w:val="24"/>
        </w:rPr>
        <w:t xml:space="preserve"> this is a reference to the document as it exists from time to time, and which is available on the Federal Register of Legislation at </w:t>
      </w:r>
      <w:hyperlink r:id="rId14" w:history="1">
        <w:r w:rsidRPr="003C1296">
          <w:rPr>
            <w:rStyle w:val="Hyperlink"/>
            <w:rFonts w:ascii="Times New Roman" w:hAnsi="Times New Roman" w:cs="Times New Roman"/>
            <w:b/>
            <w:sz w:val="24"/>
            <w:szCs w:val="24"/>
          </w:rPr>
          <w:t>www.legislation.gov.au</w:t>
        </w:r>
      </w:hyperlink>
      <w:r w:rsidRPr="003C1296">
        <w:rPr>
          <w:rFonts w:ascii="Times New Roman" w:hAnsi="Times New Roman" w:cs="Times New Roman"/>
          <w:sz w:val="24"/>
          <w:szCs w:val="24"/>
        </w:rPr>
        <w:t>.</w:t>
      </w:r>
    </w:p>
    <w:p w14:paraId="59FFF9B7" w14:textId="05F2633E" w:rsidR="00A63E87" w:rsidRDefault="00A63E87" w:rsidP="00E94957">
      <w:pPr>
        <w:jc w:val="both"/>
        <w:rPr>
          <w:rFonts w:ascii="Times New Roman" w:hAnsi="Times New Roman" w:cs="Times New Roman"/>
          <w:sz w:val="24"/>
          <w:szCs w:val="24"/>
        </w:rPr>
      </w:pPr>
      <w:r>
        <w:rPr>
          <w:rFonts w:ascii="Times New Roman" w:hAnsi="Times New Roman" w:cs="Times New Roman"/>
          <w:sz w:val="24"/>
          <w:szCs w:val="24"/>
        </w:rPr>
        <w:t xml:space="preserve">APS 111 also incorporates by reference </w:t>
      </w:r>
      <w:r w:rsidR="005F7D01">
        <w:rPr>
          <w:rFonts w:ascii="Times New Roman" w:hAnsi="Times New Roman" w:cs="Times New Roman"/>
          <w:sz w:val="24"/>
          <w:szCs w:val="24"/>
        </w:rPr>
        <w:t xml:space="preserve">the </w:t>
      </w:r>
      <w:r w:rsidR="005F7D01" w:rsidRPr="00E94957">
        <w:rPr>
          <w:rFonts w:ascii="Times New Roman" w:hAnsi="Times New Roman" w:cs="Times New Roman"/>
          <w:i/>
          <w:sz w:val="24"/>
          <w:szCs w:val="24"/>
        </w:rPr>
        <w:t>Principles on Loss-absorbing and Recapitalisation Capacity of G-SIBs in Resolution</w:t>
      </w:r>
      <w:r w:rsidR="005F7D01">
        <w:rPr>
          <w:rFonts w:ascii="Times New Roman" w:hAnsi="Times New Roman" w:cs="Times New Roman"/>
          <w:sz w:val="24"/>
          <w:szCs w:val="24"/>
        </w:rPr>
        <w:t xml:space="preserve"> issued by the Financial Stability Board as it exists on 9 November 2015. This document is available at: </w:t>
      </w:r>
      <w:hyperlink r:id="rId15" w:history="1">
        <w:r w:rsidR="00764B6F" w:rsidRPr="00764B6F">
          <w:rPr>
            <w:rStyle w:val="Hyperlink"/>
            <w:rFonts w:ascii="Times New Roman" w:hAnsi="Times New Roman" w:cs="Times New Roman"/>
            <w:sz w:val="24"/>
            <w:szCs w:val="24"/>
          </w:rPr>
          <w:t>Total Loss-Absorbing Capacity (TLAC) Principles and Term Sheet - Financial Stability Board (fsb.org)</w:t>
        </w:r>
      </w:hyperlink>
      <w:r w:rsidR="00764B6F">
        <w:rPr>
          <w:rFonts w:ascii="Times New Roman" w:hAnsi="Times New Roman" w:cs="Times New Roman"/>
          <w:sz w:val="24"/>
          <w:szCs w:val="24"/>
        </w:rPr>
        <w:t>.</w:t>
      </w:r>
    </w:p>
    <w:p w14:paraId="3DC696F1" w14:textId="2E1AECED" w:rsidR="008A6257" w:rsidRDefault="008A6257" w:rsidP="00E94957">
      <w:pPr>
        <w:jc w:val="both"/>
        <w:rPr>
          <w:rFonts w:ascii="Times New Roman" w:hAnsi="Times New Roman" w:cs="Times New Roman"/>
          <w:sz w:val="24"/>
          <w:szCs w:val="24"/>
        </w:rPr>
      </w:pPr>
      <w:r>
        <w:rPr>
          <w:rFonts w:ascii="Times New Roman" w:hAnsi="Times New Roman" w:cs="Times New Roman"/>
          <w:sz w:val="24"/>
          <w:szCs w:val="24"/>
        </w:rPr>
        <w:t>The prudential standards provide for APRA to exercise various discretions. Decisions made by APRA exercising those discretions are not subject to merits review. This is because these decisions are preliminary decisions that may facilitate or lead to substantive decisions which are subject to merits review.</w:t>
      </w:r>
    </w:p>
    <w:p w14:paraId="2C5F13DD" w14:textId="4110D4F5" w:rsidR="003C1296" w:rsidRPr="003C1296" w:rsidRDefault="003C1296" w:rsidP="00E94957">
      <w:pPr>
        <w:jc w:val="both"/>
        <w:rPr>
          <w:rFonts w:ascii="Times New Roman" w:hAnsi="Times New Roman" w:cs="Times New Roman"/>
          <w:sz w:val="24"/>
          <w:szCs w:val="24"/>
        </w:rPr>
      </w:pPr>
      <w:r w:rsidRPr="003C1296">
        <w:rPr>
          <w:rFonts w:ascii="Times New Roman" w:hAnsi="Times New Roman" w:cs="Times New Roman"/>
          <w:sz w:val="24"/>
          <w:szCs w:val="24"/>
        </w:rPr>
        <w:t>A breach of a prudential standard is a breach of the Act, as section 11AG of the Act provides that ADIs must comply with applicable prudential standards. However, there are no penalties prescribed for breach of a prudential standard. Instead, an ADI’s breach of a provision in the Act is grounds for APRA to make further, substantive decisions under the Act in relation to the ADI. Those decisions are:</w:t>
      </w:r>
    </w:p>
    <w:p w14:paraId="5689DBFA" w14:textId="77777777" w:rsidR="003C1296" w:rsidRPr="003C1296" w:rsidRDefault="003C1296" w:rsidP="00E94957">
      <w:pPr>
        <w:pStyle w:val="ListParagraph"/>
        <w:numPr>
          <w:ilvl w:val="0"/>
          <w:numId w:val="20"/>
        </w:numPr>
        <w:ind w:left="567" w:hanging="567"/>
        <w:contextualSpacing w:val="0"/>
        <w:jc w:val="both"/>
        <w:rPr>
          <w:rFonts w:ascii="Times New Roman" w:hAnsi="Times New Roman" w:cs="Times New Roman"/>
          <w:sz w:val="24"/>
          <w:szCs w:val="24"/>
        </w:rPr>
      </w:pPr>
      <w:r w:rsidRPr="003C1296">
        <w:rPr>
          <w:rFonts w:ascii="Times New Roman" w:hAnsi="Times New Roman" w:cs="Times New Roman"/>
          <w:sz w:val="24"/>
          <w:szCs w:val="24"/>
        </w:rPr>
        <w:t>to revoke an authority to carry on banking business (section 9A of the Act); and</w:t>
      </w:r>
    </w:p>
    <w:p w14:paraId="01C8E5BC" w14:textId="77777777" w:rsidR="003C1296" w:rsidRPr="003C1296" w:rsidRDefault="003C1296" w:rsidP="00E94957">
      <w:pPr>
        <w:pStyle w:val="ListParagraph"/>
        <w:numPr>
          <w:ilvl w:val="0"/>
          <w:numId w:val="20"/>
        </w:numPr>
        <w:ind w:left="567" w:hanging="567"/>
        <w:contextualSpacing w:val="0"/>
        <w:jc w:val="both"/>
        <w:rPr>
          <w:rFonts w:ascii="Times New Roman" w:hAnsi="Times New Roman" w:cs="Times New Roman"/>
          <w:sz w:val="24"/>
          <w:szCs w:val="24"/>
        </w:rPr>
      </w:pPr>
      <w:r w:rsidRPr="003C1296">
        <w:rPr>
          <w:rFonts w:ascii="Times New Roman" w:hAnsi="Times New Roman" w:cs="Times New Roman"/>
          <w:sz w:val="24"/>
          <w:szCs w:val="24"/>
        </w:rPr>
        <w:t>to issue a direction to the ADI, including a direction to comply with the whole or part of a prudential standard (section 11CA of the Act).</w:t>
      </w:r>
    </w:p>
    <w:p w14:paraId="1321FD98" w14:textId="77777777" w:rsidR="003C1296" w:rsidRPr="003C1296" w:rsidRDefault="003C1296" w:rsidP="00E94957">
      <w:pPr>
        <w:jc w:val="both"/>
        <w:rPr>
          <w:rFonts w:ascii="Times New Roman" w:hAnsi="Times New Roman" w:cs="Times New Roman"/>
          <w:sz w:val="24"/>
          <w:szCs w:val="24"/>
        </w:rPr>
      </w:pPr>
      <w:r w:rsidRPr="003C1296">
        <w:rPr>
          <w:rFonts w:ascii="Times New Roman" w:hAnsi="Times New Roman" w:cs="Times New Roman"/>
          <w:sz w:val="24"/>
          <w:szCs w:val="24"/>
        </w:rPr>
        <w:lastRenderedPageBreak/>
        <w:t>It is only at this stage that an ADI is exposed to a penalty: loss of its authority under section 9A or 50 penalty units if it breaches the direction (section 11CG of the Act). The subsequent substantive decisions of APRA to impose a direction or revoke an authority are subject to merits review. In nearly all cases,</w:t>
      </w:r>
      <w:r w:rsidRPr="003C1296">
        <w:rPr>
          <w:rStyle w:val="FootnoteReference"/>
          <w:rFonts w:ascii="Times New Roman" w:hAnsi="Times New Roman" w:cs="Times New Roman"/>
          <w:sz w:val="24"/>
          <w:szCs w:val="24"/>
        </w:rPr>
        <w:footnoteReference w:id="5"/>
      </w:r>
      <w:r w:rsidRPr="003C1296">
        <w:rPr>
          <w:rFonts w:ascii="Times New Roman" w:hAnsi="Times New Roman" w:cs="Times New Roman"/>
          <w:sz w:val="24"/>
          <w:szCs w:val="24"/>
        </w:rPr>
        <w:t xml:space="preserve"> the decisions are preceded by a full consultation with the ADI to raise any concerns it may have in relation to the decision.</w:t>
      </w:r>
    </w:p>
    <w:p w14:paraId="26D38415" w14:textId="4D160701" w:rsidR="00197A23" w:rsidRPr="00FD005A" w:rsidRDefault="00E71019" w:rsidP="00A23744">
      <w:pPr>
        <w:pStyle w:val="ListParagraph"/>
        <w:numPr>
          <w:ilvl w:val="0"/>
          <w:numId w:val="16"/>
        </w:numPr>
        <w:spacing w:after="240" w:line="240" w:lineRule="auto"/>
        <w:ind w:left="567" w:hanging="567"/>
        <w:jc w:val="both"/>
        <w:rPr>
          <w:rFonts w:ascii="Times New Roman" w:hAnsi="Times New Roman" w:cs="Times New Roman"/>
          <w:b/>
          <w:sz w:val="24"/>
          <w:szCs w:val="24"/>
          <w:lang w:eastAsia="en-US"/>
        </w:rPr>
      </w:pPr>
      <w:r w:rsidRPr="00FD005A">
        <w:rPr>
          <w:rFonts w:ascii="Times New Roman" w:hAnsi="Times New Roman" w:cs="Times New Roman"/>
          <w:b/>
          <w:sz w:val="24"/>
          <w:szCs w:val="24"/>
          <w:lang w:eastAsia="en-US"/>
        </w:rPr>
        <w:t>Consultation</w:t>
      </w:r>
    </w:p>
    <w:p w14:paraId="244EF219" w14:textId="7BD75472" w:rsidR="00B22E51" w:rsidRPr="00FD005A" w:rsidRDefault="00B22E51" w:rsidP="00E94957">
      <w:pPr>
        <w:jc w:val="both"/>
        <w:rPr>
          <w:rFonts w:ascii="Times New Roman" w:hAnsi="Times New Roman" w:cs="Times New Roman"/>
          <w:sz w:val="24"/>
          <w:szCs w:val="24"/>
        </w:rPr>
      </w:pPr>
      <w:r w:rsidRPr="00FD005A">
        <w:rPr>
          <w:rFonts w:ascii="Times New Roman" w:hAnsi="Times New Roman" w:cs="Times New Roman"/>
          <w:sz w:val="24"/>
          <w:szCs w:val="24"/>
        </w:rPr>
        <w:t xml:space="preserve">APRA has undertaken two rounds of public consultation in </w:t>
      </w:r>
      <w:r w:rsidR="00B85101" w:rsidRPr="00FD005A">
        <w:rPr>
          <w:rFonts w:ascii="Times New Roman" w:hAnsi="Times New Roman" w:cs="Times New Roman"/>
          <w:sz w:val="24"/>
          <w:szCs w:val="24"/>
        </w:rPr>
        <w:t>developing the new</w:t>
      </w:r>
      <w:r w:rsidRPr="00FD005A">
        <w:rPr>
          <w:rFonts w:ascii="Times New Roman" w:hAnsi="Times New Roman" w:cs="Times New Roman"/>
          <w:sz w:val="24"/>
          <w:szCs w:val="24"/>
        </w:rPr>
        <w:t xml:space="preserve"> </w:t>
      </w:r>
      <w:r w:rsidR="00B2743B">
        <w:rPr>
          <w:rFonts w:ascii="Times New Roman" w:hAnsi="Times New Roman" w:cs="Times New Roman"/>
          <w:sz w:val="24"/>
          <w:szCs w:val="24"/>
        </w:rPr>
        <w:t xml:space="preserve">version of </w:t>
      </w:r>
      <w:r w:rsidRPr="00FD005A">
        <w:rPr>
          <w:rFonts w:ascii="Times New Roman" w:hAnsi="Times New Roman" w:cs="Times New Roman"/>
          <w:sz w:val="24"/>
          <w:szCs w:val="24"/>
        </w:rPr>
        <w:t>APS 111 and has also engaged with a variety of stakeholders over a period of 18 months, including individual ADIs, industry associations and other regulatory agencies</w:t>
      </w:r>
      <w:r w:rsidR="00647788">
        <w:rPr>
          <w:rFonts w:ascii="Times New Roman" w:hAnsi="Times New Roman" w:cs="Times New Roman"/>
          <w:sz w:val="24"/>
          <w:szCs w:val="24"/>
        </w:rPr>
        <w:t>.</w:t>
      </w:r>
    </w:p>
    <w:p w14:paraId="33EC7EB3" w14:textId="31EE804C" w:rsidR="00DF49D8" w:rsidRPr="00FD005A" w:rsidRDefault="00DF49D8" w:rsidP="00E94957">
      <w:pPr>
        <w:jc w:val="both"/>
        <w:rPr>
          <w:rFonts w:ascii="Times New Roman" w:hAnsi="Times New Roman" w:cs="Times New Roman"/>
          <w:sz w:val="24"/>
          <w:szCs w:val="24"/>
        </w:rPr>
      </w:pPr>
      <w:r w:rsidRPr="00FD005A">
        <w:rPr>
          <w:rFonts w:ascii="Times New Roman" w:hAnsi="Times New Roman" w:cs="Times New Roman"/>
          <w:sz w:val="24"/>
          <w:szCs w:val="24"/>
        </w:rPr>
        <w:t>APRA first consulted on proposed revisions to APS 111 in October 2019.</w:t>
      </w:r>
      <w:r w:rsidR="009E4D50" w:rsidRPr="00FD005A">
        <w:rPr>
          <w:rStyle w:val="FootnoteReference"/>
          <w:rFonts w:ascii="Times New Roman" w:hAnsi="Times New Roman" w:cs="Times New Roman"/>
          <w:sz w:val="24"/>
          <w:szCs w:val="24"/>
        </w:rPr>
        <w:footnoteReference w:id="6"/>
      </w:r>
      <w:r w:rsidRPr="00FD005A">
        <w:rPr>
          <w:rFonts w:ascii="Times New Roman" w:hAnsi="Times New Roman" w:cs="Times New Roman"/>
          <w:sz w:val="24"/>
          <w:szCs w:val="24"/>
        </w:rPr>
        <w:t xml:space="preserve"> APRA had planned to finalise APS 111 reforms in 2020, but delayed this to allow ADIs to focus on managing risks associated with COVID-19. APRA received seven submissions to the 2019 consultation.</w:t>
      </w:r>
    </w:p>
    <w:p w14:paraId="12C56DC6" w14:textId="34461FD3" w:rsidR="00DF49D8" w:rsidRPr="00FD005A" w:rsidRDefault="00DF49D8" w:rsidP="00E94957">
      <w:pPr>
        <w:jc w:val="both"/>
        <w:rPr>
          <w:rFonts w:ascii="Times New Roman" w:hAnsi="Times New Roman" w:cs="Times New Roman"/>
          <w:sz w:val="24"/>
          <w:szCs w:val="24"/>
        </w:rPr>
      </w:pPr>
      <w:r w:rsidRPr="00FD005A">
        <w:rPr>
          <w:rFonts w:ascii="Times New Roman" w:hAnsi="Times New Roman" w:cs="Times New Roman"/>
          <w:sz w:val="24"/>
          <w:szCs w:val="24"/>
        </w:rPr>
        <w:t>In May 2021, APRA released a detailed response to issues raised by industry in the 2019 consultation.</w:t>
      </w:r>
      <w:r w:rsidR="003258C0" w:rsidRPr="00FD005A">
        <w:rPr>
          <w:rStyle w:val="FootnoteReference"/>
          <w:rFonts w:ascii="Times New Roman" w:hAnsi="Times New Roman" w:cs="Times New Roman"/>
          <w:sz w:val="24"/>
          <w:szCs w:val="24"/>
        </w:rPr>
        <w:footnoteReference w:id="7"/>
      </w:r>
      <w:r w:rsidRPr="00FD005A">
        <w:rPr>
          <w:rFonts w:ascii="Times New Roman" w:hAnsi="Times New Roman" w:cs="Times New Roman"/>
          <w:sz w:val="24"/>
          <w:szCs w:val="24"/>
        </w:rPr>
        <w:t xml:space="preserve"> This included final policy positions.</w:t>
      </w:r>
    </w:p>
    <w:p w14:paraId="562AA5ED" w14:textId="196D5DDD" w:rsidR="00DF49D8" w:rsidRPr="00FD005A" w:rsidRDefault="00782AA9" w:rsidP="00E94957">
      <w:pPr>
        <w:jc w:val="both"/>
        <w:rPr>
          <w:rFonts w:ascii="Times New Roman" w:hAnsi="Times New Roman" w:cs="Times New Roman"/>
          <w:sz w:val="24"/>
          <w:szCs w:val="24"/>
        </w:rPr>
      </w:pPr>
      <w:r>
        <w:rPr>
          <w:rFonts w:ascii="Times New Roman" w:hAnsi="Times New Roman" w:cs="Times New Roman"/>
          <w:sz w:val="24"/>
          <w:szCs w:val="24"/>
        </w:rPr>
        <w:t>As part of</w:t>
      </w:r>
      <w:r w:rsidR="00DF49D8" w:rsidRPr="00FD005A">
        <w:rPr>
          <w:rFonts w:ascii="Times New Roman" w:hAnsi="Times New Roman" w:cs="Times New Roman"/>
          <w:sz w:val="24"/>
          <w:szCs w:val="24"/>
        </w:rPr>
        <w:t xml:space="preserve"> the May 2021 response, APRA also proposed some new minor revisions to APS 111 that were not included in the 2019 consultation. </w:t>
      </w:r>
      <w:r w:rsidR="00846656" w:rsidRPr="00FD005A">
        <w:rPr>
          <w:rFonts w:ascii="Times New Roman" w:hAnsi="Times New Roman" w:cs="Times New Roman"/>
          <w:sz w:val="24"/>
          <w:szCs w:val="24"/>
        </w:rPr>
        <w:t xml:space="preserve">These revisions clarified that CET1 capital would not be permitted to have unusual features that could undermine its role as the highest quality loss absorbing capital, in line with the approach for other capital instruments. </w:t>
      </w:r>
      <w:r w:rsidR="00DF49D8" w:rsidRPr="00FD005A">
        <w:rPr>
          <w:rFonts w:ascii="Times New Roman" w:hAnsi="Times New Roman" w:cs="Times New Roman"/>
          <w:sz w:val="24"/>
          <w:szCs w:val="24"/>
        </w:rPr>
        <w:t xml:space="preserve">APRA received three submissions to this consultation. </w:t>
      </w:r>
    </w:p>
    <w:p w14:paraId="4AB816CF" w14:textId="0FBAE8AF" w:rsidR="00C74B23" w:rsidRPr="00FD005A" w:rsidRDefault="00DF49D8" w:rsidP="00E94957">
      <w:pPr>
        <w:jc w:val="both"/>
        <w:rPr>
          <w:rFonts w:ascii="Times New Roman" w:hAnsi="Times New Roman" w:cs="Times New Roman"/>
          <w:b/>
          <w:sz w:val="24"/>
          <w:szCs w:val="24"/>
        </w:rPr>
      </w:pPr>
      <w:r w:rsidRPr="00FD005A">
        <w:rPr>
          <w:rFonts w:ascii="Times New Roman" w:hAnsi="Times New Roman" w:cs="Times New Roman"/>
          <w:sz w:val="24"/>
          <w:szCs w:val="24"/>
        </w:rPr>
        <w:t>In August 2021, APR</w:t>
      </w:r>
      <w:r w:rsidR="00B22E51" w:rsidRPr="00FD005A">
        <w:rPr>
          <w:rFonts w:ascii="Times New Roman" w:hAnsi="Times New Roman" w:cs="Times New Roman"/>
          <w:sz w:val="24"/>
          <w:szCs w:val="24"/>
        </w:rPr>
        <w:t>A</w:t>
      </w:r>
      <w:r w:rsidRPr="00FD005A">
        <w:rPr>
          <w:rFonts w:ascii="Times New Roman" w:hAnsi="Times New Roman" w:cs="Times New Roman"/>
          <w:sz w:val="24"/>
          <w:szCs w:val="24"/>
        </w:rPr>
        <w:t xml:space="preserve"> released a response to s</w:t>
      </w:r>
      <w:r w:rsidR="00B22E51" w:rsidRPr="00FD005A">
        <w:rPr>
          <w:rFonts w:ascii="Times New Roman" w:hAnsi="Times New Roman" w:cs="Times New Roman"/>
          <w:sz w:val="24"/>
          <w:szCs w:val="24"/>
        </w:rPr>
        <w:t xml:space="preserve">ubmissions to the May 2021 consultation which set out </w:t>
      </w:r>
      <w:r w:rsidRPr="00FD005A">
        <w:rPr>
          <w:rFonts w:ascii="Times New Roman" w:hAnsi="Times New Roman" w:cs="Times New Roman"/>
          <w:sz w:val="24"/>
          <w:szCs w:val="24"/>
        </w:rPr>
        <w:t>APRA’s final policy positions in regard to the issues raised in these final submissions.</w:t>
      </w:r>
      <w:r w:rsidR="00E540AF" w:rsidRPr="00FD005A">
        <w:rPr>
          <w:rStyle w:val="FootnoteReference"/>
          <w:rFonts w:ascii="Times New Roman" w:hAnsi="Times New Roman" w:cs="Times New Roman"/>
          <w:sz w:val="24"/>
          <w:szCs w:val="24"/>
        </w:rPr>
        <w:footnoteReference w:id="8"/>
      </w:r>
      <w:r w:rsidR="00B22E51" w:rsidRPr="00FD005A">
        <w:rPr>
          <w:rFonts w:ascii="Times New Roman" w:hAnsi="Times New Roman" w:cs="Times New Roman"/>
          <w:sz w:val="24"/>
          <w:szCs w:val="24"/>
        </w:rPr>
        <w:t xml:space="preserve"> APRA also released the </w:t>
      </w:r>
      <w:r w:rsidR="00EA2FDC" w:rsidRPr="00FD005A">
        <w:rPr>
          <w:rFonts w:ascii="Times New Roman" w:hAnsi="Times New Roman" w:cs="Times New Roman"/>
          <w:sz w:val="24"/>
          <w:szCs w:val="24"/>
        </w:rPr>
        <w:t xml:space="preserve">final </w:t>
      </w:r>
      <w:r w:rsidR="00B2743B">
        <w:rPr>
          <w:rFonts w:ascii="Times New Roman" w:hAnsi="Times New Roman" w:cs="Times New Roman"/>
          <w:sz w:val="24"/>
          <w:szCs w:val="24"/>
        </w:rPr>
        <w:t xml:space="preserve">revised </w:t>
      </w:r>
      <w:r w:rsidR="00B85101" w:rsidRPr="00FD005A">
        <w:rPr>
          <w:rFonts w:ascii="Times New Roman" w:hAnsi="Times New Roman" w:cs="Times New Roman"/>
          <w:sz w:val="24"/>
          <w:szCs w:val="24"/>
        </w:rPr>
        <w:t>version of</w:t>
      </w:r>
      <w:r w:rsidR="00B22E51" w:rsidRPr="00FD005A">
        <w:rPr>
          <w:rFonts w:ascii="Times New Roman" w:hAnsi="Times New Roman" w:cs="Times New Roman"/>
          <w:sz w:val="24"/>
          <w:szCs w:val="24"/>
        </w:rPr>
        <w:t xml:space="preserve"> APS 111 at this time.</w:t>
      </w:r>
    </w:p>
    <w:p w14:paraId="3F6B8DFA" w14:textId="77777777" w:rsidR="006D5632" w:rsidRPr="00FD005A" w:rsidRDefault="006D5632" w:rsidP="00A23744">
      <w:pPr>
        <w:pStyle w:val="Heading"/>
        <w:numPr>
          <w:ilvl w:val="0"/>
          <w:numId w:val="16"/>
        </w:numPr>
        <w:tabs>
          <w:tab w:val="left" w:pos="360"/>
        </w:tabs>
        <w:spacing w:after="240"/>
        <w:ind w:left="567" w:hanging="567"/>
        <w:rPr>
          <w:rFonts w:ascii="Times New Roman" w:hAnsi="Times New Roman"/>
          <w:sz w:val="24"/>
          <w:szCs w:val="24"/>
        </w:rPr>
      </w:pPr>
      <w:r w:rsidRPr="00FD005A">
        <w:rPr>
          <w:rFonts w:ascii="Times New Roman" w:hAnsi="Times New Roman"/>
          <w:sz w:val="24"/>
          <w:szCs w:val="24"/>
        </w:rPr>
        <w:t>Regulation Impact Statement</w:t>
      </w:r>
    </w:p>
    <w:p w14:paraId="4EC67988" w14:textId="74D6A8DA" w:rsidR="00E540AF" w:rsidRPr="00FD005A" w:rsidRDefault="00E540AF" w:rsidP="00E94957">
      <w:pPr>
        <w:jc w:val="both"/>
        <w:rPr>
          <w:rFonts w:ascii="Times New Roman" w:hAnsi="Times New Roman" w:cs="Times New Roman"/>
          <w:sz w:val="24"/>
          <w:szCs w:val="24"/>
        </w:rPr>
      </w:pPr>
      <w:r w:rsidRPr="00FD005A">
        <w:rPr>
          <w:rFonts w:ascii="Times New Roman" w:hAnsi="Times New Roman" w:cs="Times New Roman"/>
          <w:sz w:val="24"/>
          <w:szCs w:val="24"/>
        </w:rPr>
        <w:t xml:space="preserve">In developing the </w:t>
      </w:r>
      <w:r w:rsidR="00EA2FDC" w:rsidRPr="00FD005A">
        <w:rPr>
          <w:rFonts w:ascii="Times New Roman" w:hAnsi="Times New Roman" w:cs="Times New Roman"/>
          <w:sz w:val="24"/>
          <w:szCs w:val="24"/>
        </w:rPr>
        <w:t>new</w:t>
      </w:r>
      <w:r w:rsidRPr="00FD005A">
        <w:rPr>
          <w:rFonts w:ascii="Times New Roman" w:hAnsi="Times New Roman" w:cs="Times New Roman"/>
          <w:sz w:val="24"/>
          <w:szCs w:val="24"/>
        </w:rPr>
        <w:t xml:space="preserve"> </w:t>
      </w:r>
      <w:r w:rsidR="00B2743B">
        <w:rPr>
          <w:rFonts w:ascii="Times New Roman" w:hAnsi="Times New Roman" w:cs="Times New Roman"/>
          <w:sz w:val="24"/>
          <w:szCs w:val="24"/>
        </w:rPr>
        <w:t xml:space="preserve">version of </w:t>
      </w:r>
      <w:r w:rsidRPr="00FD005A">
        <w:rPr>
          <w:rFonts w:ascii="Times New Roman" w:hAnsi="Times New Roman" w:cs="Times New Roman"/>
          <w:sz w:val="24"/>
          <w:szCs w:val="24"/>
        </w:rPr>
        <w:t>APS 111, APRA has followed a similar process to that required for a Regulation Impact Statement (RIS), which satisfies the Office of Best Practice Regulation’s requirements. The document evidencing APRA’s policy development process has been lodged as supporting material.</w:t>
      </w:r>
    </w:p>
    <w:p w14:paraId="61D7EE4B" w14:textId="1CFDB32C" w:rsidR="00510C0E" w:rsidRPr="00FD005A" w:rsidRDefault="00510C0E" w:rsidP="00A23744">
      <w:pPr>
        <w:pStyle w:val="Heading"/>
        <w:numPr>
          <w:ilvl w:val="0"/>
          <w:numId w:val="16"/>
        </w:numPr>
        <w:tabs>
          <w:tab w:val="left" w:pos="360"/>
        </w:tabs>
        <w:spacing w:after="240"/>
        <w:ind w:left="567" w:hanging="567"/>
        <w:rPr>
          <w:rFonts w:ascii="Times New Roman" w:hAnsi="Times New Roman"/>
          <w:sz w:val="24"/>
          <w:szCs w:val="24"/>
        </w:rPr>
      </w:pPr>
      <w:r w:rsidRPr="00FD005A">
        <w:rPr>
          <w:rFonts w:ascii="Times New Roman" w:hAnsi="Times New Roman"/>
          <w:sz w:val="24"/>
          <w:szCs w:val="24"/>
        </w:rPr>
        <w:lastRenderedPageBreak/>
        <w:t>Statement of compatibility prepared in accordance with Part 3 of the Human Rights (Parliamentary Scrutiny) Act 2011</w:t>
      </w:r>
    </w:p>
    <w:p w14:paraId="33DD8C56" w14:textId="77777777" w:rsidR="00510C0E" w:rsidRPr="00FD005A" w:rsidRDefault="00510C0E" w:rsidP="00510C0E">
      <w:pPr>
        <w:pStyle w:val="Heading"/>
        <w:spacing w:after="240"/>
        <w:rPr>
          <w:rFonts w:ascii="Times New Roman" w:hAnsi="Times New Roman"/>
          <w:b w:val="0"/>
          <w:sz w:val="24"/>
          <w:szCs w:val="24"/>
        </w:rPr>
      </w:pPr>
      <w:r w:rsidRPr="00FD005A">
        <w:rPr>
          <w:rFonts w:ascii="Times New Roman" w:hAnsi="Times New Roman"/>
          <w:b w:val="0"/>
          <w:sz w:val="24"/>
          <w:szCs w:val="24"/>
        </w:rPr>
        <w:t xml:space="preserve">A Statement of compatibility prepared in accordance with Part 3 of the </w:t>
      </w:r>
      <w:r w:rsidRPr="00FD005A">
        <w:rPr>
          <w:rFonts w:ascii="Times New Roman" w:hAnsi="Times New Roman"/>
          <w:b w:val="0"/>
          <w:i/>
          <w:sz w:val="24"/>
          <w:szCs w:val="24"/>
        </w:rPr>
        <w:t>Human Rights (Parliamentary Scrutiny) Act 2011</w:t>
      </w:r>
      <w:r w:rsidRPr="00FD005A">
        <w:rPr>
          <w:rFonts w:ascii="Times New Roman" w:hAnsi="Times New Roman"/>
          <w:b w:val="0"/>
          <w:sz w:val="24"/>
          <w:szCs w:val="24"/>
        </w:rPr>
        <w:t xml:space="preserve"> is provided at Attachment A to this Explanatory Statement.</w:t>
      </w:r>
    </w:p>
    <w:p w14:paraId="5D729207" w14:textId="77777777" w:rsidR="00B75A8B" w:rsidRPr="004D5A79" w:rsidRDefault="00B75A8B" w:rsidP="00B75A8B">
      <w:pPr>
        <w:spacing w:after="360"/>
        <w:outlineLvl w:val="0"/>
        <w:rPr>
          <w:rFonts w:ascii="Times New Roman" w:hAnsi="Times New Roman"/>
          <w:sz w:val="24"/>
          <w:szCs w:val="24"/>
          <w:u w:val="single"/>
        </w:rPr>
      </w:pPr>
      <w:r>
        <w:rPr>
          <w:rFonts w:ascii="Times New Roman" w:hAnsi="Times New Roman"/>
          <w:b/>
          <w:sz w:val="24"/>
          <w:szCs w:val="24"/>
        </w:rPr>
        <w:br w:type="page"/>
      </w:r>
      <w:r w:rsidRPr="004D5A79">
        <w:rPr>
          <w:rFonts w:ascii="Times New Roman" w:hAnsi="Times New Roman"/>
          <w:sz w:val="24"/>
          <w:szCs w:val="24"/>
          <w:u w:val="single"/>
        </w:rPr>
        <w:lastRenderedPageBreak/>
        <w:t>ATTACHMENT A</w:t>
      </w:r>
    </w:p>
    <w:p w14:paraId="0F58F628" w14:textId="77777777" w:rsidR="00B75A8B" w:rsidRPr="004D5A79" w:rsidRDefault="00B75A8B" w:rsidP="00B75A8B">
      <w:pPr>
        <w:shd w:val="clear" w:color="auto" w:fill="FFFFFF"/>
        <w:spacing w:before="100" w:beforeAutospacing="1" w:after="240"/>
        <w:jc w:val="center"/>
        <w:rPr>
          <w:rFonts w:ascii="Times New Roman" w:hAnsi="Times New Roman"/>
          <w:sz w:val="24"/>
          <w:szCs w:val="24"/>
          <w:lang w:val="en-US"/>
        </w:rPr>
      </w:pPr>
      <w:r w:rsidRPr="004D5A79">
        <w:rPr>
          <w:rFonts w:ascii="Times New Roman" w:hAnsi="Times New Roman"/>
          <w:b/>
          <w:bCs/>
          <w:sz w:val="24"/>
          <w:szCs w:val="24"/>
        </w:rPr>
        <w:t>Statement of Compatibility with Human Rights</w:t>
      </w:r>
    </w:p>
    <w:p w14:paraId="62E80750" w14:textId="77777777" w:rsidR="00B75A8B" w:rsidRPr="004D5A79" w:rsidRDefault="00B75A8B" w:rsidP="00B75A8B">
      <w:pPr>
        <w:shd w:val="clear" w:color="auto" w:fill="FFFFFF"/>
        <w:spacing w:before="100" w:beforeAutospacing="1" w:after="240"/>
        <w:jc w:val="center"/>
        <w:rPr>
          <w:rFonts w:ascii="Times New Roman" w:hAnsi="Times New Roman"/>
          <w:sz w:val="24"/>
          <w:szCs w:val="24"/>
          <w:lang w:val="en-US"/>
        </w:rPr>
      </w:pPr>
      <w:r w:rsidRPr="004D5A79">
        <w:rPr>
          <w:rFonts w:ascii="Times New Roman" w:hAnsi="Times New Roman"/>
          <w:sz w:val="24"/>
          <w:szCs w:val="24"/>
        </w:rPr>
        <w:t xml:space="preserve">Prepared in accordance with Part 3 of the </w:t>
      </w:r>
      <w:r w:rsidRPr="004D5A79">
        <w:rPr>
          <w:rFonts w:ascii="Times New Roman" w:hAnsi="Times New Roman"/>
          <w:i/>
          <w:iCs/>
          <w:sz w:val="24"/>
          <w:szCs w:val="24"/>
        </w:rPr>
        <w:t>Human Rights (Parliamentary Scrutiny) Act 2011</w:t>
      </w:r>
    </w:p>
    <w:p w14:paraId="7A6D7D66" w14:textId="3B4714EA" w:rsidR="00B75A8B" w:rsidRPr="004D5A79" w:rsidRDefault="00B75A8B" w:rsidP="00B75A8B">
      <w:pPr>
        <w:shd w:val="clear" w:color="auto" w:fill="FFFFFF"/>
        <w:spacing w:before="100" w:beforeAutospacing="1" w:after="240"/>
        <w:jc w:val="center"/>
        <w:rPr>
          <w:rFonts w:ascii="Times New Roman" w:hAnsi="Times New Roman"/>
          <w:b/>
          <w:bCs/>
          <w:sz w:val="24"/>
          <w:szCs w:val="24"/>
        </w:rPr>
      </w:pPr>
      <w:r w:rsidRPr="004D5A79">
        <w:rPr>
          <w:rFonts w:ascii="Times New Roman" w:hAnsi="Times New Roman"/>
          <w:b/>
          <w:bCs/>
          <w:sz w:val="24"/>
          <w:szCs w:val="24"/>
        </w:rPr>
        <w:t xml:space="preserve">Banking (prudential standard) determination No. </w:t>
      </w:r>
      <w:r w:rsidR="008E4A5F">
        <w:rPr>
          <w:rFonts w:ascii="Times New Roman" w:hAnsi="Times New Roman"/>
          <w:b/>
          <w:bCs/>
          <w:sz w:val="24"/>
          <w:szCs w:val="24"/>
        </w:rPr>
        <w:t>3</w:t>
      </w:r>
      <w:r w:rsidRPr="004D5A79">
        <w:rPr>
          <w:rFonts w:ascii="Times New Roman" w:hAnsi="Times New Roman"/>
          <w:b/>
          <w:bCs/>
          <w:sz w:val="24"/>
          <w:szCs w:val="24"/>
        </w:rPr>
        <w:t xml:space="preserve"> of 202</w:t>
      </w:r>
      <w:r w:rsidR="009E4D50">
        <w:rPr>
          <w:rFonts w:ascii="Times New Roman" w:hAnsi="Times New Roman"/>
          <w:b/>
          <w:bCs/>
          <w:sz w:val="24"/>
          <w:szCs w:val="24"/>
        </w:rPr>
        <w:t>1</w:t>
      </w:r>
    </w:p>
    <w:p w14:paraId="55709D20" w14:textId="0737BFC7" w:rsidR="00B75A8B" w:rsidRPr="00FD005A" w:rsidRDefault="00B75A8B" w:rsidP="00E94957">
      <w:pPr>
        <w:jc w:val="both"/>
        <w:rPr>
          <w:rFonts w:ascii="Times New Roman" w:hAnsi="Times New Roman" w:cs="Times New Roman"/>
          <w:sz w:val="24"/>
          <w:szCs w:val="24"/>
          <w:lang w:val="en-US"/>
        </w:rPr>
      </w:pPr>
      <w:r w:rsidRPr="00FD005A">
        <w:rPr>
          <w:rFonts w:ascii="Times New Roman" w:hAnsi="Times New Roman" w:cs="Times New Roman"/>
          <w:sz w:val="24"/>
          <w:szCs w:val="24"/>
        </w:rPr>
        <w:t xml:space="preserve">The legislative instrument </w:t>
      </w:r>
      <w:r w:rsidR="00C0760A">
        <w:rPr>
          <w:rFonts w:ascii="Times New Roman" w:hAnsi="Times New Roman" w:cs="Times New Roman"/>
          <w:sz w:val="24"/>
          <w:szCs w:val="24"/>
        </w:rPr>
        <w:t xml:space="preserve">is </w:t>
      </w:r>
      <w:r w:rsidRPr="00FD005A">
        <w:rPr>
          <w:rFonts w:ascii="Times New Roman" w:hAnsi="Times New Roman" w:cs="Times New Roman"/>
          <w:sz w:val="24"/>
          <w:szCs w:val="24"/>
        </w:rPr>
        <w:t xml:space="preserve">compatible with the human rights and freedoms recognised or declared in the international instruments listed in section 3 of the </w:t>
      </w:r>
      <w:r w:rsidRPr="00FD005A">
        <w:rPr>
          <w:rFonts w:ascii="Times New Roman" w:hAnsi="Times New Roman" w:cs="Times New Roman"/>
          <w:i/>
          <w:iCs/>
          <w:sz w:val="24"/>
          <w:szCs w:val="24"/>
        </w:rPr>
        <w:t>Human Rights (Parliamentary Scrutiny) Act 2011</w:t>
      </w:r>
      <w:r w:rsidRPr="00FD005A">
        <w:rPr>
          <w:rFonts w:ascii="Times New Roman" w:hAnsi="Times New Roman" w:cs="Times New Roman"/>
          <w:sz w:val="24"/>
          <w:szCs w:val="24"/>
        </w:rPr>
        <w:t xml:space="preserve"> (</w:t>
      </w:r>
      <w:r w:rsidRPr="00EE08FF">
        <w:rPr>
          <w:rFonts w:ascii="Times New Roman" w:hAnsi="Times New Roman" w:cs="Times New Roman"/>
          <w:sz w:val="24"/>
          <w:szCs w:val="24"/>
        </w:rPr>
        <w:t>HRPS Act</w:t>
      </w:r>
      <w:r w:rsidRPr="00FD005A">
        <w:rPr>
          <w:rFonts w:ascii="Times New Roman" w:hAnsi="Times New Roman" w:cs="Times New Roman"/>
          <w:sz w:val="24"/>
          <w:szCs w:val="24"/>
        </w:rPr>
        <w:t>).</w:t>
      </w:r>
    </w:p>
    <w:p w14:paraId="5C48C431" w14:textId="00C4E88C" w:rsidR="00B75A8B" w:rsidRPr="00FD005A" w:rsidRDefault="00B75A8B" w:rsidP="004D5A79">
      <w:pPr>
        <w:shd w:val="clear" w:color="auto" w:fill="FFFFFF"/>
        <w:spacing w:after="240" w:line="240" w:lineRule="auto"/>
        <w:jc w:val="both"/>
        <w:rPr>
          <w:rFonts w:ascii="Times New Roman" w:hAnsi="Times New Roman" w:cs="Times New Roman"/>
          <w:sz w:val="24"/>
          <w:szCs w:val="24"/>
          <w:lang w:val="en-US"/>
        </w:rPr>
      </w:pPr>
      <w:r w:rsidRPr="00FD005A">
        <w:rPr>
          <w:rFonts w:ascii="Times New Roman" w:hAnsi="Times New Roman" w:cs="Times New Roman"/>
          <w:b/>
          <w:bCs/>
          <w:sz w:val="24"/>
          <w:szCs w:val="24"/>
        </w:rPr>
        <w:t>Overview of the Legislative Instrument</w:t>
      </w:r>
    </w:p>
    <w:p w14:paraId="086D76CE" w14:textId="1D19FFA1" w:rsidR="00B75A8B" w:rsidRPr="00FD005A" w:rsidRDefault="00B75A8B" w:rsidP="00C679A1">
      <w:pPr>
        <w:spacing w:after="240" w:line="240" w:lineRule="auto"/>
        <w:jc w:val="both"/>
        <w:rPr>
          <w:rFonts w:ascii="Times New Roman" w:hAnsi="Times New Roman" w:cs="Times New Roman"/>
          <w:sz w:val="24"/>
          <w:szCs w:val="24"/>
        </w:rPr>
      </w:pPr>
      <w:r w:rsidRPr="00FD005A">
        <w:rPr>
          <w:rFonts w:ascii="Times New Roman" w:hAnsi="Times New Roman" w:cs="Times New Roman"/>
          <w:sz w:val="24"/>
          <w:szCs w:val="24"/>
        </w:rPr>
        <w:t xml:space="preserve">The purpose of the instrument </w:t>
      </w:r>
      <w:r w:rsidR="00F2124C" w:rsidRPr="00FD005A">
        <w:rPr>
          <w:rFonts w:ascii="Times New Roman" w:hAnsi="Times New Roman" w:cs="Times New Roman"/>
          <w:sz w:val="24"/>
          <w:szCs w:val="24"/>
        </w:rPr>
        <w:t xml:space="preserve">is </w:t>
      </w:r>
      <w:r w:rsidRPr="00FD005A">
        <w:rPr>
          <w:rFonts w:ascii="Times New Roman" w:hAnsi="Times New Roman" w:cs="Times New Roman"/>
          <w:sz w:val="24"/>
          <w:szCs w:val="24"/>
        </w:rPr>
        <w:t xml:space="preserve">to revoke </w:t>
      </w:r>
      <w:r w:rsidRPr="00FD005A">
        <w:rPr>
          <w:rFonts w:ascii="Times New Roman" w:hAnsi="Times New Roman" w:cs="Times New Roman"/>
          <w:i/>
          <w:sz w:val="24"/>
          <w:szCs w:val="24"/>
        </w:rPr>
        <w:t xml:space="preserve">Prudential Standard APS </w:t>
      </w:r>
      <w:r w:rsidR="009701E9" w:rsidRPr="00FD005A">
        <w:rPr>
          <w:rFonts w:ascii="Times New Roman" w:hAnsi="Times New Roman" w:cs="Times New Roman"/>
          <w:i/>
          <w:sz w:val="24"/>
          <w:szCs w:val="24"/>
        </w:rPr>
        <w:t>111</w:t>
      </w:r>
      <w:r w:rsidR="004D5A79" w:rsidRPr="00FD005A">
        <w:rPr>
          <w:rFonts w:ascii="Times New Roman" w:hAnsi="Times New Roman" w:cs="Times New Roman"/>
          <w:i/>
          <w:sz w:val="24"/>
          <w:szCs w:val="24"/>
        </w:rPr>
        <w:t xml:space="preserve"> C</w:t>
      </w:r>
      <w:r w:rsidR="009701E9" w:rsidRPr="00FD005A">
        <w:rPr>
          <w:rFonts w:ascii="Times New Roman" w:hAnsi="Times New Roman" w:cs="Times New Roman"/>
          <w:i/>
          <w:sz w:val="24"/>
          <w:szCs w:val="24"/>
        </w:rPr>
        <w:t xml:space="preserve">apital Adequacy: Measurement of Capital </w:t>
      </w:r>
      <w:r w:rsidRPr="00FD005A">
        <w:rPr>
          <w:rFonts w:ascii="Times New Roman" w:hAnsi="Times New Roman" w:cs="Times New Roman"/>
          <w:sz w:val="24"/>
          <w:szCs w:val="24"/>
        </w:rPr>
        <w:t>determined by APRA in 201</w:t>
      </w:r>
      <w:r w:rsidR="009701E9" w:rsidRPr="00FD005A">
        <w:rPr>
          <w:rFonts w:ascii="Times New Roman" w:hAnsi="Times New Roman" w:cs="Times New Roman"/>
          <w:sz w:val="24"/>
          <w:szCs w:val="24"/>
        </w:rPr>
        <w:t>7</w:t>
      </w:r>
      <w:r w:rsidR="004D5A79" w:rsidRPr="00FD005A">
        <w:rPr>
          <w:rFonts w:ascii="Times New Roman" w:hAnsi="Times New Roman" w:cs="Times New Roman"/>
          <w:sz w:val="24"/>
          <w:szCs w:val="24"/>
        </w:rPr>
        <w:t xml:space="preserve"> </w:t>
      </w:r>
      <w:r w:rsidRPr="00FD005A">
        <w:rPr>
          <w:rFonts w:ascii="Times New Roman" w:hAnsi="Times New Roman" w:cs="Times New Roman"/>
          <w:sz w:val="24"/>
          <w:szCs w:val="24"/>
        </w:rPr>
        <w:t>and</w:t>
      </w:r>
      <w:r w:rsidR="004D5A79" w:rsidRPr="00FD005A">
        <w:rPr>
          <w:rFonts w:ascii="Times New Roman" w:hAnsi="Times New Roman" w:cs="Times New Roman"/>
          <w:sz w:val="24"/>
          <w:szCs w:val="24"/>
        </w:rPr>
        <w:t xml:space="preserve"> </w:t>
      </w:r>
      <w:r w:rsidRPr="00FD005A">
        <w:rPr>
          <w:rFonts w:ascii="Times New Roman" w:hAnsi="Times New Roman" w:cs="Times New Roman"/>
          <w:sz w:val="24"/>
          <w:szCs w:val="24"/>
        </w:rPr>
        <w:t xml:space="preserve">replace it with a new </w:t>
      </w:r>
      <w:r w:rsidRPr="00FD005A">
        <w:rPr>
          <w:rFonts w:ascii="Times New Roman" w:hAnsi="Times New Roman" w:cs="Times New Roman"/>
          <w:i/>
          <w:sz w:val="24"/>
          <w:szCs w:val="24"/>
        </w:rPr>
        <w:t>Prudential Standard APS</w:t>
      </w:r>
      <w:r w:rsidR="009701E9" w:rsidRPr="00FD005A">
        <w:rPr>
          <w:rFonts w:ascii="Times New Roman" w:hAnsi="Times New Roman" w:cs="Times New Roman"/>
          <w:i/>
          <w:sz w:val="24"/>
          <w:szCs w:val="24"/>
        </w:rPr>
        <w:t xml:space="preserve"> 111 Capital Adequacy: Measurement of Capital.</w:t>
      </w:r>
    </w:p>
    <w:p w14:paraId="6A7377BA" w14:textId="3C59CA57" w:rsidR="00B75A8B" w:rsidRPr="00FD005A" w:rsidRDefault="001E7618" w:rsidP="00E94957">
      <w:pPr>
        <w:jc w:val="both"/>
        <w:rPr>
          <w:rFonts w:ascii="Times New Roman" w:hAnsi="Times New Roman" w:cs="Times New Roman"/>
          <w:sz w:val="24"/>
          <w:szCs w:val="24"/>
        </w:rPr>
      </w:pPr>
      <w:r w:rsidRPr="00FD005A">
        <w:rPr>
          <w:rFonts w:ascii="Times New Roman" w:hAnsi="Times New Roman" w:cs="Times New Roman"/>
          <w:sz w:val="24"/>
          <w:szCs w:val="24"/>
        </w:rPr>
        <w:t xml:space="preserve">APS 111 sets out the characteristics that an instrument must have to qualify as regulatory capital for an </w:t>
      </w:r>
      <w:r w:rsidR="00C0760A">
        <w:rPr>
          <w:rFonts w:ascii="Times New Roman" w:hAnsi="Times New Roman" w:cs="Times New Roman"/>
          <w:sz w:val="24"/>
          <w:szCs w:val="24"/>
        </w:rPr>
        <w:t>authorised depository institution (</w:t>
      </w:r>
      <w:r w:rsidRPr="00FD005A">
        <w:rPr>
          <w:rFonts w:ascii="Times New Roman" w:hAnsi="Times New Roman" w:cs="Times New Roman"/>
          <w:sz w:val="24"/>
          <w:szCs w:val="24"/>
        </w:rPr>
        <w:t>ADI</w:t>
      </w:r>
      <w:r w:rsidR="00C0760A">
        <w:rPr>
          <w:rFonts w:ascii="Times New Roman" w:hAnsi="Times New Roman" w:cs="Times New Roman"/>
          <w:sz w:val="24"/>
          <w:szCs w:val="24"/>
        </w:rPr>
        <w:t>)</w:t>
      </w:r>
      <w:r w:rsidRPr="00FD005A">
        <w:rPr>
          <w:rFonts w:ascii="Times New Roman" w:hAnsi="Times New Roman" w:cs="Times New Roman"/>
          <w:sz w:val="24"/>
          <w:szCs w:val="24"/>
        </w:rPr>
        <w:t xml:space="preserve"> and the various regulatory adjustments to be made to determine total regulatory capital for the ADI and its related companies. ADIs are bod</w:t>
      </w:r>
      <w:r w:rsidR="00F12FD1">
        <w:rPr>
          <w:rFonts w:ascii="Times New Roman" w:hAnsi="Times New Roman" w:cs="Times New Roman"/>
          <w:sz w:val="24"/>
          <w:szCs w:val="24"/>
        </w:rPr>
        <w:t>ies</w:t>
      </w:r>
      <w:r w:rsidRPr="00FD005A">
        <w:rPr>
          <w:rFonts w:ascii="Times New Roman" w:hAnsi="Times New Roman" w:cs="Times New Roman"/>
          <w:sz w:val="24"/>
          <w:szCs w:val="24"/>
        </w:rPr>
        <w:t xml:space="preserve"> corporate that have been granted the authority, under the </w:t>
      </w:r>
      <w:r w:rsidRPr="00E94957">
        <w:rPr>
          <w:rFonts w:ascii="Times New Roman" w:hAnsi="Times New Roman" w:cs="Times New Roman"/>
          <w:i/>
          <w:sz w:val="24"/>
          <w:szCs w:val="24"/>
        </w:rPr>
        <w:t>Banking Act 1959</w:t>
      </w:r>
      <w:r w:rsidRPr="00FD005A">
        <w:rPr>
          <w:rFonts w:ascii="Times New Roman" w:hAnsi="Times New Roman" w:cs="Times New Roman"/>
          <w:sz w:val="24"/>
          <w:szCs w:val="24"/>
        </w:rPr>
        <w:t>, to carry on banking business in Australia.</w:t>
      </w:r>
    </w:p>
    <w:p w14:paraId="35DD8F09" w14:textId="32F516BD" w:rsidR="00FD005A" w:rsidRPr="00FD005A" w:rsidRDefault="00FD005A" w:rsidP="00E94957">
      <w:pPr>
        <w:jc w:val="both"/>
        <w:rPr>
          <w:rFonts w:ascii="Times New Roman" w:hAnsi="Times New Roman" w:cs="Times New Roman"/>
          <w:sz w:val="24"/>
          <w:szCs w:val="24"/>
        </w:rPr>
      </w:pPr>
      <w:r w:rsidRPr="00FD005A">
        <w:rPr>
          <w:rFonts w:ascii="Times New Roman" w:hAnsi="Times New Roman" w:cs="Times New Roman"/>
          <w:sz w:val="24"/>
          <w:szCs w:val="24"/>
        </w:rPr>
        <w:t xml:space="preserve">The new </w:t>
      </w:r>
      <w:r w:rsidR="00D40CCB">
        <w:rPr>
          <w:rFonts w:ascii="Times New Roman" w:hAnsi="Times New Roman" w:cs="Times New Roman"/>
          <w:sz w:val="24"/>
          <w:szCs w:val="24"/>
        </w:rPr>
        <w:t xml:space="preserve">version of </w:t>
      </w:r>
      <w:r w:rsidRPr="00FD005A">
        <w:rPr>
          <w:rFonts w:ascii="Times New Roman" w:hAnsi="Times New Roman" w:cs="Times New Roman"/>
          <w:sz w:val="24"/>
          <w:szCs w:val="24"/>
        </w:rPr>
        <w:t>APS 111 is designed to:</w:t>
      </w:r>
    </w:p>
    <w:p w14:paraId="3BDD9F9A" w14:textId="0482626E" w:rsidR="00FD005A" w:rsidRPr="00FD005A" w:rsidRDefault="00FD005A" w:rsidP="00E94957">
      <w:pPr>
        <w:pStyle w:val="ListParagraph"/>
        <w:numPr>
          <w:ilvl w:val="0"/>
          <w:numId w:val="12"/>
        </w:numPr>
        <w:ind w:left="567" w:hanging="567"/>
        <w:contextualSpacing w:val="0"/>
        <w:jc w:val="both"/>
        <w:rPr>
          <w:rFonts w:ascii="Times New Roman" w:hAnsi="Times New Roman" w:cs="Times New Roman"/>
          <w:sz w:val="24"/>
          <w:szCs w:val="24"/>
        </w:rPr>
      </w:pPr>
      <w:r w:rsidRPr="00FD005A">
        <w:rPr>
          <w:rFonts w:ascii="Times New Roman" w:hAnsi="Times New Roman" w:cs="Times New Roman"/>
          <w:sz w:val="24"/>
          <w:szCs w:val="24"/>
        </w:rPr>
        <w:t>reinforce financial system resilience, through changes to the capital treatment of an ADI’s equity investments in their banking and insurance subsidiaries;</w:t>
      </w:r>
    </w:p>
    <w:p w14:paraId="7209CF12" w14:textId="1906C757" w:rsidR="00FD005A" w:rsidRPr="00FD005A" w:rsidRDefault="00FD005A" w:rsidP="00E94957">
      <w:pPr>
        <w:pStyle w:val="ListParagraph"/>
        <w:numPr>
          <w:ilvl w:val="0"/>
          <w:numId w:val="12"/>
        </w:numPr>
        <w:ind w:left="567" w:hanging="567"/>
        <w:contextualSpacing w:val="0"/>
        <w:jc w:val="both"/>
        <w:rPr>
          <w:rFonts w:ascii="Times New Roman" w:hAnsi="Times New Roman" w:cs="Times New Roman"/>
          <w:sz w:val="24"/>
          <w:szCs w:val="24"/>
        </w:rPr>
      </w:pPr>
      <w:r w:rsidRPr="00FD005A">
        <w:rPr>
          <w:rFonts w:ascii="Times New Roman" w:hAnsi="Times New Roman" w:cs="Times New Roman"/>
          <w:sz w:val="24"/>
          <w:szCs w:val="24"/>
        </w:rPr>
        <w:t xml:space="preserve">promote simple and transparent capital issuance, through the removal of the allowance for the use of SPVs and stapled security structures in regulatory capital issuance; and </w:t>
      </w:r>
    </w:p>
    <w:p w14:paraId="7D59DAB9" w14:textId="5BB45092" w:rsidR="00FD005A" w:rsidRPr="00FD005A" w:rsidRDefault="00FD005A" w:rsidP="00E94957">
      <w:pPr>
        <w:pStyle w:val="ListParagraph"/>
        <w:numPr>
          <w:ilvl w:val="0"/>
          <w:numId w:val="12"/>
        </w:numPr>
        <w:ind w:left="567" w:hanging="567"/>
        <w:contextualSpacing w:val="0"/>
        <w:jc w:val="both"/>
        <w:rPr>
          <w:rFonts w:ascii="Times New Roman" w:hAnsi="Times New Roman" w:cs="Times New Roman"/>
          <w:sz w:val="24"/>
          <w:szCs w:val="24"/>
        </w:rPr>
      </w:pPr>
      <w:r w:rsidRPr="00FD005A">
        <w:rPr>
          <w:rFonts w:ascii="Times New Roman" w:hAnsi="Times New Roman" w:cs="Times New Roman"/>
          <w:sz w:val="24"/>
          <w:szCs w:val="24"/>
        </w:rPr>
        <w:t>clarif</w:t>
      </w:r>
      <w:r w:rsidR="00EE08FF">
        <w:rPr>
          <w:rFonts w:ascii="Times New Roman" w:hAnsi="Times New Roman" w:cs="Times New Roman"/>
          <w:sz w:val="24"/>
          <w:szCs w:val="24"/>
        </w:rPr>
        <w:t>y</w:t>
      </w:r>
      <w:r w:rsidRPr="00FD005A">
        <w:rPr>
          <w:rFonts w:ascii="Times New Roman" w:hAnsi="Times New Roman" w:cs="Times New Roman"/>
          <w:sz w:val="24"/>
          <w:szCs w:val="24"/>
        </w:rPr>
        <w:t xml:space="preserve"> aspects of APS 111, including provision of additional technical information to assist ADIs in issuing capital instruments. </w:t>
      </w:r>
    </w:p>
    <w:p w14:paraId="6AC511EE" w14:textId="77777777" w:rsidR="00B75A8B" w:rsidRPr="00FD005A" w:rsidRDefault="00B75A8B" w:rsidP="004D5A79">
      <w:pPr>
        <w:keepNext/>
        <w:shd w:val="clear" w:color="auto" w:fill="FFFFFF"/>
        <w:spacing w:after="240" w:line="240" w:lineRule="auto"/>
        <w:jc w:val="both"/>
        <w:rPr>
          <w:rFonts w:ascii="Times New Roman" w:hAnsi="Times New Roman" w:cs="Times New Roman"/>
          <w:sz w:val="24"/>
          <w:szCs w:val="24"/>
          <w:lang w:val="en-US"/>
        </w:rPr>
      </w:pPr>
      <w:r w:rsidRPr="00FD005A">
        <w:rPr>
          <w:rFonts w:ascii="Times New Roman" w:hAnsi="Times New Roman" w:cs="Times New Roman"/>
          <w:b/>
          <w:bCs/>
          <w:sz w:val="24"/>
          <w:szCs w:val="24"/>
        </w:rPr>
        <w:t>Human rights implications</w:t>
      </w:r>
    </w:p>
    <w:p w14:paraId="254DBEDD" w14:textId="43A63E1F" w:rsidR="00B75A8B" w:rsidRPr="00111D7A" w:rsidRDefault="00B75A8B" w:rsidP="00E94957">
      <w:pPr>
        <w:jc w:val="both"/>
        <w:rPr>
          <w:rFonts w:ascii="Times New Roman" w:hAnsi="Times New Roman" w:cs="Times New Roman"/>
          <w:sz w:val="24"/>
          <w:szCs w:val="24"/>
        </w:rPr>
      </w:pPr>
      <w:r w:rsidRPr="00111D7A">
        <w:rPr>
          <w:rFonts w:ascii="Times New Roman" w:hAnsi="Times New Roman" w:cs="Times New Roman"/>
          <w:sz w:val="24"/>
          <w:szCs w:val="24"/>
        </w:rPr>
        <w:t xml:space="preserve">APRA has assessed the instrument and is of the view that </w:t>
      </w:r>
      <w:r w:rsidR="004D5A79" w:rsidRPr="00111D7A">
        <w:rPr>
          <w:rFonts w:ascii="Times New Roman" w:hAnsi="Times New Roman" w:cs="Times New Roman"/>
          <w:sz w:val="24"/>
          <w:szCs w:val="24"/>
        </w:rPr>
        <w:t xml:space="preserve">it </w:t>
      </w:r>
      <w:r w:rsidRPr="00111D7A">
        <w:rPr>
          <w:rFonts w:ascii="Times New Roman" w:hAnsi="Times New Roman" w:cs="Times New Roman"/>
          <w:sz w:val="24"/>
          <w:szCs w:val="24"/>
        </w:rPr>
        <w:t>do</w:t>
      </w:r>
      <w:r w:rsidR="004D5A79" w:rsidRPr="00111D7A">
        <w:rPr>
          <w:rFonts w:ascii="Times New Roman" w:hAnsi="Times New Roman" w:cs="Times New Roman"/>
          <w:sz w:val="24"/>
          <w:szCs w:val="24"/>
        </w:rPr>
        <w:t>es</w:t>
      </w:r>
      <w:r w:rsidRPr="00111D7A">
        <w:rPr>
          <w:rFonts w:ascii="Times New Roman" w:hAnsi="Times New Roman" w:cs="Times New Roman"/>
          <w:sz w:val="24"/>
          <w:szCs w:val="24"/>
        </w:rPr>
        <w:t xml:space="preserve"> not engage any of the applicable rights or freedoms recognised or declared in the international instruments listed in section 3 of the HRPS Act. Accordingly, in APRA’s assessment, the instrument </w:t>
      </w:r>
      <w:r w:rsidR="004D5A79" w:rsidRPr="00111D7A">
        <w:rPr>
          <w:rFonts w:ascii="Times New Roman" w:hAnsi="Times New Roman" w:cs="Times New Roman"/>
          <w:sz w:val="24"/>
          <w:szCs w:val="24"/>
        </w:rPr>
        <w:t xml:space="preserve">is </w:t>
      </w:r>
      <w:r w:rsidRPr="00111D7A">
        <w:rPr>
          <w:rFonts w:ascii="Times New Roman" w:hAnsi="Times New Roman" w:cs="Times New Roman"/>
          <w:sz w:val="24"/>
          <w:szCs w:val="24"/>
        </w:rPr>
        <w:t>compatible with human rights.</w:t>
      </w:r>
    </w:p>
    <w:p w14:paraId="329FF13D" w14:textId="77777777" w:rsidR="00B75A8B" w:rsidRPr="00FD005A" w:rsidRDefault="00B75A8B" w:rsidP="004D5A79">
      <w:pPr>
        <w:shd w:val="clear" w:color="auto" w:fill="FFFFFF"/>
        <w:spacing w:after="240" w:line="240" w:lineRule="auto"/>
        <w:jc w:val="both"/>
        <w:rPr>
          <w:rFonts w:ascii="Times New Roman" w:hAnsi="Times New Roman" w:cs="Times New Roman"/>
          <w:sz w:val="24"/>
          <w:szCs w:val="24"/>
          <w:lang w:val="en-US"/>
        </w:rPr>
      </w:pPr>
      <w:r w:rsidRPr="00FD005A">
        <w:rPr>
          <w:rFonts w:ascii="Times New Roman" w:hAnsi="Times New Roman" w:cs="Times New Roman"/>
          <w:b/>
          <w:bCs/>
          <w:sz w:val="24"/>
          <w:szCs w:val="24"/>
        </w:rPr>
        <w:t>Conclusion</w:t>
      </w:r>
    </w:p>
    <w:p w14:paraId="3CF6798B" w14:textId="08ACA738" w:rsidR="00B75A8B" w:rsidRPr="00FD005A" w:rsidRDefault="00B75A8B" w:rsidP="004D5A79">
      <w:pPr>
        <w:spacing w:after="240" w:line="240" w:lineRule="auto"/>
        <w:jc w:val="both"/>
        <w:rPr>
          <w:rFonts w:ascii="Times New Roman" w:hAnsi="Times New Roman" w:cs="Times New Roman"/>
          <w:sz w:val="24"/>
          <w:szCs w:val="24"/>
        </w:rPr>
      </w:pPr>
      <w:r w:rsidRPr="00FD005A">
        <w:rPr>
          <w:rFonts w:ascii="Times New Roman" w:hAnsi="Times New Roman" w:cs="Times New Roman"/>
          <w:sz w:val="24"/>
          <w:szCs w:val="24"/>
        </w:rPr>
        <w:t xml:space="preserve">The </w:t>
      </w:r>
      <w:r w:rsidR="004D5A79" w:rsidRPr="00FD005A">
        <w:rPr>
          <w:rFonts w:ascii="Times New Roman" w:hAnsi="Times New Roman" w:cs="Times New Roman"/>
          <w:sz w:val="24"/>
          <w:szCs w:val="24"/>
        </w:rPr>
        <w:t xml:space="preserve">instrument is </w:t>
      </w:r>
      <w:r w:rsidRPr="00FD005A">
        <w:rPr>
          <w:rFonts w:ascii="Times New Roman" w:hAnsi="Times New Roman" w:cs="Times New Roman"/>
          <w:sz w:val="24"/>
          <w:szCs w:val="24"/>
        </w:rPr>
        <w:t>compatible with human rights as they do not raise any human rights issues.</w:t>
      </w:r>
    </w:p>
    <w:p w14:paraId="56A18ECE" w14:textId="77777777" w:rsidR="00B75A8B" w:rsidRPr="00FD005A" w:rsidRDefault="00B75A8B" w:rsidP="00B75A8B">
      <w:pPr>
        <w:spacing w:after="240"/>
        <w:rPr>
          <w:rFonts w:ascii="Times New Roman" w:hAnsi="Times New Roman" w:cs="Times New Roman"/>
          <w:sz w:val="24"/>
          <w:szCs w:val="24"/>
        </w:rPr>
      </w:pPr>
    </w:p>
    <w:p w14:paraId="752CCA14" w14:textId="29EAE745" w:rsidR="00B75A8B" w:rsidRDefault="00B75A8B">
      <w:pPr>
        <w:spacing w:after="120" w:line="288" w:lineRule="auto"/>
        <w:rPr>
          <w:rFonts w:ascii="Times New Roman" w:eastAsia="Times New Roman" w:hAnsi="Times New Roman" w:cs="Times New Roman"/>
          <w:sz w:val="24"/>
          <w:szCs w:val="24"/>
        </w:rPr>
      </w:pPr>
    </w:p>
    <w:sectPr w:rsidR="00B75A8B" w:rsidSect="00E94957">
      <w:headerReference w:type="default" r:id="rId16"/>
      <w:footerReference w:type="default" r:id="rId17"/>
      <w:headerReference w:type="first" r:id="rId18"/>
      <w:footerReference w:type="first" r:id="rId19"/>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8486" w14:textId="77777777" w:rsidR="006E1272" w:rsidRDefault="006E1272" w:rsidP="007A463E">
      <w:pPr>
        <w:spacing w:after="0" w:line="240" w:lineRule="auto"/>
      </w:pPr>
      <w:r>
        <w:separator/>
      </w:r>
    </w:p>
    <w:p w14:paraId="26D38487" w14:textId="77777777" w:rsidR="006E1272" w:rsidRDefault="006E1272"/>
  </w:endnote>
  <w:endnote w:type="continuationSeparator" w:id="0">
    <w:p w14:paraId="26D38488" w14:textId="77777777" w:rsidR="006E1272" w:rsidRDefault="006E1272" w:rsidP="007A463E">
      <w:pPr>
        <w:spacing w:after="0" w:line="240" w:lineRule="auto"/>
      </w:pPr>
      <w:r>
        <w:continuationSeparator/>
      </w:r>
    </w:p>
    <w:p w14:paraId="26D38489" w14:textId="77777777" w:rsidR="006E1272" w:rsidRDefault="006E1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87920"/>
      <w:docPartObj>
        <w:docPartGallery w:val="Page Numbers (Top of Page)"/>
        <w:docPartUnique/>
      </w:docPartObj>
    </w:sdtPr>
    <w:sdtEndPr/>
    <w:sdtContent>
      <w:p w14:paraId="45C3FF5B" w14:textId="77777777" w:rsidR="0018395A" w:rsidRDefault="0018395A" w:rsidP="0018395A">
        <w:pPr>
          <w:pStyle w:val="Footer"/>
          <w:rPr>
            <w:sz w:val="22"/>
          </w:rPr>
        </w:pPr>
        <w:r w:rsidRPr="0018395A">
          <w:t xml:space="preserve">Page </w:t>
        </w:r>
        <w:r w:rsidRPr="007D4387">
          <w:rPr>
            <w:bCs/>
            <w:sz w:val="24"/>
            <w:szCs w:val="24"/>
          </w:rPr>
          <w:fldChar w:fldCharType="begin"/>
        </w:r>
        <w:r w:rsidRPr="007D4387">
          <w:rPr>
            <w:bCs/>
          </w:rPr>
          <w:instrText xml:space="preserve"> PAGE </w:instrText>
        </w:r>
        <w:r w:rsidRPr="007D4387">
          <w:rPr>
            <w:bCs/>
            <w:sz w:val="24"/>
            <w:szCs w:val="24"/>
          </w:rPr>
          <w:fldChar w:fldCharType="separate"/>
        </w:r>
        <w:r>
          <w:rPr>
            <w:bCs/>
            <w:sz w:val="24"/>
            <w:szCs w:val="24"/>
          </w:rPr>
          <w:t>1</w:t>
        </w:r>
        <w:r w:rsidRPr="007D4387">
          <w:rPr>
            <w:bCs/>
            <w:sz w:val="24"/>
            <w:szCs w:val="24"/>
          </w:rPr>
          <w:fldChar w:fldCharType="end"/>
        </w:r>
        <w:r w:rsidRPr="0018395A">
          <w:t xml:space="preserve"> of </w:t>
        </w:r>
        <w:r w:rsidRPr="007D4387">
          <w:rPr>
            <w:bCs/>
            <w:sz w:val="24"/>
            <w:szCs w:val="24"/>
          </w:rPr>
          <w:fldChar w:fldCharType="begin"/>
        </w:r>
        <w:r w:rsidRPr="007D4387">
          <w:rPr>
            <w:bCs/>
          </w:rPr>
          <w:instrText xml:space="preserve"> NUMPAGES  </w:instrText>
        </w:r>
        <w:r w:rsidRPr="007D4387">
          <w:rPr>
            <w:bCs/>
            <w:sz w:val="24"/>
            <w:szCs w:val="24"/>
          </w:rPr>
          <w:fldChar w:fldCharType="separate"/>
        </w:r>
        <w:r>
          <w:rPr>
            <w:bCs/>
            <w:sz w:val="24"/>
            <w:szCs w:val="24"/>
          </w:rPr>
          <w:t>6</w:t>
        </w:r>
        <w:r w:rsidRPr="007D4387">
          <w:rPr>
            <w:bCs/>
            <w:sz w:val="24"/>
            <w:szCs w:val="24"/>
          </w:rPr>
          <w:fldChar w:fldCharType="end"/>
        </w:r>
      </w:p>
    </w:sdtContent>
  </w:sdt>
  <w:p w14:paraId="02602B2B" w14:textId="77777777" w:rsidR="0018395A" w:rsidRDefault="00183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356025"/>
      <w:docPartObj>
        <w:docPartGallery w:val="Page Numbers (Bottom of Page)"/>
        <w:docPartUnique/>
      </w:docPartObj>
    </w:sdtPr>
    <w:sdtEndPr/>
    <w:sdtContent>
      <w:sdt>
        <w:sdtPr>
          <w:id w:val="860082579"/>
          <w:docPartObj>
            <w:docPartGallery w:val="Page Numbers (Top of Page)"/>
            <w:docPartUnique/>
          </w:docPartObj>
        </w:sdtPr>
        <w:sdtEndPr/>
        <w:sdtContent>
          <w:p w14:paraId="26D3848C" w14:textId="77777777" w:rsidR="002E5E7D" w:rsidRDefault="002E5E7D">
            <w:pPr>
              <w:pStyle w:val="Footer"/>
            </w:pPr>
            <w:r w:rsidRPr="0018395A">
              <w:t xml:space="preserve">Page </w:t>
            </w:r>
            <w:r w:rsidRPr="00E94957">
              <w:rPr>
                <w:bCs/>
                <w:sz w:val="24"/>
                <w:szCs w:val="24"/>
              </w:rPr>
              <w:fldChar w:fldCharType="begin"/>
            </w:r>
            <w:r w:rsidRPr="00E94957">
              <w:rPr>
                <w:bCs/>
              </w:rPr>
              <w:instrText xml:space="preserve"> PAGE </w:instrText>
            </w:r>
            <w:r w:rsidRPr="00E94957">
              <w:rPr>
                <w:bCs/>
                <w:sz w:val="24"/>
                <w:szCs w:val="24"/>
              </w:rPr>
              <w:fldChar w:fldCharType="separate"/>
            </w:r>
            <w:r w:rsidR="00F2124C" w:rsidRPr="00E94957">
              <w:rPr>
                <w:bCs/>
                <w:noProof/>
              </w:rPr>
              <w:t>1</w:t>
            </w:r>
            <w:r w:rsidRPr="00E94957">
              <w:rPr>
                <w:bCs/>
                <w:sz w:val="24"/>
                <w:szCs w:val="24"/>
              </w:rPr>
              <w:fldChar w:fldCharType="end"/>
            </w:r>
            <w:r w:rsidRPr="0018395A">
              <w:t xml:space="preserve"> of </w:t>
            </w:r>
            <w:r w:rsidRPr="00E94957">
              <w:rPr>
                <w:bCs/>
                <w:sz w:val="24"/>
                <w:szCs w:val="24"/>
              </w:rPr>
              <w:fldChar w:fldCharType="begin"/>
            </w:r>
            <w:r w:rsidRPr="00E94957">
              <w:rPr>
                <w:bCs/>
              </w:rPr>
              <w:instrText xml:space="preserve"> NUMPAGES  </w:instrText>
            </w:r>
            <w:r w:rsidRPr="00E94957">
              <w:rPr>
                <w:bCs/>
                <w:sz w:val="24"/>
                <w:szCs w:val="24"/>
              </w:rPr>
              <w:fldChar w:fldCharType="separate"/>
            </w:r>
            <w:r w:rsidR="00F2124C" w:rsidRPr="00E94957">
              <w:rPr>
                <w:bCs/>
                <w:noProof/>
              </w:rPr>
              <w:t>6</w:t>
            </w:r>
            <w:r w:rsidRPr="00E94957">
              <w:rPr>
                <w:bCs/>
                <w:sz w:val="24"/>
                <w:szCs w:val="24"/>
              </w:rPr>
              <w:fldChar w:fldCharType="end"/>
            </w:r>
          </w:p>
        </w:sdtContent>
      </w:sdt>
    </w:sdtContent>
  </w:sdt>
  <w:p w14:paraId="26D3848D" w14:textId="77777777" w:rsidR="00197A23" w:rsidRDefault="0019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38482" w14:textId="77777777" w:rsidR="006E1272" w:rsidRDefault="006E1272" w:rsidP="007A463E">
      <w:pPr>
        <w:spacing w:after="0" w:line="240" w:lineRule="auto"/>
      </w:pPr>
      <w:r>
        <w:separator/>
      </w:r>
    </w:p>
    <w:p w14:paraId="26D38483" w14:textId="77777777" w:rsidR="006E1272" w:rsidRDefault="006E1272"/>
  </w:footnote>
  <w:footnote w:type="continuationSeparator" w:id="0">
    <w:p w14:paraId="26D38484" w14:textId="77777777" w:rsidR="006E1272" w:rsidRDefault="006E1272" w:rsidP="007A463E">
      <w:pPr>
        <w:spacing w:after="0" w:line="240" w:lineRule="auto"/>
      </w:pPr>
      <w:r>
        <w:continuationSeparator/>
      </w:r>
    </w:p>
    <w:p w14:paraId="26D38485" w14:textId="77777777" w:rsidR="006E1272" w:rsidRDefault="006E1272"/>
  </w:footnote>
  <w:footnote w:id="1">
    <w:p w14:paraId="6FE16E5D" w14:textId="77777777" w:rsidR="00CF2848" w:rsidRPr="00DE0D72" w:rsidRDefault="00CF2848" w:rsidP="00E94957">
      <w:pPr>
        <w:pStyle w:val="FootnoteText"/>
        <w:jc w:val="both"/>
        <w:rPr>
          <w:rFonts w:ascii="Times New Roman" w:hAnsi="Times New Roman" w:cs="Times New Roman"/>
          <w:szCs w:val="18"/>
        </w:rPr>
      </w:pPr>
      <w:r w:rsidRPr="00DE0D72">
        <w:rPr>
          <w:rStyle w:val="FootnoteReference"/>
          <w:rFonts w:ascii="Times New Roman" w:hAnsi="Times New Roman" w:cs="Times New Roman"/>
          <w:szCs w:val="18"/>
        </w:rPr>
        <w:footnoteRef/>
      </w:r>
      <w:r w:rsidRPr="00DE0D72">
        <w:rPr>
          <w:rFonts w:ascii="Times New Roman" w:hAnsi="Times New Roman" w:cs="Times New Roman"/>
          <w:szCs w:val="18"/>
        </w:rPr>
        <w:t xml:space="preserve"> The Basel Committee on Banking Supervision, of which Australia is a member, is the primary global standard setter for the prudential regulation of banks and provides a forum for regular cooperation on banking supervisory matters. Its members comprise central banks and bank supervisors from 28 jurisdictions.</w:t>
      </w:r>
    </w:p>
  </w:footnote>
  <w:footnote w:id="2">
    <w:p w14:paraId="22100512" w14:textId="71D0AC78" w:rsidR="00D92B39" w:rsidRPr="00DE0D72" w:rsidRDefault="00D92B39" w:rsidP="00E94957">
      <w:pPr>
        <w:pStyle w:val="FootnoteText"/>
        <w:jc w:val="both"/>
        <w:rPr>
          <w:rFonts w:ascii="Times New Roman" w:hAnsi="Times New Roman" w:cs="Times New Roman"/>
          <w:szCs w:val="18"/>
        </w:rPr>
      </w:pPr>
      <w:r w:rsidRPr="00DE0D72">
        <w:rPr>
          <w:rStyle w:val="FootnoteReference"/>
          <w:rFonts w:ascii="Times New Roman" w:hAnsi="Times New Roman" w:cs="Times New Roman"/>
          <w:szCs w:val="18"/>
        </w:rPr>
        <w:footnoteRef/>
      </w:r>
      <w:r w:rsidRPr="00DE0D72">
        <w:rPr>
          <w:rFonts w:ascii="Times New Roman" w:hAnsi="Times New Roman" w:cs="Times New Roman"/>
          <w:szCs w:val="18"/>
        </w:rPr>
        <w:t xml:space="preserve"> APRA Measurement of capital - frequently asked questions, updated June 2019</w:t>
      </w:r>
      <w:r w:rsidR="00E94957">
        <w:rPr>
          <w:rFonts w:ascii="Times New Roman" w:hAnsi="Times New Roman" w:cs="Times New Roman"/>
          <w:szCs w:val="18"/>
        </w:rPr>
        <w:t xml:space="preserve"> available at: </w:t>
      </w:r>
      <w:hyperlink r:id="rId1" w:history="1">
        <w:r w:rsidR="00E94957" w:rsidRPr="00E94957">
          <w:rPr>
            <w:rStyle w:val="Hyperlink"/>
            <w:rFonts w:ascii="Times New Roman" w:hAnsi="Times New Roman" w:cs="Times New Roman"/>
            <w:sz w:val="18"/>
            <w:szCs w:val="18"/>
          </w:rPr>
          <w:t>Measurement of capital - frequently asked questions | APRA</w:t>
        </w:r>
      </w:hyperlink>
    </w:p>
  </w:footnote>
  <w:footnote w:id="3">
    <w:p w14:paraId="260BECFA" w14:textId="12C40139" w:rsidR="00DF49D8" w:rsidRPr="00DE0D72" w:rsidRDefault="00DF49D8" w:rsidP="00E94957">
      <w:pPr>
        <w:pStyle w:val="FootnoteText"/>
        <w:jc w:val="both"/>
        <w:rPr>
          <w:rFonts w:ascii="Times New Roman" w:hAnsi="Times New Roman" w:cs="Times New Roman"/>
          <w:szCs w:val="18"/>
        </w:rPr>
      </w:pPr>
      <w:r w:rsidRPr="00DE0D72">
        <w:rPr>
          <w:rStyle w:val="FootnoteReference"/>
          <w:rFonts w:ascii="Times New Roman" w:hAnsi="Times New Roman" w:cs="Times New Roman"/>
          <w:szCs w:val="18"/>
        </w:rPr>
        <w:footnoteRef/>
      </w:r>
      <w:r w:rsidRPr="00DE0D72">
        <w:rPr>
          <w:rFonts w:ascii="Times New Roman" w:hAnsi="Times New Roman" w:cs="Times New Roman"/>
          <w:szCs w:val="18"/>
        </w:rPr>
        <w:t xml:space="preserve"> CET1 capital is the highest quality component of capital. It is subordinated to all other elements of funding, absorbs losses as and when they occur, has full flexibility of dividend payments and has no maturity date.</w:t>
      </w:r>
      <w:r w:rsidR="0056731D" w:rsidRPr="00DE0D72">
        <w:rPr>
          <w:rFonts w:ascii="Times New Roman" w:hAnsi="Times New Roman" w:cs="Times New Roman"/>
          <w:szCs w:val="18"/>
        </w:rPr>
        <w:t xml:space="preserve"> An example of CET1 capital is an ADI’s ordinary shares. </w:t>
      </w:r>
    </w:p>
  </w:footnote>
  <w:footnote w:id="4">
    <w:p w14:paraId="1A0A6EB7" w14:textId="7AA32E2E" w:rsidR="003C1296" w:rsidRDefault="003C1296" w:rsidP="003C1296">
      <w:pPr>
        <w:pStyle w:val="FootnoteText"/>
        <w:jc w:val="both"/>
        <w:rPr>
          <w:rFonts w:ascii="Times New Roman" w:hAnsi="Times New Roman"/>
          <w:szCs w:val="20"/>
        </w:rPr>
      </w:pPr>
      <w:r>
        <w:rPr>
          <w:rStyle w:val="FootnoteReference"/>
          <w:rFonts w:ascii="Times New Roman" w:hAnsi="Times New Roman"/>
        </w:rPr>
        <w:footnoteRef/>
      </w:r>
      <w:r>
        <w:rPr>
          <w:rFonts w:ascii="Times New Roman" w:hAnsi="Times New Roman"/>
        </w:rPr>
        <w:t xml:space="preserve"> Australian Accounting Standards is defined in </w:t>
      </w:r>
      <w:r>
        <w:rPr>
          <w:rFonts w:ascii="Times New Roman" w:hAnsi="Times New Roman"/>
          <w:i/>
        </w:rPr>
        <w:t>Prudential Standard APS 001 Definitions</w:t>
      </w:r>
      <w:r>
        <w:rPr>
          <w:rFonts w:ascii="Times New Roman" w:hAnsi="Times New Roman"/>
        </w:rPr>
        <w:t xml:space="preserve"> </w:t>
      </w:r>
      <w:r w:rsidR="00DF3CA9">
        <w:rPr>
          <w:rFonts w:ascii="Times New Roman" w:hAnsi="Times New Roman"/>
        </w:rPr>
        <w:t xml:space="preserve">(APS 001) </w:t>
      </w:r>
      <w:r>
        <w:rPr>
          <w:rFonts w:ascii="Times New Roman" w:hAnsi="Times New Roman"/>
        </w:rPr>
        <w:t xml:space="preserve">as the Australian Accounting Standards issued by the Australian Accounting Standards Board as may be amended from time to time. </w:t>
      </w:r>
      <w:r w:rsidR="00DF3CA9">
        <w:rPr>
          <w:rFonts w:ascii="Times New Roman" w:hAnsi="Times New Roman"/>
        </w:rPr>
        <w:t xml:space="preserve">Australian Auditing and Assurance Standards is defined in APS 001 as the Australian Auditing and Assurance Standards issued by the Auditing and Assurance Standards Board as may be amended from time to time. </w:t>
      </w:r>
      <w:r w:rsidR="000836C2">
        <w:rPr>
          <w:rFonts w:ascii="Times New Roman" w:hAnsi="Times New Roman"/>
        </w:rPr>
        <w:t>Under APS 001, the d</w:t>
      </w:r>
      <w:r w:rsidR="00DF3CA9">
        <w:rPr>
          <w:rFonts w:ascii="Times New Roman" w:hAnsi="Times New Roman"/>
        </w:rPr>
        <w:t>efinitions in APS 001 apply to all prudential standards made under section 11AF of the Act unless the contrary intention appears.</w:t>
      </w:r>
    </w:p>
  </w:footnote>
  <w:footnote w:id="5">
    <w:p w14:paraId="1D461955" w14:textId="77777777" w:rsidR="003C1296" w:rsidRDefault="003C1296" w:rsidP="003C1296">
      <w:pPr>
        <w:pStyle w:val="FootnoteText"/>
        <w:jc w:val="both"/>
        <w:rPr>
          <w:rFonts w:ascii="Trebuchet MS" w:hAnsi="Trebuchet MS"/>
        </w:rPr>
      </w:pPr>
      <w:r>
        <w:rPr>
          <w:rStyle w:val="FootnoteReference"/>
          <w:rFonts w:ascii="Times New Roman" w:hAnsi="Times New Roman"/>
        </w:rPr>
        <w:footnoteRef/>
      </w:r>
      <w:r>
        <w:rPr>
          <w:rFonts w:ascii="Times New Roman" w:hAnsi="Times New Roman"/>
        </w:rPr>
        <w:t xml:space="preserve"> Subsection 9A(4) of the Act specifically provides that APRA does not need to consult where APRA is satisfied that doing so could result in a delay in revocation that would be contrary to the national interest or the interests of depositors with the ADI. </w:t>
      </w:r>
    </w:p>
  </w:footnote>
  <w:footnote w:id="6">
    <w:p w14:paraId="25BCBB5A" w14:textId="389DF57B" w:rsidR="009E4D50" w:rsidRPr="00B63607" w:rsidRDefault="009E4D50">
      <w:pPr>
        <w:pStyle w:val="FootnoteText"/>
        <w:rPr>
          <w:rFonts w:ascii="Times New Roman" w:hAnsi="Times New Roman" w:cs="Times New Roman"/>
          <w:sz w:val="20"/>
          <w:szCs w:val="20"/>
        </w:rPr>
      </w:pPr>
      <w:r w:rsidRPr="00DE0D72">
        <w:rPr>
          <w:rStyle w:val="FootnoteReference"/>
          <w:rFonts w:ascii="Times New Roman" w:hAnsi="Times New Roman" w:cs="Times New Roman"/>
          <w:szCs w:val="18"/>
        </w:rPr>
        <w:footnoteRef/>
      </w:r>
      <w:r w:rsidRPr="00DE0D72">
        <w:rPr>
          <w:rFonts w:ascii="Times New Roman" w:hAnsi="Times New Roman" w:cs="Times New Roman"/>
          <w:szCs w:val="18"/>
        </w:rPr>
        <w:t xml:space="preserve"> APRA Discussion paper - Revisions to APS 111 Capital Adequacy: Measurement of Capital, October 2019</w:t>
      </w:r>
      <w:r w:rsidR="00D7372D">
        <w:rPr>
          <w:rFonts w:ascii="Times New Roman" w:hAnsi="Times New Roman" w:cs="Times New Roman"/>
          <w:szCs w:val="18"/>
        </w:rPr>
        <w:t>,</w:t>
      </w:r>
      <w:r w:rsidR="00E94957">
        <w:rPr>
          <w:rFonts w:ascii="Times New Roman" w:hAnsi="Times New Roman" w:cs="Times New Roman"/>
          <w:szCs w:val="18"/>
        </w:rPr>
        <w:t xml:space="preserve"> av</w:t>
      </w:r>
      <w:r w:rsidR="00D7372D">
        <w:rPr>
          <w:rFonts w:ascii="Times New Roman" w:hAnsi="Times New Roman" w:cs="Times New Roman"/>
          <w:szCs w:val="18"/>
        </w:rPr>
        <w:t>ailable</w:t>
      </w:r>
      <w:r w:rsidR="00E94957">
        <w:rPr>
          <w:rFonts w:ascii="Times New Roman" w:hAnsi="Times New Roman" w:cs="Times New Roman"/>
          <w:szCs w:val="18"/>
        </w:rPr>
        <w:t xml:space="preserve"> at: </w:t>
      </w:r>
      <w:hyperlink r:id="rId2" w:history="1">
        <w:r w:rsidR="00E94957" w:rsidRPr="00E94957">
          <w:rPr>
            <w:rStyle w:val="Hyperlink"/>
            <w:rFonts w:ascii="Times New Roman" w:hAnsi="Times New Roman" w:cs="Times New Roman"/>
            <w:sz w:val="18"/>
            <w:szCs w:val="18"/>
          </w:rPr>
          <w:t>Discussion paper - Revisions to APS 111 Capital Adequacy: Measurement of Capital | APRA</w:t>
        </w:r>
      </w:hyperlink>
    </w:p>
  </w:footnote>
  <w:footnote w:id="7">
    <w:p w14:paraId="013F9F19" w14:textId="1EDF4601" w:rsidR="003258C0" w:rsidRPr="00DE0D72" w:rsidRDefault="003258C0" w:rsidP="00DE0D72">
      <w:pPr>
        <w:rPr>
          <w:rFonts w:ascii="Times New Roman" w:hAnsi="Times New Roman" w:cs="Times New Roman"/>
          <w:sz w:val="18"/>
          <w:szCs w:val="18"/>
        </w:rPr>
      </w:pPr>
      <w:r w:rsidRPr="00DE0D72">
        <w:rPr>
          <w:rStyle w:val="FootnoteReference"/>
          <w:rFonts w:ascii="Times New Roman" w:hAnsi="Times New Roman" w:cs="Times New Roman"/>
          <w:szCs w:val="18"/>
        </w:rPr>
        <w:footnoteRef/>
      </w:r>
      <w:r w:rsidRPr="00DE0D72">
        <w:rPr>
          <w:rFonts w:ascii="Times New Roman" w:hAnsi="Times New Roman" w:cs="Times New Roman"/>
          <w:sz w:val="18"/>
          <w:szCs w:val="18"/>
        </w:rPr>
        <w:t xml:space="preserve"> APRA Response to submissions - APS 111 Capital Adequacy: Measurement of Capital, May 2021</w:t>
      </w:r>
      <w:r w:rsidR="00D7372D">
        <w:rPr>
          <w:rFonts w:ascii="Times New Roman" w:hAnsi="Times New Roman" w:cs="Times New Roman"/>
          <w:sz w:val="18"/>
          <w:szCs w:val="18"/>
        </w:rPr>
        <w:t>, available at:</w:t>
      </w:r>
      <w:r w:rsidR="00E94957">
        <w:rPr>
          <w:rFonts w:ascii="Times New Roman" w:hAnsi="Times New Roman" w:cs="Times New Roman"/>
          <w:sz w:val="18"/>
          <w:szCs w:val="18"/>
        </w:rPr>
        <w:t xml:space="preserve"> </w:t>
      </w:r>
      <w:hyperlink r:id="rId3" w:history="1">
        <w:r w:rsidR="00D7372D" w:rsidRPr="00D7372D">
          <w:rPr>
            <w:rStyle w:val="Hyperlink"/>
            <w:rFonts w:ascii="Times New Roman" w:hAnsi="Times New Roman" w:cs="Times New Roman"/>
            <w:sz w:val="18"/>
            <w:szCs w:val="18"/>
          </w:rPr>
          <w:t>Revisions to Prudential Standard APS 111 Capital Adequacy: Measurement of Capital | APRA</w:t>
        </w:r>
      </w:hyperlink>
      <w:r w:rsidRPr="00DE0D72">
        <w:rPr>
          <w:rFonts w:ascii="Times New Roman" w:hAnsi="Times New Roman" w:cs="Times New Roman"/>
          <w:sz w:val="18"/>
          <w:szCs w:val="18"/>
        </w:rPr>
        <w:t>.</w:t>
      </w:r>
    </w:p>
  </w:footnote>
  <w:footnote w:id="8">
    <w:p w14:paraId="413EDF29" w14:textId="768D516D" w:rsidR="00E540AF" w:rsidRDefault="00E540AF" w:rsidP="00DE0D72">
      <w:r w:rsidRPr="00DE0D72">
        <w:rPr>
          <w:rStyle w:val="FootnoteReference"/>
          <w:rFonts w:ascii="Times New Roman" w:hAnsi="Times New Roman" w:cs="Times New Roman"/>
          <w:szCs w:val="18"/>
        </w:rPr>
        <w:footnoteRef/>
      </w:r>
      <w:r w:rsidRPr="00DE0D72">
        <w:rPr>
          <w:rFonts w:ascii="Times New Roman" w:hAnsi="Times New Roman" w:cs="Times New Roman"/>
          <w:sz w:val="18"/>
          <w:szCs w:val="18"/>
        </w:rPr>
        <w:t xml:space="preserve"> APRA Letter to ADIs: Final revised Prudential Standard: APS 111 Capital Adequacy - Measurement of Capital, August 2021</w:t>
      </w:r>
      <w:r w:rsidR="00D7372D">
        <w:rPr>
          <w:rFonts w:ascii="Times New Roman" w:hAnsi="Times New Roman" w:cs="Times New Roman"/>
          <w:sz w:val="18"/>
          <w:szCs w:val="18"/>
        </w:rPr>
        <w:t xml:space="preserve">, available at: </w:t>
      </w:r>
      <w:hyperlink r:id="rId4" w:history="1">
        <w:r w:rsidR="00D7372D" w:rsidRPr="00D7372D">
          <w:rPr>
            <w:rStyle w:val="Hyperlink"/>
            <w:rFonts w:ascii="Times New Roman" w:hAnsi="Times New Roman" w:cs="Times New Roman"/>
            <w:sz w:val="18"/>
            <w:szCs w:val="18"/>
          </w:rPr>
          <w:t>Revisions to Prudential Standard APS 111 Capital Adequacy: Measurement of Capital | APRA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848A" w14:textId="77777777" w:rsidR="00665727" w:rsidRPr="00665727" w:rsidRDefault="00665727" w:rsidP="006657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848B" w14:textId="77777777" w:rsidR="000D09FA" w:rsidRDefault="000D09FA" w:rsidP="001D3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36E31DA"/>
    <w:multiLevelType w:val="hybridMultilevel"/>
    <w:tmpl w:val="4CEC6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409B1"/>
    <w:multiLevelType w:val="multilevel"/>
    <w:tmpl w:val="0C09001F"/>
    <w:numStyleLink w:val="111111"/>
  </w:abstractNum>
  <w:abstractNum w:abstractNumId="7"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20E97"/>
    <w:multiLevelType w:val="hybridMultilevel"/>
    <w:tmpl w:val="8F9CE67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DCB621A"/>
    <w:multiLevelType w:val="hybridMultilevel"/>
    <w:tmpl w:val="64EABDCA"/>
    <w:lvl w:ilvl="0" w:tplc="5DE48A12">
      <w:start w:val="1"/>
      <w:numFmt w:val="lowerLetter"/>
      <w:lvlText w:val="(%1)"/>
      <w:lvlJc w:val="left"/>
      <w:pPr>
        <w:ind w:left="720" w:hanging="360"/>
      </w:pPr>
      <w:rPr>
        <w:rFonts w:ascii="Times New Roman" w:hAnsi="Times New Roman" w:cs="Times New Roman"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485338"/>
    <w:multiLevelType w:val="hybridMultilevel"/>
    <w:tmpl w:val="85DE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07521E"/>
    <w:multiLevelType w:val="hybridMultilevel"/>
    <w:tmpl w:val="18282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6B4EBE"/>
    <w:multiLevelType w:val="hybridMultilevel"/>
    <w:tmpl w:val="3670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F20416"/>
    <w:multiLevelType w:val="hybridMultilevel"/>
    <w:tmpl w:val="979CDE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9157E1"/>
    <w:multiLevelType w:val="hybridMultilevel"/>
    <w:tmpl w:val="278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942677"/>
    <w:multiLevelType w:val="hybridMultilevel"/>
    <w:tmpl w:val="A75AB5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09C5EF2"/>
    <w:multiLevelType w:val="hybridMultilevel"/>
    <w:tmpl w:val="56B0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17"/>
  </w:num>
  <w:num w:numId="11">
    <w:abstractNumId w:val="12"/>
  </w:num>
  <w:num w:numId="12">
    <w:abstractNumId w:val="5"/>
  </w:num>
  <w:num w:numId="13">
    <w:abstractNumId w:val="8"/>
  </w:num>
  <w:num w:numId="14">
    <w:abstractNumId w:val="11"/>
  </w:num>
  <w:num w:numId="15">
    <w:abstractNumId w:val="16"/>
  </w:num>
  <w:num w:numId="16">
    <w:abstractNumId w:val="15"/>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23"/>
    <w:rsid w:val="00000F47"/>
    <w:rsid w:val="00003065"/>
    <w:rsid w:val="00007BFD"/>
    <w:rsid w:val="00011B0A"/>
    <w:rsid w:val="000269DE"/>
    <w:rsid w:val="000408CA"/>
    <w:rsid w:val="00043ADC"/>
    <w:rsid w:val="00053F0B"/>
    <w:rsid w:val="00063BDC"/>
    <w:rsid w:val="00070369"/>
    <w:rsid w:val="00070394"/>
    <w:rsid w:val="00072817"/>
    <w:rsid w:val="000836C2"/>
    <w:rsid w:val="00085496"/>
    <w:rsid w:val="00086A16"/>
    <w:rsid w:val="00095D01"/>
    <w:rsid w:val="000A1A18"/>
    <w:rsid w:val="000C170D"/>
    <w:rsid w:val="000D08AA"/>
    <w:rsid w:val="000D09FA"/>
    <w:rsid w:val="000D2D92"/>
    <w:rsid w:val="000E328E"/>
    <w:rsid w:val="000E345B"/>
    <w:rsid w:val="000E3C6B"/>
    <w:rsid w:val="000F20CF"/>
    <w:rsid w:val="000F6CC0"/>
    <w:rsid w:val="00106BAD"/>
    <w:rsid w:val="00111D7A"/>
    <w:rsid w:val="001216AE"/>
    <w:rsid w:val="0012246A"/>
    <w:rsid w:val="0012596F"/>
    <w:rsid w:val="00126673"/>
    <w:rsid w:val="00132ABE"/>
    <w:rsid w:val="00135EA7"/>
    <w:rsid w:val="00144205"/>
    <w:rsid w:val="001502F1"/>
    <w:rsid w:val="001509C9"/>
    <w:rsid w:val="00153232"/>
    <w:rsid w:val="00155B7C"/>
    <w:rsid w:val="0018395A"/>
    <w:rsid w:val="00183EB6"/>
    <w:rsid w:val="00186C8C"/>
    <w:rsid w:val="00187A6C"/>
    <w:rsid w:val="00197A23"/>
    <w:rsid w:val="001B2D90"/>
    <w:rsid w:val="001B422C"/>
    <w:rsid w:val="001C1DB3"/>
    <w:rsid w:val="001D3046"/>
    <w:rsid w:val="001D3B1C"/>
    <w:rsid w:val="001D3D9C"/>
    <w:rsid w:val="001D505A"/>
    <w:rsid w:val="001D706B"/>
    <w:rsid w:val="001D7D3C"/>
    <w:rsid w:val="001E00D2"/>
    <w:rsid w:val="001E2225"/>
    <w:rsid w:val="001E71EC"/>
    <w:rsid w:val="001E7618"/>
    <w:rsid w:val="001F30FC"/>
    <w:rsid w:val="00200401"/>
    <w:rsid w:val="00204408"/>
    <w:rsid w:val="0021143E"/>
    <w:rsid w:val="0021212A"/>
    <w:rsid w:val="0021219A"/>
    <w:rsid w:val="00213AFD"/>
    <w:rsid w:val="00233F57"/>
    <w:rsid w:val="00234E67"/>
    <w:rsid w:val="002403C8"/>
    <w:rsid w:val="00247811"/>
    <w:rsid w:val="00257E33"/>
    <w:rsid w:val="00264048"/>
    <w:rsid w:val="0026542C"/>
    <w:rsid w:val="00267EBC"/>
    <w:rsid w:val="002767C9"/>
    <w:rsid w:val="00284182"/>
    <w:rsid w:val="00284AF8"/>
    <w:rsid w:val="00291353"/>
    <w:rsid w:val="002B0B89"/>
    <w:rsid w:val="002B6F5E"/>
    <w:rsid w:val="002C2F6A"/>
    <w:rsid w:val="002C689A"/>
    <w:rsid w:val="002D3749"/>
    <w:rsid w:val="002D7A12"/>
    <w:rsid w:val="002E2867"/>
    <w:rsid w:val="002E5E7D"/>
    <w:rsid w:val="002F0157"/>
    <w:rsid w:val="002F2DAC"/>
    <w:rsid w:val="002F5035"/>
    <w:rsid w:val="003001E7"/>
    <w:rsid w:val="003258C0"/>
    <w:rsid w:val="00326475"/>
    <w:rsid w:val="00340359"/>
    <w:rsid w:val="0034413A"/>
    <w:rsid w:val="00353DE2"/>
    <w:rsid w:val="00367A5D"/>
    <w:rsid w:val="003707EE"/>
    <w:rsid w:val="00373B0D"/>
    <w:rsid w:val="003830D9"/>
    <w:rsid w:val="0038686D"/>
    <w:rsid w:val="0038713B"/>
    <w:rsid w:val="00397F8A"/>
    <w:rsid w:val="003C1296"/>
    <w:rsid w:val="003C562D"/>
    <w:rsid w:val="003C6CBE"/>
    <w:rsid w:val="003D6738"/>
    <w:rsid w:val="003E700E"/>
    <w:rsid w:val="003F0B12"/>
    <w:rsid w:val="003F782F"/>
    <w:rsid w:val="00404978"/>
    <w:rsid w:val="00405B1C"/>
    <w:rsid w:val="004255BC"/>
    <w:rsid w:val="0042682B"/>
    <w:rsid w:val="0043440F"/>
    <w:rsid w:val="00444BF0"/>
    <w:rsid w:val="004554FF"/>
    <w:rsid w:val="00457868"/>
    <w:rsid w:val="00462257"/>
    <w:rsid w:val="004665D8"/>
    <w:rsid w:val="00477366"/>
    <w:rsid w:val="004864CC"/>
    <w:rsid w:val="00487899"/>
    <w:rsid w:val="00492449"/>
    <w:rsid w:val="004A4A27"/>
    <w:rsid w:val="004B4492"/>
    <w:rsid w:val="004B6989"/>
    <w:rsid w:val="004C10F8"/>
    <w:rsid w:val="004C2EC4"/>
    <w:rsid w:val="004D02C5"/>
    <w:rsid w:val="004D31EB"/>
    <w:rsid w:val="004D5A79"/>
    <w:rsid w:val="004D616D"/>
    <w:rsid w:val="004D7117"/>
    <w:rsid w:val="004E0AEB"/>
    <w:rsid w:val="004E13AF"/>
    <w:rsid w:val="004E1925"/>
    <w:rsid w:val="004E356C"/>
    <w:rsid w:val="004F27CF"/>
    <w:rsid w:val="004F525A"/>
    <w:rsid w:val="004F6333"/>
    <w:rsid w:val="00505F1B"/>
    <w:rsid w:val="00507033"/>
    <w:rsid w:val="00510C0E"/>
    <w:rsid w:val="00545C28"/>
    <w:rsid w:val="00547263"/>
    <w:rsid w:val="00552CA7"/>
    <w:rsid w:val="0056731D"/>
    <w:rsid w:val="00584A8F"/>
    <w:rsid w:val="00592F34"/>
    <w:rsid w:val="005B0F84"/>
    <w:rsid w:val="005B3AB8"/>
    <w:rsid w:val="005B498C"/>
    <w:rsid w:val="005B705D"/>
    <w:rsid w:val="005C7A7C"/>
    <w:rsid w:val="005D646E"/>
    <w:rsid w:val="005E6AF8"/>
    <w:rsid w:val="005F7D01"/>
    <w:rsid w:val="0060613D"/>
    <w:rsid w:val="00606F5A"/>
    <w:rsid w:val="0060742D"/>
    <w:rsid w:val="006128BA"/>
    <w:rsid w:val="00615AEF"/>
    <w:rsid w:val="00616BB5"/>
    <w:rsid w:val="006352A2"/>
    <w:rsid w:val="00646C7A"/>
    <w:rsid w:val="00647788"/>
    <w:rsid w:val="00650BF3"/>
    <w:rsid w:val="00665727"/>
    <w:rsid w:val="00672456"/>
    <w:rsid w:val="00677A36"/>
    <w:rsid w:val="00686723"/>
    <w:rsid w:val="0068743E"/>
    <w:rsid w:val="006A050B"/>
    <w:rsid w:val="006A394F"/>
    <w:rsid w:val="006A3D31"/>
    <w:rsid w:val="006A5169"/>
    <w:rsid w:val="006C1429"/>
    <w:rsid w:val="006C45D2"/>
    <w:rsid w:val="006D5632"/>
    <w:rsid w:val="006D64E8"/>
    <w:rsid w:val="006E1272"/>
    <w:rsid w:val="006E1B5F"/>
    <w:rsid w:val="006E4003"/>
    <w:rsid w:val="0070055F"/>
    <w:rsid w:val="007015F6"/>
    <w:rsid w:val="00703750"/>
    <w:rsid w:val="007236E2"/>
    <w:rsid w:val="0072439F"/>
    <w:rsid w:val="007403DD"/>
    <w:rsid w:val="0074166D"/>
    <w:rsid w:val="00741AEF"/>
    <w:rsid w:val="0074761E"/>
    <w:rsid w:val="007507FB"/>
    <w:rsid w:val="007514F9"/>
    <w:rsid w:val="00757098"/>
    <w:rsid w:val="00764B6F"/>
    <w:rsid w:val="00771C83"/>
    <w:rsid w:val="0077388E"/>
    <w:rsid w:val="00777B17"/>
    <w:rsid w:val="00781FF4"/>
    <w:rsid w:val="00782AA9"/>
    <w:rsid w:val="00786B63"/>
    <w:rsid w:val="007A463E"/>
    <w:rsid w:val="007A6F90"/>
    <w:rsid w:val="007C3BF8"/>
    <w:rsid w:val="007D0A3E"/>
    <w:rsid w:val="007E2743"/>
    <w:rsid w:val="007E6359"/>
    <w:rsid w:val="007F41E4"/>
    <w:rsid w:val="008117CF"/>
    <w:rsid w:val="00816255"/>
    <w:rsid w:val="008204C0"/>
    <w:rsid w:val="00822890"/>
    <w:rsid w:val="008461C0"/>
    <w:rsid w:val="00846656"/>
    <w:rsid w:val="00857706"/>
    <w:rsid w:val="00867F6E"/>
    <w:rsid w:val="00870FFC"/>
    <w:rsid w:val="00872E1D"/>
    <w:rsid w:val="0087747C"/>
    <w:rsid w:val="0088398E"/>
    <w:rsid w:val="00884E3B"/>
    <w:rsid w:val="008A6257"/>
    <w:rsid w:val="008A62E3"/>
    <w:rsid w:val="008B5DBD"/>
    <w:rsid w:val="008D3816"/>
    <w:rsid w:val="008E0176"/>
    <w:rsid w:val="008E3335"/>
    <w:rsid w:val="008E4A5F"/>
    <w:rsid w:val="008F4CC6"/>
    <w:rsid w:val="009056D1"/>
    <w:rsid w:val="00907579"/>
    <w:rsid w:val="00910073"/>
    <w:rsid w:val="0091792E"/>
    <w:rsid w:val="009211A0"/>
    <w:rsid w:val="00921341"/>
    <w:rsid w:val="00922ADE"/>
    <w:rsid w:val="0092635A"/>
    <w:rsid w:val="00932402"/>
    <w:rsid w:val="00955011"/>
    <w:rsid w:val="00957744"/>
    <w:rsid w:val="009701E9"/>
    <w:rsid w:val="00970A4C"/>
    <w:rsid w:val="00976332"/>
    <w:rsid w:val="00980AA8"/>
    <w:rsid w:val="0098213D"/>
    <w:rsid w:val="00983285"/>
    <w:rsid w:val="00997550"/>
    <w:rsid w:val="009D655A"/>
    <w:rsid w:val="009E3475"/>
    <w:rsid w:val="009E4D50"/>
    <w:rsid w:val="009F1036"/>
    <w:rsid w:val="009F210E"/>
    <w:rsid w:val="00A00652"/>
    <w:rsid w:val="00A06B35"/>
    <w:rsid w:val="00A06EE8"/>
    <w:rsid w:val="00A17687"/>
    <w:rsid w:val="00A23744"/>
    <w:rsid w:val="00A26A42"/>
    <w:rsid w:val="00A30827"/>
    <w:rsid w:val="00A352E1"/>
    <w:rsid w:val="00A37017"/>
    <w:rsid w:val="00A63E87"/>
    <w:rsid w:val="00A672A8"/>
    <w:rsid w:val="00A70F6D"/>
    <w:rsid w:val="00A83A91"/>
    <w:rsid w:val="00AD0DF4"/>
    <w:rsid w:val="00AE11B8"/>
    <w:rsid w:val="00AE42A5"/>
    <w:rsid w:val="00B13CBE"/>
    <w:rsid w:val="00B16FD2"/>
    <w:rsid w:val="00B20803"/>
    <w:rsid w:val="00B20CD1"/>
    <w:rsid w:val="00B21A37"/>
    <w:rsid w:val="00B22E51"/>
    <w:rsid w:val="00B2455D"/>
    <w:rsid w:val="00B2743B"/>
    <w:rsid w:val="00B278E9"/>
    <w:rsid w:val="00B34BEB"/>
    <w:rsid w:val="00B366DB"/>
    <w:rsid w:val="00B50B07"/>
    <w:rsid w:val="00B5434E"/>
    <w:rsid w:val="00B63607"/>
    <w:rsid w:val="00B73211"/>
    <w:rsid w:val="00B7328D"/>
    <w:rsid w:val="00B75A8B"/>
    <w:rsid w:val="00B85101"/>
    <w:rsid w:val="00B86EF7"/>
    <w:rsid w:val="00BC5085"/>
    <w:rsid w:val="00BD643A"/>
    <w:rsid w:val="00BF413D"/>
    <w:rsid w:val="00C01FF1"/>
    <w:rsid w:val="00C0760A"/>
    <w:rsid w:val="00C11B21"/>
    <w:rsid w:val="00C161A1"/>
    <w:rsid w:val="00C208CA"/>
    <w:rsid w:val="00C223B4"/>
    <w:rsid w:val="00C25FA1"/>
    <w:rsid w:val="00C30660"/>
    <w:rsid w:val="00C4329D"/>
    <w:rsid w:val="00C466A5"/>
    <w:rsid w:val="00C5285C"/>
    <w:rsid w:val="00C614C0"/>
    <w:rsid w:val="00C62913"/>
    <w:rsid w:val="00C679A1"/>
    <w:rsid w:val="00C74B23"/>
    <w:rsid w:val="00C84036"/>
    <w:rsid w:val="00C95FF9"/>
    <w:rsid w:val="00C97F58"/>
    <w:rsid w:val="00CC05EA"/>
    <w:rsid w:val="00CC201A"/>
    <w:rsid w:val="00CE5D14"/>
    <w:rsid w:val="00CF1FC4"/>
    <w:rsid w:val="00CF2848"/>
    <w:rsid w:val="00CF6AF9"/>
    <w:rsid w:val="00D02242"/>
    <w:rsid w:val="00D079B4"/>
    <w:rsid w:val="00D14049"/>
    <w:rsid w:val="00D3369B"/>
    <w:rsid w:val="00D40CCB"/>
    <w:rsid w:val="00D44074"/>
    <w:rsid w:val="00D574CD"/>
    <w:rsid w:val="00D7372D"/>
    <w:rsid w:val="00D92A40"/>
    <w:rsid w:val="00D92B39"/>
    <w:rsid w:val="00D95999"/>
    <w:rsid w:val="00D9628C"/>
    <w:rsid w:val="00DA0A68"/>
    <w:rsid w:val="00DC706D"/>
    <w:rsid w:val="00DC74D3"/>
    <w:rsid w:val="00DC7EF3"/>
    <w:rsid w:val="00DE0A59"/>
    <w:rsid w:val="00DE0D72"/>
    <w:rsid w:val="00DF3CA9"/>
    <w:rsid w:val="00DF49D8"/>
    <w:rsid w:val="00E00EFF"/>
    <w:rsid w:val="00E1225E"/>
    <w:rsid w:val="00E1430F"/>
    <w:rsid w:val="00E17281"/>
    <w:rsid w:val="00E23F3D"/>
    <w:rsid w:val="00E24BFF"/>
    <w:rsid w:val="00E2674A"/>
    <w:rsid w:val="00E268EE"/>
    <w:rsid w:val="00E32CE9"/>
    <w:rsid w:val="00E36C9E"/>
    <w:rsid w:val="00E448C7"/>
    <w:rsid w:val="00E540AF"/>
    <w:rsid w:val="00E55A7E"/>
    <w:rsid w:val="00E63012"/>
    <w:rsid w:val="00E71019"/>
    <w:rsid w:val="00E82C2C"/>
    <w:rsid w:val="00E83D82"/>
    <w:rsid w:val="00E9096B"/>
    <w:rsid w:val="00E94957"/>
    <w:rsid w:val="00E96618"/>
    <w:rsid w:val="00EA2FDC"/>
    <w:rsid w:val="00EA606D"/>
    <w:rsid w:val="00EB038C"/>
    <w:rsid w:val="00ED0263"/>
    <w:rsid w:val="00ED3926"/>
    <w:rsid w:val="00ED48F3"/>
    <w:rsid w:val="00ED674A"/>
    <w:rsid w:val="00EE08FF"/>
    <w:rsid w:val="00EE5082"/>
    <w:rsid w:val="00EE69E6"/>
    <w:rsid w:val="00EF0C4C"/>
    <w:rsid w:val="00EF496F"/>
    <w:rsid w:val="00EF5EE9"/>
    <w:rsid w:val="00F111CF"/>
    <w:rsid w:val="00F12FD1"/>
    <w:rsid w:val="00F12FD3"/>
    <w:rsid w:val="00F1468C"/>
    <w:rsid w:val="00F2124C"/>
    <w:rsid w:val="00F21D11"/>
    <w:rsid w:val="00F34F34"/>
    <w:rsid w:val="00F37391"/>
    <w:rsid w:val="00F41105"/>
    <w:rsid w:val="00F463FF"/>
    <w:rsid w:val="00F5096E"/>
    <w:rsid w:val="00F6460D"/>
    <w:rsid w:val="00F77F5D"/>
    <w:rsid w:val="00F865EB"/>
    <w:rsid w:val="00F93C2D"/>
    <w:rsid w:val="00FA261A"/>
    <w:rsid w:val="00FA2F99"/>
    <w:rsid w:val="00FA41B6"/>
    <w:rsid w:val="00FA4EF5"/>
    <w:rsid w:val="00FA6D19"/>
    <w:rsid w:val="00FC30EE"/>
    <w:rsid w:val="00FC3D42"/>
    <w:rsid w:val="00FC7C2B"/>
    <w:rsid w:val="00FD005A"/>
    <w:rsid w:val="00FE1C5B"/>
    <w:rsid w:val="00FE4249"/>
    <w:rsid w:val="00FF1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6D38404"/>
  <w15:chartTrackingRefBased/>
  <w15:docId w15:val="{BA323D52-E9A2-4FCC-8C13-FA0DB264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A23"/>
    <w:pPr>
      <w:spacing w:after="200" w:line="276" w:lineRule="auto"/>
    </w:pPr>
    <w:rPr>
      <w:rFonts w:asciiTheme="minorHAnsi" w:eastAsiaTheme="minorEastAsia" w:hAnsiTheme="minorHAnsi" w:cstheme="minorBidi"/>
      <w:lang w:eastAsia="en-AU"/>
    </w:rPr>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
      </w:numPr>
      <w:tabs>
        <w:tab w:val="left" w:pos="1935"/>
      </w:tabs>
      <w:spacing w:before="120" w:line="240" w:lineRule="auto"/>
    </w:pPr>
    <w:rPr>
      <w:sz w:val="24"/>
    </w:rPr>
  </w:style>
  <w:style w:type="character" w:customStyle="1" w:styleId="BulletChar">
    <w:name w:val="Bullet Char"/>
    <w:link w:val="Bullet"/>
    <w:rsid w:val="006E4003"/>
    <w:rPr>
      <w:rFonts w:asciiTheme="minorHAnsi" w:eastAsiaTheme="minorEastAsia" w:hAnsiTheme="minorHAnsi" w:cstheme="minorBidi"/>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aliases w:val="Char, Char"/>
    <w:basedOn w:val="Normal"/>
    <w:link w:val="FootnoteTextChar"/>
    <w:uiPriority w:val="99"/>
    <w:unhideWhenUsed/>
    <w:rsid w:val="006E4003"/>
    <w:pPr>
      <w:spacing w:line="240" w:lineRule="auto"/>
    </w:pPr>
    <w:rPr>
      <w:sz w:val="18"/>
    </w:rPr>
  </w:style>
  <w:style w:type="character" w:customStyle="1" w:styleId="FootnoteTextChar">
    <w:name w:val="Footnote Text Char"/>
    <w:aliases w:val="Char Char, Char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qFormat/>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8"/>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9"/>
      </w:numPr>
      <w:contextualSpacing w:val="0"/>
    </w:pPr>
  </w:style>
  <w:style w:type="paragraph" w:styleId="ListNumber2">
    <w:name w:val="List Number 2"/>
    <w:basedOn w:val="Normal"/>
    <w:uiPriority w:val="99"/>
    <w:unhideWhenUsed/>
    <w:rsid w:val="0026542C"/>
    <w:pPr>
      <w:numPr>
        <w:numId w:val="3"/>
      </w:numPr>
      <w:contextualSpacing/>
    </w:pPr>
  </w:style>
  <w:style w:type="paragraph" w:styleId="ListNumber3">
    <w:name w:val="List Number 3"/>
    <w:basedOn w:val="Normal"/>
    <w:link w:val="ListNumber3Char"/>
    <w:uiPriority w:val="99"/>
    <w:unhideWhenUsed/>
    <w:rsid w:val="0026542C"/>
    <w:pPr>
      <w:numPr>
        <w:numId w:val="4"/>
      </w:numPr>
      <w:contextualSpacing/>
    </w:pPr>
  </w:style>
  <w:style w:type="paragraph" w:styleId="ListNumber4">
    <w:name w:val="List Number 4"/>
    <w:basedOn w:val="Normal"/>
    <w:uiPriority w:val="99"/>
    <w:semiHidden/>
    <w:unhideWhenUsed/>
    <w:rsid w:val="0026542C"/>
    <w:pPr>
      <w:numPr>
        <w:numId w:val="5"/>
      </w:numPr>
      <w:contextualSpacing/>
    </w:pPr>
  </w:style>
  <w:style w:type="paragraph" w:styleId="ListNumber5">
    <w:name w:val="List Number 5"/>
    <w:basedOn w:val="Normal"/>
    <w:uiPriority w:val="99"/>
    <w:semiHidden/>
    <w:unhideWhenUsed/>
    <w:rsid w:val="0026542C"/>
    <w:pPr>
      <w:numPr>
        <w:numId w:val="6"/>
      </w:numPr>
      <w:contextualSpacing/>
    </w:pPr>
  </w:style>
  <w:style w:type="paragraph" w:styleId="ListNumber">
    <w:name w:val="List Number"/>
    <w:basedOn w:val="Normal"/>
    <w:uiPriority w:val="99"/>
    <w:unhideWhenUsed/>
    <w:rsid w:val="0026542C"/>
    <w:pPr>
      <w:numPr>
        <w:numId w:val="2"/>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7"/>
      </w:numPr>
    </w:pPr>
  </w:style>
  <w:style w:type="character" w:customStyle="1" w:styleId="ListNumber3Char">
    <w:name w:val="List Number 3 Char"/>
    <w:basedOn w:val="DefaultParagraphFont"/>
    <w:link w:val="ListNumber3"/>
    <w:uiPriority w:val="99"/>
    <w:rsid w:val="00373B0D"/>
    <w:rPr>
      <w:rFonts w:asciiTheme="minorHAnsi" w:eastAsiaTheme="minorEastAsia" w:hAnsiTheme="minorHAnsi" w:cstheme="minorBidi"/>
      <w:lang w:eastAsia="en-AU"/>
    </w:rPr>
  </w:style>
  <w:style w:type="character" w:customStyle="1" w:styleId="NumberedListChar">
    <w:name w:val="Numbered List Char"/>
    <w:basedOn w:val="ListNumber3Char"/>
    <w:link w:val="NumberedList"/>
    <w:rsid w:val="00373B0D"/>
    <w:rPr>
      <w:rFonts w:asciiTheme="minorHAnsi" w:eastAsiaTheme="minorEastAsia" w:hAnsiTheme="minorHAnsi" w:cstheme="minorBidi"/>
      <w:lang w:eastAsia="en-AU"/>
    </w:rPr>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b/>
      <w:sz w:val="20"/>
    </w:rPr>
  </w:style>
  <w:style w:type="paragraph" w:customStyle="1" w:styleId="TableRowHeading">
    <w:name w:val="Table Row Heading"/>
    <w:basedOn w:val="Normal"/>
    <w:rsid w:val="00677A36"/>
    <w:pPr>
      <w:keepNext/>
      <w:widowControl w:val="0"/>
      <w:spacing w:before="120" w:line="240" w:lineRule="auto"/>
    </w:pPr>
    <w:rPr>
      <w:b/>
      <w:i/>
      <w:sz w:val="20"/>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CommentText">
    <w:name w:val="annotation text"/>
    <w:basedOn w:val="Normal"/>
    <w:link w:val="CommentTextChar"/>
    <w:uiPriority w:val="99"/>
    <w:semiHidden/>
    <w:unhideWhenUsed/>
    <w:rsid w:val="00197A23"/>
    <w:pPr>
      <w:spacing w:line="240" w:lineRule="auto"/>
    </w:pPr>
    <w:rPr>
      <w:sz w:val="20"/>
      <w:szCs w:val="20"/>
    </w:rPr>
  </w:style>
  <w:style w:type="character" w:customStyle="1" w:styleId="CommentTextChar">
    <w:name w:val="Comment Text Char"/>
    <w:basedOn w:val="DefaultParagraphFont"/>
    <w:link w:val="CommentText"/>
    <w:uiPriority w:val="99"/>
    <w:semiHidden/>
    <w:rsid w:val="00197A23"/>
    <w:rPr>
      <w:rFonts w:asciiTheme="minorHAnsi" w:eastAsiaTheme="minorEastAsia" w:hAnsiTheme="minorHAnsi" w:cstheme="minorBidi"/>
      <w:sz w:val="20"/>
      <w:szCs w:val="20"/>
      <w:lang w:eastAsia="en-AU"/>
    </w:rPr>
  </w:style>
  <w:style w:type="paragraph" w:customStyle="1" w:styleId="Default">
    <w:name w:val="Default"/>
    <w:rsid w:val="00197A23"/>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7A23"/>
    <w:rPr>
      <w:sz w:val="16"/>
      <w:szCs w:val="16"/>
    </w:rPr>
  </w:style>
  <w:style w:type="paragraph" w:styleId="CommentSubject">
    <w:name w:val="annotation subject"/>
    <w:basedOn w:val="CommentText"/>
    <w:next w:val="CommentText"/>
    <w:link w:val="CommentSubjectChar"/>
    <w:uiPriority w:val="99"/>
    <w:semiHidden/>
    <w:unhideWhenUsed/>
    <w:rsid w:val="00187A6C"/>
    <w:rPr>
      <w:b/>
      <w:bCs/>
    </w:rPr>
  </w:style>
  <w:style w:type="character" w:customStyle="1" w:styleId="CommentSubjectChar">
    <w:name w:val="Comment Subject Char"/>
    <w:basedOn w:val="CommentTextChar"/>
    <w:link w:val="CommentSubject"/>
    <w:uiPriority w:val="99"/>
    <w:semiHidden/>
    <w:rsid w:val="00187A6C"/>
    <w:rPr>
      <w:rFonts w:asciiTheme="minorHAnsi" w:eastAsiaTheme="minorEastAsia" w:hAnsiTheme="minorHAnsi" w:cstheme="minorBidi"/>
      <w:b/>
      <w:bCs/>
      <w:sz w:val="20"/>
      <w:szCs w:val="20"/>
      <w:lang w:eastAsia="en-AU"/>
    </w:rPr>
  </w:style>
  <w:style w:type="character" w:customStyle="1" w:styleId="file3">
    <w:name w:val="file3"/>
    <w:basedOn w:val="DefaultParagraphFont"/>
    <w:rsid w:val="00F21D11"/>
    <w:rPr>
      <w:vanish w:val="0"/>
      <w:webHidden w:val="0"/>
      <w:specVanish w:val="0"/>
    </w:rPr>
  </w:style>
  <w:style w:type="paragraph" w:customStyle="1" w:styleId="APRANORMAL">
    <w:name w:val="APRA NORMAL"/>
    <w:basedOn w:val="Normal"/>
    <w:link w:val="APRANORMALChar"/>
    <w:qFormat/>
    <w:rsid w:val="00186C8C"/>
    <w:pPr>
      <w:spacing w:after="240" w:line="240" w:lineRule="auto"/>
    </w:pPr>
    <w:rPr>
      <w:rFonts w:ascii="DIN OT Light" w:eastAsiaTheme="minorHAnsi" w:hAnsi="DIN OT Light" w:cs="Times New Roman"/>
      <w:lang w:val="en-GB" w:eastAsia="en-US"/>
    </w:rPr>
  </w:style>
  <w:style w:type="character" w:customStyle="1" w:styleId="APRANORMALChar">
    <w:name w:val="APRA NORMAL Char"/>
    <w:basedOn w:val="DefaultParagraphFont"/>
    <w:link w:val="APRANORMAL"/>
    <w:rsid w:val="00186C8C"/>
    <w:rPr>
      <w:rFonts w:ascii="DIN OT Light" w:hAnsi="DIN OT Light"/>
      <w:lang w:val="en-GB"/>
    </w:rPr>
  </w:style>
  <w:style w:type="table" w:customStyle="1" w:styleId="TableGrid1">
    <w:name w:val="Table Grid1"/>
    <w:basedOn w:val="TableNormal"/>
    <w:next w:val="TableGrid"/>
    <w:uiPriority w:val="59"/>
    <w:rsid w:val="00B7328D"/>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3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rsid w:val="00976332"/>
    <w:pPr>
      <w:spacing w:after="0" w:line="240" w:lineRule="auto"/>
      <w:jc w:val="both"/>
    </w:pPr>
    <w:rPr>
      <w:rFonts w:ascii="Trebuchet MS" w:eastAsia="Times New Roman" w:hAnsi="Trebuchet MS" w:cs="Times New Roman"/>
      <w:b/>
      <w:sz w:val="26"/>
    </w:rPr>
  </w:style>
  <w:style w:type="character" w:styleId="UnresolvedMention">
    <w:name w:val="Unresolved Mention"/>
    <w:basedOn w:val="DefaultParagraphFont"/>
    <w:uiPriority w:val="99"/>
    <w:semiHidden/>
    <w:unhideWhenUsed/>
    <w:rsid w:val="00E94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74072">
      <w:bodyDiv w:val="1"/>
      <w:marLeft w:val="0"/>
      <w:marRight w:val="0"/>
      <w:marTop w:val="0"/>
      <w:marBottom w:val="0"/>
      <w:divBdr>
        <w:top w:val="none" w:sz="0" w:space="0" w:color="auto"/>
        <w:left w:val="none" w:sz="0" w:space="0" w:color="auto"/>
        <w:bottom w:val="none" w:sz="0" w:space="0" w:color="auto"/>
        <w:right w:val="none" w:sz="0" w:space="0" w:color="auto"/>
      </w:divBdr>
    </w:div>
    <w:div w:id="584613491">
      <w:bodyDiv w:val="1"/>
      <w:marLeft w:val="0"/>
      <w:marRight w:val="0"/>
      <w:marTop w:val="0"/>
      <w:marBottom w:val="0"/>
      <w:divBdr>
        <w:top w:val="none" w:sz="0" w:space="0" w:color="auto"/>
        <w:left w:val="none" w:sz="0" w:space="0" w:color="auto"/>
        <w:bottom w:val="none" w:sz="0" w:space="0" w:color="auto"/>
        <w:right w:val="none" w:sz="0" w:space="0" w:color="auto"/>
      </w:divBdr>
    </w:div>
    <w:div w:id="618730242">
      <w:bodyDiv w:val="1"/>
      <w:marLeft w:val="0"/>
      <w:marRight w:val="0"/>
      <w:marTop w:val="0"/>
      <w:marBottom w:val="0"/>
      <w:divBdr>
        <w:top w:val="none" w:sz="0" w:space="0" w:color="auto"/>
        <w:left w:val="none" w:sz="0" w:space="0" w:color="auto"/>
        <w:bottom w:val="none" w:sz="0" w:space="0" w:color="auto"/>
        <w:right w:val="none" w:sz="0" w:space="0" w:color="auto"/>
      </w:divBdr>
    </w:div>
    <w:div w:id="702285914">
      <w:bodyDiv w:val="1"/>
      <w:marLeft w:val="0"/>
      <w:marRight w:val="0"/>
      <w:marTop w:val="0"/>
      <w:marBottom w:val="0"/>
      <w:divBdr>
        <w:top w:val="none" w:sz="0" w:space="0" w:color="auto"/>
        <w:left w:val="none" w:sz="0" w:space="0" w:color="auto"/>
        <w:bottom w:val="none" w:sz="0" w:space="0" w:color="auto"/>
        <w:right w:val="none" w:sz="0" w:space="0" w:color="auto"/>
      </w:divBdr>
    </w:div>
    <w:div w:id="951935146">
      <w:bodyDiv w:val="1"/>
      <w:marLeft w:val="0"/>
      <w:marRight w:val="0"/>
      <w:marTop w:val="0"/>
      <w:marBottom w:val="0"/>
      <w:divBdr>
        <w:top w:val="none" w:sz="0" w:space="0" w:color="auto"/>
        <w:left w:val="none" w:sz="0" w:space="0" w:color="auto"/>
        <w:bottom w:val="none" w:sz="0" w:space="0" w:color="auto"/>
        <w:right w:val="none" w:sz="0" w:space="0" w:color="auto"/>
      </w:divBdr>
    </w:div>
    <w:div w:id="20936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sb.org/2015/11/total-loss-absorbing-capacity-tlac-principles-and-term-shee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revisions-to-prudential-standard-aps-111-capital-adequacy-measurement-of-capital" TargetMode="External"/><Relationship Id="rId2" Type="http://schemas.openxmlformats.org/officeDocument/2006/relationships/hyperlink" Target="https://www.apra.gov.au/discussion-paper-revisions-to-aps-111-capital-adequacy-measurement-of-capital" TargetMode="External"/><Relationship Id="rId1" Type="http://schemas.openxmlformats.org/officeDocument/2006/relationships/hyperlink" Target="https://www.apra.gov.au/measurement-of-capital-frequently-asked-questions" TargetMode="External"/><Relationship Id="rId4" Type="http://schemas.openxmlformats.org/officeDocument/2006/relationships/hyperlink" Target="https://www.apra.gov.au/revisions-to-prudential-standard-aps-111-capital-adequacy-measurement-of-capital"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(prudential standard) determination No. 3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5JENXJJSCC7A-445999044-11563</_dlc_DocId>
    <_dlc_DocIdUrl xmlns="814d62cb-2db6-4c25-ab62-b9075facbc11">
      <Url>https://im/teams/LEGAL/_layouts/15/DocIdRedir.aspx?ID=5JENXJJSCC7A-445999044-11563</Url>
      <Description>5JENXJJSCC7A-445999044-11563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81DA-AF8E-4C2A-A370-23023AE3BE2D}">
  <ds:schemaRefs>
    <ds:schemaRef ds:uri="Microsoft.SharePoint.Taxonomy.ContentTypeSync"/>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A53689CC-1C5F-4B67-A459-50703C30913E}">
  <ds:schemaRefs>
    <ds:schemaRef ds:uri="http://schemas.microsoft.com/sharepoint/events"/>
  </ds:schemaRefs>
</ds:datastoreItem>
</file>

<file path=customXml/itemProps4.xml><?xml version="1.0" encoding="utf-8"?>
<ds:datastoreItem xmlns:ds="http://schemas.openxmlformats.org/officeDocument/2006/customXml" ds:itemID="{99754FC6-DBE0-4266-8CE5-4345E3CC2952}">
  <ds:schemaRefs>
    <ds:schemaRef ds:uri="http://schemas.microsoft.com/sharepoint/v3/contenttype/forms"/>
  </ds:schemaRefs>
</ds:datastoreItem>
</file>

<file path=customXml/itemProps5.xml><?xml version="1.0" encoding="utf-8"?>
<ds:datastoreItem xmlns:ds="http://schemas.openxmlformats.org/officeDocument/2006/customXml" ds:itemID="{01AA6352-3106-40B5-B7EF-36EB35FDFB23}">
  <ds:schemaRefs>
    <ds:schemaRef ds:uri="http://schemas.microsoft.com/office/2006/documentManagement/types"/>
    <ds:schemaRef ds:uri="http://schemas.microsoft.com/office/2006/metadata/properties"/>
    <ds:schemaRef ds:uri="814d62cb-2db6-4c25-ab62-b9075facbc11"/>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A62F5360-3AF5-4B9B-A76A-F6ED5BF7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1623D0-4B9F-4CA0-B460-A850D558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9593</Characters>
  <Application>Microsoft Office Word</Application>
  <DocSecurity>0</DocSecurity>
  <Lines>157</Lines>
  <Paragraphs>70</Paragraphs>
  <ScaleCrop>false</ScaleCrop>
  <HeadingPairs>
    <vt:vector size="2" baseType="variant">
      <vt:variant>
        <vt:lpstr>Title</vt:lpstr>
      </vt:variant>
      <vt:variant>
        <vt:i4>1</vt:i4>
      </vt:variant>
    </vt:vector>
  </HeadingPairs>
  <TitlesOfParts>
    <vt:vector size="1" baseType="lpstr">
      <vt:lpstr>APS 111 reforms</vt:lpstr>
    </vt:vector>
  </TitlesOfParts>
  <Company>APRA</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3 of 2021</dc:title>
  <dc:subject/>
  <dc:creator>Riley, Paul</dc:creator>
  <cp:keywords>[SEC=OFFICIAL]</cp:keywords>
  <dc:description/>
  <cp:lastModifiedBy>Michalis, Toni</cp:lastModifiedBy>
  <cp:revision>2</cp:revision>
  <cp:lastPrinted>2019-12-11T22:05:00Z</cp:lastPrinted>
  <dcterms:created xsi:type="dcterms:W3CDTF">2021-09-16T05:19:00Z</dcterms:created>
  <dcterms:modified xsi:type="dcterms:W3CDTF">2021-09-16T05:19:00Z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DC9BD2A0AE5FBC45AAAF2E84DD2B4238E439D8D4</vt:lpwstr>
  </property>
  <property fmtid="{D5CDD505-2E9C-101B-9397-08002B2CF9AE}" pid="7" name="PM_InsertionValue">
    <vt:lpwstr>OFFICIAL</vt:lpwstr>
  </property>
  <property fmtid="{D5CDD505-2E9C-101B-9397-08002B2CF9AE}" pid="8" name="PM_Hash_Salt">
    <vt:lpwstr>995C00774A55A0650058759FA0DD0D5E</vt:lpwstr>
  </property>
  <property fmtid="{D5CDD505-2E9C-101B-9397-08002B2CF9AE}" pid="9" name="PM_Hash_Version">
    <vt:lpwstr>2018.0</vt:lpwstr>
  </property>
  <property fmtid="{D5CDD505-2E9C-101B-9397-08002B2CF9AE}" pid="10" name="PM_Hash_Salt_Prev">
    <vt:lpwstr>BD602AF676986FCA6E2B3088759A75F8</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ContentTypeId">
    <vt:lpwstr>0x0101008CA7A4F8331B45C7B0D3158B4994D0CA0200577EC0F5A1FBFC498F9A8436B963F8A6</vt:lpwstr>
  </property>
  <property fmtid="{D5CDD505-2E9C-101B-9397-08002B2CF9AE}" pid="15" name="APRAPeriod">
    <vt:lpwstr/>
  </property>
  <property fmtid="{D5CDD505-2E9C-101B-9397-08002B2CF9AE}" pid="16" name="APRAPRSG">
    <vt:lpwstr/>
  </property>
  <property fmtid="{D5CDD505-2E9C-101B-9397-08002B2CF9AE}" pid="17" name="APRAActivity">
    <vt:lpwstr>10;#Registration|390476ce-d76d-4e8d-905f-28e32d2df127;#109;#Statutory instrument|fe68928c-5a9c-4caf-bc8c-6c18cedcb17f</vt:lpwstr>
  </property>
  <property fmtid="{D5CDD505-2E9C-101B-9397-08002B2CF9AE}" pid="18" name="APRAYear">
    <vt:lpwstr>230;#2021|0e1e43df-81ea-47af-89d8-970d5d5956ff</vt:lpwstr>
  </property>
  <property fmtid="{D5CDD505-2E9C-101B-9397-08002B2CF9AE}" pid="19" name="APRAIndustry">
    <vt:lpwstr/>
  </property>
  <property fmtid="{D5CDD505-2E9C-101B-9397-08002B2CF9AE}" pid="20" name="_dlc_DocIdItemGuid">
    <vt:lpwstr>6817b14b-5804-42cb-82d7-626869d773da</vt:lpwstr>
  </property>
  <property fmtid="{D5CDD505-2E9C-101B-9397-08002B2CF9AE}" pid="21" name="RecordPoint_WorkflowType">
    <vt:lpwstr>ActiveSubmitStub</vt:lpwstr>
  </property>
  <property fmtid="{D5CDD505-2E9C-101B-9397-08002B2CF9AE}" pid="22" name="RecordPoint_ActiveItemWebId">
    <vt:lpwstr>{75a71c27-8d66-4282-ae60-1bfc22a83be1}</vt:lpwstr>
  </property>
  <property fmtid="{D5CDD505-2E9C-101B-9397-08002B2CF9AE}" pid="23" name="RecordPoint_ActiveItemSiteId">
    <vt:lpwstr>{88691c01-5bbb-4215-adc0-66cb7065b0af}</vt:lpwstr>
  </property>
  <property fmtid="{D5CDD505-2E9C-101B-9397-08002B2CF9AE}" pid="24" name="RecordPoint_ActiveItemListId">
    <vt:lpwstr>{0e59e171-09d8-4401-800a-327154450cb3}</vt:lpwstr>
  </property>
  <property fmtid="{D5CDD505-2E9C-101B-9397-08002B2CF9AE}" pid="25" name="RecordPoint_ActiveItemUniqueId">
    <vt:lpwstr>{6817b14b-5804-42cb-82d7-626869d773da}</vt:lpwstr>
  </property>
  <property fmtid="{D5CDD505-2E9C-101B-9397-08002B2CF9AE}" pid="26" name="IsLocked">
    <vt:lpwstr>False</vt:lpwstr>
  </property>
  <property fmtid="{D5CDD505-2E9C-101B-9397-08002B2CF9AE}" pid="27"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EntityAdviceSupport">
    <vt:lpwstr/>
  </property>
  <property fmtid="{D5CDD505-2E9C-101B-9397-08002B2CF9AE}" pid="33" name="APRALegislation">
    <vt:lpwstr/>
  </property>
  <property fmtid="{D5CDD505-2E9C-101B-9397-08002B2CF9AE}" pid="34" name="APRAExternalOrganisation">
    <vt:lpwstr/>
  </property>
  <property fmtid="{D5CDD505-2E9C-101B-9397-08002B2CF9AE}" pid="35" name="APRAIRTR">
    <vt:lpwstr/>
  </property>
  <property fmtid="{D5CDD505-2E9C-101B-9397-08002B2CF9AE}" pid="36" name="RecordPoint_SubmissionCompleted">
    <vt:lpwstr/>
  </property>
  <property fmtid="{D5CDD505-2E9C-101B-9397-08002B2CF9AE}" pid="37" name="RecordPoint_RecordNumberSubmitted">
    <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y fmtid="{D5CDD505-2E9C-101B-9397-08002B2CF9AE}" pid="41" name="_docset_NoMedatataSyncRequired">
    <vt:lpwstr>False</vt:lpwstr>
  </property>
  <property fmtid="{D5CDD505-2E9C-101B-9397-08002B2CF9AE}" pid="42" name="PM_OriginationTimeStamp">
    <vt:lpwstr>2021-09-16T05:19:11Z</vt:lpwstr>
  </property>
  <property fmtid="{D5CDD505-2E9C-101B-9397-08002B2CF9AE}" pid="43" name="PM_ProtectiveMarkingValue_Header">
    <vt:lpwstr>OFFICIAL</vt:lpwstr>
  </property>
  <property fmtid="{D5CDD505-2E9C-101B-9397-08002B2CF9AE}" pid="44" name="PM_Originating_FileId">
    <vt:lpwstr>4451D0D830E24AA59738A77E8D34CD91</vt:lpwstr>
  </property>
  <property fmtid="{D5CDD505-2E9C-101B-9397-08002B2CF9AE}" pid="45" name="PM_ProtectiveMarkingValue_Footer">
    <vt:lpwstr>OFFICIAL</vt:lpwstr>
  </property>
  <property fmtid="{D5CDD505-2E9C-101B-9397-08002B2CF9AE}" pid="46" name="PM_ProtectiveMarkingImage_Header">
    <vt:lpwstr>C:\Program Files\Common Files\janusNET Shared\janusSEAL\Images\DocumentSlashBlue.png</vt:lpwstr>
  </property>
  <property fmtid="{D5CDD505-2E9C-101B-9397-08002B2CF9AE}" pid="47" name="PM_ProtectiveMarkingImage_Footer">
    <vt:lpwstr>C:\Program Files\Common Files\janusNET Shared\janusSEAL\Images\DocumentSlashBlue.png</vt:lpwstr>
  </property>
  <property fmtid="{D5CDD505-2E9C-101B-9397-08002B2CF9AE}" pid="48" name="PM_Namespace">
    <vt:lpwstr>gov.au</vt:lpwstr>
  </property>
  <property fmtid="{D5CDD505-2E9C-101B-9397-08002B2CF9AE}" pid="49" name="PM_Version">
    <vt:lpwstr>2018.3</vt:lpwstr>
  </property>
  <property fmtid="{D5CDD505-2E9C-101B-9397-08002B2CF9AE}" pid="50" name="PM_Note">
    <vt:lpwstr/>
  </property>
  <property fmtid="{D5CDD505-2E9C-101B-9397-08002B2CF9AE}" pid="51" name="PM_Markers">
    <vt:lpwstr/>
  </property>
</Properties>
</file>