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4310F" w14:textId="77777777" w:rsidR="00715914" w:rsidRPr="008E78A2" w:rsidRDefault="00DA186E" w:rsidP="00715914">
      <w:pPr>
        <w:rPr>
          <w:sz w:val="28"/>
        </w:rPr>
      </w:pPr>
      <w:r w:rsidRPr="008E78A2">
        <w:rPr>
          <w:noProof/>
          <w:lang w:eastAsia="en-AU"/>
        </w:rPr>
        <w:drawing>
          <wp:inline distT="0" distB="0" distL="0" distR="0" wp14:anchorId="1274C5DF" wp14:editId="24D7A5E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73AC70C" w14:textId="77777777" w:rsidR="00715914" w:rsidRPr="008E78A2" w:rsidRDefault="00715914" w:rsidP="00715914">
      <w:pPr>
        <w:rPr>
          <w:sz w:val="19"/>
        </w:rPr>
      </w:pPr>
    </w:p>
    <w:p w14:paraId="74F2CC7C" w14:textId="603FB982" w:rsidR="00554826" w:rsidRPr="008E78A2" w:rsidRDefault="00FE03BF" w:rsidP="00554826">
      <w:pPr>
        <w:pStyle w:val="ShortT"/>
      </w:pPr>
      <w:r w:rsidRPr="008E78A2">
        <w:t>Education Services for Overseas Students</w:t>
      </w:r>
      <w:r w:rsidR="00554826" w:rsidRPr="008E78A2">
        <w:t xml:space="preserve"> (</w:t>
      </w:r>
      <w:r w:rsidRPr="008E78A2">
        <w:t>Foundation Program Standards</w:t>
      </w:r>
      <w:r w:rsidR="00554826" w:rsidRPr="008E78A2">
        <w:t xml:space="preserve">) </w:t>
      </w:r>
      <w:r w:rsidRPr="008E78A2">
        <w:t>Instrument</w:t>
      </w:r>
      <w:r w:rsidR="002E037D" w:rsidRPr="008E78A2">
        <w:t> </w:t>
      </w:r>
      <w:r w:rsidRPr="008E78A2">
        <w:t>2021</w:t>
      </w:r>
    </w:p>
    <w:p w14:paraId="169D4ACC" w14:textId="77777777" w:rsidR="00FE03BF" w:rsidRPr="008E78A2" w:rsidRDefault="00554826" w:rsidP="00FE03BF">
      <w:pPr>
        <w:pStyle w:val="SignCoverPageStart"/>
        <w:spacing w:before="240"/>
        <w:ind w:right="91"/>
        <w:rPr>
          <w:szCs w:val="22"/>
        </w:rPr>
      </w:pPr>
      <w:r w:rsidRPr="008E78A2">
        <w:rPr>
          <w:szCs w:val="22"/>
        </w:rPr>
        <w:t xml:space="preserve">I, </w:t>
      </w:r>
      <w:r w:rsidR="00FE03BF" w:rsidRPr="008E78A2">
        <w:rPr>
          <w:szCs w:val="22"/>
        </w:rPr>
        <w:t>Alan Tudge, Minister for Education and Youth, make the following instrument.</w:t>
      </w:r>
    </w:p>
    <w:p w14:paraId="2B4B2D0E" w14:textId="3002C47B" w:rsidR="00FE03BF" w:rsidRPr="008E78A2" w:rsidRDefault="00FE03BF" w:rsidP="00FE03BF">
      <w:pPr>
        <w:keepNext/>
        <w:spacing w:before="300" w:line="240" w:lineRule="atLeast"/>
        <w:ind w:right="397"/>
        <w:jc w:val="both"/>
        <w:rPr>
          <w:szCs w:val="22"/>
        </w:rPr>
      </w:pPr>
      <w:r w:rsidRPr="008E78A2">
        <w:rPr>
          <w:szCs w:val="22"/>
        </w:rPr>
        <w:t>Dated</w:t>
      </w:r>
      <w:r w:rsidRPr="008E78A2">
        <w:rPr>
          <w:szCs w:val="22"/>
        </w:rPr>
        <w:tab/>
      </w:r>
      <w:r w:rsidR="008E78A2" w:rsidRPr="008E78A2">
        <w:rPr>
          <w:szCs w:val="22"/>
        </w:rPr>
        <w:t>14 September 2021</w:t>
      </w:r>
      <w:r w:rsidRPr="008E78A2">
        <w:rPr>
          <w:szCs w:val="22"/>
        </w:rPr>
        <w:tab/>
      </w:r>
      <w:r w:rsidRPr="008E78A2">
        <w:rPr>
          <w:szCs w:val="22"/>
        </w:rPr>
        <w:tab/>
      </w:r>
      <w:r w:rsidRPr="008E78A2">
        <w:rPr>
          <w:szCs w:val="22"/>
        </w:rPr>
        <w:tab/>
      </w:r>
    </w:p>
    <w:p w14:paraId="7E0C4DB8" w14:textId="4F0EA9D0" w:rsidR="00FE03BF" w:rsidRPr="008E78A2" w:rsidRDefault="00FE03BF" w:rsidP="00FE03BF">
      <w:pPr>
        <w:keepNext/>
        <w:tabs>
          <w:tab w:val="left" w:pos="3402"/>
        </w:tabs>
        <w:spacing w:before="1440" w:line="300" w:lineRule="atLeast"/>
        <w:ind w:right="397"/>
        <w:rPr>
          <w:b/>
          <w:szCs w:val="22"/>
        </w:rPr>
      </w:pPr>
      <w:r w:rsidRPr="008E78A2">
        <w:rPr>
          <w:szCs w:val="22"/>
        </w:rPr>
        <w:t xml:space="preserve">Alan Tudge </w:t>
      </w:r>
    </w:p>
    <w:p w14:paraId="7F72829F" w14:textId="078F3D65" w:rsidR="00554826" w:rsidRPr="008E78A2" w:rsidRDefault="00FE03BF" w:rsidP="00FE03BF">
      <w:pPr>
        <w:pStyle w:val="SignCoverPageEnd"/>
        <w:ind w:right="91"/>
        <w:rPr>
          <w:sz w:val="22"/>
        </w:rPr>
      </w:pPr>
      <w:r w:rsidRPr="008E78A2">
        <w:rPr>
          <w:sz w:val="22"/>
        </w:rPr>
        <w:t xml:space="preserve">Minister for Education and Youth </w:t>
      </w:r>
    </w:p>
    <w:p w14:paraId="670A14EE" w14:textId="77777777" w:rsidR="00554826" w:rsidRPr="008E78A2" w:rsidRDefault="00554826" w:rsidP="00554826"/>
    <w:p w14:paraId="08D1E261" w14:textId="77777777" w:rsidR="00F6696E" w:rsidRPr="008E78A2" w:rsidRDefault="00F6696E" w:rsidP="00F6696E"/>
    <w:p w14:paraId="76E656A3" w14:textId="77777777" w:rsidR="00F6696E" w:rsidRPr="008E78A2" w:rsidRDefault="00F6696E" w:rsidP="00F6696E">
      <w:pPr>
        <w:sectPr w:rsidR="00F6696E" w:rsidRPr="008E78A2"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7D969C47" w14:textId="77777777" w:rsidR="007500C8" w:rsidRPr="008E78A2" w:rsidRDefault="00715914" w:rsidP="00715914">
      <w:pPr>
        <w:outlineLvl w:val="0"/>
        <w:rPr>
          <w:sz w:val="36"/>
        </w:rPr>
      </w:pPr>
      <w:r w:rsidRPr="008E78A2">
        <w:rPr>
          <w:sz w:val="36"/>
        </w:rPr>
        <w:lastRenderedPageBreak/>
        <w:t>Contents</w:t>
      </w:r>
    </w:p>
    <w:p w14:paraId="17A73DBD" w14:textId="432E6C20" w:rsidR="004C6C0E" w:rsidRPr="008E78A2" w:rsidRDefault="00B418CB">
      <w:pPr>
        <w:pStyle w:val="TOC2"/>
        <w:rPr>
          <w:rFonts w:asciiTheme="minorHAnsi" w:eastAsiaTheme="minorEastAsia" w:hAnsiTheme="minorHAnsi" w:cstheme="minorBidi"/>
          <w:b w:val="0"/>
          <w:noProof/>
          <w:kern w:val="0"/>
          <w:sz w:val="22"/>
          <w:szCs w:val="22"/>
        </w:rPr>
      </w:pPr>
      <w:r w:rsidRPr="008E78A2">
        <w:rPr>
          <w:sz w:val="18"/>
        </w:rPr>
        <w:fldChar w:fldCharType="begin"/>
      </w:r>
      <w:r w:rsidRPr="008E78A2">
        <w:instrText xml:space="preserve"> TOC \o "1-9" </w:instrText>
      </w:r>
      <w:r w:rsidRPr="008E78A2">
        <w:rPr>
          <w:sz w:val="18"/>
        </w:rPr>
        <w:fldChar w:fldCharType="separate"/>
      </w:r>
      <w:r w:rsidR="004C6C0E" w:rsidRPr="008E78A2">
        <w:rPr>
          <w:rFonts w:eastAsia="Calibri"/>
          <w:noProof/>
        </w:rPr>
        <w:t>Part 1</w:t>
      </w:r>
      <w:r w:rsidR="004C6C0E" w:rsidRPr="008E78A2">
        <w:rPr>
          <w:noProof/>
        </w:rPr>
        <w:t>—Preliminary</w:t>
      </w:r>
      <w:r w:rsidR="004C6C0E" w:rsidRPr="008E78A2">
        <w:rPr>
          <w:noProof/>
        </w:rPr>
        <w:tab/>
      </w:r>
      <w:r w:rsidR="004C6C0E" w:rsidRPr="008E78A2">
        <w:rPr>
          <w:noProof/>
        </w:rPr>
        <w:fldChar w:fldCharType="begin"/>
      </w:r>
      <w:r w:rsidR="004C6C0E" w:rsidRPr="008E78A2">
        <w:rPr>
          <w:noProof/>
        </w:rPr>
        <w:instrText xml:space="preserve"> PAGEREF _Toc80878879 \h </w:instrText>
      </w:r>
      <w:r w:rsidR="004C6C0E" w:rsidRPr="008E78A2">
        <w:rPr>
          <w:noProof/>
        </w:rPr>
      </w:r>
      <w:r w:rsidR="004C6C0E" w:rsidRPr="008E78A2">
        <w:rPr>
          <w:noProof/>
        </w:rPr>
        <w:fldChar w:fldCharType="separate"/>
      </w:r>
      <w:r w:rsidR="004C6C0E" w:rsidRPr="008E78A2">
        <w:rPr>
          <w:noProof/>
        </w:rPr>
        <w:t>1</w:t>
      </w:r>
      <w:r w:rsidR="004C6C0E" w:rsidRPr="008E78A2">
        <w:rPr>
          <w:noProof/>
        </w:rPr>
        <w:fldChar w:fldCharType="end"/>
      </w:r>
    </w:p>
    <w:p w14:paraId="05F841DF" w14:textId="2E486882" w:rsidR="004C6C0E" w:rsidRPr="008E78A2" w:rsidRDefault="004C6C0E">
      <w:pPr>
        <w:pStyle w:val="TOC5"/>
        <w:rPr>
          <w:rFonts w:asciiTheme="minorHAnsi" w:eastAsiaTheme="minorEastAsia" w:hAnsiTheme="minorHAnsi" w:cstheme="minorBidi"/>
          <w:noProof/>
          <w:kern w:val="0"/>
          <w:sz w:val="22"/>
          <w:szCs w:val="22"/>
        </w:rPr>
      </w:pPr>
      <w:r w:rsidRPr="008E78A2">
        <w:rPr>
          <w:noProof/>
        </w:rPr>
        <w:t>1  Name</w:t>
      </w:r>
      <w:r w:rsidRPr="008E78A2">
        <w:rPr>
          <w:noProof/>
        </w:rPr>
        <w:tab/>
      </w:r>
      <w:r w:rsidRPr="008E78A2">
        <w:rPr>
          <w:noProof/>
        </w:rPr>
        <w:fldChar w:fldCharType="begin"/>
      </w:r>
      <w:r w:rsidRPr="008E78A2">
        <w:rPr>
          <w:noProof/>
        </w:rPr>
        <w:instrText xml:space="preserve"> PAGEREF _Toc80878880 \h </w:instrText>
      </w:r>
      <w:r w:rsidRPr="008E78A2">
        <w:rPr>
          <w:noProof/>
        </w:rPr>
      </w:r>
      <w:r w:rsidRPr="008E78A2">
        <w:rPr>
          <w:noProof/>
        </w:rPr>
        <w:fldChar w:fldCharType="separate"/>
      </w:r>
      <w:r w:rsidRPr="008E78A2">
        <w:rPr>
          <w:noProof/>
        </w:rPr>
        <w:t>1</w:t>
      </w:r>
      <w:r w:rsidRPr="008E78A2">
        <w:rPr>
          <w:noProof/>
        </w:rPr>
        <w:fldChar w:fldCharType="end"/>
      </w:r>
    </w:p>
    <w:p w14:paraId="2003C30F" w14:textId="3D6A7A31" w:rsidR="004C6C0E" w:rsidRPr="008E78A2" w:rsidRDefault="004C6C0E">
      <w:pPr>
        <w:pStyle w:val="TOC5"/>
        <w:rPr>
          <w:rFonts w:asciiTheme="minorHAnsi" w:eastAsiaTheme="minorEastAsia" w:hAnsiTheme="minorHAnsi" w:cstheme="minorBidi"/>
          <w:noProof/>
          <w:kern w:val="0"/>
          <w:sz w:val="22"/>
          <w:szCs w:val="22"/>
        </w:rPr>
      </w:pPr>
      <w:r w:rsidRPr="008E78A2">
        <w:rPr>
          <w:noProof/>
        </w:rPr>
        <w:t>2  Commencement</w:t>
      </w:r>
      <w:r w:rsidRPr="008E78A2">
        <w:rPr>
          <w:noProof/>
        </w:rPr>
        <w:tab/>
      </w:r>
      <w:r w:rsidRPr="008E78A2">
        <w:rPr>
          <w:noProof/>
        </w:rPr>
        <w:fldChar w:fldCharType="begin"/>
      </w:r>
      <w:r w:rsidRPr="008E78A2">
        <w:rPr>
          <w:noProof/>
        </w:rPr>
        <w:instrText xml:space="preserve"> PAGEREF _Toc80878881 \h </w:instrText>
      </w:r>
      <w:r w:rsidRPr="008E78A2">
        <w:rPr>
          <w:noProof/>
        </w:rPr>
      </w:r>
      <w:r w:rsidRPr="008E78A2">
        <w:rPr>
          <w:noProof/>
        </w:rPr>
        <w:fldChar w:fldCharType="separate"/>
      </w:r>
      <w:r w:rsidRPr="008E78A2">
        <w:rPr>
          <w:noProof/>
        </w:rPr>
        <w:t>1</w:t>
      </w:r>
      <w:r w:rsidRPr="008E78A2">
        <w:rPr>
          <w:noProof/>
        </w:rPr>
        <w:fldChar w:fldCharType="end"/>
      </w:r>
    </w:p>
    <w:p w14:paraId="4B5ECF05" w14:textId="25B2A56E" w:rsidR="004C6C0E" w:rsidRPr="008E78A2" w:rsidRDefault="004C6C0E">
      <w:pPr>
        <w:pStyle w:val="TOC5"/>
        <w:rPr>
          <w:rFonts w:asciiTheme="minorHAnsi" w:eastAsiaTheme="minorEastAsia" w:hAnsiTheme="minorHAnsi" w:cstheme="minorBidi"/>
          <w:noProof/>
          <w:kern w:val="0"/>
          <w:sz w:val="22"/>
          <w:szCs w:val="22"/>
        </w:rPr>
      </w:pPr>
      <w:r w:rsidRPr="008E78A2">
        <w:rPr>
          <w:noProof/>
        </w:rPr>
        <w:t>3  Authority</w:t>
      </w:r>
      <w:r w:rsidRPr="008E78A2">
        <w:rPr>
          <w:noProof/>
        </w:rPr>
        <w:tab/>
      </w:r>
      <w:r w:rsidRPr="008E78A2">
        <w:rPr>
          <w:noProof/>
        </w:rPr>
        <w:fldChar w:fldCharType="begin"/>
      </w:r>
      <w:r w:rsidRPr="008E78A2">
        <w:rPr>
          <w:noProof/>
        </w:rPr>
        <w:instrText xml:space="preserve"> PAGEREF _Toc80878882 \h </w:instrText>
      </w:r>
      <w:r w:rsidRPr="008E78A2">
        <w:rPr>
          <w:noProof/>
        </w:rPr>
      </w:r>
      <w:r w:rsidRPr="008E78A2">
        <w:rPr>
          <w:noProof/>
        </w:rPr>
        <w:fldChar w:fldCharType="separate"/>
      </w:r>
      <w:r w:rsidRPr="008E78A2">
        <w:rPr>
          <w:noProof/>
        </w:rPr>
        <w:t>1</w:t>
      </w:r>
      <w:r w:rsidRPr="008E78A2">
        <w:rPr>
          <w:noProof/>
        </w:rPr>
        <w:fldChar w:fldCharType="end"/>
      </w:r>
    </w:p>
    <w:p w14:paraId="0F38D1FB" w14:textId="3FA23BC1" w:rsidR="004C6C0E" w:rsidRPr="008E78A2" w:rsidRDefault="004C6C0E">
      <w:pPr>
        <w:pStyle w:val="TOC5"/>
        <w:rPr>
          <w:rFonts w:asciiTheme="minorHAnsi" w:eastAsiaTheme="minorEastAsia" w:hAnsiTheme="minorHAnsi" w:cstheme="minorBidi"/>
          <w:noProof/>
          <w:kern w:val="0"/>
          <w:sz w:val="22"/>
          <w:szCs w:val="22"/>
        </w:rPr>
      </w:pPr>
      <w:r w:rsidRPr="008E78A2">
        <w:rPr>
          <w:noProof/>
        </w:rPr>
        <w:t>4  Schedules</w:t>
      </w:r>
      <w:r w:rsidRPr="008E78A2">
        <w:rPr>
          <w:noProof/>
        </w:rPr>
        <w:tab/>
      </w:r>
      <w:r w:rsidRPr="008E78A2">
        <w:rPr>
          <w:noProof/>
        </w:rPr>
        <w:fldChar w:fldCharType="begin"/>
      </w:r>
      <w:r w:rsidRPr="008E78A2">
        <w:rPr>
          <w:noProof/>
        </w:rPr>
        <w:instrText xml:space="preserve"> PAGEREF _Toc80878883 \h </w:instrText>
      </w:r>
      <w:r w:rsidRPr="008E78A2">
        <w:rPr>
          <w:noProof/>
        </w:rPr>
      </w:r>
      <w:r w:rsidRPr="008E78A2">
        <w:rPr>
          <w:noProof/>
        </w:rPr>
        <w:fldChar w:fldCharType="separate"/>
      </w:r>
      <w:r w:rsidRPr="008E78A2">
        <w:rPr>
          <w:noProof/>
        </w:rPr>
        <w:t>1</w:t>
      </w:r>
      <w:r w:rsidRPr="008E78A2">
        <w:rPr>
          <w:noProof/>
        </w:rPr>
        <w:fldChar w:fldCharType="end"/>
      </w:r>
    </w:p>
    <w:p w14:paraId="11DC3186" w14:textId="402A0219" w:rsidR="004C6C0E" w:rsidRPr="008E78A2" w:rsidRDefault="004C6C0E">
      <w:pPr>
        <w:pStyle w:val="TOC5"/>
        <w:rPr>
          <w:rFonts w:asciiTheme="minorHAnsi" w:eastAsiaTheme="minorEastAsia" w:hAnsiTheme="minorHAnsi" w:cstheme="minorBidi"/>
          <w:noProof/>
          <w:kern w:val="0"/>
          <w:sz w:val="22"/>
          <w:szCs w:val="22"/>
        </w:rPr>
      </w:pPr>
      <w:r w:rsidRPr="008E78A2">
        <w:rPr>
          <w:noProof/>
        </w:rPr>
        <w:t>5  Outline</w:t>
      </w:r>
      <w:r w:rsidRPr="008E78A2">
        <w:rPr>
          <w:noProof/>
        </w:rPr>
        <w:tab/>
      </w:r>
      <w:r w:rsidRPr="008E78A2">
        <w:rPr>
          <w:noProof/>
        </w:rPr>
        <w:fldChar w:fldCharType="begin"/>
      </w:r>
      <w:r w:rsidRPr="008E78A2">
        <w:rPr>
          <w:noProof/>
        </w:rPr>
        <w:instrText xml:space="preserve"> PAGEREF _Toc80878884 \h </w:instrText>
      </w:r>
      <w:r w:rsidRPr="008E78A2">
        <w:rPr>
          <w:noProof/>
        </w:rPr>
      </w:r>
      <w:r w:rsidRPr="008E78A2">
        <w:rPr>
          <w:noProof/>
        </w:rPr>
        <w:fldChar w:fldCharType="separate"/>
      </w:r>
      <w:r w:rsidRPr="008E78A2">
        <w:rPr>
          <w:noProof/>
        </w:rPr>
        <w:t>2</w:t>
      </w:r>
      <w:r w:rsidRPr="008E78A2">
        <w:rPr>
          <w:noProof/>
        </w:rPr>
        <w:fldChar w:fldCharType="end"/>
      </w:r>
    </w:p>
    <w:p w14:paraId="4764A304" w14:textId="2FB7871B" w:rsidR="004C6C0E" w:rsidRPr="008E78A2" w:rsidRDefault="004C6C0E">
      <w:pPr>
        <w:pStyle w:val="TOC5"/>
        <w:rPr>
          <w:rFonts w:asciiTheme="minorHAnsi" w:eastAsiaTheme="minorEastAsia" w:hAnsiTheme="minorHAnsi" w:cstheme="minorBidi"/>
          <w:noProof/>
          <w:kern w:val="0"/>
          <w:sz w:val="22"/>
          <w:szCs w:val="22"/>
        </w:rPr>
      </w:pPr>
      <w:r w:rsidRPr="008E78A2">
        <w:rPr>
          <w:noProof/>
        </w:rPr>
        <w:t>6  Application to providers</w:t>
      </w:r>
      <w:r w:rsidRPr="008E78A2">
        <w:rPr>
          <w:noProof/>
        </w:rPr>
        <w:tab/>
      </w:r>
      <w:r w:rsidRPr="008E78A2">
        <w:rPr>
          <w:noProof/>
        </w:rPr>
        <w:fldChar w:fldCharType="begin"/>
      </w:r>
      <w:r w:rsidRPr="008E78A2">
        <w:rPr>
          <w:noProof/>
        </w:rPr>
        <w:instrText xml:space="preserve"> PAGEREF _Toc80878885 \h </w:instrText>
      </w:r>
      <w:r w:rsidRPr="008E78A2">
        <w:rPr>
          <w:noProof/>
        </w:rPr>
      </w:r>
      <w:r w:rsidRPr="008E78A2">
        <w:rPr>
          <w:noProof/>
        </w:rPr>
        <w:fldChar w:fldCharType="separate"/>
      </w:r>
      <w:r w:rsidRPr="008E78A2">
        <w:rPr>
          <w:noProof/>
        </w:rPr>
        <w:t>2</w:t>
      </w:r>
      <w:r w:rsidRPr="008E78A2">
        <w:rPr>
          <w:noProof/>
        </w:rPr>
        <w:fldChar w:fldCharType="end"/>
      </w:r>
    </w:p>
    <w:p w14:paraId="7ACEB946" w14:textId="2036E6D9" w:rsidR="004C6C0E" w:rsidRPr="008E78A2" w:rsidRDefault="004C6C0E">
      <w:pPr>
        <w:pStyle w:val="TOC5"/>
        <w:rPr>
          <w:rFonts w:asciiTheme="minorHAnsi" w:eastAsiaTheme="minorEastAsia" w:hAnsiTheme="minorHAnsi" w:cstheme="minorBidi"/>
          <w:noProof/>
          <w:kern w:val="0"/>
          <w:sz w:val="22"/>
          <w:szCs w:val="22"/>
        </w:rPr>
      </w:pPr>
      <w:r w:rsidRPr="008E78A2">
        <w:rPr>
          <w:noProof/>
        </w:rPr>
        <w:t>7  Definitions</w:t>
      </w:r>
      <w:r w:rsidRPr="008E78A2">
        <w:rPr>
          <w:noProof/>
        </w:rPr>
        <w:tab/>
      </w:r>
      <w:r w:rsidRPr="008E78A2">
        <w:rPr>
          <w:noProof/>
        </w:rPr>
        <w:fldChar w:fldCharType="begin"/>
      </w:r>
      <w:r w:rsidRPr="008E78A2">
        <w:rPr>
          <w:noProof/>
        </w:rPr>
        <w:instrText xml:space="preserve"> PAGEREF _Toc80878886 \h </w:instrText>
      </w:r>
      <w:r w:rsidRPr="008E78A2">
        <w:rPr>
          <w:noProof/>
        </w:rPr>
      </w:r>
      <w:r w:rsidRPr="008E78A2">
        <w:rPr>
          <w:noProof/>
        </w:rPr>
        <w:fldChar w:fldCharType="separate"/>
      </w:r>
      <w:r w:rsidRPr="008E78A2">
        <w:rPr>
          <w:noProof/>
        </w:rPr>
        <w:t>2</w:t>
      </w:r>
      <w:r w:rsidRPr="008E78A2">
        <w:rPr>
          <w:noProof/>
        </w:rPr>
        <w:fldChar w:fldCharType="end"/>
      </w:r>
    </w:p>
    <w:p w14:paraId="67A6B70D" w14:textId="09F74711" w:rsidR="004C6C0E" w:rsidRPr="008E78A2" w:rsidRDefault="004C6C0E">
      <w:pPr>
        <w:pStyle w:val="TOC2"/>
        <w:rPr>
          <w:rFonts w:asciiTheme="minorHAnsi" w:eastAsiaTheme="minorEastAsia" w:hAnsiTheme="minorHAnsi" w:cstheme="minorBidi"/>
          <w:b w:val="0"/>
          <w:noProof/>
          <w:kern w:val="0"/>
          <w:sz w:val="22"/>
          <w:szCs w:val="22"/>
        </w:rPr>
      </w:pPr>
      <w:r w:rsidRPr="008E78A2">
        <w:rPr>
          <w:noProof/>
        </w:rPr>
        <w:t>Part 2—Standards</w:t>
      </w:r>
      <w:r w:rsidRPr="008E78A2">
        <w:rPr>
          <w:noProof/>
        </w:rPr>
        <w:tab/>
      </w:r>
      <w:r w:rsidRPr="008E78A2">
        <w:rPr>
          <w:noProof/>
        </w:rPr>
        <w:fldChar w:fldCharType="begin"/>
      </w:r>
      <w:r w:rsidRPr="008E78A2">
        <w:rPr>
          <w:noProof/>
        </w:rPr>
        <w:instrText xml:space="preserve"> PAGEREF _Toc80878887 \h </w:instrText>
      </w:r>
      <w:r w:rsidRPr="008E78A2">
        <w:rPr>
          <w:noProof/>
        </w:rPr>
      </w:r>
      <w:r w:rsidRPr="008E78A2">
        <w:rPr>
          <w:noProof/>
        </w:rPr>
        <w:fldChar w:fldCharType="separate"/>
      </w:r>
      <w:r w:rsidRPr="008E78A2">
        <w:rPr>
          <w:noProof/>
        </w:rPr>
        <w:t>4</w:t>
      </w:r>
      <w:r w:rsidRPr="008E78A2">
        <w:rPr>
          <w:noProof/>
        </w:rPr>
        <w:fldChar w:fldCharType="end"/>
      </w:r>
    </w:p>
    <w:p w14:paraId="01C95B0C" w14:textId="5C05CFCF" w:rsidR="004C6C0E" w:rsidRPr="008E78A2" w:rsidRDefault="004C6C0E">
      <w:pPr>
        <w:pStyle w:val="TOC5"/>
        <w:rPr>
          <w:rFonts w:asciiTheme="minorHAnsi" w:eastAsiaTheme="minorEastAsia" w:hAnsiTheme="minorHAnsi" w:cstheme="minorBidi"/>
          <w:noProof/>
          <w:kern w:val="0"/>
          <w:sz w:val="22"/>
          <w:szCs w:val="22"/>
        </w:rPr>
      </w:pPr>
      <w:r w:rsidRPr="008E78A2">
        <w:rPr>
          <w:noProof/>
        </w:rPr>
        <w:t>8  Basic Requirements (Standard 1)</w:t>
      </w:r>
      <w:r w:rsidRPr="008E78A2">
        <w:rPr>
          <w:noProof/>
        </w:rPr>
        <w:tab/>
      </w:r>
      <w:r w:rsidRPr="008E78A2">
        <w:rPr>
          <w:noProof/>
        </w:rPr>
        <w:fldChar w:fldCharType="begin"/>
      </w:r>
      <w:r w:rsidRPr="008E78A2">
        <w:rPr>
          <w:noProof/>
        </w:rPr>
        <w:instrText xml:space="preserve"> PAGEREF _Toc80878888 \h </w:instrText>
      </w:r>
      <w:r w:rsidRPr="008E78A2">
        <w:rPr>
          <w:noProof/>
        </w:rPr>
      </w:r>
      <w:r w:rsidRPr="008E78A2">
        <w:rPr>
          <w:noProof/>
        </w:rPr>
        <w:fldChar w:fldCharType="separate"/>
      </w:r>
      <w:r w:rsidRPr="008E78A2">
        <w:rPr>
          <w:noProof/>
        </w:rPr>
        <w:t>4</w:t>
      </w:r>
      <w:r w:rsidRPr="008E78A2">
        <w:rPr>
          <w:noProof/>
        </w:rPr>
        <w:fldChar w:fldCharType="end"/>
      </w:r>
    </w:p>
    <w:p w14:paraId="24B68F5D" w14:textId="3201B12D" w:rsidR="004C6C0E" w:rsidRPr="008E78A2" w:rsidRDefault="004C6C0E">
      <w:pPr>
        <w:pStyle w:val="TOC5"/>
        <w:rPr>
          <w:rFonts w:asciiTheme="minorHAnsi" w:eastAsiaTheme="minorEastAsia" w:hAnsiTheme="minorHAnsi" w:cstheme="minorBidi"/>
          <w:noProof/>
          <w:kern w:val="0"/>
          <w:sz w:val="22"/>
          <w:szCs w:val="22"/>
        </w:rPr>
      </w:pPr>
      <w:r w:rsidRPr="008E78A2">
        <w:rPr>
          <w:noProof/>
        </w:rPr>
        <w:t>9  Curriculum and pedagogy (Standard 2)</w:t>
      </w:r>
      <w:r w:rsidRPr="008E78A2">
        <w:rPr>
          <w:noProof/>
        </w:rPr>
        <w:tab/>
      </w:r>
      <w:r w:rsidRPr="008E78A2">
        <w:rPr>
          <w:noProof/>
        </w:rPr>
        <w:fldChar w:fldCharType="begin"/>
      </w:r>
      <w:r w:rsidRPr="008E78A2">
        <w:rPr>
          <w:noProof/>
        </w:rPr>
        <w:instrText xml:space="preserve"> PAGEREF _Toc80878889 \h </w:instrText>
      </w:r>
      <w:r w:rsidRPr="008E78A2">
        <w:rPr>
          <w:noProof/>
        </w:rPr>
      </w:r>
      <w:r w:rsidRPr="008E78A2">
        <w:rPr>
          <w:noProof/>
        </w:rPr>
        <w:fldChar w:fldCharType="separate"/>
      </w:r>
      <w:r w:rsidRPr="008E78A2">
        <w:rPr>
          <w:noProof/>
        </w:rPr>
        <w:t>4</w:t>
      </w:r>
      <w:r w:rsidRPr="008E78A2">
        <w:rPr>
          <w:noProof/>
        </w:rPr>
        <w:fldChar w:fldCharType="end"/>
      </w:r>
    </w:p>
    <w:p w14:paraId="0AA69884" w14:textId="4C4D6890" w:rsidR="004C6C0E" w:rsidRPr="008E78A2" w:rsidRDefault="004C6C0E">
      <w:pPr>
        <w:pStyle w:val="TOC5"/>
        <w:rPr>
          <w:rFonts w:asciiTheme="minorHAnsi" w:eastAsiaTheme="minorEastAsia" w:hAnsiTheme="minorHAnsi" w:cstheme="minorBidi"/>
          <w:noProof/>
          <w:kern w:val="0"/>
          <w:sz w:val="22"/>
          <w:szCs w:val="22"/>
        </w:rPr>
      </w:pPr>
      <w:r w:rsidRPr="008E78A2">
        <w:rPr>
          <w:noProof/>
        </w:rPr>
        <w:t>10  Admission (Standard 3)</w:t>
      </w:r>
      <w:r w:rsidRPr="008E78A2">
        <w:rPr>
          <w:noProof/>
        </w:rPr>
        <w:tab/>
      </w:r>
      <w:r w:rsidRPr="008E78A2">
        <w:rPr>
          <w:noProof/>
        </w:rPr>
        <w:fldChar w:fldCharType="begin"/>
      </w:r>
      <w:r w:rsidRPr="008E78A2">
        <w:rPr>
          <w:noProof/>
        </w:rPr>
        <w:instrText xml:space="preserve"> PAGEREF _Toc80878890 \h </w:instrText>
      </w:r>
      <w:r w:rsidRPr="008E78A2">
        <w:rPr>
          <w:noProof/>
        </w:rPr>
      </w:r>
      <w:r w:rsidRPr="008E78A2">
        <w:rPr>
          <w:noProof/>
        </w:rPr>
        <w:fldChar w:fldCharType="separate"/>
      </w:r>
      <w:r w:rsidRPr="008E78A2">
        <w:rPr>
          <w:noProof/>
        </w:rPr>
        <w:t>5</w:t>
      </w:r>
      <w:r w:rsidRPr="008E78A2">
        <w:rPr>
          <w:noProof/>
        </w:rPr>
        <w:fldChar w:fldCharType="end"/>
      </w:r>
    </w:p>
    <w:p w14:paraId="3435AD23" w14:textId="31B48659" w:rsidR="004C6C0E" w:rsidRPr="008E78A2" w:rsidRDefault="004C6C0E">
      <w:pPr>
        <w:pStyle w:val="TOC5"/>
        <w:rPr>
          <w:rFonts w:asciiTheme="minorHAnsi" w:eastAsiaTheme="minorEastAsia" w:hAnsiTheme="minorHAnsi" w:cstheme="minorBidi"/>
          <w:noProof/>
          <w:kern w:val="0"/>
          <w:sz w:val="22"/>
          <w:szCs w:val="22"/>
        </w:rPr>
      </w:pPr>
      <w:r w:rsidRPr="008E78A2">
        <w:rPr>
          <w:noProof/>
        </w:rPr>
        <w:t>11  Subjects (Standard 4)</w:t>
      </w:r>
      <w:r w:rsidRPr="008E78A2">
        <w:rPr>
          <w:noProof/>
        </w:rPr>
        <w:tab/>
      </w:r>
      <w:r w:rsidRPr="008E78A2">
        <w:rPr>
          <w:noProof/>
        </w:rPr>
        <w:fldChar w:fldCharType="begin"/>
      </w:r>
      <w:r w:rsidRPr="008E78A2">
        <w:rPr>
          <w:noProof/>
        </w:rPr>
        <w:instrText xml:space="preserve"> PAGEREF _Toc80878891 \h </w:instrText>
      </w:r>
      <w:r w:rsidRPr="008E78A2">
        <w:rPr>
          <w:noProof/>
        </w:rPr>
      </w:r>
      <w:r w:rsidRPr="008E78A2">
        <w:rPr>
          <w:noProof/>
        </w:rPr>
        <w:fldChar w:fldCharType="separate"/>
      </w:r>
      <w:r w:rsidRPr="008E78A2">
        <w:rPr>
          <w:noProof/>
        </w:rPr>
        <w:t>6</w:t>
      </w:r>
      <w:r w:rsidRPr="008E78A2">
        <w:rPr>
          <w:noProof/>
        </w:rPr>
        <w:fldChar w:fldCharType="end"/>
      </w:r>
    </w:p>
    <w:p w14:paraId="0A3FDF80" w14:textId="5D011DA7" w:rsidR="004C6C0E" w:rsidRPr="008E78A2" w:rsidRDefault="004C6C0E">
      <w:pPr>
        <w:pStyle w:val="TOC5"/>
        <w:rPr>
          <w:rFonts w:asciiTheme="minorHAnsi" w:eastAsiaTheme="minorEastAsia" w:hAnsiTheme="minorHAnsi" w:cstheme="minorBidi"/>
          <w:noProof/>
          <w:kern w:val="0"/>
          <w:sz w:val="22"/>
          <w:szCs w:val="22"/>
        </w:rPr>
      </w:pPr>
      <w:r w:rsidRPr="008E78A2">
        <w:rPr>
          <w:noProof/>
        </w:rPr>
        <w:t>12  English language subjects (Standard 5)</w:t>
      </w:r>
      <w:r w:rsidRPr="008E78A2">
        <w:rPr>
          <w:noProof/>
        </w:rPr>
        <w:tab/>
      </w:r>
      <w:r w:rsidRPr="008E78A2">
        <w:rPr>
          <w:noProof/>
        </w:rPr>
        <w:fldChar w:fldCharType="begin"/>
      </w:r>
      <w:r w:rsidRPr="008E78A2">
        <w:rPr>
          <w:noProof/>
        </w:rPr>
        <w:instrText xml:space="preserve"> PAGEREF _Toc80878892 \h </w:instrText>
      </w:r>
      <w:r w:rsidRPr="008E78A2">
        <w:rPr>
          <w:noProof/>
        </w:rPr>
      </w:r>
      <w:r w:rsidRPr="008E78A2">
        <w:rPr>
          <w:noProof/>
        </w:rPr>
        <w:fldChar w:fldCharType="separate"/>
      </w:r>
      <w:r w:rsidRPr="008E78A2">
        <w:rPr>
          <w:noProof/>
        </w:rPr>
        <w:t>7</w:t>
      </w:r>
      <w:r w:rsidRPr="008E78A2">
        <w:rPr>
          <w:noProof/>
        </w:rPr>
        <w:fldChar w:fldCharType="end"/>
      </w:r>
    </w:p>
    <w:p w14:paraId="4F6DE56D" w14:textId="0F470D99" w:rsidR="004C6C0E" w:rsidRPr="008E78A2" w:rsidRDefault="004C6C0E">
      <w:pPr>
        <w:pStyle w:val="TOC5"/>
        <w:rPr>
          <w:rFonts w:asciiTheme="minorHAnsi" w:eastAsiaTheme="minorEastAsia" w:hAnsiTheme="minorHAnsi" w:cstheme="minorBidi"/>
          <w:noProof/>
          <w:kern w:val="0"/>
          <w:sz w:val="22"/>
          <w:szCs w:val="22"/>
        </w:rPr>
      </w:pPr>
      <w:r w:rsidRPr="008E78A2">
        <w:rPr>
          <w:noProof/>
        </w:rPr>
        <w:t>13  Pathways (Standard 6)</w:t>
      </w:r>
      <w:r w:rsidRPr="008E78A2">
        <w:rPr>
          <w:noProof/>
        </w:rPr>
        <w:tab/>
      </w:r>
      <w:r w:rsidRPr="008E78A2">
        <w:rPr>
          <w:noProof/>
        </w:rPr>
        <w:fldChar w:fldCharType="begin"/>
      </w:r>
      <w:r w:rsidRPr="008E78A2">
        <w:rPr>
          <w:noProof/>
        </w:rPr>
        <w:instrText xml:space="preserve"> PAGEREF _Toc80878893 \h </w:instrText>
      </w:r>
      <w:r w:rsidRPr="008E78A2">
        <w:rPr>
          <w:noProof/>
        </w:rPr>
      </w:r>
      <w:r w:rsidRPr="008E78A2">
        <w:rPr>
          <w:noProof/>
        </w:rPr>
        <w:fldChar w:fldCharType="separate"/>
      </w:r>
      <w:r w:rsidRPr="008E78A2">
        <w:rPr>
          <w:noProof/>
        </w:rPr>
        <w:t>8</w:t>
      </w:r>
      <w:r w:rsidRPr="008E78A2">
        <w:rPr>
          <w:noProof/>
        </w:rPr>
        <w:fldChar w:fldCharType="end"/>
      </w:r>
    </w:p>
    <w:p w14:paraId="46075BB7" w14:textId="209916D0" w:rsidR="004C6C0E" w:rsidRPr="008E78A2" w:rsidRDefault="004C6C0E">
      <w:pPr>
        <w:pStyle w:val="TOC5"/>
        <w:rPr>
          <w:rFonts w:asciiTheme="minorHAnsi" w:eastAsiaTheme="minorEastAsia" w:hAnsiTheme="minorHAnsi" w:cstheme="minorBidi"/>
          <w:noProof/>
          <w:kern w:val="0"/>
          <w:sz w:val="22"/>
          <w:szCs w:val="22"/>
        </w:rPr>
      </w:pPr>
      <w:r w:rsidRPr="008E78A2">
        <w:rPr>
          <w:noProof/>
        </w:rPr>
        <w:t>14  Assessment (Standard 7)</w:t>
      </w:r>
      <w:r w:rsidRPr="008E78A2">
        <w:rPr>
          <w:noProof/>
        </w:rPr>
        <w:tab/>
      </w:r>
      <w:r w:rsidRPr="008E78A2">
        <w:rPr>
          <w:noProof/>
        </w:rPr>
        <w:fldChar w:fldCharType="begin"/>
      </w:r>
      <w:r w:rsidRPr="008E78A2">
        <w:rPr>
          <w:noProof/>
        </w:rPr>
        <w:instrText xml:space="preserve"> PAGEREF _Toc80878894 \h </w:instrText>
      </w:r>
      <w:r w:rsidRPr="008E78A2">
        <w:rPr>
          <w:noProof/>
        </w:rPr>
      </w:r>
      <w:r w:rsidRPr="008E78A2">
        <w:rPr>
          <w:noProof/>
        </w:rPr>
        <w:fldChar w:fldCharType="separate"/>
      </w:r>
      <w:r w:rsidRPr="008E78A2">
        <w:rPr>
          <w:noProof/>
        </w:rPr>
        <w:t>9</w:t>
      </w:r>
      <w:r w:rsidRPr="008E78A2">
        <w:rPr>
          <w:noProof/>
        </w:rPr>
        <w:fldChar w:fldCharType="end"/>
      </w:r>
    </w:p>
    <w:p w14:paraId="23566282" w14:textId="42B42475" w:rsidR="004C6C0E" w:rsidRPr="008E78A2" w:rsidRDefault="004C6C0E">
      <w:pPr>
        <w:pStyle w:val="TOC5"/>
        <w:rPr>
          <w:rFonts w:asciiTheme="minorHAnsi" w:eastAsiaTheme="minorEastAsia" w:hAnsiTheme="minorHAnsi" w:cstheme="minorBidi"/>
          <w:noProof/>
          <w:kern w:val="0"/>
          <w:sz w:val="22"/>
          <w:szCs w:val="22"/>
        </w:rPr>
      </w:pPr>
      <w:r w:rsidRPr="008E78A2">
        <w:rPr>
          <w:noProof/>
        </w:rPr>
        <w:t>15  Teacher requirements (Standard 8)</w:t>
      </w:r>
      <w:r w:rsidRPr="008E78A2">
        <w:rPr>
          <w:noProof/>
        </w:rPr>
        <w:tab/>
      </w:r>
      <w:r w:rsidRPr="008E78A2">
        <w:rPr>
          <w:noProof/>
        </w:rPr>
        <w:fldChar w:fldCharType="begin"/>
      </w:r>
      <w:r w:rsidRPr="008E78A2">
        <w:rPr>
          <w:noProof/>
        </w:rPr>
        <w:instrText xml:space="preserve"> PAGEREF _Toc80878895 \h </w:instrText>
      </w:r>
      <w:r w:rsidRPr="008E78A2">
        <w:rPr>
          <w:noProof/>
        </w:rPr>
      </w:r>
      <w:r w:rsidRPr="008E78A2">
        <w:rPr>
          <w:noProof/>
        </w:rPr>
        <w:fldChar w:fldCharType="separate"/>
      </w:r>
      <w:r w:rsidRPr="008E78A2">
        <w:rPr>
          <w:noProof/>
        </w:rPr>
        <w:t>10</w:t>
      </w:r>
      <w:r w:rsidRPr="008E78A2">
        <w:rPr>
          <w:noProof/>
        </w:rPr>
        <w:fldChar w:fldCharType="end"/>
      </w:r>
    </w:p>
    <w:p w14:paraId="440DE5B3" w14:textId="4C67669A" w:rsidR="004C6C0E" w:rsidRPr="008E78A2" w:rsidRDefault="004C6C0E">
      <w:pPr>
        <w:pStyle w:val="TOC5"/>
        <w:rPr>
          <w:rFonts w:asciiTheme="minorHAnsi" w:eastAsiaTheme="minorEastAsia" w:hAnsiTheme="minorHAnsi" w:cstheme="minorBidi"/>
          <w:noProof/>
          <w:kern w:val="0"/>
          <w:sz w:val="22"/>
          <w:szCs w:val="22"/>
        </w:rPr>
      </w:pPr>
      <w:r w:rsidRPr="008E78A2">
        <w:rPr>
          <w:noProof/>
        </w:rPr>
        <w:t>16  Marketing of Foundation Programs (Standard 9)</w:t>
      </w:r>
      <w:r w:rsidRPr="008E78A2">
        <w:rPr>
          <w:noProof/>
        </w:rPr>
        <w:tab/>
      </w:r>
      <w:r w:rsidRPr="008E78A2">
        <w:rPr>
          <w:noProof/>
        </w:rPr>
        <w:fldChar w:fldCharType="begin"/>
      </w:r>
      <w:r w:rsidRPr="008E78A2">
        <w:rPr>
          <w:noProof/>
        </w:rPr>
        <w:instrText xml:space="preserve"> PAGEREF _Toc80878896 \h </w:instrText>
      </w:r>
      <w:r w:rsidRPr="008E78A2">
        <w:rPr>
          <w:noProof/>
        </w:rPr>
      </w:r>
      <w:r w:rsidRPr="008E78A2">
        <w:rPr>
          <w:noProof/>
        </w:rPr>
        <w:fldChar w:fldCharType="separate"/>
      </w:r>
      <w:r w:rsidRPr="008E78A2">
        <w:rPr>
          <w:noProof/>
        </w:rPr>
        <w:t>11</w:t>
      </w:r>
      <w:r w:rsidRPr="008E78A2">
        <w:rPr>
          <w:noProof/>
        </w:rPr>
        <w:fldChar w:fldCharType="end"/>
      </w:r>
    </w:p>
    <w:p w14:paraId="6431E103" w14:textId="2A09C6C5" w:rsidR="004C6C0E" w:rsidRPr="008E78A2" w:rsidRDefault="004C6C0E">
      <w:pPr>
        <w:pStyle w:val="TOC5"/>
        <w:rPr>
          <w:rFonts w:asciiTheme="minorHAnsi" w:eastAsiaTheme="minorEastAsia" w:hAnsiTheme="minorHAnsi" w:cstheme="minorBidi"/>
          <w:noProof/>
          <w:kern w:val="0"/>
          <w:sz w:val="22"/>
          <w:szCs w:val="22"/>
        </w:rPr>
      </w:pPr>
      <w:r w:rsidRPr="008E78A2">
        <w:rPr>
          <w:noProof/>
        </w:rPr>
        <w:t>17  Younger students (Standard 10)</w:t>
      </w:r>
      <w:r w:rsidRPr="008E78A2">
        <w:rPr>
          <w:noProof/>
        </w:rPr>
        <w:tab/>
      </w:r>
      <w:r w:rsidRPr="008E78A2">
        <w:rPr>
          <w:noProof/>
        </w:rPr>
        <w:fldChar w:fldCharType="begin"/>
      </w:r>
      <w:r w:rsidRPr="008E78A2">
        <w:rPr>
          <w:noProof/>
        </w:rPr>
        <w:instrText xml:space="preserve"> PAGEREF _Toc80878897 \h </w:instrText>
      </w:r>
      <w:r w:rsidRPr="008E78A2">
        <w:rPr>
          <w:noProof/>
        </w:rPr>
      </w:r>
      <w:r w:rsidRPr="008E78A2">
        <w:rPr>
          <w:noProof/>
        </w:rPr>
        <w:fldChar w:fldCharType="separate"/>
      </w:r>
      <w:r w:rsidRPr="008E78A2">
        <w:rPr>
          <w:noProof/>
        </w:rPr>
        <w:t>12</w:t>
      </w:r>
      <w:r w:rsidRPr="008E78A2">
        <w:rPr>
          <w:noProof/>
        </w:rPr>
        <w:fldChar w:fldCharType="end"/>
      </w:r>
    </w:p>
    <w:p w14:paraId="689219E3" w14:textId="1F3EB2DE" w:rsidR="004C6C0E" w:rsidRPr="008E78A2" w:rsidRDefault="004C6C0E">
      <w:pPr>
        <w:pStyle w:val="TOC6"/>
        <w:rPr>
          <w:rFonts w:asciiTheme="minorHAnsi" w:eastAsiaTheme="minorEastAsia" w:hAnsiTheme="minorHAnsi" w:cstheme="minorBidi"/>
          <w:b w:val="0"/>
          <w:noProof/>
          <w:kern w:val="0"/>
          <w:sz w:val="22"/>
          <w:szCs w:val="22"/>
        </w:rPr>
      </w:pPr>
      <w:r w:rsidRPr="008E78A2">
        <w:rPr>
          <w:noProof/>
        </w:rPr>
        <w:t>Schedule 1—Saving and Transitional</w:t>
      </w:r>
      <w:r w:rsidRPr="008E78A2">
        <w:rPr>
          <w:noProof/>
        </w:rPr>
        <w:tab/>
      </w:r>
      <w:r w:rsidRPr="008E78A2">
        <w:rPr>
          <w:noProof/>
        </w:rPr>
        <w:fldChar w:fldCharType="begin"/>
      </w:r>
      <w:r w:rsidRPr="008E78A2">
        <w:rPr>
          <w:noProof/>
        </w:rPr>
        <w:instrText xml:space="preserve"> PAGEREF _Toc80878898 \h </w:instrText>
      </w:r>
      <w:r w:rsidRPr="008E78A2">
        <w:rPr>
          <w:noProof/>
        </w:rPr>
      </w:r>
      <w:r w:rsidRPr="008E78A2">
        <w:rPr>
          <w:noProof/>
        </w:rPr>
        <w:fldChar w:fldCharType="separate"/>
      </w:r>
      <w:r w:rsidRPr="008E78A2">
        <w:rPr>
          <w:noProof/>
        </w:rPr>
        <w:t>13</w:t>
      </w:r>
      <w:r w:rsidRPr="008E78A2">
        <w:rPr>
          <w:noProof/>
        </w:rPr>
        <w:fldChar w:fldCharType="end"/>
      </w:r>
    </w:p>
    <w:p w14:paraId="47F80596" w14:textId="184DA7AE" w:rsidR="004C6C0E" w:rsidRPr="008E78A2" w:rsidRDefault="004C6C0E">
      <w:pPr>
        <w:pStyle w:val="TOC6"/>
        <w:rPr>
          <w:rFonts w:asciiTheme="minorHAnsi" w:eastAsiaTheme="minorEastAsia" w:hAnsiTheme="minorHAnsi" w:cstheme="minorBidi"/>
          <w:b w:val="0"/>
          <w:noProof/>
          <w:kern w:val="0"/>
          <w:sz w:val="22"/>
          <w:szCs w:val="22"/>
        </w:rPr>
      </w:pPr>
      <w:r w:rsidRPr="008E78A2">
        <w:rPr>
          <w:noProof/>
        </w:rPr>
        <w:t>Schedule 2—Repeals</w:t>
      </w:r>
      <w:r w:rsidRPr="008E78A2">
        <w:rPr>
          <w:noProof/>
        </w:rPr>
        <w:tab/>
      </w:r>
      <w:r w:rsidRPr="008E78A2">
        <w:rPr>
          <w:noProof/>
        </w:rPr>
        <w:fldChar w:fldCharType="begin"/>
      </w:r>
      <w:r w:rsidRPr="008E78A2">
        <w:rPr>
          <w:noProof/>
        </w:rPr>
        <w:instrText xml:space="preserve"> PAGEREF _Toc80878899 \h </w:instrText>
      </w:r>
      <w:r w:rsidRPr="008E78A2">
        <w:rPr>
          <w:noProof/>
        </w:rPr>
      </w:r>
      <w:r w:rsidRPr="008E78A2">
        <w:rPr>
          <w:noProof/>
        </w:rPr>
        <w:fldChar w:fldCharType="separate"/>
      </w:r>
      <w:r w:rsidRPr="008E78A2">
        <w:rPr>
          <w:noProof/>
        </w:rPr>
        <w:t>13</w:t>
      </w:r>
      <w:r w:rsidRPr="008E78A2">
        <w:rPr>
          <w:noProof/>
        </w:rPr>
        <w:fldChar w:fldCharType="end"/>
      </w:r>
    </w:p>
    <w:p w14:paraId="10FB2975" w14:textId="12F5C987" w:rsidR="004C6C0E" w:rsidRPr="008E78A2" w:rsidRDefault="004C6C0E">
      <w:pPr>
        <w:pStyle w:val="TOC9"/>
        <w:rPr>
          <w:rFonts w:asciiTheme="minorHAnsi" w:eastAsiaTheme="minorEastAsia" w:hAnsiTheme="minorHAnsi" w:cstheme="minorBidi"/>
          <w:i w:val="0"/>
          <w:noProof/>
          <w:kern w:val="0"/>
          <w:sz w:val="22"/>
          <w:szCs w:val="22"/>
        </w:rPr>
      </w:pPr>
      <w:r w:rsidRPr="008E78A2">
        <w:rPr>
          <w:noProof/>
        </w:rPr>
        <w:t>Foundation Program Standards (19/06/2011)</w:t>
      </w:r>
      <w:r w:rsidRPr="008E78A2">
        <w:rPr>
          <w:noProof/>
        </w:rPr>
        <w:tab/>
      </w:r>
      <w:r w:rsidRPr="008E78A2">
        <w:rPr>
          <w:noProof/>
        </w:rPr>
        <w:fldChar w:fldCharType="begin"/>
      </w:r>
      <w:r w:rsidRPr="008E78A2">
        <w:rPr>
          <w:noProof/>
        </w:rPr>
        <w:instrText xml:space="preserve"> PAGEREF _Toc80878900 \h </w:instrText>
      </w:r>
      <w:r w:rsidRPr="008E78A2">
        <w:rPr>
          <w:noProof/>
        </w:rPr>
      </w:r>
      <w:r w:rsidRPr="008E78A2">
        <w:rPr>
          <w:noProof/>
        </w:rPr>
        <w:fldChar w:fldCharType="separate"/>
      </w:r>
      <w:r w:rsidRPr="008E78A2">
        <w:rPr>
          <w:noProof/>
        </w:rPr>
        <w:t>13</w:t>
      </w:r>
      <w:r w:rsidRPr="008E78A2">
        <w:rPr>
          <w:noProof/>
        </w:rPr>
        <w:fldChar w:fldCharType="end"/>
      </w:r>
    </w:p>
    <w:p w14:paraId="2478F4A3" w14:textId="0E721871" w:rsidR="00F6696E" w:rsidRPr="008E78A2" w:rsidRDefault="00B418CB" w:rsidP="00F6696E">
      <w:pPr>
        <w:outlineLvl w:val="0"/>
      </w:pPr>
      <w:r w:rsidRPr="008E78A2">
        <w:fldChar w:fldCharType="end"/>
      </w:r>
    </w:p>
    <w:p w14:paraId="4F4DCA9C" w14:textId="77777777" w:rsidR="00F6696E" w:rsidRPr="008E78A2" w:rsidRDefault="00F6696E" w:rsidP="00F6696E">
      <w:pPr>
        <w:outlineLvl w:val="0"/>
        <w:rPr>
          <w:sz w:val="20"/>
        </w:rPr>
      </w:pPr>
    </w:p>
    <w:p w14:paraId="7662A1C1" w14:textId="77777777" w:rsidR="00F6696E" w:rsidRPr="008E78A2" w:rsidRDefault="00F6696E" w:rsidP="00F6696E">
      <w:pPr>
        <w:sectPr w:rsidR="00F6696E" w:rsidRPr="008E78A2" w:rsidSect="006841A3">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08CBEA29" w14:textId="77777777" w:rsidR="00FA5513" w:rsidRPr="008E78A2" w:rsidRDefault="00FA5513" w:rsidP="00FA5513">
      <w:pPr>
        <w:pStyle w:val="ActHead2"/>
        <w:rPr>
          <w:rFonts w:eastAsia="Calibri"/>
        </w:rPr>
      </w:pPr>
      <w:bookmarkStart w:id="0" w:name="_Toc80878879"/>
      <w:r w:rsidRPr="008E78A2">
        <w:rPr>
          <w:rFonts w:eastAsia="Calibri"/>
        </w:rPr>
        <w:lastRenderedPageBreak/>
        <w:t>Part 1</w:t>
      </w:r>
      <w:r w:rsidRPr="008E78A2">
        <w:t>—Preliminary</w:t>
      </w:r>
      <w:bookmarkEnd w:id="0"/>
    </w:p>
    <w:p w14:paraId="40E45636" w14:textId="77777777" w:rsidR="00554826" w:rsidRPr="008E78A2" w:rsidRDefault="00554826" w:rsidP="00554826">
      <w:pPr>
        <w:pStyle w:val="ActHead5"/>
      </w:pPr>
      <w:bookmarkStart w:id="1" w:name="_Toc80878880"/>
      <w:r w:rsidRPr="008E78A2">
        <w:t>1  Name</w:t>
      </w:r>
      <w:bookmarkEnd w:id="1"/>
    </w:p>
    <w:p w14:paraId="12CC1B14" w14:textId="5665292D" w:rsidR="00554826" w:rsidRPr="008E78A2" w:rsidRDefault="00554826" w:rsidP="00554826">
      <w:pPr>
        <w:pStyle w:val="subsection"/>
      </w:pPr>
      <w:r w:rsidRPr="008E78A2">
        <w:tab/>
      </w:r>
      <w:r w:rsidRPr="008E78A2">
        <w:tab/>
        <w:t xml:space="preserve">This instrument is the </w:t>
      </w:r>
      <w:r w:rsidR="00FE03BF" w:rsidRPr="008E78A2">
        <w:rPr>
          <w:i/>
          <w:iCs/>
        </w:rPr>
        <w:t>Education Services for Overseas Students (Foundation Program Standards) Instrument 2021</w:t>
      </w:r>
      <w:r w:rsidRPr="008E78A2">
        <w:t>.</w:t>
      </w:r>
    </w:p>
    <w:p w14:paraId="3B37905A" w14:textId="77777777" w:rsidR="00554826" w:rsidRPr="008E78A2" w:rsidRDefault="00554826" w:rsidP="00554826">
      <w:pPr>
        <w:pStyle w:val="ActHead5"/>
      </w:pPr>
      <w:bookmarkStart w:id="2" w:name="_Toc80878881"/>
      <w:r w:rsidRPr="008E78A2">
        <w:t>2  Commencement</w:t>
      </w:r>
      <w:bookmarkEnd w:id="2"/>
    </w:p>
    <w:p w14:paraId="5DA9AE7A" w14:textId="77777777" w:rsidR="003767E2" w:rsidRPr="008E78A2" w:rsidRDefault="003767E2" w:rsidP="003767E2">
      <w:pPr>
        <w:pStyle w:val="subsection"/>
      </w:pPr>
      <w:r w:rsidRPr="008E78A2">
        <w:tab/>
        <w:t>(1)</w:t>
      </w:r>
      <w:r w:rsidRPr="008E78A2">
        <w:tab/>
        <w:t>Each provision of this instrument specified in column 1 of the table commences, or is taken to have commenced, in accordance with column 2 of the table. Any other statement in column 2 has effect according to its terms.</w:t>
      </w:r>
    </w:p>
    <w:p w14:paraId="519759BB" w14:textId="77777777" w:rsidR="003767E2" w:rsidRPr="008E78A2"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8E78A2" w14:paraId="411CB9C5" w14:textId="77777777" w:rsidTr="006841A3">
        <w:trPr>
          <w:tblHeader/>
        </w:trPr>
        <w:tc>
          <w:tcPr>
            <w:tcW w:w="8364" w:type="dxa"/>
            <w:gridSpan w:val="3"/>
            <w:tcBorders>
              <w:top w:val="single" w:sz="12" w:space="0" w:color="auto"/>
              <w:bottom w:val="single" w:sz="6" w:space="0" w:color="auto"/>
            </w:tcBorders>
            <w:shd w:val="clear" w:color="auto" w:fill="auto"/>
            <w:hideMark/>
          </w:tcPr>
          <w:p w14:paraId="365A4BDA" w14:textId="77777777" w:rsidR="003767E2" w:rsidRPr="008E78A2" w:rsidRDefault="003767E2" w:rsidP="006841A3">
            <w:pPr>
              <w:pStyle w:val="TableHeading"/>
            </w:pPr>
            <w:r w:rsidRPr="008E78A2">
              <w:t>Commencement information</w:t>
            </w:r>
          </w:p>
        </w:tc>
      </w:tr>
      <w:tr w:rsidR="003767E2" w:rsidRPr="008E78A2" w14:paraId="2D3CB77F" w14:textId="77777777" w:rsidTr="006841A3">
        <w:trPr>
          <w:tblHeader/>
        </w:trPr>
        <w:tc>
          <w:tcPr>
            <w:tcW w:w="2127" w:type="dxa"/>
            <w:tcBorders>
              <w:top w:val="single" w:sz="6" w:space="0" w:color="auto"/>
              <w:bottom w:val="single" w:sz="6" w:space="0" w:color="auto"/>
            </w:tcBorders>
            <w:shd w:val="clear" w:color="auto" w:fill="auto"/>
            <w:hideMark/>
          </w:tcPr>
          <w:p w14:paraId="060F90AA" w14:textId="77777777" w:rsidR="003767E2" w:rsidRPr="008E78A2" w:rsidRDefault="003767E2" w:rsidP="006841A3">
            <w:pPr>
              <w:pStyle w:val="TableHeading"/>
            </w:pPr>
            <w:r w:rsidRPr="008E78A2">
              <w:t>Column 1</w:t>
            </w:r>
          </w:p>
        </w:tc>
        <w:tc>
          <w:tcPr>
            <w:tcW w:w="4394" w:type="dxa"/>
            <w:tcBorders>
              <w:top w:val="single" w:sz="6" w:space="0" w:color="auto"/>
              <w:bottom w:val="single" w:sz="6" w:space="0" w:color="auto"/>
            </w:tcBorders>
            <w:shd w:val="clear" w:color="auto" w:fill="auto"/>
            <w:hideMark/>
          </w:tcPr>
          <w:p w14:paraId="1E2D71EC" w14:textId="77777777" w:rsidR="003767E2" w:rsidRPr="008E78A2" w:rsidRDefault="003767E2" w:rsidP="006841A3">
            <w:pPr>
              <w:pStyle w:val="TableHeading"/>
            </w:pPr>
            <w:r w:rsidRPr="008E78A2">
              <w:t>Column 2</w:t>
            </w:r>
          </w:p>
        </w:tc>
        <w:tc>
          <w:tcPr>
            <w:tcW w:w="1843" w:type="dxa"/>
            <w:tcBorders>
              <w:top w:val="single" w:sz="6" w:space="0" w:color="auto"/>
              <w:bottom w:val="single" w:sz="6" w:space="0" w:color="auto"/>
            </w:tcBorders>
            <w:shd w:val="clear" w:color="auto" w:fill="auto"/>
            <w:hideMark/>
          </w:tcPr>
          <w:p w14:paraId="50782BFF" w14:textId="77777777" w:rsidR="003767E2" w:rsidRPr="008E78A2" w:rsidRDefault="003767E2" w:rsidP="006841A3">
            <w:pPr>
              <w:pStyle w:val="TableHeading"/>
            </w:pPr>
            <w:r w:rsidRPr="008E78A2">
              <w:t>Column 3</w:t>
            </w:r>
          </w:p>
        </w:tc>
      </w:tr>
      <w:tr w:rsidR="003767E2" w:rsidRPr="008E78A2" w14:paraId="5AF3ABC8" w14:textId="77777777" w:rsidTr="006841A3">
        <w:trPr>
          <w:tblHeader/>
        </w:trPr>
        <w:tc>
          <w:tcPr>
            <w:tcW w:w="2127" w:type="dxa"/>
            <w:tcBorders>
              <w:top w:val="single" w:sz="6" w:space="0" w:color="auto"/>
              <w:bottom w:val="single" w:sz="12" w:space="0" w:color="auto"/>
            </w:tcBorders>
            <w:shd w:val="clear" w:color="auto" w:fill="auto"/>
            <w:hideMark/>
          </w:tcPr>
          <w:p w14:paraId="0D583F28" w14:textId="77777777" w:rsidR="003767E2" w:rsidRPr="008E78A2" w:rsidRDefault="003767E2" w:rsidP="006841A3">
            <w:pPr>
              <w:pStyle w:val="TableHeading"/>
            </w:pPr>
            <w:r w:rsidRPr="008E78A2">
              <w:t>Provisions</w:t>
            </w:r>
          </w:p>
        </w:tc>
        <w:tc>
          <w:tcPr>
            <w:tcW w:w="4394" w:type="dxa"/>
            <w:tcBorders>
              <w:top w:val="single" w:sz="6" w:space="0" w:color="auto"/>
              <w:bottom w:val="single" w:sz="12" w:space="0" w:color="auto"/>
            </w:tcBorders>
            <w:shd w:val="clear" w:color="auto" w:fill="auto"/>
            <w:hideMark/>
          </w:tcPr>
          <w:p w14:paraId="0D7BA7F8" w14:textId="77777777" w:rsidR="003767E2" w:rsidRPr="008E78A2" w:rsidRDefault="003767E2" w:rsidP="006841A3">
            <w:pPr>
              <w:pStyle w:val="TableHeading"/>
            </w:pPr>
            <w:r w:rsidRPr="008E78A2">
              <w:t>Commencement</w:t>
            </w:r>
          </w:p>
        </w:tc>
        <w:tc>
          <w:tcPr>
            <w:tcW w:w="1843" w:type="dxa"/>
            <w:tcBorders>
              <w:top w:val="single" w:sz="6" w:space="0" w:color="auto"/>
              <w:bottom w:val="single" w:sz="12" w:space="0" w:color="auto"/>
            </w:tcBorders>
            <w:shd w:val="clear" w:color="auto" w:fill="auto"/>
            <w:hideMark/>
          </w:tcPr>
          <w:p w14:paraId="5BE77EAD" w14:textId="77777777" w:rsidR="003767E2" w:rsidRPr="008E78A2" w:rsidRDefault="003767E2" w:rsidP="006841A3">
            <w:pPr>
              <w:pStyle w:val="TableHeading"/>
            </w:pPr>
            <w:r w:rsidRPr="008E78A2">
              <w:t>Date/Details</w:t>
            </w:r>
          </w:p>
        </w:tc>
      </w:tr>
      <w:tr w:rsidR="003767E2" w:rsidRPr="008E78A2" w14:paraId="0B821C86" w14:textId="77777777" w:rsidTr="006841A3">
        <w:tc>
          <w:tcPr>
            <w:tcW w:w="2127" w:type="dxa"/>
            <w:tcBorders>
              <w:top w:val="single" w:sz="12" w:space="0" w:color="auto"/>
              <w:bottom w:val="single" w:sz="12" w:space="0" w:color="auto"/>
            </w:tcBorders>
            <w:shd w:val="clear" w:color="auto" w:fill="auto"/>
            <w:hideMark/>
          </w:tcPr>
          <w:p w14:paraId="5111F7F0" w14:textId="660CA967" w:rsidR="003767E2" w:rsidRPr="008E78A2" w:rsidRDefault="003767E2" w:rsidP="006841A3">
            <w:pPr>
              <w:pStyle w:val="Tabletext"/>
              <w:rPr>
                <w:iCs/>
              </w:rPr>
            </w:pPr>
            <w:r w:rsidRPr="008E78A2">
              <w:t xml:space="preserve">1.  </w:t>
            </w:r>
            <w:r w:rsidR="00FE03BF" w:rsidRPr="008E78A2">
              <w:rPr>
                <w:iCs/>
              </w:rPr>
              <w:t>The whole of th</w:t>
            </w:r>
            <w:r w:rsidR="00504AF8" w:rsidRPr="008E78A2">
              <w:rPr>
                <w:iCs/>
              </w:rPr>
              <w:t>e</w:t>
            </w:r>
            <w:r w:rsidR="00FE03BF" w:rsidRPr="008E78A2">
              <w:rPr>
                <w:iCs/>
              </w:rPr>
              <w:t xml:space="preserve"> instrument</w:t>
            </w:r>
          </w:p>
        </w:tc>
        <w:tc>
          <w:tcPr>
            <w:tcW w:w="4394" w:type="dxa"/>
            <w:tcBorders>
              <w:top w:val="single" w:sz="12" w:space="0" w:color="auto"/>
              <w:bottom w:val="single" w:sz="12" w:space="0" w:color="auto"/>
            </w:tcBorders>
            <w:shd w:val="clear" w:color="auto" w:fill="auto"/>
            <w:hideMark/>
          </w:tcPr>
          <w:p w14:paraId="39619BB0" w14:textId="03C06CB9" w:rsidR="003767E2" w:rsidRPr="008E78A2" w:rsidRDefault="00504AF8" w:rsidP="006841A3">
            <w:pPr>
              <w:pStyle w:val="Tabletext"/>
              <w:rPr>
                <w:iCs/>
              </w:rPr>
            </w:pPr>
            <w:r w:rsidRPr="008E78A2">
              <w:rPr>
                <w:iCs/>
              </w:rPr>
              <w:t>On the day after th</w:t>
            </w:r>
            <w:r w:rsidR="00C06FB2" w:rsidRPr="008E78A2">
              <w:rPr>
                <w:iCs/>
              </w:rPr>
              <w:t>is</w:t>
            </w:r>
            <w:r w:rsidRPr="008E78A2">
              <w:rPr>
                <w:iCs/>
              </w:rPr>
              <w:t xml:space="preserve"> instrument is registered. </w:t>
            </w:r>
          </w:p>
        </w:tc>
        <w:tc>
          <w:tcPr>
            <w:tcW w:w="1843" w:type="dxa"/>
            <w:tcBorders>
              <w:top w:val="single" w:sz="12" w:space="0" w:color="auto"/>
              <w:bottom w:val="single" w:sz="12" w:space="0" w:color="auto"/>
            </w:tcBorders>
            <w:shd w:val="clear" w:color="auto" w:fill="auto"/>
          </w:tcPr>
          <w:p w14:paraId="709E7F2F" w14:textId="11651E2C" w:rsidR="003767E2" w:rsidRPr="008E78A2" w:rsidRDefault="003767E2" w:rsidP="006841A3">
            <w:pPr>
              <w:pStyle w:val="Tabletext"/>
              <w:rPr>
                <w:iCs/>
              </w:rPr>
            </w:pPr>
          </w:p>
        </w:tc>
      </w:tr>
    </w:tbl>
    <w:p w14:paraId="198CEA44" w14:textId="77777777" w:rsidR="003767E2" w:rsidRPr="008E78A2" w:rsidRDefault="003767E2" w:rsidP="003767E2">
      <w:pPr>
        <w:pStyle w:val="notetext"/>
      </w:pPr>
      <w:r w:rsidRPr="008E78A2">
        <w:rPr>
          <w:snapToGrid w:val="0"/>
          <w:lang w:eastAsia="en-US"/>
        </w:rPr>
        <w:t>Note:</w:t>
      </w:r>
      <w:r w:rsidRPr="008E78A2">
        <w:rPr>
          <w:snapToGrid w:val="0"/>
          <w:lang w:eastAsia="en-US"/>
        </w:rPr>
        <w:tab/>
        <w:t>This table relates only to the provisions of this instrument</w:t>
      </w:r>
      <w:r w:rsidRPr="008E78A2">
        <w:t xml:space="preserve"> </w:t>
      </w:r>
      <w:r w:rsidRPr="008E78A2">
        <w:rPr>
          <w:snapToGrid w:val="0"/>
          <w:lang w:eastAsia="en-US"/>
        </w:rPr>
        <w:t>as originally made. It will not be amended to deal with any later amendments of this instrument.</w:t>
      </w:r>
    </w:p>
    <w:p w14:paraId="4E040546" w14:textId="77777777" w:rsidR="003767E2" w:rsidRPr="008E78A2" w:rsidRDefault="003767E2" w:rsidP="003767E2">
      <w:pPr>
        <w:pStyle w:val="subsection"/>
      </w:pPr>
      <w:r w:rsidRPr="008E78A2">
        <w:tab/>
        <w:t>(2)</w:t>
      </w:r>
      <w:r w:rsidRPr="008E78A2">
        <w:tab/>
        <w:t>Any information in column 3 of the table is not part of this instrument. Information may be inserted in this column, or information in it may be edited, in any published version of this instrument.</w:t>
      </w:r>
    </w:p>
    <w:p w14:paraId="0B4B2EB7" w14:textId="77777777" w:rsidR="00554826" w:rsidRPr="008E78A2" w:rsidRDefault="00554826" w:rsidP="00554826">
      <w:pPr>
        <w:pStyle w:val="ActHead5"/>
      </w:pPr>
      <w:bookmarkStart w:id="3" w:name="_Toc80878882"/>
      <w:r w:rsidRPr="008E78A2">
        <w:t>3  Authority</w:t>
      </w:r>
      <w:bookmarkEnd w:id="3"/>
    </w:p>
    <w:p w14:paraId="5E4BE59D" w14:textId="32688E85" w:rsidR="00554826" w:rsidRPr="008E78A2" w:rsidRDefault="00554826" w:rsidP="00554826">
      <w:pPr>
        <w:pStyle w:val="subsection"/>
      </w:pPr>
      <w:r w:rsidRPr="008E78A2">
        <w:tab/>
      </w:r>
      <w:r w:rsidRPr="008E78A2">
        <w:tab/>
        <w:t xml:space="preserve">This instrument is made under </w:t>
      </w:r>
      <w:r w:rsidR="00FE03BF" w:rsidRPr="008E78A2">
        <w:t xml:space="preserve">section 176C of the </w:t>
      </w:r>
      <w:r w:rsidR="00FE03BF" w:rsidRPr="008E78A2">
        <w:rPr>
          <w:i/>
          <w:iCs/>
        </w:rPr>
        <w:t>Education Services for Overseas Students Act 2000</w:t>
      </w:r>
      <w:r w:rsidR="00FE03BF" w:rsidRPr="008E78A2">
        <w:t>.</w:t>
      </w:r>
    </w:p>
    <w:p w14:paraId="3CE834AA" w14:textId="363A02D3" w:rsidR="00554826" w:rsidRPr="008E78A2" w:rsidRDefault="0015619E" w:rsidP="00554826">
      <w:pPr>
        <w:pStyle w:val="ActHead5"/>
      </w:pPr>
      <w:bookmarkStart w:id="4" w:name="_Toc454781205"/>
      <w:bookmarkStart w:id="5" w:name="_Toc80878883"/>
      <w:r w:rsidRPr="008E78A2">
        <w:t>4</w:t>
      </w:r>
      <w:r w:rsidR="00554826" w:rsidRPr="008E78A2">
        <w:t xml:space="preserve">  Schedules</w:t>
      </w:r>
      <w:bookmarkEnd w:id="4"/>
      <w:bookmarkEnd w:id="5"/>
    </w:p>
    <w:p w14:paraId="20F15960" w14:textId="77777777" w:rsidR="00C06FB2" w:rsidRPr="008E78A2" w:rsidRDefault="00554826" w:rsidP="00C06FB2">
      <w:pPr>
        <w:pStyle w:val="subsection"/>
      </w:pPr>
      <w:r w:rsidRPr="008E78A2">
        <w:tab/>
      </w:r>
      <w:r w:rsidRPr="008E78A2">
        <w:tab/>
      </w:r>
      <w:r w:rsidR="00C06FB2" w:rsidRPr="008E78A2">
        <w:t>The item in Schedule 1 to this instrument has effect according to its terms, and the instrument that is specified in Schedule 2 to this instrument is repealed as set out in the applicable item in that Schedule.</w:t>
      </w:r>
    </w:p>
    <w:p w14:paraId="3339459C" w14:textId="181B1646" w:rsidR="00554826" w:rsidRPr="008E78A2" w:rsidRDefault="00554826" w:rsidP="00554826">
      <w:pPr>
        <w:pStyle w:val="subsection"/>
      </w:pPr>
    </w:p>
    <w:p w14:paraId="026AB916" w14:textId="77777777" w:rsidR="00D44C4D" w:rsidRPr="008E78A2" w:rsidRDefault="00D44C4D" w:rsidP="00554826">
      <w:pPr>
        <w:spacing w:line="240" w:lineRule="auto"/>
      </w:pPr>
    </w:p>
    <w:p w14:paraId="5194F9D7" w14:textId="1169CCC2" w:rsidR="003665FA" w:rsidRPr="008E78A2" w:rsidRDefault="003665FA">
      <w:pPr>
        <w:spacing w:line="240" w:lineRule="auto"/>
      </w:pPr>
      <w:r w:rsidRPr="008E78A2">
        <w:br w:type="page"/>
      </w:r>
    </w:p>
    <w:p w14:paraId="22E0F91B" w14:textId="6E2FD2D2" w:rsidR="007E15DC" w:rsidRPr="008E78A2" w:rsidRDefault="002E3BE1" w:rsidP="006A74B6">
      <w:pPr>
        <w:pStyle w:val="ActHead5"/>
      </w:pPr>
      <w:bookmarkStart w:id="6" w:name="_Toc80878884"/>
      <w:r w:rsidRPr="008E78A2">
        <w:lastRenderedPageBreak/>
        <w:t>5</w:t>
      </w:r>
      <w:r w:rsidR="007E15DC" w:rsidRPr="008E78A2">
        <w:t xml:space="preserve">  Outline</w:t>
      </w:r>
      <w:bookmarkEnd w:id="6"/>
    </w:p>
    <w:p w14:paraId="5DBE1165" w14:textId="1733A3A5" w:rsidR="002E3BE1" w:rsidRPr="008E78A2" w:rsidRDefault="002E3BE1" w:rsidP="002E3BE1">
      <w:pPr>
        <w:pStyle w:val="subsection"/>
        <w:rPr>
          <w:rFonts w:eastAsia="Calibri"/>
        </w:rPr>
      </w:pPr>
      <w:r w:rsidRPr="008E78A2">
        <w:rPr>
          <w:rFonts w:eastAsia="Calibri"/>
        </w:rPr>
        <w:tab/>
      </w:r>
      <w:r w:rsidRPr="008E78A2">
        <w:rPr>
          <w:rFonts w:eastAsia="Calibri"/>
        </w:rPr>
        <w:tab/>
        <w:t xml:space="preserve">The Foundation Program Standards </w:t>
      </w:r>
      <w:r w:rsidR="00D25BD1" w:rsidRPr="008E78A2">
        <w:rPr>
          <w:rFonts w:eastAsia="Calibri"/>
        </w:rPr>
        <w:t>for the purposes of su</w:t>
      </w:r>
      <w:r w:rsidRPr="008E78A2">
        <w:rPr>
          <w:rFonts w:eastAsia="Calibri"/>
        </w:rPr>
        <w:t>bsection 176</w:t>
      </w:r>
      <w:r w:rsidR="00A2044C" w:rsidRPr="008E78A2">
        <w:rPr>
          <w:rFonts w:eastAsia="Calibri"/>
        </w:rPr>
        <w:t>C(</w:t>
      </w:r>
      <w:r w:rsidRPr="008E78A2">
        <w:rPr>
          <w:rFonts w:eastAsia="Calibri"/>
        </w:rPr>
        <w:t xml:space="preserve">1) of the </w:t>
      </w:r>
      <w:r w:rsidR="00D25BD1" w:rsidRPr="008E78A2">
        <w:rPr>
          <w:rFonts w:eastAsia="Calibri"/>
          <w:i/>
          <w:iCs/>
        </w:rPr>
        <w:t xml:space="preserve">Education Services for Overseas Students </w:t>
      </w:r>
      <w:r w:rsidRPr="008E78A2">
        <w:rPr>
          <w:rFonts w:eastAsia="Calibri"/>
          <w:i/>
          <w:iCs/>
        </w:rPr>
        <w:t>Act</w:t>
      </w:r>
      <w:r w:rsidR="00D25BD1" w:rsidRPr="008E78A2">
        <w:rPr>
          <w:rFonts w:eastAsia="Calibri"/>
          <w:i/>
          <w:iCs/>
        </w:rPr>
        <w:t xml:space="preserve"> 2000</w:t>
      </w:r>
      <w:r w:rsidRPr="008E78A2">
        <w:rPr>
          <w:rFonts w:eastAsia="Calibri"/>
        </w:rPr>
        <w:t xml:space="preserve"> are set out in this instrument.</w:t>
      </w:r>
    </w:p>
    <w:p w14:paraId="0305444A" w14:textId="1B91116A" w:rsidR="00EA2A59" w:rsidRPr="008E78A2" w:rsidRDefault="00FA5513" w:rsidP="00AC7CDB">
      <w:pPr>
        <w:pStyle w:val="ActHead5"/>
      </w:pPr>
      <w:bookmarkStart w:id="7" w:name="_Toc80878885"/>
      <w:r w:rsidRPr="008E78A2">
        <w:t>6</w:t>
      </w:r>
      <w:r w:rsidR="003E5479" w:rsidRPr="008E78A2">
        <w:t xml:space="preserve">  Application</w:t>
      </w:r>
      <w:r w:rsidR="007E15DC" w:rsidRPr="008E78A2">
        <w:t xml:space="preserve"> to provider</w:t>
      </w:r>
      <w:r w:rsidR="00312F25" w:rsidRPr="008E78A2">
        <w:t>s</w:t>
      </w:r>
      <w:bookmarkEnd w:id="7"/>
      <w:r w:rsidR="00621134" w:rsidRPr="008E78A2">
        <w:tab/>
      </w:r>
    </w:p>
    <w:p w14:paraId="523C9F19" w14:textId="08C7E547" w:rsidR="004F3D27" w:rsidRPr="008E78A2" w:rsidRDefault="00EA2A59" w:rsidP="008D3A9F">
      <w:pPr>
        <w:pStyle w:val="subsection"/>
      </w:pPr>
      <w:r w:rsidRPr="008E78A2">
        <w:rPr>
          <w:rFonts w:eastAsia="Calibri"/>
        </w:rPr>
        <w:tab/>
      </w:r>
      <w:r w:rsidR="00621134" w:rsidRPr="008E78A2">
        <w:rPr>
          <w:rFonts w:eastAsia="Calibri"/>
        </w:rPr>
        <w:t>(1)</w:t>
      </w:r>
      <w:r w:rsidR="00621134" w:rsidRPr="008E78A2">
        <w:rPr>
          <w:rFonts w:eastAsia="Calibri"/>
        </w:rPr>
        <w:tab/>
      </w:r>
      <w:r w:rsidR="006841A3" w:rsidRPr="008E78A2">
        <w:rPr>
          <w:rFonts w:eastAsia="Calibri"/>
        </w:rPr>
        <w:t xml:space="preserve">The </w:t>
      </w:r>
      <w:r w:rsidR="00621134" w:rsidRPr="008E78A2">
        <w:rPr>
          <w:rFonts w:eastAsia="Calibri"/>
        </w:rPr>
        <w:t>Foundation Program Standards</w:t>
      </w:r>
      <w:r w:rsidR="006841A3" w:rsidRPr="008E78A2">
        <w:rPr>
          <w:rFonts w:eastAsia="Calibri"/>
        </w:rPr>
        <w:t xml:space="preserve"> apply to </w:t>
      </w:r>
      <w:r w:rsidR="00FF43EC" w:rsidRPr="008E78A2">
        <w:rPr>
          <w:rFonts w:eastAsia="Calibri"/>
        </w:rPr>
        <w:t xml:space="preserve">a provider </w:t>
      </w:r>
      <w:r w:rsidR="0015619E" w:rsidRPr="008E78A2">
        <w:rPr>
          <w:rFonts w:eastAsia="Calibri"/>
        </w:rPr>
        <w:t>in the provision of a Foundation Program</w:t>
      </w:r>
      <w:r w:rsidR="008D3A9F" w:rsidRPr="008E78A2">
        <w:rPr>
          <w:rFonts w:eastAsia="Calibri"/>
        </w:rPr>
        <w:t xml:space="preserve">, </w:t>
      </w:r>
      <w:r w:rsidR="004F3D27" w:rsidRPr="008E78A2">
        <w:rPr>
          <w:snapToGrid w:val="0"/>
          <w:lang w:eastAsia="en-US"/>
        </w:rPr>
        <w:t>includ</w:t>
      </w:r>
      <w:r w:rsidR="008D3A9F" w:rsidRPr="008E78A2">
        <w:rPr>
          <w:snapToGrid w:val="0"/>
          <w:lang w:eastAsia="en-US"/>
        </w:rPr>
        <w:t>ing</w:t>
      </w:r>
      <w:r w:rsidR="00C06FB2" w:rsidRPr="008E78A2">
        <w:rPr>
          <w:snapToGrid w:val="0"/>
          <w:lang w:eastAsia="en-US"/>
        </w:rPr>
        <w:t xml:space="preserve"> in</w:t>
      </w:r>
      <w:r w:rsidR="004F3D27" w:rsidRPr="008E78A2">
        <w:rPr>
          <w:snapToGrid w:val="0"/>
          <w:lang w:eastAsia="en-US"/>
        </w:rPr>
        <w:t xml:space="preserve"> the provision of a</w:t>
      </w:r>
      <w:r w:rsidR="00C76F1D" w:rsidRPr="008E78A2">
        <w:rPr>
          <w:snapToGrid w:val="0"/>
          <w:lang w:eastAsia="en-US"/>
        </w:rPr>
        <w:t>ny part of a</w:t>
      </w:r>
      <w:r w:rsidR="004F3D27" w:rsidRPr="008E78A2">
        <w:rPr>
          <w:snapToGrid w:val="0"/>
          <w:lang w:eastAsia="en-US"/>
        </w:rPr>
        <w:t xml:space="preserve"> Foundation Program through arrangement</w:t>
      </w:r>
      <w:r w:rsidR="00C76F1D" w:rsidRPr="008E78A2">
        <w:rPr>
          <w:snapToGrid w:val="0"/>
          <w:lang w:eastAsia="en-US"/>
        </w:rPr>
        <w:t>s</w:t>
      </w:r>
      <w:r w:rsidR="004F3D27" w:rsidRPr="008E78A2">
        <w:rPr>
          <w:snapToGrid w:val="0"/>
          <w:lang w:eastAsia="en-US"/>
        </w:rPr>
        <w:t xml:space="preserve"> with another party or parties, whether in Australia or overseas.</w:t>
      </w:r>
    </w:p>
    <w:p w14:paraId="37970C45" w14:textId="7DAD320A" w:rsidR="006841A3" w:rsidRPr="008E78A2" w:rsidRDefault="00E76E54" w:rsidP="003E5479">
      <w:pPr>
        <w:pStyle w:val="subsection"/>
      </w:pPr>
      <w:r w:rsidRPr="008E78A2">
        <w:tab/>
        <w:t>(</w:t>
      </w:r>
      <w:r w:rsidR="008D3A9F" w:rsidRPr="008E78A2">
        <w:t>2</w:t>
      </w:r>
      <w:r w:rsidRPr="008E78A2">
        <w:t>)</w:t>
      </w:r>
      <w:r w:rsidRPr="008E78A2">
        <w:tab/>
      </w:r>
      <w:r w:rsidR="0017139D" w:rsidRPr="008E78A2">
        <w:t xml:space="preserve">Despite subsection (1), </w:t>
      </w:r>
      <w:r w:rsidR="00C76F1D" w:rsidRPr="008E78A2">
        <w:t xml:space="preserve">the Foundation Program Standards do not apply to </w:t>
      </w:r>
      <w:r w:rsidR="0017139D" w:rsidRPr="008E78A2">
        <w:t>a</w:t>
      </w:r>
      <w:r w:rsidR="006841A3" w:rsidRPr="008E78A2">
        <w:t xml:space="preserve"> </w:t>
      </w:r>
      <w:r w:rsidR="00FF43EC" w:rsidRPr="008E78A2">
        <w:t xml:space="preserve">provider </w:t>
      </w:r>
      <w:r w:rsidR="0015619E" w:rsidRPr="008E78A2">
        <w:t xml:space="preserve">in the provision of </w:t>
      </w:r>
      <w:r w:rsidR="008D3A9F" w:rsidRPr="008E78A2">
        <w:t xml:space="preserve">one or more of </w:t>
      </w:r>
      <w:r w:rsidR="0015619E" w:rsidRPr="008E78A2">
        <w:t>the following:</w:t>
      </w:r>
      <w:r w:rsidR="006841A3" w:rsidRPr="008E78A2">
        <w:t xml:space="preserve"> </w:t>
      </w:r>
    </w:p>
    <w:p w14:paraId="4A337250" w14:textId="6AA52286" w:rsidR="00312F25" w:rsidRPr="008E78A2" w:rsidRDefault="00312F25" w:rsidP="00312F25">
      <w:pPr>
        <w:pStyle w:val="paragraph"/>
      </w:pPr>
      <w:r w:rsidRPr="008E78A2">
        <w:tab/>
        <w:t>(a)</w:t>
      </w:r>
      <w:r w:rsidRPr="008E78A2">
        <w:tab/>
      </w:r>
      <w:r w:rsidR="00504AF8" w:rsidRPr="008E78A2">
        <w:rPr>
          <w:color w:val="000000"/>
          <w:szCs w:val="22"/>
          <w:shd w:val="clear" w:color="auto" w:fill="FFFFFF"/>
        </w:rPr>
        <w:t xml:space="preserve">a course of education at a level that, under section 15 of the </w:t>
      </w:r>
      <w:r w:rsidR="00504AF8" w:rsidRPr="008E78A2">
        <w:rPr>
          <w:i/>
          <w:iCs/>
          <w:color w:val="000000"/>
          <w:szCs w:val="22"/>
          <w:shd w:val="clear" w:color="auto" w:fill="FFFFFF"/>
        </w:rPr>
        <w:t>Australian Education Act 2013</w:t>
      </w:r>
      <w:r w:rsidR="00504AF8" w:rsidRPr="008E78A2">
        <w:rPr>
          <w:color w:val="000000"/>
          <w:szCs w:val="22"/>
          <w:shd w:val="clear" w:color="auto" w:fill="FFFFFF"/>
        </w:rPr>
        <w:t>, constitutes primary education or secondary education;</w:t>
      </w:r>
    </w:p>
    <w:p w14:paraId="32B55103" w14:textId="77777777" w:rsidR="00312F25" w:rsidRPr="008E78A2" w:rsidRDefault="00312F25" w:rsidP="00312F25">
      <w:pPr>
        <w:pStyle w:val="paragraph"/>
      </w:pPr>
      <w:r w:rsidRPr="008E78A2">
        <w:tab/>
        <w:t>(b)</w:t>
      </w:r>
      <w:r w:rsidRPr="008E78A2">
        <w:tab/>
        <w:t>an ELICOS;</w:t>
      </w:r>
    </w:p>
    <w:p w14:paraId="70F1B3C8" w14:textId="77777777" w:rsidR="00312F25" w:rsidRPr="008E78A2" w:rsidRDefault="00312F25" w:rsidP="00312F25">
      <w:pPr>
        <w:pStyle w:val="paragraph"/>
      </w:pPr>
      <w:r w:rsidRPr="008E78A2">
        <w:tab/>
        <w:t xml:space="preserve">(c) </w:t>
      </w:r>
      <w:r w:rsidRPr="008E78A2">
        <w:tab/>
        <w:t>a course which leads to a qualification recognised under the Australian Qualifications Framework; or</w:t>
      </w:r>
    </w:p>
    <w:p w14:paraId="47ECA53C" w14:textId="0AF785AE" w:rsidR="002B3FB6" w:rsidRPr="008E78A2" w:rsidRDefault="00312F25" w:rsidP="00D56EBC">
      <w:pPr>
        <w:pStyle w:val="paragraph"/>
      </w:pPr>
      <w:r w:rsidRPr="008E78A2">
        <w:tab/>
        <w:t xml:space="preserve">(d) </w:t>
      </w:r>
      <w:r w:rsidRPr="008E78A2">
        <w:tab/>
        <w:t>an undergraduate preparatory program delivered exclusively to non</w:t>
      </w:r>
      <w:r w:rsidRPr="008E78A2">
        <w:noBreakHyphen/>
        <w:t>student visa holders.</w:t>
      </w:r>
    </w:p>
    <w:p w14:paraId="7682E8B2" w14:textId="5353A401" w:rsidR="00D6294A" w:rsidRPr="008E78A2" w:rsidRDefault="00FA5513" w:rsidP="00D6294A">
      <w:pPr>
        <w:pStyle w:val="ActHead5"/>
      </w:pPr>
      <w:bookmarkStart w:id="8" w:name="_Toc80878886"/>
      <w:r w:rsidRPr="008E78A2">
        <w:t>7</w:t>
      </w:r>
      <w:r w:rsidR="00D6294A" w:rsidRPr="008E78A2">
        <w:t xml:space="preserve">  Definitions</w:t>
      </w:r>
      <w:bookmarkEnd w:id="8"/>
    </w:p>
    <w:p w14:paraId="1725EDD3" w14:textId="4AAD8D54" w:rsidR="00D6294A" w:rsidRPr="008E78A2" w:rsidRDefault="00D6294A" w:rsidP="00D6294A">
      <w:pPr>
        <w:pStyle w:val="notetext"/>
      </w:pPr>
      <w:r w:rsidRPr="008E78A2">
        <w:t>Note:</w:t>
      </w:r>
      <w:r w:rsidRPr="008E78A2">
        <w:tab/>
        <w:t>A number of expressions used in this instrument are defined in the Act, including the following:</w:t>
      </w:r>
    </w:p>
    <w:p w14:paraId="4178A00B" w14:textId="0E3AC7B9" w:rsidR="001241EF" w:rsidRPr="008E78A2" w:rsidRDefault="001241EF" w:rsidP="001241EF">
      <w:pPr>
        <w:pStyle w:val="notepara"/>
        <w:numPr>
          <w:ilvl w:val="0"/>
          <w:numId w:val="15"/>
        </w:numPr>
      </w:pPr>
      <w:r w:rsidRPr="008E78A2">
        <w:t>Australian Qualifications Framework</w:t>
      </w:r>
    </w:p>
    <w:p w14:paraId="000CBAE9" w14:textId="1B8AC794" w:rsidR="00BE2026" w:rsidRPr="008E78A2" w:rsidRDefault="00BE2026" w:rsidP="001241EF">
      <w:pPr>
        <w:pStyle w:val="notepara"/>
        <w:numPr>
          <w:ilvl w:val="0"/>
          <w:numId w:val="15"/>
        </w:numPr>
      </w:pPr>
      <w:r w:rsidRPr="008E78A2">
        <w:t>ELICOS</w:t>
      </w:r>
    </w:p>
    <w:p w14:paraId="36173010" w14:textId="15365BE3" w:rsidR="000A036C" w:rsidRPr="008E78A2" w:rsidRDefault="000A036C" w:rsidP="001241EF">
      <w:pPr>
        <w:pStyle w:val="notepara"/>
        <w:numPr>
          <w:ilvl w:val="0"/>
          <w:numId w:val="15"/>
        </w:numPr>
      </w:pPr>
      <w:r w:rsidRPr="008E78A2">
        <w:t>ESOS agency</w:t>
      </w:r>
    </w:p>
    <w:p w14:paraId="4BA091C0" w14:textId="7A35CEF7" w:rsidR="001241EF" w:rsidRPr="008E78A2" w:rsidRDefault="001241EF" w:rsidP="001241EF">
      <w:pPr>
        <w:pStyle w:val="notepara"/>
        <w:numPr>
          <w:ilvl w:val="0"/>
          <w:numId w:val="15"/>
        </w:numPr>
      </w:pPr>
      <w:r w:rsidRPr="008E78A2">
        <w:t>Foundation Program Standards</w:t>
      </w:r>
    </w:p>
    <w:p w14:paraId="7D51D74F" w14:textId="2AC1D213" w:rsidR="007D46C3" w:rsidRPr="008E78A2" w:rsidRDefault="00E662DA" w:rsidP="001241EF">
      <w:pPr>
        <w:pStyle w:val="notepara"/>
        <w:numPr>
          <w:ilvl w:val="0"/>
          <w:numId w:val="15"/>
        </w:numPr>
      </w:pPr>
      <w:r w:rsidRPr="008E78A2">
        <w:t>national code</w:t>
      </w:r>
    </w:p>
    <w:p w14:paraId="64920ADF" w14:textId="02AFC25E" w:rsidR="007D46C3" w:rsidRPr="008E78A2" w:rsidRDefault="000A036C" w:rsidP="007D46C3">
      <w:pPr>
        <w:pStyle w:val="notepara"/>
        <w:numPr>
          <w:ilvl w:val="0"/>
          <w:numId w:val="15"/>
        </w:numPr>
      </w:pPr>
      <w:r w:rsidRPr="008E78A2">
        <w:t>overseas student</w:t>
      </w:r>
    </w:p>
    <w:p w14:paraId="6A043EBA" w14:textId="731A5F96" w:rsidR="001241EF" w:rsidRPr="008E78A2" w:rsidRDefault="000A036C" w:rsidP="001241EF">
      <w:pPr>
        <w:pStyle w:val="notepara"/>
        <w:numPr>
          <w:ilvl w:val="0"/>
          <w:numId w:val="15"/>
        </w:numPr>
      </w:pPr>
      <w:r w:rsidRPr="008E78A2">
        <w:t>p</w:t>
      </w:r>
      <w:r w:rsidR="001241EF" w:rsidRPr="008E78A2">
        <w:t>rovider</w:t>
      </w:r>
    </w:p>
    <w:p w14:paraId="55D1FA9F" w14:textId="34801202" w:rsidR="00156B7A" w:rsidRPr="008E78A2" w:rsidRDefault="00156B7A" w:rsidP="001241EF">
      <w:pPr>
        <w:pStyle w:val="notepara"/>
        <w:numPr>
          <w:ilvl w:val="0"/>
          <w:numId w:val="15"/>
        </w:numPr>
      </w:pPr>
      <w:r w:rsidRPr="008E78A2">
        <w:t>registered provider.</w:t>
      </w:r>
    </w:p>
    <w:p w14:paraId="64736AC4" w14:textId="77777777" w:rsidR="00D6294A" w:rsidRPr="008E78A2" w:rsidRDefault="00D6294A" w:rsidP="00D6294A">
      <w:pPr>
        <w:pStyle w:val="subsection"/>
      </w:pPr>
      <w:r w:rsidRPr="008E78A2">
        <w:tab/>
      </w:r>
      <w:r w:rsidRPr="008E78A2">
        <w:tab/>
        <w:t>In this instrument:</w:t>
      </w:r>
    </w:p>
    <w:p w14:paraId="53BC8634" w14:textId="77777777" w:rsidR="00E6533F" w:rsidRPr="008E78A2" w:rsidRDefault="00E6533F" w:rsidP="00D6294A">
      <w:pPr>
        <w:pStyle w:val="Definition"/>
      </w:pPr>
      <w:r w:rsidRPr="008E78A2">
        <w:rPr>
          <w:b/>
          <w:i/>
        </w:rPr>
        <w:t>Act</w:t>
      </w:r>
      <w:r w:rsidRPr="008E78A2">
        <w:t xml:space="preserve"> means the </w:t>
      </w:r>
      <w:r w:rsidRPr="008E78A2">
        <w:rPr>
          <w:i/>
          <w:iCs/>
        </w:rPr>
        <w:t>Education Services for Overseas Students Act 2000</w:t>
      </w:r>
      <w:r w:rsidRPr="008E78A2">
        <w:t>.</w:t>
      </w:r>
    </w:p>
    <w:p w14:paraId="027554D5" w14:textId="77777777" w:rsidR="00E6533F" w:rsidRPr="008E78A2" w:rsidRDefault="00E6533F" w:rsidP="000563AC">
      <w:pPr>
        <w:pStyle w:val="Definition"/>
        <w:rPr>
          <w:bCs/>
          <w:iCs/>
        </w:rPr>
      </w:pPr>
      <w:r w:rsidRPr="008E78A2">
        <w:rPr>
          <w:b/>
          <w:i/>
        </w:rPr>
        <w:t>Course information</w:t>
      </w:r>
      <w:r w:rsidRPr="008E78A2">
        <w:rPr>
          <w:bCs/>
          <w:iCs/>
        </w:rPr>
        <w:t xml:space="preserve"> includes Foundation Program prospectuses, brochures, syllabuses, website material and other documents designed to inform prospective students about the course.</w:t>
      </w:r>
    </w:p>
    <w:p w14:paraId="6A441DFB" w14:textId="12A6BE84" w:rsidR="00E6533F" w:rsidRPr="008E78A2" w:rsidRDefault="00E6533F" w:rsidP="000563AC">
      <w:pPr>
        <w:pStyle w:val="Definition"/>
        <w:rPr>
          <w:bCs/>
          <w:iCs/>
        </w:rPr>
      </w:pPr>
      <w:r w:rsidRPr="008E78A2">
        <w:rPr>
          <w:b/>
          <w:i/>
        </w:rPr>
        <w:t>Course material</w:t>
      </w:r>
      <w:r w:rsidRPr="008E78A2">
        <w:rPr>
          <w:bCs/>
          <w:iCs/>
        </w:rPr>
        <w:t xml:space="preserve"> means</w:t>
      </w:r>
      <w:r w:rsidRPr="008E78A2">
        <w:t xml:space="preserve"> guidance documents, teaching or educational materials (written or other, such as books, online </w:t>
      </w:r>
      <w:r w:rsidR="00A2044C" w:rsidRPr="008E78A2">
        <w:t>material,</w:t>
      </w:r>
      <w:r w:rsidRPr="008E78A2">
        <w:t xml:space="preserve"> or equipment) and any other materials that are relevant to a specific subject or the Foundation Program as a whole.</w:t>
      </w:r>
    </w:p>
    <w:p w14:paraId="523F25A3" w14:textId="77777777" w:rsidR="00E6533F" w:rsidRPr="008E78A2" w:rsidRDefault="00E6533F" w:rsidP="000563AC">
      <w:pPr>
        <w:pStyle w:val="Definition"/>
        <w:rPr>
          <w:bCs/>
          <w:iCs/>
        </w:rPr>
      </w:pPr>
      <w:r w:rsidRPr="008E78A2">
        <w:rPr>
          <w:b/>
          <w:i/>
        </w:rPr>
        <w:t xml:space="preserve">CRICOS </w:t>
      </w:r>
      <w:r w:rsidRPr="008E78A2">
        <w:rPr>
          <w:bCs/>
          <w:iCs/>
        </w:rPr>
        <w:t>means</w:t>
      </w:r>
      <w:r w:rsidRPr="008E78A2">
        <w:rPr>
          <w:b/>
          <w:i/>
        </w:rPr>
        <w:t xml:space="preserve"> </w:t>
      </w:r>
      <w:r w:rsidRPr="008E78A2">
        <w:rPr>
          <w:bCs/>
          <w:iCs/>
        </w:rPr>
        <w:t>Commonwealth Register of Institutions and Courses for Overseas Students.</w:t>
      </w:r>
    </w:p>
    <w:p w14:paraId="5B93CDEE" w14:textId="77777777" w:rsidR="00E6533F" w:rsidRPr="008E78A2" w:rsidRDefault="00E6533F" w:rsidP="000563AC">
      <w:pPr>
        <w:pStyle w:val="Definition"/>
      </w:pPr>
      <w:r w:rsidRPr="008E78A2">
        <w:rPr>
          <w:b/>
          <w:bCs/>
          <w:i/>
          <w:iCs/>
        </w:rPr>
        <w:lastRenderedPageBreak/>
        <w:t>Discipline</w:t>
      </w:r>
      <w:r w:rsidRPr="008E78A2">
        <w:rPr>
          <w:b/>
          <w:bCs/>
          <w:i/>
          <w:iCs/>
        </w:rPr>
        <w:noBreakHyphen/>
        <w:t xml:space="preserve">based subjects </w:t>
      </w:r>
      <w:r w:rsidRPr="008E78A2">
        <w:t>are subjects that primarily focus in</w:t>
      </w:r>
      <w:r w:rsidRPr="008E78A2">
        <w:noBreakHyphen/>
        <w:t>depth on a distinct field of study or key learning area.</w:t>
      </w:r>
    </w:p>
    <w:p w14:paraId="50501CFE" w14:textId="6216C787" w:rsidR="00E6533F" w:rsidRPr="008E78A2" w:rsidRDefault="00E6533F" w:rsidP="000563AC">
      <w:pPr>
        <w:pStyle w:val="Definition"/>
      </w:pPr>
      <w:r w:rsidRPr="008E78A2">
        <w:rPr>
          <w:b/>
          <w:bCs/>
          <w:i/>
          <w:iCs/>
        </w:rPr>
        <w:t>English language learning</w:t>
      </w:r>
      <w:r w:rsidRPr="008E78A2">
        <w:t xml:space="preserve"> has the meaning given by paragraph 12(4)(a).</w:t>
      </w:r>
    </w:p>
    <w:p w14:paraId="2C752DF1" w14:textId="70FD1B7E" w:rsidR="00E6533F" w:rsidRPr="008E78A2" w:rsidRDefault="00E6533F" w:rsidP="000563AC">
      <w:pPr>
        <w:pStyle w:val="Definition"/>
      </w:pPr>
      <w:r w:rsidRPr="008E78A2">
        <w:rPr>
          <w:b/>
          <w:bCs/>
          <w:i/>
          <w:iCs/>
        </w:rPr>
        <w:t xml:space="preserve">English language teaching qualification </w:t>
      </w:r>
      <w:r w:rsidRPr="008E78A2">
        <w:t>has the meaning given by subsection</w:t>
      </w:r>
      <w:r w:rsidR="009B6AB5" w:rsidRPr="008E78A2">
        <w:t> </w:t>
      </w:r>
      <w:r w:rsidRPr="008E78A2">
        <w:t>1</w:t>
      </w:r>
      <w:r w:rsidR="009B6AB5" w:rsidRPr="008E78A2">
        <w:t>5</w:t>
      </w:r>
      <w:r w:rsidRPr="008E78A2">
        <w:t>(3).</w:t>
      </w:r>
    </w:p>
    <w:p w14:paraId="26703F15" w14:textId="77777777" w:rsidR="00E6533F" w:rsidRPr="008E78A2" w:rsidRDefault="00E6533F" w:rsidP="00DE4772">
      <w:pPr>
        <w:pStyle w:val="Definition"/>
        <w:rPr>
          <w:bCs/>
          <w:iCs/>
        </w:rPr>
      </w:pPr>
      <w:r w:rsidRPr="008E78A2">
        <w:rPr>
          <w:b/>
          <w:i/>
        </w:rPr>
        <w:t>ESL/EFL</w:t>
      </w:r>
      <w:r w:rsidRPr="008E78A2">
        <w:rPr>
          <w:bCs/>
          <w:iCs/>
        </w:rPr>
        <w:t xml:space="preserve"> means English as a Second Language or English as a Foreign Language.</w:t>
      </w:r>
    </w:p>
    <w:p w14:paraId="3B30DBE0" w14:textId="77777777" w:rsidR="00E6533F" w:rsidRPr="008E78A2" w:rsidRDefault="00E6533F" w:rsidP="00AF6D56">
      <w:pPr>
        <w:pStyle w:val="Definition"/>
        <w:rPr>
          <w:b/>
          <w:i/>
        </w:rPr>
      </w:pPr>
      <w:r w:rsidRPr="008E78A2">
        <w:rPr>
          <w:b/>
          <w:i/>
        </w:rPr>
        <w:t>Extended Foundation Program</w:t>
      </w:r>
      <w:r w:rsidRPr="008E78A2">
        <w:rPr>
          <w:bCs/>
          <w:iCs/>
        </w:rPr>
        <w:t xml:space="preserve"> means a Foundation Program which consists of at least 37 teaching weeks and no more than 78 teaching weeks.</w:t>
      </w:r>
    </w:p>
    <w:p w14:paraId="5C6FF2A5" w14:textId="77777777" w:rsidR="00E6533F" w:rsidRPr="008E78A2" w:rsidRDefault="00E6533F" w:rsidP="000563AC">
      <w:pPr>
        <w:pStyle w:val="Definition"/>
      </w:pPr>
      <w:r w:rsidRPr="008E78A2">
        <w:rPr>
          <w:b/>
          <w:bCs/>
          <w:i/>
          <w:iCs/>
        </w:rPr>
        <w:t>Formal class contact time</w:t>
      </w:r>
      <w:r w:rsidRPr="008E78A2">
        <w:t xml:space="preserve"> has the meaning given by paragraph 12(4)(b).</w:t>
      </w:r>
    </w:p>
    <w:p w14:paraId="4DBC8EB7" w14:textId="77777777" w:rsidR="00E6533F" w:rsidRPr="008E78A2" w:rsidRDefault="00E6533F" w:rsidP="000563AC">
      <w:pPr>
        <w:pStyle w:val="Definition"/>
      </w:pPr>
      <w:r w:rsidRPr="008E78A2">
        <w:rPr>
          <w:b/>
          <w:bCs/>
          <w:i/>
          <w:iCs/>
        </w:rPr>
        <w:t>Formally assessed coursework</w:t>
      </w:r>
      <w:r w:rsidRPr="008E78A2">
        <w:rPr>
          <w:i/>
          <w:iCs/>
        </w:rPr>
        <w:t xml:space="preserve"> </w:t>
      </w:r>
      <w:r w:rsidRPr="008E78A2">
        <w:t>includes classroom tests, presentations, research projects, assessed practical work and other assignments, but does not include examinations.</w:t>
      </w:r>
    </w:p>
    <w:p w14:paraId="55BBD619" w14:textId="77777777" w:rsidR="00E6533F" w:rsidRPr="008E78A2" w:rsidRDefault="00E6533F" w:rsidP="000563AC">
      <w:pPr>
        <w:pStyle w:val="Definition"/>
      </w:pPr>
      <w:r w:rsidRPr="008E78A2">
        <w:rPr>
          <w:b/>
          <w:bCs/>
          <w:i/>
          <w:iCs/>
        </w:rPr>
        <w:t>Formative assessment</w:t>
      </w:r>
      <w:r w:rsidRPr="008E78A2">
        <w:t xml:space="preserve"> means informal or formal assessment carried out over the duration of a course which provides feedback on student progress towards course outcomes or learning goals.</w:t>
      </w:r>
    </w:p>
    <w:p w14:paraId="22117232" w14:textId="77777777" w:rsidR="00E6533F" w:rsidRPr="008E78A2" w:rsidRDefault="00E6533F" w:rsidP="000563AC">
      <w:pPr>
        <w:pStyle w:val="Definition"/>
        <w:rPr>
          <w:bCs/>
          <w:iCs/>
        </w:rPr>
      </w:pPr>
      <w:r w:rsidRPr="008E78A2">
        <w:rPr>
          <w:b/>
          <w:i/>
        </w:rPr>
        <w:t>Full-time</w:t>
      </w:r>
      <w:r w:rsidRPr="008E78A2">
        <w:rPr>
          <w:bCs/>
          <w:iCs/>
        </w:rPr>
        <w:t xml:space="preserve"> means at least 20 hours of scheduled course contact hours per teaching week.</w:t>
      </w:r>
    </w:p>
    <w:p w14:paraId="1256BE56" w14:textId="77AE5A9F" w:rsidR="00E6533F" w:rsidRPr="008E78A2" w:rsidRDefault="00E6533F" w:rsidP="000563AC">
      <w:pPr>
        <w:pStyle w:val="Definition"/>
        <w:rPr>
          <w:bCs/>
          <w:iCs/>
        </w:rPr>
      </w:pPr>
      <w:r w:rsidRPr="008E78A2">
        <w:rPr>
          <w:b/>
          <w:i/>
        </w:rPr>
        <w:t>Generalist program</w:t>
      </w:r>
      <w:r w:rsidRPr="008E78A2">
        <w:rPr>
          <w:bCs/>
          <w:iCs/>
        </w:rPr>
        <w:t xml:space="preserve"> means a Foundation Program covering a broad range of disciplines, including four compulsory study areas, and English language subjects to prepare students for a range of undergraduate </w:t>
      </w:r>
      <w:r w:rsidR="008572E0" w:rsidRPr="008E78A2">
        <w:rPr>
          <w:bCs/>
          <w:iCs/>
        </w:rPr>
        <w:t>studies</w:t>
      </w:r>
      <w:r w:rsidRPr="008E78A2">
        <w:rPr>
          <w:bCs/>
          <w:iCs/>
        </w:rPr>
        <w:t>.</w:t>
      </w:r>
    </w:p>
    <w:p w14:paraId="24D09860" w14:textId="77777777" w:rsidR="00E6533F" w:rsidRPr="008E78A2" w:rsidRDefault="00E6533F" w:rsidP="000563AC">
      <w:pPr>
        <w:pStyle w:val="Definition"/>
        <w:rPr>
          <w:bCs/>
          <w:iCs/>
        </w:rPr>
      </w:pPr>
      <w:r w:rsidRPr="008E78A2">
        <w:rPr>
          <w:b/>
          <w:i/>
        </w:rPr>
        <w:t>IELTS</w:t>
      </w:r>
      <w:r w:rsidRPr="008E78A2">
        <w:rPr>
          <w:bCs/>
          <w:iCs/>
        </w:rPr>
        <w:t xml:space="preserve"> </w:t>
      </w:r>
      <w:r w:rsidRPr="008E78A2">
        <w:t>means International English Language Testing System.</w:t>
      </w:r>
    </w:p>
    <w:p w14:paraId="71725804" w14:textId="5A298F97" w:rsidR="00E6533F" w:rsidRPr="008E78A2" w:rsidRDefault="00E6533F" w:rsidP="00D6294A">
      <w:pPr>
        <w:pStyle w:val="Definition"/>
        <w:rPr>
          <w:bCs/>
          <w:iCs/>
        </w:rPr>
      </w:pPr>
      <w:r w:rsidRPr="008E78A2">
        <w:rPr>
          <w:b/>
          <w:i/>
        </w:rPr>
        <w:t xml:space="preserve">Scheduled course contact hours </w:t>
      </w:r>
      <w:proofErr w:type="gramStart"/>
      <w:r w:rsidRPr="008E78A2">
        <w:rPr>
          <w:bCs/>
          <w:iCs/>
        </w:rPr>
        <w:t>means</w:t>
      </w:r>
      <w:proofErr w:type="gramEnd"/>
      <w:r w:rsidRPr="008E78A2">
        <w:rPr>
          <w:bCs/>
          <w:iCs/>
        </w:rPr>
        <w:t xml:space="preserve"> the hours for which students enrolled in the course are scheduled to attend, either online or in person, classes, course</w:t>
      </w:r>
      <w:r w:rsidRPr="008E78A2">
        <w:rPr>
          <w:bCs/>
          <w:iCs/>
        </w:rPr>
        <w:noBreakHyphen/>
        <w:t>related information sessions, supervised study sessions and examinations.</w:t>
      </w:r>
    </w:p>
    <w:p w14:paraId="4AA773AF" w14:textId="0522C074" w:rsidR="00E6533F" w:rsidRPr="008E78A2" w:rsidRDefault="00E6533F" w:rsidP="00EA2A59">
      <w:pPr>
        <w:pStyle w:val="Definition"/>
        <w:rPr>
          <w:bCs/>
          <w:iCs/>
        </w:rPr>
      </w:pPr>
      <w:r w:rsidRPr="008E78A2">
        <w:rPr>
          <w:b/>
          <w:i/>
        </w:rPr>
        <w:t>Standard Foundation Program</w:t>
      </w:r>
      <w:r w:rsidRPr="008E78A2">
        <w:rPr>
          <w:bCs/>
          <w:iCs/>
        </w:rPr>
        <w:t xml:space="preserve"> means a Foundation Program which consists of at least 26 teaching weeks and no more than 36 teaching weeks and contains a minimum of 720 scheduled course contact hours.</w:t>
      </w:r>
    </w:p>
    <w:p w14:paraId="150DDF83" w14:textId="317EAAA5" w:rsidR="00E6533F" w:rsidRPr="008E78A2" w:rsidRDefault="00E6533F" w:rsidP="00D6294A">
      <w:pPr>
        <w:pStyle w:val="Definition"/>
        <w:rPr>
          <w:bCs/>
          <w:iCs/>
        </w:rPr>
      </w:pPr>
      <w:r w:rsidRPr="008E78A2">
        <w:rPr>
          <w:b/>
          <w:i/>
        </w:rPr>
        <w:t xml:space="preserve">Stated goal </w:t>
      </w:r>
      <w:r w:rsidRPr="008E78A2">
        <w:rPr>
          <w:bCs/>
          <w:iCs/>
        </w:rPr>
        <w:t>has the meaning given by subsection 13(</w:t>
      </w:r>
      <w:r w:rsidR="007F5EDF" w:rsidRPr="008E78A2">
        <w:rPr>
          <w:bCs/>
          <w:iCs/>
        </w:rPr>
        <w:t>7</w:t>
      </w:r>
      <w:r w:rsidRPr="008E78A2">
        <w:rPr>
          <w:bCs/>
          <w:iCs/>
        </w:rPr>
        <w:t>).</w:t>
      </w:r>
    </w:p>
    <w:p w14:paraId="50445D63" w14:textId="58D605CE" w:rsidR="00E6533F" w:rsidRPr="008E78A2" w:rsidRDefault="00E6533F" w:rsidP="00EA2A59">
      <w:pPr>
        <w:pStyle w:val="Definition"/>
        <w:rPr>
          <w:bCs/>
          <w:iCs/>
        </w:rPr>
      </w:pPr>
      <w:r w:rsidRPr="008E78A2">
        <w:rPr>
          <w:b/>
          <w:i/>
        </w:rPr>
        <w:t>Streamed program</w:t>
      </w:r>
      <w:r w:rsidRPr="008E78A2">
        <w:rPr>
          <w:bCs/>
          <w:iCs/>
        </w:rPr>
        <w:t xml:space="preserve"> means a Foundation Program made up of subjects designed to prepare students for a particular undergraduate field of study and includes English language subjects to develop students’ academic English skills.</w:t>
      </w:r>
    </w:p>
    <w:p w14:paraId="69BF6CAA" w14:textId="0E00481E" w:rsidR="00E6533F" w:rsidRPr="008E78A2" w:rsidRDefault="00E6533F" w:rsidP="00D6294A">
      <w:pPr>
        <w:pStyle w:val="Definition"/>
        <w:rPr>
          <w:bCs/>
          <w:iCs/>
        </w:rPr>
      </w:pPr>
      <w:r w:rsidRPr="008E78A2">
        <w:rPr>
          <w:b/>
          <w:i/>
        </w:rPr>
        <w:t xml:space="preserve">Study period </w:t>
      </w:r>
      <w:r w:rsidRPr="008E78A2">
        <w:rPr>
          <w:bCs/>
          <w:iCs/>
        </w:rPr>
        <w:t xml:space="preserve">means a discrete period of study of no more than 6 months within a course, such as a semester, </w:t>
      </w:r>
      <w:r w:rsidR="00A2044C" w:rsidRPr="008E78A2">
        <w:rPr>
          <w:bCs/>
          <w:iCs/>
        </w:rPr>
        <w:t>session,</w:t>
      </w:r>
      <w:r w:rsidRPr="008E78A2">
        <w:rPr>
          <w:bCs/>
          <w:iCs/>
        </w:rPr>
        <w:t xml:space="preserve"> or term.</w:t>
      </w:r>
    </w:p>
    <w:p w14:paraId="6FB89D75" w14:textId="77777777" w:rsidR="00E6533F" w:rsidRPr="008E78A2" w:rsidRDefault="00E6533F" w:rsidP="00EA2A59">
      <w:pPr>
        <w:pStyle w:val="Definition"/>
        <w:rPr>
          <w:bCs/>
          <w:iCs/>
        </w:rPr>
      </w:pPr>
      <w:r w:rsidRPr="008E78A2">
        <w:rPr>
          <w:b/>
          <w:i/>
        </w:rPr>
        <w:t>Summative assessment</w:t>
      </w:r>
      <w:r w:rsidRPr="008E78A2">
        <w:rPr>
          <w:bCs/>
          <w:iCs/>
        </w:rPr>
        <w:t xml:space="preserve"> means assessment carried out during or at the end of a course of study to determine and specify student achievement of course outcomes or learning goals.</w:t>
      </w:r>
    </w:p>
    <w:p w14:paraId="2CA0D6D8" w14:textId="2CD09A15" w:rsidR="0070064D" w:rsidRPr="008E78A2" w:rsidRDefault="00D6294A" w:rsidP="00D6294A">
      <w:pPr>
        <w:pStyle w:val="ActHead2"/>
      </w:pPr>
      <w:bookmarkStart w:id="9" w:name="_Toc80878887"/>
      <w:r w:rsidRPr="008E78A2">
        <w:lastRenderedPageBreak/>
        <w:t>Part 2—</w:t>
      </w:r>
      <w:r w:rsidR="0070064D" w:rsidRPr="008E78A2">
        <w:t>Standar</w:t>
      </w:r>
      <w:r w:rsidRPr="008E78A2">
        <w:t>ds</w:t>
      </w:r>
      <w:bookmarkEnd w:id="9"/>
    </w:p>
    <w:p w14:paraId="16344021" w14:textId="1034DEE9" w:rsidR="00A46DE9" w:rsidRPr="008E78A2" w:rsidRDefault="00BD2024" w:rsidP="003010F8">
      <w:pPr>
        <w:pStyle w:val="ActHead5"/>
      </w:pPr>
      <w:bookmarkStart w:id="10" w:name="_Toc80878888"/>
      <w:r w:rsidRPr="008E78A2">
        <w:t>8</w:t>
      </w:r>
      <w:r w:rsidR="00A46DE9" w:rsidRPr="008E78A2">
        <w:t xml:space="preserve">  Basic Requirements</w:t>
      </w:r>
      <w:r w:rsidR="007C2D49" w:rsidRPr="008E78A2">
        <w:t xml:space="preserve"> (Standard 1)</w:t>
      </w:r>
      <w:bookmarkEnd w:id="10"/>
    </w:p>
    <w:p w14:paraId="4AE8F1E5" w14:textId="00F47F7A" w:rsidR="00A46DE9" w:rsidRPr="008E78A2" w:rsidRDefault="00A46DE9" w:rsidP="00A46DE9">
      <w:pPr>
        <w:pStyle w:val="subsection"/>
        <w:rPr>
          <w:rFonts w:eastAsia="Calibri"/>
        </w:rPr>
      </w:pPr>
      <w:r w:rsidRPr="008E78A2">
        <w:rPr>
          <w:rFonts w:eastAsia="Calibri"/>
        </w:rPr>
        <w:tab/>
      </w:r>
      <w:r w:rsidRPr="008E78A2">
        <w:rPr>
          <w:rFonts w:eastAsia="Calibri"/>
        </w:rPr>
        <w:tab/>
      </w:r>
      <w:r w:rsidR="00156B7A" w:rsidRPr="008E78A2">
        <w:rPr>
          <w:rFonts w:eastAsia="Calibri"/>
        </w:rPr>
        <w:t xml:space="preserve">A </w:t>
      </w:r>
      <w:r w:rsidRPr="008E78A2">
        <w:rPr>
          <w:rFonts w:eastAsia="Calibri"/>
        </w:rPr>
        <w:t xml:space="preserve">Foundation Program must: </w:t>
      </w:r>
    </w:p>
    <w:p w14:paraId="41D15D84" w14:textId="79AFAFD8" w:rsidR="004345B0" w:rsidRPr="008E78A2" w:rsidRDefault="00DC79E7" w:rsidP="00DC79E7">
      <w:pPr>
        <w:pStyle w:val="paragraph"/>
      </w:pPr>
      <w:r w:rsidRPr="008E78A2">
        <w:tab/>
        <w:t>(</w:t>
      </w:r>
      <w:r w:rsidR="00C76F1D" w:rsidRPr="008E78A2">
        <w:t>a</w:t>
      </w:r>
      <w:r w:rsidRPr="008E78A2">
        <w:t>)</w:t>
      </w:r>
      <w:r w:rsidRPr="008E78A2">
        <w:tab/>
      </w:r>
      <w:r w:rsidR="004744FD" w:rsidRPr="008E78A2">
        <w:t>b</w:t>
      </w:r>
      <w:r w:rsidR="00676992" w:rsidRPr="008E78A2">
        <w:t>e delivered as a standard or extended Foundation Program</w:t>
      </w:r>
      <w:r w:rsidR="009F1A8C" w:rsidRPr="008E78A2">
        <w:t>;</w:t>
      </w:r>
    </w:p>
    <w:p w14:paraId="5AEFD306" w14:textId="0DD5D338" w:rsidR="004345B0" w:rsidRPr="008E78A2" w:rsidRDefault="004345B0" w:rsidP="00A46DE9">
      <w:pPr>
        <w:pStyle w:val="paragraph"/>
      </w:pPr>
      <w:r w:rsidRPr="008E78A2">
        <w:tab/>
        <w:t>(</w:t>
      </w:r>
      <w:r w:rsidR="00C76F1D" w:rsidRPr="008E78A2">
        <w:t>b</w:t>
      </w:r>
      <w:r w:rsidRPr="008E78A2">
        <w:t>)</w:t>
      </w:r>
      <w:r w:rsidRPr="008E78A2">
        <w:tab/>
        <w:t>be delivered by a CRICOS</w:t>
      </w:r>
      <w:r w:rsidR="008B3BD7" w:rsidRPr="008E78A2">
        <w:t>-</w:t>
      </w:r>
      <w:r w:rsidRPr="008E78A2">
        <w:t>registered provider;</w:t>
      </w:r>
    </w:p>
    <w:p w14:paraId="6594CAE9" w14:textId="0108E6B8" w:rsidR="00A46DE9" w:rsidRPr="008E78A2" w:rsidRDefault="004345B0" w:rsidP="00A46DE9">
      <w:pPr>
        <w:pStyle w:val="paragraph"/>
      </w:pPr>
      <w:r w:rsidRPr="008E78A2">
        <w:tab/>
        <w:t>(</w:t>
      </w:r>
      <w:r w:rsidR="00C76F1D" w:rsidRPr="008E78A2">
        <w:t>c</w:t>
      </w:r>
      <w:r w:rsidRPr="008E78A2">
        <w:t>)</w:t>
      </w:r>
      <w:r w:rsidRPr="008E78A2">
        <w:tab/>
      </w:r>
      <w:r w:rsidR="00A46DE9" w:rsidRPr="008E78A2">
        <w:t xml:space="preserve">provide an academic entry pathway to first year undergraduate study; </w:t>
      </w:r>
      <w:r w:rsidR="007F2BD6" w:rsidRPr="008E78A2">
        <w:t>and</w:t>
      </w:r>
    </w:p>
    <w:p w14:paraId="6CE60690" w14:textId="3671E604" w:rsidR="00A46DE9" w:rsidRPr="008E78A2" w:rsidRDefault="00A46DE9" w:rsidP="00BD2024">
      <w:pPr>
        <w:pStyle w:val="paragraph"/>
      </w:pPr>
      <w:r w:rsidRPr="008E78A2">
        <w:tab/>
        <w:t>(</w:t>
      </w:r>
      <w:r w:rsidR="00C76F1D" w:rsidRPr="008E78A2">
        <w:t>d</w:t>
      </w:r>
      <w:r w:rsidRPr="008E78A2">
        <w:t>)</w:t>
      </w:r>
      <w:r w:rsidRPr="008E78A2">
        <w:tab/>
      </w:r>
      <w:r w:rsidR="00BD2024" w:rsidRPr="008E78A2">
        <w:t>be delivered in one or more full-time study periods</w:t>
      </w:r>
      <w:r w:rsidR="00D740DC" w:rsidRPr="008E78A2">
        <w:t xml:space="preserve">, with a minimum </w:t>
      </w:r>
      <w:r w:rsidR="005E6894" w:rsidRPr="008E78A2">
        <w:t xml:space="preserve">break </w:t>
      </w:r>
      <w:r w:rsidR="00D740DC" w:rsidRPr="008E78A2">
        <w:t xml:space="preserve">of </w:t>
      </w:r>
      <w:r w:rsidR="009728C9" w:rsidRPr="008E78A2">
        <w:t>one week</w:t>
      </w:r>
      <w:r w:rsidR="00D740DC" w:rsidRPr="008E78A2">
        <w:t xml:space="preserve"> between study periods</w:t>
      </w:r>
      <w:r w:rsidR="00BD2024" w:rsidRPr="008E78A2">
        <w:t>.</w:t>
      </w:r>
    </w:p>
    <w:p w14:paraId="216A45BC" w14:textId="15FD7F89" w:rsidR="00D6294A" w:rsidRPr="008E78A2" w:rsidRDefault="00FA5513" w:rsidP="003010F8">
      <w:pPr>
        <w:pStyle w:val="ActHead5"/>
      </w:pPr>
      <w:bookmarkStart w:id="11" w:name="_Toc80878889"/>
      <w:r w:rsidRPr="008E78A2">
        <w:t>9</w:t>
      </w:r>
      <w:r w:rsidR="003010F8" w:rsidRPr="008E78A2">
        <w:t xml:space="preserve">  </w:t>
      </w:r>
      <w:r w:rsidR="00196562" w:rsidRPr="008E78A2">
        <w:t>Curriculum</w:t>
      </w:r>
      <w:r w:rsidR="00CD53E8" w:rsidRPr="008E78A2">
        <w:t xml:space="preserve"> and pedagogy</w:t>
      </w:r>
      <w:r w:rsidR="00A71378" w:rsidRPr="008E78A2">
        <w:t xml:space="preserve"> (</w:t>
      </w:r>
      <w:r w:rsidR="004F4593" w:rsidRPr="008E78A2">
        <w:t>S</w:t>
      </w:r>
      <w:r w:rsidR="00A71378" w:rsidRPr="008E78A2">
        <w:t xml:space="preserve">tandard </w:t>
      </w:r>
      <w:r w:rsidR="007C2D49" w:rsidRPr="008E78A2">
        <w:t>2</w:t>
      </w:r>
      <w:r w:rsidR="00A71378" w:rsidRPr="008E78A2">
        <w:t>)</w:t>
      </w:r>
      <w:bookmarkEnd w:id="11"/>
    </w:p>
    <w:p w14:paraId="7875260E" w14:textId="56DE8D2C" w:rsidR="00CD53E8" w:rsidRPr="008E78A2" w:rsidRDefault="00CD53E8" w:rsidP="00CD53E8">
      <w:pPr>
        <w:pStyle w:val="subsection"/>
        <w:rPr>
          <w:i/>
          <w:iCs/>
        </w:rPr>
      </w:pPr>
      <w:r w:rsidRPr="008E78A2">
        <w:rPr>
          <w:i/>
          <w:iCs/>
        </w:rPr>
        <w:t>Curriculum</w:t>
      </w:r>
    </w:p>
    <w:p w14:paraId="6EB03261" w14:textId="72B64DB5" w:rsidR="00366AAA" w:rsidRPr="008E78A2" w:rsidRDefault="003010F8" w:rsidP="003010F8">
      <w:pPr>
        <w:pStyle w:val="subsection"/>
      </w:pPr>
      <w:r w:rsidRPr="008E78A2">
        <w:tab/>
        <w:t>(1)</w:t>
      </w:r>
      <w:r w:rsidRPr="008E78A2">
        <w:tab/>
      </w:r>
      <w:r w:rsidR="00366AAA" w:rsidRPr="008E78A2">
        <w:t>The curriculum of a Foundation Program must:</w:t>
      </w:r>
    </w:p>
    <w:p w14:paraId="3576660A" w14:textId="7EA8F061" w:rsidR="003010F8" w:rsidRPr="008E78A2" w:rsidRDefault="00366AAA" w:rsidP="00366AAA">
      <w:pPr>
        <w:pStyle w:val="paragraph"/>
      </w:pPr>
      <w:r w:rsidRPr="008E78A2">
        <w:tab/>
        <w:t>(a)</w:t>
      </w:r>
      <w:r w:rsidRPr="008E78A2">
        <w:tab/>
        <w:t xml:space="preserve">be </w:t>
      </w:r>
      <w:r w:rsidR="002867BD" w:rsidRPr="008E78A2">
        <w:t xml:space="preserve">designed to </w:t>
      </w:r>
      <w:r w:rsidR="00931AD7" w:rsidRPr="008E78A2">
        <w:t xml:space="preserve">prepare </w:t>
      </w:r>
      <w:r w:rsidR="00795314" w:rsidRPr="008E78A2">
        <w:t xml:space="preserve">overseas </w:t>
      </w:r>
      <w:r w:rsidR="00931AD7" w:rsidRPr="008E78A2">
        <w:t xml:space="preserve">students for further study in </w:t>
      </w:r>
      <w:r w:rsidR="00795314" w:rsidRPr="008E78A2">
        <w:t xml:space="preserve">Australian </w:t>
      </w:r>
      <w:r w:rsidR="00931AD7" w:rsidRPr="008E78A2">
        <w:t>higher education programs</w:t>
      </w:r>
      <w:r w:rsidR="00C07862" w:rsidRPr="008E78A2">
        <w:t>;</w:t>
      </w:r>
      <w:r w:rsidRPr="008E78A2">
        <w:t xml:space="preserve"> </w:t>
      </w:r>
    </w:p>
    <w:p w14:paraId="3148A80B" w14:textId="605D67FB" w:rsidR="00366AAA" w:rsidRPr="008E78A2" w:rsidRDefault="00366AAA" w:rsidP="00366AAA">
      <w:pPr>
        <w:pStyle w:val="paragraph"/>
      </w:pPr>
      <w:r w:rsidRPr="008E78A2">
        <w:tab/>
        <w:t>(b)</w:t>
      </w:r>
      <w:r w:rsidRPr="008E78A2">
        <w:tab/>
        <w:t>include subjects comparable in standard to an Australian Year 12 curriculum</w:t>
      </w:r>
      <w:r w:rsidR="00E31A42" w:rsidRPr="008E78A2">
        <w:t xml:space="preserve"> in developing the academic skills and knowledge necessary for higher education study</w:t>
      </w:r>
      <w:r w:rsidR="00C07862" w:rsidRPr="008E78A2">
        <w:t>;</w:t>
      </w:r>
      <w:r w:rsidR="00795314" w:rsidRPr="008E78A2">
        <w:t xml:space="preserve"> and</w:t>
      </w:r>
    </w:p>
    <w:p w14:paraId="7080A43F" w14:textId="561F4676" w:rsidR="003010F8" w:rsidRPr="008E78A2" w:rsidRDefault="00366AAA" w:rsidP="00795314">
      <w:pPr>
        <w:pStyle w:val="paragraph"/>
      </w:pPr>
      <w:r w:rsidRPr="008E78A2">
        <w:tab/>
        <w:t>(c)</w:t>
      </w:r>
      <w:r w:rsidRPr="008E78A2">
        <w:tab/>
        <w:t>be open to independent scrutiny by</w:t>
      </w:r>
      <w:r w:rsidR="00EA1C53" w:rsidRPr="008E78A2">
        <w:t xml:space="preserve"> the ESOS agency for the provider</w:t>
      </w:r>
      <w:r w:rsidR="00261C4A" w:rsidRPr="008E78A2">
        <w:t>.</w:t>
      </w:r>
    </w:p>
    <w:p w14:paraId="1823F12A" w14:textId="02543A47" w:rsidR="00E31A42" w:rsidRPr="008E78A2" w:rsidRDefault="003010F8" w:rsidP="00E31A42">
      <w:pPr>
        <w:pStyle w:val="subsection"/>
      </w:pPr>
      <w:r w:rsidRPr="008E78A2">
        <w:tab/>
        <w:t>(</w:t>
      </w:r>
      <w:r w:rsidR="00366AAA" w:rsidRPr="008E78A2">
        <w:t>2</w:t>
      </w:r>
      <w:r w:rsidRPr="008E78A2">
        <w:t>)</w:t>
      </w:r>
      <w:r w:rsidR="00E31A42" w:rsidRPr="008E78A2">
        <w:tab/>
        <w:t>A provider must maintain an evidence base to demonstrate compliance with paragraph (1)(b)</w:t>
      </w:r>
      <w:r w:rsidR="00B4331C" w:rsidRPr="008E78A2">
        <w:t>,</w:t>
      </w:r>
      <w:r w:rsidR="00E31A42" w:rsidRPr="008E78A2">
        <w:t xml:space="preserve"> which </w:t>
      </w:r>
      <w:r w:rsidR="00B4331C" w:rsidRPr="008E78A2">
        <w:t xml:space="preserve">must </w:t>
      </w:r>
      <w:r w:rsidR="00E31A42" w:rsidRPr="008E78A2">
        <w:t>include a comparison of curriculum, set texts and assessment procedures between at least one Foundation Program subject and the corresponding Australian Year 12 subject.</w:t>
      </w:r>
      <w:r w:rsidRPr="008E78A2">
        <w:tab/>
      </w:r>
    </w:p>
    <w:p w14:paraId="001B9FC1" w14:textId="189C649D" w:rsidR="00931AD7" w:rsidRPr="008E78A2" w:rsidRDefault="00E31A42" w:rsidP="003010F8">
      <w:pPr>
        <w:pStyle w:val="subsection"/>
      </w:pPr>
      <w:r w:rsidRPr="008E78A2">
        <w:tab/>
        <w:t>(3)</w:t>
      </w:r>
      <w:r w:rsidRPr="008E78A2">
        <w:tab/>
      </w:r>
      <w:r w:rsidR="00366AAA" w:rsidRPr="008E78A2">
        <w:t>For the purposes of paragraph (1)(</w:t>
      </w:r>
      <w:r w:rsidR="00C76F1D" w:rsidRPr="008E78A2">
        <w:t>b</w:t>
      </w:r>
      <w:r w:rsidR="00366AAA" w:rsidRPr="008E78A2">
        <w:t xml:space="preserve">), a provider must provide the </w:t>
      </w:r>
      <w:r w:rsidR="00EA1C53" w:rsidRPr="008E78A2">
        <w:t>ESOS agency for the provider</w:t>
      </w:r>
      <w:r w:rsidR="00366AAA" w:rsidRPr="008E78A2">
        <w:t xml:space="preserve"> with sufficient </w:t>
      </w:r>
      <w:r w:rsidR="00261C4A" w:rsidRPr="008E78A2">
        <w:t>information</w:t>
      </w:r>
      <w:r w:rsidR="00366AAA" w:rsidRPr="008E78A2">
        <w:t xml:space="preserve"> to allow evaluation of the equivalence of the course outcomes to those of an Australian Year 12 curriculum.</w:t>
      </w:r>
    </w:p>
    <w:p w14:paraId="1C444A06" w14:textId="2DB3FDA4" w:rsidR="00931AD7" w:rsidRPr="008E78A2" w:rsidRDefault="003010F8" w:rsidP="003010F8">
      <w:pPr>
        <w:pStyle w:val="subsection"/>
      </w:pPr>
      <w:r w:rsidRPr="008E78A2">
        <w:tab/>
        <w:t>(</w:t>
      </w:r>
      <w:r w:rsidR="008D3A9F" w:rsidRPr="008E78A2">
        <w:t>4</w:t>
      </w:r>
      <w:r w:rsidRPr="008E78A2">
        <w:t>)</w:t>
      </w:r>
      <w:r w:rsidRPr="008E78A2">
        <w:tab/>
      </w:r>
      <w:r w:rsidR="007078BD" w:rsidRPr="008E78A2">
        <w:t xml:space="preserve">A provider </w:t>
      </w:r>
      <w:r w:rsidR="00C76F1D" w:rsidRPr="008E78A2">
        <w:t xml:space="preserve">may only deliver a Foundation Program if </w:t>
      </w:r>
      <w:r w:rsidR="007078BD" w:rsidRPr="008E78A2">
        <w:t>t</w:t>
      </w:r>
      <w:r w:rsidR="00366AAA" w:rsidRPr="008E78A2">
        <w:t xml:space="preserve">he curriculum </w:t>
      </w:r>
      <w:r w:rsidR="007806A9" w:rsidRPr="008E78A2">
        <w:t xml:space="preserve">of </w:t>
      </w:r>
      <w:r w:rsidR="00C76F1D" w:rsidRPr="008E78A2">
        <w:t>the</w:t>
      </w:r>
      <w:r w:rsidR="007806A9" w:rsidRPr="008E78A2">
        <w:t xml:space="preserve"> Program </w:t>
      </w:r>
      <w:r w:rsidR="007078BD" w:rsidRPr="008E78A2">
        <w:t>has</w:t>
      </w:r>
      <w:r w:rsidR="00366AAA" w:rsidRPr="008E78A2">
        <w:t xml:space="preserve"> be</w:t>
      </w:r>
      <w:r w:rsidR="007078BD" w:rsidRPr="008E78A2">
        <w:t>en</w:t>
      </w:r>
      <w:r w:rsidR="00366AAA" w:rsidRPr="008E78A2">
        <w:t xml:space="preserve"> approved by the </w:t>
      </w:r>
      <w:r w:rsidR="00EA1C53" w:rsidRPr="008E78A2">
        <w:t>ESOS agency for the provider</w:t>
      </w:r>
      <w:r w:rsidR="00366AAA" w:rsidRPr="008E78A2">
        <w:t xml:space="preserve"> upon registration</w:t>
      </w:r>
      <w:r w:rsidR="00E94666" w:rsidRPr="008E78A2">
        <w:t xml:space="preserve"> and renewal </w:t>
      </w:r>
      <w:r w:rsidR="007806A9" w:rsidRPr="008E78A2">
        <w:t xml:space="preserve">of registration under Part 2 of the Act. </w:t>
      </w:r>
    </w:p>
    <w:p w14:paraId="456F80C5" w14:textId="5772C814" w:rsidR="00172D5B" w:rsidRPr="008E78A2" w:rsidRDefault="003010F8" w:rsidP="003010F8">
      <w:pPr>
        <w:pStyle w:val="subsection"/>
      </w:pPr>
      <w:r w:rsidRPr="008E78A2">
        <w:tab/>
        <w:t>(</w:t>
      </w:r>
      <w:r w:rsidR="008D3A9F" w:rsidRPr="008E78A2">
        <w:t>5</w:t>
      </w:r>
      <w:r w:rsidRPr="008E78A2">
        <w:t>)</w:t>
      </w:r>
      <w:r w:rsidRPr="008E78A2">
        <w:tab/>
      </w:r>
      <w:r w:rsidR="00172D5B" w:rsidRPr="008E78A2">
        <w:t xml:space="preserve">A provider must </w:t>
      </w:r>
      <w:r w:rsidR="00A94BD3" w:rsidRPr="008E78A2">
        <w:t xml:space="preserve">not </w:t>
      </w:r>
      <w:r w:rsidR="003B472F" w:rsidRPr="008E78A2">
        <w:t xml:space="preserve">make significant changes to a Foundation Program without </w:t>
      </w:r>
      <w:r w:rsidR="00DF18BE" w:rsidRPr="008E78A2">
        <w:t>approval from the ESOS agency for the provide</w:t>
      </w:r>
      <w:r w:rsidR="003536C5" w:rsidRPr="008E78A2">
        <w:t>r</w:t>
      </w:r>
      <w:r w:rsidR="00B600C0" w:rsidRPr="008E78A2">
        <w:t>.</w:t>
      </w:r>
    </w:p>
    <w:p w14:paraId="2339FE57" w14:textId="5063599C" w:rsidR="00931AD7" w:rsidRPr="008E78A2" w:rsidRDefault="00C87EBF" w:rsidP="003010F8">
      <w:pPr>
        <w:pStyle w:val="subsection"/>
      </w:pPr>
      <w:r w:rsidRPr="008E78A2">
        <w:tab/>
        <w:t>(</w:t>
      </w:r>
      <w:r w:rsidR="008D3A9F" w:rsidRPr="008E78A2">
        <w:t>6</w:t>
      </w:r>
      <w:r w:rsidRPr="008E78A2">
        <w:t>)</w:t>
      </w:r>
      <w:r w:rsidRPr="008E78A2">
        <w:tab/>
        <w:t>For the purposes of subsection (</w:t>
      </w:r>
      <w:r w:rsidR="00862285" w:rsidRPr="008E78A2">
        <w:t>5</w:t>
      </w:r>
      <w:r w:rsidRPr="008E78A2">
        <w:t xml:space="preserve">), significant changes </w:t>
      </w:r>
      <w:r w:rsidR="00C76F1D" w:rsidRPr="008E78A2">
        <w:t>include</w:t>
      </w:r>
      <w:r w:rsidRPr="008E78A2">
        <w:t>:</w:t>
      </w:r>
    </w:p>
    <w:p w14:paraId="5F176804" w14:textId="2421F3BB" w:rsidR="00B4331C" w:rsidRPr="008E78A2" w:rsidRDefault="00B4331C" w:rsidP="00B4331C">
      <w:pPr>
        <w:pStyle w:val="paragraph"/>
      </w:pPr>
      <w:r w:rsidRPr="008E78A2">
        <w:tab/>
        <w:t>(a)</w:t>
      </w:r>
      <w:r w:rsidRPr="008E78A2">
        <w:tab/>
        <w:t>changes</w:t>
      </w:r>
      <w:r w:rsidR="00200B3F" w:rsidRPr="008E78A2">
        <w:t xml:space="preserve">, whether </w:t>
      </w:r>
      <w:r w:rsidR="007C6B49" w:rsidRPr="008E78A2">
        <w:t>incremental</w:t>
      </w:r>
      <w:r w:rsidR="00200B3F" w:rsidRPr="008E78A2">
        <w:t xml:space="preserve"> or </w:t>
      </w:r>
      <w:r w:rsidR="00451629" w:rsidRPr="008E78A2">
        <w:t>at one time</w:t>
      </w:r>
      <w:r w:rsidR="00200B3F" w:rsidRPr="008E78A2">
        <w:t>,</w:t>
      </w:r>
      <w:r w:rsidRPr="008E78A2">
        <w:t xml:space="preserve"> to more than 25% of the total number of course units or subjects</w:t>
      </w:r>
      <w:r w:rsidR="00756097" w:rsidRPr="008E78A2">
        <w:t xml:space="preserve"> </w:t>
      </w:r>
      <w:r w:rsidR="00585C60" w:rsidRPr="008E78A2">
        <w:t xml:space="preserve">from the time </w:t>
      </w:r>
      <w:r w:rsidR="007C6B49" w:rsidRPr="008E78A2">
        <w:t xml:space="preserve">the Foundation Program was last approved </w:t>
      </w:r>
      <w:r w:rsidR="003772B8" w:rsidRPr="008E78A2">
        <w:t>by the ESOS agency for the provider</w:t>
      </w:r>
      <w:r w:rsidR="00C07862" w:rsidRPr="008E78A2">
        <w:t>;</w:t>
      </w:r>
    </w:p>
    <w:p w14:paraId="7503CED0" w14:textId="5238D4CD" w:rsidR="00B4331C" w:rsidRPr="008E78A2" w:rsidRDefault="00B4331C" w:rsidP="00B4331C">
      <w:pPr>
        <w:pStyle w:val="paragraph"/>
      </w:pPr>
      <w:r w:rsidRPr="008E78A2">
        <w:tab/>
        <w:t>(b)</w:t>
      </w:r>
      <w:r w:rsidRPr="008E78A2">
        <w:tab/>
        <w:t>substantial variations to course delivery</w:t>
      </w:r>
      <w:r w:rsidR="00222479" w:rsidRPr="008E78A2">
        <w:t>;</w:t>
      </w:r>
      <w:r w:rsidRPr="008E78A2">
        <w:t xml:space="preserve"> or</w:t>
      </w:r>
    </w:p>
    <w:p w14:paraId="1282AFE3" w14:textId="77777777" w:rsidR="00C87EBF" w:rsidRPr="008E78A2" w:rsidRDefault="00B4331C" w:rsidP="00C87EBF">
      <w:pPr>
        <w:pStyle w:val="paragraph"/>
      </w:pPr>
      <w:r w:rsidRPr="008E78A2">
        <w:tab/>
        <w:t>(c)</w:t>
      </w:r>
      <w:r w:rsidRPr="008E78A2">
        <w:tab/>
        <w:t>substantial changes to course nomenclature, duration, entry requirements, outcomes or structure.</w:t>
      </w:r>
    </w:p>
    <w:p w14:paraId="6058F58F" w14:textId="4DB43620" w:rsidR="00B4331C" w:rsidRPr="008E78A2" w:rsidRDefault="00C87EBF" w:rsidP="00C87EBF">
      <w:pPr>
        <w:pStyle w:val="subsection"/>
      </w:pPr>
      <w:r w:rsidRPr="008E78A2">
        <w:lastRenderedPageBreak/>
        <w:tab/>
        <w:t>(</w:t>
      </w:r>
      <w:r w:rsidR="008D3A9F" w:rsidRPr="008E78A2">
        <w:t>7</w:t>
      </w:r>
      <w:r w:rsidRPr="008E78A2">
        <w:t>)</w:t>
      </w:r>
      <w:r w:rsidRPr="008E78A2">
        <w:tab/>
      </w:r>
      <w:r w:rsidR="00FF43EC" w:rsidRPr="008E78A2">
        <w:t xml:space="preserve">A provider must </w:t>
      </w:r>
      <w:r w:rsidR="006C48BC" w:rsidRPr="008E78A2">
        <w:t xml:space="preserve">submit changes </w:t>
      </w:r>
      <w:r w:rsidR="00E743E7" w:rsidRPr="008E78A2">
        <w:t>which are not significant changes</w:t>
      </w:r>
      <w:r w:rsidR="006C48BC" w:rsidRPr="008E78A2">
        <w:t xml:space="preserve"> to the provider’s Academic Board or equivalent for assessment and </w:t>
      </w:r>
      <w:r w:rsidR="00A2044C" w:rsidRPr="008E78A2">
        <w:t>approval and</w:t>
      </w:r>
      <w:r w:rsidR="00E743E7" w:rsidRPr="008E78A2">
        <w:t xml:space="preserve"> notify</w:t>
      </w:r>
      <w:r w:rsidR="00FF43EC" w:rsidRPr="008E78A2">
        <w:t xml:space="preserve"> the ESOS agency for the provider</w:t>
      </w:r>
      <w:r w:rsidR="00237C02" w:rsidRPr="008E78A2">
        <w:t>.</w:t>
      </w:r>
      <w:r w:rsidR="00FF43EC" w:rsidRPr="008E78A2">
        <w:t xml:space="preserve"> </w:t>
      </w:r>
    </w:p>
    <w:p w14:paraId="5455067C" w14:textId="189DA014" w:rsidR="00CD53E8" w:rsidRPr="008E78A2" w:rsidRDefault="00CD53E8" w:rsidP="00CD53E8">
      <w:pPr>
        <w:pStyle w:val="subsection"/>
        <w:ind w:left="0" w:firstLine="0"/>
        <w:rPr>
          <w:i/>
          <w:iCs/>
        </w:rPr>
      </w:pPr>
      <w:r w:rsidRPr="008E78A2">
        <w:rPr>
          <w:i/>
          <w:iCs/>
        </w:rPr>
        <w:t>Pedagogy</w:t>
      </w:r>
    </w:p>
    <w:p w14:paraId="50F7051D" w14:textId="1BA51670" w:rsidR="00CD53E8" w:rsidRPr="008E78A2" w:rsidRDefault="00CD53E8" w:rsidP="00CD53E8">
      <w:pPr>
        <w:pStyle w:val="subsection"/>
      </w:pPr>
      <w:r w:rsidRPr="008E78A2">
        <w:tab/>
        <w:t>(</w:t>
      </w:r>
      <w:r w:rsidR="00301733" w:rsidRPr="008E78A2">
        <w:t>8</w:t>
      </w:r>
      <w:r w:rsidRPr="008E78A2">
        <w:t>)</w:t>
      </w:r>
      <w:r w:rsidRPr="008E78A2">
        <w:tab/>
        <w:t xml:space="preserve">A Foundation </w:t>
      </w:r>
      <w:r w:rsidR="00266F04" w:rsidRPr="008E78A2">
        <w:t>P</w:t>
      </w:r>
      <w:r w:rsidRPr="008E78A2">
        <w:t>rogram must include explicit attention and focus, across the program as a whole, on:</w:t>
      </w:r>
    </w:p>
    <w:p w14:paraId="2F8C0FBD" w14:textId="080D3E1B" w:rsidR="00CD53E8" w:rsidRPr="008E78A2" w:rsidRDefault="00CD53E8" w:rsidP="00CD53E8">
      <w:pPr>
        <w:pStyle w:val="paragraph"/>
      </w:pPr>
      <w:r w:rsidRPr="008E78A2">
        <w:tab/>
        <w:t>(a)</w:t>
      </w:r>
      <w:r w:rsidRPr="008E78A2">
        <w:tab/>
        <w:t>academic rigour and integrity</w:t>
      </w:r>
      <w:r w:rsidR="00C07862" w:rsidRPr="008E78A2">
        <w:t>;</w:t>
      </w:r>
    </w:p>
    <w:p w14:paraId="2B449636" w14:textId="1AF9B835" w:rsidR="00CD53E8" w:rsidRPr="008E78A2" w:rsidRDefault="00CD53E8" w:rsidP="00CD53E8">
      <w:pPr>
        <w:pStyle w:val="paragraph"/>
      </w:pPr>
      <w:r w:rsidRPr="008E78A2">
        <w:tab/>
        <w:t>(b)</w:t>
      </w:r>
      <w:r w:rsidRPr="008E78A2">
        <w:tab/>
        <w:t>collaborative or group work</w:t>
      </w:r>
      <w:r w:rsidR="00C07862" w:rsidRPr="008E78A2">
        <w:t>;</w:t>
      </w:r>
    </w:p>
    <w:p w14:paraId="01435336" w14:textId="43B1DFCF" w:rsidR="00CD53E8" w:rsidRPr="008E78A2" w:rsidRDefault="00CD53E8" w:rsidP="00CD53E8">
      <w:pPr>
        <w:pStyle w:val="paragraph"/>
      </w:pPr>
      <w:r w:rsidRPr="008E78A2">
        <w:tab/>
        <w:t>(c)</w:t>
      </w:r>
      <w:r w:rsidRPr="008E78A2">
        <w:tab/>
        <w:t>communicating information to others orally as well as in writing</w:t>
      </w:r>
      <w:r w:rsidR="00C07862" w:rsidRPr="008E78A2">
        <w:t>;</w:t>
      </w:r>
    </w:p>
    <w:p w14:paraId="0EDBFDEF" w14:textId="1CBE6F33" w:rsidR="00CD53E8" w:rsidRPr="008E78A2" w:rsidRDefault="00CD53E8" w:rsidP="00CD53E8">
      <w:pPr>
        <w:pStyle w:val="paragraph"/>
      </w:pPr>
      <w:r w:rsidRPr="008E78A2">
        <w:tab/>
        <w:t>(d)</w:t>
      </w:r>
      <w:r w:rsidRPr="008E78A2">
        <w:tab/>
        <w:t>critical thinking</w:t>
      </w:r>
      <w:r w:rsidR="00C07862" w:rsidRPr="008E78A2">
        <w:t>;</w:t>
      </w:r>
    </w:p>
    <w:p w14:paraId="28A97FF6" w14:textId="2EB6C964" w:rsidR="00CD53E8" w:rsidRPr="008E78A2" w:rsidRDefault="00CD53E8" w:rsidP="00CD53E8">
      <w:pPr>
        <w:pStyle w:val="paragraph"/>
      </w:pPr>
      <w:r w:rsidRPr="008E78A2">
        <w:tab/>
        <w:t>(e)</w:t>
      </w:r>
      <w:r w:rsidRPr="008E78A2">
        <w:tab/>
        <w:t>using technology</w:t>
      </w:r>
      <w:r w:rsidR="00C07862" w:rsidRPr="008E78A2">
        <w:t>;</w:t>
      </w:r>
    </w:p>
    <w:p w14:paraId="099EBFF3" w14:textId="26842023" w:rsidR="00CD53E8" w:rsidRPr="008E78A2" w:rsidRDefault="00CD53E8" w:rsidP="00CD53E8">
      <w:pPr>
        <w:pStyle w:val="paragraph"/>
      </w:pPr>
      <w:r w:rsidRPr="008E78A2">
        <w:tab/>
        <w:t xml:space="preserve">(f) </w:t>
      </w:r>
      <w:r w:rsidRPr="008E78A2">
        <w:tab/>
        <w:t>problem solving</w:t>
      </w:r>
      <w:r w:rsidR="00C07862" w:rsidRPr="008E78A2">
        <w:t>;</w:t>
      </w:r>
    </w:p>
    <w:p w14:paraId="2A367242" w14:textId="0A10772D" w:rsidR="00CD53E8" w:rsidRPr="008E78A2" w:rsidRDefault="00CD53E8" w:rsidP="00CD53E8">
      <w:pPr>
        <w:pStyle w:val="paragraph"/>
      </w:pPr>
      <w:r w:rsidRPr="008E78A2">
        <w:tab/>
        <w:t>(g)</w:t>
      </w:r>
      <w:r w:rsidRPr="008E78A2">
        <w:tab/>
        <w:t>independent reading</w:t>
      </w:r>
      <w:r w:rsidR="00C07862" w:rsidRPr="008E78A2">
        <w:t>;</w:t>
      </w:r>
    </w:p>
    <w:p w14:paraId="05CA06D0" w14:textId="77700343" w:rsidR="00CD53E8" w:rsidRPr="008E78A2" w:rsidRDefault="00CD53E8" w:rsidP="00CD53E8">
      <w:pPr>
        <w:pStyle w:val="paragraph"/>
      </w:pPr>
      <w:r w:rsidRPr="008E78A2">
        <w:tab/>
        <w:t>(h)</w:t>
      </w:r>
      <w:r w:rsidRPr="008E78A2">
        <w:tab/>
        <w:t>independently collecting and analysing information</w:t>
      </w:r>
      <w:r w:rsidR="00C07862" w:rsidRPr="008E78A2">
        <w:t>;</w:t>
      </w:r>
    </w:p>
    <w:p w14:paraId="32741791" w14:textId="4920A06F" w:rsidR="00CD53E8" w:rsidRPr="008E78A2" w:rsidRDefault="00CD53E8" w:rsidP="00CD53E8">
      <w:pPr>
        <w:pStyle w:val="paragraph"/>
      </w:pPr>
      <w:r w:rsidRPr="008E78A2">
        <w:tab/>
        <w:t>(</w:t>
      </w:r>
      <w:proofErr w:type="spellStart"/>
      <w:r w:rsidRPr="008E78A2">
        <w:t>i</w:t>
      </w:r>
      <w:proofErr w:type="spellEnd"/>
      <w:r w:rsidRPr="008E78A2">
        <w:t>)</w:t>
      </w:r>
      <w:r w:rsidRPr="008E78A2">
        <w:tab/>
        <w:t>research projects</w:t>
      </w:r>
      <w:r w:rsidR="00222479" w:rsidRPr="008E78A2">
        <w:t>;</w:t>
      </w:r>
      <w:r w:rsidRPr="008E78A2">
        <w:t xml:space="preserve"> and</w:t>
      </w:r>
    </w:p>
    <w:p w14:paraId="2AB8E823" w14:textId="4940A522" w:rsidR="00CD53E8" w:rsidRPr="008E78A2" w:rsidRDefault="00CD53E8" w:rsidP="00CD53E8">
      <w:pPr>
        <w:pStyle w:val="paragraph"/>
      </w:pPr>
      <w:r w:rsidRPr="008E78A2">
        <w:tab/>
        <w:t>(j)</w:t>
      </w:r>
      <w:r w:rsidRPr="008E78A2">
        <w:tab/>
      </w:r>
      <w:r w:rsidR="00E802B9" w:rsidRPr="008E78A2">
        <w:t xml:space="preserve">practical </w:t>
      </w:r>
      <w:r w:rsidRPr="008E78A2">
        <w:t>work</w:t>
      </w:r>
      <w:r w:rsidR="0060505B" w:rsidRPr="008E78A2">
        <w:t xml:space="preserve"> relevant to the subject area</w:t>
      </w:r>
      <w:r w:rsidRPr="008E78A2">
        <w:t>.</w:t>
      </w:r>
    </w:p>
    <w:p w14:paraId="2B95A033" w14:textId="0A74F976" w:rsidR="00CD53E8" w:rsidRPr="008E78A2" w:rsidRDefault="00CD53E8" w:rsidP="00CD53E8">
      <w:pPr>
        <w:pStyle w:val="subsection"/>
      </w:pPr>
      <w:r w:rsidRPr="008E78A2">
        <w:tab/>
        <w:t>(</w:t>
      </w:r>
      <w:r w:rsidR="00301733" w:rsidRPr="008E78A2">
        <w:t>9</w:t>
      </w:r>
      <w:r w:rsidRPr="008E78A2">
        <w:t>)</w:t>
      </w:r>
      <w:r w:rsidRPr="008E78A2">
        <w:tab/>
        <w:t>A provider must provide all students with regular access to</w:t>
      </w:r>
      <w:r w:rsidR="00C07862" w:rsidRPr="008E78A2">
        <w:t xml:space="preserve"> the following, for a reasonable period outside normal teaching hours and at no extra cost</w:t>
      </w:r>
      <w:r w:rsidRPr="008E78A2">
        <w:t>:</w:t>
      </w:r>
    </w:p>
    <w:p w14:paraId="262F893D" w14:textId="4BE22FDE" w:rsidR="00CD53E8" w:rsidRPr="008E78A2" w:rsidRDefault="00CD53E8" w:rsidP="00CD53E8">
      <w:pPr>
        <w:pStyle w:val="paragraph"/>
      </w:pPr>
      <w:r w:rsidRPr="008E78A2">
        <w:tab/>
        <w:t xml:space="preserve">(a) </w:t>
      </w:r>
      <w:r w:rsidRPr="008E78A2">
        <w:tab/>
      </w:r>
      <w:r w:rsidR="00E9081F" w:rsidRPr="008E78A2">
        <w:t>if</w:t>
      </w:r>
      <w:r w:rsidR="00BA193A" w:rsidRPr="008E78A2">
        <w:t xml:space="preserve"> the </w:t>
      </w:r>
      <w:r w:rsidR="00E67232" w:rsidRPr="008E78A2">
        <w:t xml:space="preserve">provider delivers </w:t>
      </w:r>
      <w:r w:rsidR="00E9081F" w:rsidRPr="008E78A2">
        <w:t>courses at</w:t>
      </w:r>
      <w:r w:rsidR="00BA193A" w:rsidRPr="008E78A2">
        <w:t xml:space="preserve"> a campus</w:t>
      </w:r>
      <w:r w:rsidR="004F497D" w:rsidRPr="008E78A2">
        <w:t>—</w:t>
      </w:r>
      <w:r w:rsidRPr="008E78A2">
        <w:t>on-campus computer facilities for academic or English study available to all students</w:t>
      </w:r>
      <w:r w:rsidR="00C07862" w:rsidRPr="008E78A2">
        <w:t>;</w:t>
      </w:r>
    </w:p>
    <w:p w14:paraId="08B0B24B" w14:textId="1FFD68D1" w:rsidR="00CD53E8" w:rsidRPr="008E78A2" w:rsidRDefault="00CD53E8" w:rsidP="00CD53E8">
      <w:pPr>
        <w:pStyle w:val="paragraph"/>
      </w:pPr>
      <w:r w:rsidRPr="008E78A2">
        <w:tab/>
        <w:t>(b)</w:t>
      </w:r>
      <w:r w:rsidRPr="008E78A2">
        <w:tab/>
        <w:t>suitable electronic and physical resources borrowings through a library or learning co</w:t>
      </w:r>
      <w:r w:rsidR="00C07862" w:rsidRPr="008E78A2">
        <w:t>m</w:t>
      </w:r>
      <w:r w:rsidRPr="008E78A2">
        <w:t>mons</w:t>
      </w:r>
      <w:r w:rsidR="00C07862" w:rsidRPr="008E78A2">
        <w:t>;</w:t>
      </w:r>
    </w:p>
    <w:p w14:paraId="7DB4A582" w14:textId="5A0E0DF9" w:rsidR="00CD53E8" w:rsidRPr="008E78A2" w:rsidRDefault="00CD53E8" w:rsidP="00CD53E8">
      <w:pPr>
        <w:pStyle w:val="paragraph"/>
      </w:pPr>
      <w:r w:rsidRPr="008E78A2">
        <w:tab/>
        <w:t>(c)</w:t>
      </w:r>
      <w:r w:rsidRPr="008E78A2">
        <w:tab/>
        <w:t>a digital student learning management system</w:t>
      </w:r>
      <w:r w:rsidR="00C07862" w:rsidRPr="008E78A2">
        <w:t>;</w:t>
      </w:r>
    </w:p>
    <w:p w14:paraId="163E6A42" w14:textId="3FC1B5A1" w:rsidR="00CD53E8" w:rsidRPr="008E78A2" w:rsidRDefault="00CD53E8" w:rsidP="00CD53E8">
      <w:pPr>
        <w:pStyle w:val="paragraph"/>
      </w:pPr>
      <w:r w:rsidRPr="008E78A2">
        <w:tab/>
        <w:t>(d)</w:t>
      </w:r>
      <w:r w:rsidRPr="008E78A2">
        <w:tab/>
        <w:t xml:space="preserve">technology and resources </w:t>
      </w:r>
      <w:r w:rsidR="00740C64" w:rsidRPr="008E78A2">
        <w:t xml:space="preserve">required for effective engagement in </w:t>
      </w:r>
      <w:r w:rsidR="00C314B8" w:rsidRPr="008E78A2">
        <w:t xml:space="preserve">the </w:t>
      </w:r>
      <w:r w:rsidRPr="008E78A2">
        <w:t>course and units of study</w:t>
      </w:r>
      <w:r w:rsidR="00222479" w:rsidRPr="008E78A2">
        <w:t>;</w:t>
      </w:r>
      <w:r w:rsidRPr="008E78A2">
        <w:t xml:space="preserve"> and</w:t>
      </w:r>
    </w:p>
    <w:p w14:paraId="74D7D255" w14:textId="642EDCB0" w:rsidR="00492757" w:rsidRPr="008E78A2" w:rsidRDefault="00CD53E8" w:rsidP="00C07862">
      <w:pPr>
        <w:pStyle w:val="paragraph"/>
      </w:pPr>
      <w:r w:rsidRPr="008E78A2">
        <w:tab/>
        <w:t>(e)</w:t>
      </w:r>
      <w:r w:rsidRPr="008E78A2">
        <w:tab/>
        <w:t>academic, careers, and welfare support and counselling</w:t>
      </w:r>
      <w:r w:rsidR="00A5454F" w:rsidRPr="008E78A2">
        <w:t>, both virtually and in person</w:t>
      </w:r>
      <w:r w:rsidR="00492757" w:rsidRPr="008E78A2">
        <w:t>.</w:t>
      </w:r>
    </w:p>
    <w:p w14:paraId="41C48CBD" w14:textId="2FD30673" w:rsidR="00931AD7" w:rsidRPr="008E78A2" w:rsidRDefault="00FA5513" w:rsidP="007A3C92">
      <w:pPr>
        <w:pStyle w:val="ActHead5"/>
        <w:ind w:left="0" w:firstLine="0"/>
      </w:pPr>
      <w:bookmarkStart w:id="12" w:name="_Toc80878890"/>
      <w:r w:rsidRPr="008E78A2">
        <w:t>10</w:t>
      </w:r>
      <w:r w:rsidR="007A3C92" w:rsidRPr="008E78A2">
        <w:t xml:space="preserve">  </w:t>
      </w:r>
      <w:r w:rsidR="00A678C2" w:rsidRPr="008E78A2">
        <w:t>Admission</w:t>
      </w:r>
      <w:r w:rsidR="004F4593" w:rsidRPr="008E78A2">
        <w:t xml:space="preserve"> (Standard </w:t>
      </w:r>
      <w:r w:rsidR="007C2D49" w:rsidRPr="008E78A2">
        <w:t>3</w:t>
      </w:r>
      <w:r w:rsidR="004F4593" w:rsidRPr="008E78A2">
        <w:t>)</w:t>
      </w:r>
      <w:bookmarkEnd w:id="12"/>
    </w:p>
    <w:p w14:paraId="3BA3B85D" w14:textId="7AF18C40" w:rsidR="003010F8" w:rsidRPr="008E78A2" w:rsidRDefault="003010F8" w:rsidP="003010F8">
      <w:pPr>
        <w:pStyle w:val="subsection"/>
      </w:pPr>
      <w:r w:rsidRPr="008E78A2">
        <w:tab/>
        <w:t>(1)</w:t>
      </w:r>
      <w:r w:rsidRPr="008E78A2">
        <w:tab/>
      </w:r>
      <w:r w:rsidR="000631FA" w:rsidRPr="008E78A2">
        <w:t xml:space="preserve">A provider may enrol a student in </w:t>
      </w:r>
      <w:r w:rsidR="00A678C2" w:rsidRPr="008E78A2">
        <w:t>a standard Foundation Program</w:t>
      </w:r>
      <w:r w:rsidR="000631FA" w:rsidRPr="008E78A2">
        <w:t xml:space="preserve"> if</w:t>
      </w:r>
      <w:r w:rsidR="00A678C2" w:rsidRPr="008E78A2">
        <w:t>:</w:t>
      </w:r>
    </w:p>
    <w:p w14:paraId="5273416D" w14:textId="519B78CE" w:rsidR="003010F8" w:rsidRPr="008E78A2" w:rsidRDefault="003010F8" w:rsidP="003010F8">
      <w:pPr>
        <w:pStyle w:val="paragraph"/>
      </w:pPr>
      <w:r w:rsidRPr="008E78A2">
        <w:tab/>
        <w:t>(a)</w:t>
      </w:r>
      <w:r w:rsidRPr="008E78A2">
        <w:tab/>
      </w:r>
      <w:r w:rsidR="000631FA" w:rsidRPr="008E78A2">
        <w:t xml:space="preserve">the student has </w:t>
      </w:r>
      <w:r w:rsidR="00A678C2" w:rsidRPr="008E78A2">
        <w:t>complet</w:t>
      </w:r>
      <w:r w:rsidR="000631FA" w:rsidRPr="008E78A2">
        <w:t>ed</w:t>
      </w:r>
      <w:r w:rsidR="00A678C2" w:rsidRPr="008E78A2">
        <w:t xml:space="preserve"> Australian </w:t>
      </w:r>
      <w:r w:rsidR="005D6031" w:rsidRPr="008E78A2">
        <w:t>Y</w:t>
      </w:r>
      <w:r w:rsidR="00A678C2" w:rsidRPr="008E78A2">
        <w:t>ear 11 o</w:t>
      </w:r>
      <w:r w:rsidR="00AF05A3" w:rsidRPr="008E78A2">
        <w:t>r</w:t>
      </w:r>
      <w:r w:rsidR="00A678C2" w:rsidRPr="008E78A2">
        <w:t xml:space="preserve"> a comparable educational level</w:t>
      </w:r>
      <w:r w:rsidR="00C07862" w:rsidRPr="008E78A2">
        <w:t>;</w:t>
      </w:r>
    </w:p>
    <w:p w14:paraId="0751B412" w14:textId="0EFED2D8" w:rsidR="000631FA" w:rsidRPr="008E78A2" w:rsidRDefault="003010F8" w:rsidP="000631FA">
      <w:pPr>
        <w:pStyle w:val="paragraph"/>
      </w:pPr>
      <w:r w:rsidRPr="008E78A2">
        <w:tab/>
        <w:t>(b)</w:t>
      </w:r>
      <w:r w:rsidRPr="008E78A2">
        <w:tab/>
      </w:r>
      <w:r w:rsidR="000631FA" w:rsidRPr="008E78A2">
        <w:t xml:space="preserve">the student has </w:t>
      </w:r>
      <w:r w:rsidR="00AF05A3" w:rsidRPr="008E78A2">
        <w:t>a</w:t>
      </w:r>
      <w:r w:rsidR="005D6031" w:rsidRPr="008E78A2">
        <w:t>ttaine</w:t>
      </w:r>
      <w:r w:rsidR="000631FA" w:rsidRPr="008E78A2">
        <w:t>d</w:t>
      </w:r>
      <w:r w:rsidR="005D6031" w:rsidRPr="008E78A2">
        <w:t xml:space="preserve"> </w:t>
      </w:r>
      <w:r w:rsidR="000631FA" w:rsidRPr="008E78A2">
        <w:t>an</w:t>
      </w:r>
      <w:r w:rsidR="005D6031" w:rsidRPr="008E78A2">
        <w:t xml:space="preserve"> English language proficiency comparable to an overall score of 5.5 in the IELTS, with a minimum of 5 in all skills, or equivalent</w:t>
      </w:r>
      <w:r w:rsidR="00222479" w:rsidRPr="008E78A2">
        <w:t>;</w:t>
      </w:r>
      <w:r w:rsidR="005D6031" w:rsidRPr="008E78A2">
        <w:t xml:space="preserve"> </w:t>
      </w:r>
    </w:p>
    <w:p w14:paraId="549B74D2" w14:textId="0AD0FDD2" w:rsidR="000631FA" w:rsidRPr="008E78A2" w:rsidRDefault="000631FA" w:rsidP="000631FA">
      <w:pPr>
        <w:pStyle w:val="paragraph"/>
      </w:pPr>
      <w:r w:rsidRPr="008E78A2">
        <w:tab/>
        <w:t>(c)</w:t>
      </w:r>
      <w:r w:rsidRPr="008E78A2">
        <w:tab/>
        <w:t>the provider</w:t>
      </w:r>
      <w:r w:rsidR="000E726C" w:rsidRPr="008E78A2">
        <w:t xml:space="preserve"> is satisfied that the student has the academic abilities required to </w:t>
      </w:r>
      <w:r w:rsidR="00C81489" w:rsidRPr="008E78A2">
        <w:t>progress through</w:t>
      </w:r>
      <w:r w:rsidR="000E726C" w:rsidRPr="008E78A2">
        <w:t xml:space="preserve"> the program</w:t>
      </w:r>
      <w:r w:rsidRPr="008E78A2">
        <w:t>; and</w:t>
      </w:r>
    </w:p>
    <w:p w14:paraId="3399D916" w14:textId="653129D7" w:rsidR="005D6031" w:rsidRPr="008E78A2" w:rsidRDefault="003010F8" w:rsidP="00DC1A90">
      <w:pPr>
        <w:pStyle w:val="paragraph"/>
      </w:pPr>
      <w:r w:rsidRPr="008E78A2">
        <w:tab/>
        <w:t>(</w:t>
      </w:r>
      <w:r w:rsidR="000631FA" w:rsidRPr="008E78A2">
        <w:t>d</w:t>
      </w:r>
      <w:r w:rsidRPr="008E78A2">
        <w:t>)</w:t>
      </w:r>
      <w:r w:rsidRPr="008E78A2">
        <w:tab/>
      </w:r>
      <w:r w:rsidR="00DC1A90" w:rsidRPr="008E78A2">
        <w:t xml:space="preserve">subject to subsection (4), the student is at least 17 years of age at the time of commencement. </w:t>
      </w:r>
    </w:p>
    <w:p w14:paraId="7192537C" w14:textId="64F25446" w:rsidR="005D6031" w:rsidRPr="008E78A2" w:rsidRDefault="003010F8" w:rsidP="003010F8">
      <w:pPr>
        <w:pStyle w:val="subsection"/>
      </w:pPr>
      <w:r w:rsidRPr="008E78A2">
        <w:tab/>
        <w:t>(</w:t>
      </w:r>
      <w:r w:rsidR="00DB57C6" w:rsidRPr="008E78A2">
        <w:t>2</w:t>
      </w:r>
      <w:r w:rsidRPr="008E78A2">
        <w:t>)</w:t>
      </w:r>
      <w:r w:rsidRPr="008E78A2">
        <w:tab/>
      </w:r>
      <w:r w:rsidR="000E726C" w:rsidRPr="008E78A2">
        <w:t>A provider may enrol a student in an</w:t>
      </w:r>
      <w:r w:rsidR="005D6031" w:rsidRPr="008E78A2">
        <w:t xml:space="preserve"> extend</w:t>
      </w:r>
      <w:r w:rsidR="00C07862" w:rsidRPr="008E78A2">
        <w:t>ed</w:t>
      </w:r>
      <w:r w:rsidR="005D6031" w:rsidRPr="008E78A2">
        <w:t xml:space="preserve"> Foundation Program</w:t>
      </w:r>
      <w:r w:rsidR="000E726C" w:rsidRPr="008E78A2">
        <w:t xml:space="preserve"> if</w:t>
      </w:r>
      <w:r w:rsidR="005D6031" w:rsidRPr="008E78A2">
        <w:t>:</w:t>
      </w:r>
    </w:p>
    <w:p w14:paraId="26604765" w14:textId="058F00E8" w:rsidR="005D6031" w:rsidRPr="008E78A2" w:rsidRDefault="003010F8" w:rsidP="003010F8">
      <w:pPr>
        <w:pStyle w:val="paragraph"/>
      </w:pPr>
      <w:r w:rsidRPr="008E78A2">
        <w:tab/>
        <w:t>(a)</w:t>
      </w:r>
      <w:r w:rsidRPr="008E78A2">
        <w:tab/>
      </w:r>
      <w:r w:rsidR="000E726C" w:rsidRPr="008E78A2">
        <w:t xml:space="preserve">the student has </w:t>
      </w:r>
      <w:r w:rsidR="005D6031" w:rsidRPr="008E78A2">
        <w:t>complet</w:t>
      </w:r>
      <w:r w:rsidR="000E726C" w:rsidRPr="008E78A2">
        <w:t>ed</w:t>
      </w:r>
      <w:r w:rsidR="005D6031" w:rsidRPr="008E78A2">
        <w:t xml:space="preserve"> Australian Year 11 o</w:t>
      </w:r>
      <w:r w:rsidR="00AF05A3" w:rsidRPr="008E78A2">
        <w:t>r</w:t>
      </w:r>
      <w:r w:rsidR="005D6031" w:rsidRPr="008E78A2">
        <w:t xml:space="preserve"> a comparable educational level</w:t>
      </w:r>
      <w:r w:rsidR="00D73092" w:rsidRPr="008E78A2">
        <w:t>;</w:t>
      </w:r>
    </w:p>
    <w:p w14:paraId="41F30A09" w14:textId="14AD19A0" w:rsidR="000631FA" w:rsidRPr="008E78A2" w:rsidRDefault="003010F8" w:rsidP="003010F8">
      <w:pPr>
        <w:pStyle w:val="paragraph"/>
      </w:pPr>
      <w:r w:rsidRPr="008E78A2">
        <w:lastRenderedPageBreak/>
        <w:tab/>
        <w:t>(b)</w:t>
      </w:r>
      <w:r w:rsidRPr="008E78A2">
        <w:tab/>
      </w:r>
      <w:r w:rsidR="000E726C" w:rsidRPr="008E78A2">
        <w:t xml:space="preserve">the student has </w:t>
      </w:r>
      <w:r w:rsidR="007A3C92" w:rsidRPr="008E78A2">
        <w:t>a</w:t>
      </w:r>
      <w:r w:rsidR="005D6031" w:rsidRPr="008E78A2">
        <w:t>ttain</w:t>
      </w:r>
      <w:r w:rsidR="000E726C" w:rsidRPr="008E78A2">
        <w:t>ed an</w:t>
      </w:r>
      <w:r w:rsidR="005D6031" w:rsidRPr="008E78A2">
        <w:t xml:space="preserve"> English language proficiency comparable to an overall score of 5 in the IELT</w:t>
      </w:r>
      <w:r w:rsidR="000E726C" w:rsidRPr="008E78A2">
        <w:t>S;</w:t>
      </w:r>
      <w:r w:rsidR="005D6031" w:rsidRPr="008E78A2">
        <w:t xml:space="preserve"> </w:t>
      </w:r>
    </w:p>
    <w:p w14:paraId="449AAD00" w14:textId="7EE073A6" w:rsidR="005D6031" w:rsidRPr="008E78A2" w:rsidRDefault="000631FA" w:rsidP="003010F8">
      <w:pPr>
        <w:pStyle w:val="paragraph"/>
      </w:pPr>
      <w:r w:rsidRPr="008E78A2">
        <w:tab/>
        <w:t>(c)</w:t>
      </w:r>
      <w:r w:rsidRPr="008E78A2">
        <w:tab/>
      </w:r>
      <w:r w:rsidR="000E726C" w:rsidRPr="008E78A2">
        <w:t xml:space="preserve">the provider is satisfied that the student has the academic abilities required to </w:t>
      </w:r>
      <w:r w:rsidR="00C81489" w:rsidRPr="008E78A2">
        <w:t>progress through</w:t>
      </w:r>
      <w:r w:rsidR="000E726C" w:rsidRPr="008E78A2">
        <w:t xml:space="preserve"> the program; and</w:t>
      </w:r>
    </w:p>
    <w:p w14:paraId="177C4884" w14:textId="381AE81F" w:rsidR="005D6031" w:rsidRPr="008E78A2" w:rsidRDefault="003010F8" w:rsidP="003010F8">
      <w:pPr>
        <w:pStyle w:val="paragraph"/>
      </w:pPr>
      <w:r w:rsidRPr="008E78A2">
        <w:tab/>
        <w:t>(</w:t>
      </w:r>
      <w:r w:rsidR="00133636" w:rsidRPr="008E78A2">
        <w:t>d</w:t>
      </w:r>
      <w:r w:rsidRPr="008E78A2">
        <w:t>)</w:t>
      </w:r>
      <w:r w:rsidRPr="008E78A2">
        <w:tab/>
      </w:r>
      <w:r w:rsidR="00DC1A90" w:rsidRPr="008E78A2">
        <w:t xml:space="preserve">subject to subsection (4), the student is at least 17 years of age </w:t>
      </w:r>
      <w:r w:rsidR="007A3C92" w:rsidRPr="008E78A2">
        <w:t>a</w:t>
      </w:r>
      <w:r w:rsidR="005D6031" w:rsidRPr="008E78A2">
        <w:t>t the time of commencement</w:t>
      </w:r>
      <w:r w:rsidR="00EA1C53" w:rsidRPr="008E78A2">
        <w:t xml:space="preserve">. </w:t>
      </w:r>
    </w:p>
    <w:p w14:paraId="77E9A629" w14:textId="1959CCE4" w:rsidR="000E726C" w:rsidRPr="008E78A2" w:rsidRDefault="00DB57C6" w:rsidP="00DB57C6">
      <w:pPr>
        <w:pStyle w:val="subsection"/>
      </w:pPr>
      <w:r w:rsidRPr="008E78A2">
        <w:tab/>
        <w:t>(3)</w:t>
      </w:r>
      <w:r w:rsidRPr="008E78A2">
        <w:tab/>
      </w:r>
      <w:r w:rsidR="000E726C" w:rsidRPr="008E78A2">
        <w:t xml:space="preserve">For the purposes of paragraphs (1)(c) and (2)(c), a provider must have and implement a documented policy and process for assessing whether the student’s English language proficiency, educational </w:t>
      </w:r>
      <w:r w:rsidR="00C81489" w:rsidRPr="008E78A2">
        <w:t xml:space="preserve">background or </w:t>
      </w:r>
      <w:r w:rsidR="000E726C" w:rsidRPr="008E78A2">
        <w:t>qualifications</w:t>
      </w:r>
      <w:r w:rsidR="00C81489" w:rsidRPr="008E78A2">
        <w:t>,</w:t>
      </w:r>
      <w:r w:rsidR="000E726C" w:rsidRPr="008E78A2">
        <w:t xml:space="preserve"> or work experience are sufficient to enable them to </w:t>
      </w:r>
      <w:r w:rsidR="00AB6973" w:rsidRPr="008E78A2">
        <w:t>undertake</w:t>
      </w:r>
      <w:r w:rsidR="000E726C" w:rsidRPr="008E78A2">
        <w:t xml:space="preserve"> the program.</w:t>
      </w:r>
    </w:p>
    <w:p w14:paraId="131A25F6" w14:textId="582C85DC" w:rsidR="007B77E2" w:rsidRPr="008E78A2" w:rsidRDefault="000E726C" w:rsidP="00DB57C6">
      <w:pPr>
        <w:pStyle w:val="subsection"/>
      </w:pPr>
      <w:r w:rsidRPr="008E78A2">
        <w:tab/>
        <w:t>(4)</w:t>
      </w:r>
      <w:r w:rsidRPr="008E78A2">
        <w:tab/>
      </w:r>
      <w:r w:rsidR="007B77E2" w:rsidRPr="008E78A2">
        <w:t xml:space="preserve">Despite paragraphs </w:t>
      </w:r>
      <w:r w:rsidR="00DB57C6" w:rsidRPr="008E78A2">
        <w:t>(1)(</w:t>
      </w:r>
      <w:r w:rsidR="000631FA" w:rsidRPr="008E78A2">
        <w:t>d</w:t>
      </w:r>
      <w:r w:rsidR="00DB57C6" w:rsidRPr="008E78A2">
        <w:t>) and (2)(</w:t>
      </w:r>
      <w:r w:rsidR="000631FA" w:rsidRPr="008E78A2">
        <w:t>d</w:t>
      </w:r>
      <w:r w:rsidR="00DB57C6" w:rsidRPr="008E78A2">
        <w:t xml:space="preserve">), </w:t>
      </w:r>
      <w:r w:rsidR="003319B5" w:rsidRPr="008E78A2">
        <w:t>a provider may allow students to commence</w:t>
      </w:r>
      <w:r w:rsidR="004D4539" w:rsidRPr="008E78A2">
        <w:t xml:space="preserve"> a Foundation Program with the provider</w:t>
      </w:r>
      <w:r w:rsidR="003319B5" w:rsidRPr="008E78A2">
        <w:t xml:space="preserve"> at 16 years of age</w:t>
      </w:r>
      <w:r w:rsidR="00FF43EC" w:rsidRPr="008E78A2">
        <w:t xml:space="preserve"> if</w:t>
      </w:r>
      <w:r w:rsidR="007B77E2" w:rsidRPr="008E78A2">
        <w:t>:</w:t>
      </w:r>
    </w:p>
    <w:p w14:paraId="4B3A7799" w14:textId="016FBADC" w:rsidR="00D97BBB" w:rsidRPr="008E78A2" w:rsidRDefault="007B77E2" w:rsidP="00D97BBB">
      <w:pPr>
        <w:pStyle w:val="paragraph"/>
      </w:pPr>
      <w:r w:rsidRPr="008E78A2">
        <w:tab/>
      </w:r>
      <w:r w:rsidR="00D97BBB" w:rsidRPr="008E78A2">
        <w:t>(</w:t>
      </w:r>
      <w:r w:rsidR="00285538" w:rsidRPr="008E78A2">
        <w:t>a</w:t>
      </w:r>
      <w:r w:rsidR="00D97BBB" w:rsidRPr="008E78A2">
        <w:t>)</w:t>
      </w:r>
      <w:r w:rsidR="00D97BBB" w:rsidRPr="008E78A2">
        <w:tab/>
        <w:t>the provider has been granted an exemption</w:t>
      </w:r>
      <w:r w:rsidR="00E63314" w:rsidRPr="008E78A2">
        <w:t xml:space="preserve"> </w:t>
      </w:r>
      <w:r w:rsidR="00D97BBB" w:rsidRPr="008E78A2">
        <w:t>by the ESOS agency of that provider</w:t>
      </w:r>
      <w:r w:rsidR="00C216D2" w:rsidRPr="008E78A2">
        <w:t xml:space="preserve"> </w:t>
      </w:r>
      <w:r w:rsidR="004C6C0E" w:rsidRPr="008E78A2">
        <w:t>for the period, or remaining period, of the provider’s CRICOS registration</w:t>
      </w:r>
      <w:r w:rsidR="00D97BBB" w:rsidRPr="008E78A2">
        <w:t>; and</w:t>
      </w:r>
    </w:p>
    <w:p w14:paraId="3B113F8F" w14:textId="4D4D6AC1" w:rsidR="00D97BBB" w:rsidRPr="008E78A2" w:rsidRDefault="00D97BBB" w:rsidP="007B77E2">
      <w:pPr>
        <w:pStyle w:val="paragraph"/>
      </w:pPr>
      <w:r w:rsidRPr="008E78A2">
        <w:tab/>
      </w:r>
      <w:r w:rsidR="007B77E2" w:rsidRPr="008E78A2">
        <w:t>(</w:t>
      </w:r>
      <w:r w:rsidR="00285538" w:rsidRPr="008E78A2">
        <w:t>b</w:t>
      </w:r>
      <w:r w:rsidR="007B77E2" w:rsidRPr="008E78A2">
        <w:t>)</w:t>
      </w:r>
      <w:r w:rsidR="007B77E2" w:rsidRPr="008E78A2">
        <w:tab/>
      </w:r>
      <w:r w:rsidRPr="008E78A2">
        <w:t>either:</w:t>
      </w:r>
    </w:p>
    <w:p w14:paraId="0C3ADB3F" w14:textId="6A6D4E1F" w:rsidR="007B77E2" w:rsidRPr="008E78A2" w:rsidRDefault="00D97BBB" w:rsidP="00D97BBB">
      <w:pPr>
        <w:pStyle w:val="paragraphsub"/>
      </w:pPr>
      <w:r w:rsidRPr="008E78A2">
        <w:tab/>
        <w:t>(</w:t>
      </w:r>
      <w:proofErr w:type="spellStart"/>
      <w:r w:rsidRPr="008E78A2">
        <w:t>i</w:t>
      </w:r>
      <w:proofErr w:type="spellEnd"/>
      <w:r w:rsidRPr="008E78A2">
        <w:t>)</w:t>
      </w:r>
      <w:r w:rsidRPr="008E78A2">
        <w:tab/>
      </w:r>
      <w:r w:rsidR="007B77E2" w:rsidRPr="008E78A2">
        <w:t>the provider has a substantial history of enrolling students of 16 years of age without significant adverse feedback to the ESOS agency</w:t>
      </w:r>
      <w:r w:rsidR="007078BD" w:rsidRPr="008E78A2">
        <w:t>;</w:t>
      </w:r>
      <w:r w:rsidR="007B77E2" w:rsidRPr="008E78A2">
        <w:t xml:space="preserve"> or</w:t>
      </w:r>
    </w:p>
    <w:p w14:paraId="48F9A50D" w14:textId="7E5FD687" w:rsidR="007B77E2" w:rsidRPr="008E78A2" w:rsidRDefault="00D97BBB" w:rsidP="00D97BBB">
      <w:pPr>
        <w:pStyle w:val="paragraphsub"/>
      </w:pPr>
      <w:r w:rsidRPr="008E78A2">
        <w:tab/>
        <w:t>(ii)</w:t>
      </w:r>
      <w:r w:rsidR="007B77E2" w:rsidRPr="008E78A2">
        <w:tab/>
        <w:t>the provider has demonstrated appropriate welfare processes and resources to deal with students of 16 years of age</w:t>
      </w:r>
      <w:r w:rsidR="004F497D" w:rsidRPr="008E78A2">
        <w:t>.</w:t>
      </w:r>
    </w:p>
    <w:p w14:paraId="0A734639" w14:textId="73E82BD4" w:rsidR="005D6031" w:rsidRPr="008E78A2" w:rsidRDefault="003010F8" w:rsidP="003010F8">
      <w:pPr>
        <w:pStyle w:val="subsection"/>
      </w:pPr>
      <w:r w:rsidRPr="008E78A2">
        <w:tab/>
        <w:t>(</w:t>
      </w:r>
      <w:r w:rsidR="004D4539" w:rsidRPr="008E78A2">
        <w:t>5</w:t>
      </w:r>
      <w:r w:rsidRPr="008E78A2">
        <w:t>)</w:t>
      </w:r>
      <w:r w:rsidRPr="008E78A2">
        <w:tab/>
      </w:r>
      <w:r w:rsidR="00A678C2" w:rsidRPr="008E78A2">
        <w:t xml:space="preserve">The </w:t>
      </w:r>
      <w:r w:rsidR="005D6031" w:rsidRPr="008E78A2">
        <w:t xml:space="preserve">course </w:t>
      </w:r>
      <w:r w:rsidR="00171F6A" w:rsidRPr="008E78A2">
        <w:t>information</w:t>
      </w:r>
      <w:r w:rsidR="00DD5655" w:rsidRPr="008E78A2">
        <w:t xml:space="preserve"> for a Foundation Program made available to potential applicants must</w:t>
      </w:r>
      <w:r w:rsidR="005D6031" w:rsidRPr="008E78A2">
        <w:t>:</w:t>
      </w:r>
    </w:p>
    <w:p w14:paraId="61BAFBF1" w14:textId="73CAF015" w:rsidR="005D6031" w:rsidRPr="008E78A2" w:rsidRDefault="00261C4A" w:rsidP="00261C4A">
      <w:pPr>
        <w:pStyle w:val="paragraph"/>
      </w:pPr>
      <w:r w:rsidRPr="008E78A2">
        <w:tab/>
        <w:t>(a)</w:t>
      </w:r>
      <w:r w:rsidRPr="008E78A2">
        <w:tab/>
      </w:r>
      <w:r w:rsidR="00DD5655" w:rsidRPr="008E78A2">
        <w:t>s</w:t>
      </w:r>
      <w:r w:rsidR="005D6031" w:rsidRPr="008E78A2">
        <w:t>pecify the relevant entry requirements</w:t>
      </w:r>
      <w:r w:rsidR="00FA5513" w:rsidRPr="008E78A2">
        <w:t>;</w:t>
      </w:r>
    </w:p>
    <w:p w14:paraId="614458AF" w14:textId="74172800" w:rsidR="00DD5655" w:rsidRPr="008E78A2" w:rsidRDefault="00261C4A" w:rsidP="00261C4A">
      <w:pPr>
        <w:pStyle w:val="paragraph"/>
      </w:pPr>
      <w:r w:rsidRPr="008E78A2">
        <w:tab/>
        <w:t>(b)</w:t>
      </w:r>
      <w:r w:rsidRPr="008E78A2">
        <w:tab/>
      </w:r>
      <w:r w:rsidR="00DD5655" w:rsidRPr="008E78A2">
        <w:t>state whether or not certified forecast or provisional examination results on prerequisite courses are acceptable, if final results are not available</w:t>
      </w:r>
      <w:r w:rsidR="00FA5513" w:rsidRPr="008E78A2">
        <w:t>;</w:t>
      </w:r>
    </w:p>
    <w:p w14:paraId="4C52DBBE" w14:textId="036197BC" w:rsidR="00DD5655" w:rsidRPr="008E78A2" w:rsidRDefault="00261C4A" w:rsidP="00261C4A">
      <w:pPr>
        <w:pStyle w:val="paragraph"/>
      </w:pPr>
      <w:r w:rsidRPr="008E78A2">
        <w:tab/>
        <w:t>(c)</w:t>
      </w:r>
      <w:r w:rsidRPr="008E78A2">
        <w:tab/>
      </w:r>
      <w:bookmarkStart w:id="13" w:name="_Hlk80619783"/>
      <w:r w:rsidR="00DD5655" w:rsidRPr="008E78A2">
        <w:t xml:space="preserve">provide a table stating alternative English language minimum admission </w:t>
      </w:r>
      <w:bookmarkEnd w:id="13"/>
      <w:r w:rsidR="00DD5655" w:rsidRPr="008E78A2">
        <w:t>requirements</w:t>
      </w:r>
      <w:r w:rsidR="00222479" w:rsidRPr="008E78A2">
        <w:t>;</w:t>
      </w:r>
      <w:r w:rsidR="00DD5655" w:rsidRPr="008E78A2">
        <w:t xml:space="preserve"> and</w:t>
      </w:r>
    </w:p>
    <w:p w14:paraId="14B4C9DD" w14:textId="1C6E31B4" w:rsidR="00A678C2" w:rsidRPr="008E78A2" w:rsidRDefault="00261C4A" w:rsidP="00261C4A">
      <w:pPr>
        <w:pStyle w:val="paragraph"/>
      </w:pPr>
      <w:r w:rsidRPr="008E78A2">
        <w:tab/>
        <w:t>(d)</w:t>
      </w:r>
      <w:r w:rsidRPr="008E78A2">
        <w:tab/>
      </w:r>
      <w:r w:rsidR="00DD5655" w:rsidRPr="008E78A2">
        <w:t>i</w:t>
      </w:r>
      <w:r w:rsidR="005D6031" w:rsidRPr="008E78A2">
        <w:t>f the Foundation Program is an extended Program</w:t>
      </w:r>
      <w:r w:rsidR="00133636" w:rsidRPr="008E78A2">
        <w:t>—</w:t>
      </w:r>
      <w:r w:rsidR="005D6031" w:rsidRPr="008E78A2">
        <w:t>indicate the basis for modification of standard Foundation Program requirements</w:t>
      </w:r>
      <w:r w:rsidR="00DD5655" w:rsidRPr="008E78A2">
        <w:t>.</w:t>
      </w:r>
    </w:p>
    <w:p w14:paraId="064489D7" w14:textId="0DA54166" w:rsidR="00261C4A" w:rsidRPr="008E78A2" w:rsidRDefault="00261C4A" w:rsidP="00492757">
      <w:pPr>
        <w:pStyle w:val="subsection"/>
      </w:pPr>
      <w:r w:rsidRPr="008E78A2">
        <w:tab/>
        <w:t>(</w:t>
      </w:r>
      <w:r w:rsidR="004D4539" w:rsidRPr="008E78A2">
        <w:t>6</w:t>
      </w:r>
      <w:r w:rsidRPr="008E78A2">
        <w:t>)</w:t>
      </w:r>
      <w:r w:rsidRPr="008E78A2">
        <w:tab/>
      </w:r>
      <w:r w:rsidR="00DB57C6" w:rsidRPr="008E78A2">
        <w:t>In determining whether educational levels or English language proficiency attained in other countries are comparable to Australian Year 11 or IELTS, providers must base their assessment on</w:t>
      </w:r>
      <w:r w:rsidRPr="008E78A2">
        <w:t xml:space="preserve"> robust advice</w:t>
      </w:r>
      <w:r w:rsidR="00F461EE" w:rsidRPr="008E78A2">
        <w:t xml:space="preserve"> or research</w:t>
      </w:r>
      <w:r w:rsidRPr="008E78A2">
        <w:t>.</w:t>
      </w:r>
    </w:p>
    <w:p w14:paraId="1C2F56E9" w14:textId="56CEC34E" w:rsidR="00DB57C6" w:rsidRPr="008E78A2" w:rsidRDefault="00FA5513" w:rsidP="00DB57C6">
      <w:pPr>
        <w:pStyle w:val="ActHead5"/>
      </w:pPr>
      <w:bookmarkStart w:id="14" w:name="_Toc80878891"/>
      <w:r w:rsidRPr="008E78A2">
        <w:t>11</w:t>
      </w:r>
      <w:r w:rsidR="00261C4A" w:rsidRPr="008E78A2">
        <w:t xml:space="preserve">  </w:t>
      </w:r>
      <w:r w:rsidR="004F4593" w:rsidRPr="008E78A2">
        <w:t>S</w:t>
      </w:r>
      <w:r w:rsidR="00DB57C6" w:rsidRPr="008E78A2">
        <w:t>ubjects</w:t>
      </w:r>
      <w:r w:rsidR="004F4593" w:rsidRPr="008E78A2">
        <w:t xml:space="preserve"> (Standard </w:t>
      </w:r>
      <w:r w:rsidR="007C2D49" w:rsidRPr="008E78A2">
        <w:t>4</w:t>
      </w:r>
      <w:r w:rsidR="004F4593" w:rsidRPr="008E78A2">
        <w:t>)</w:t>
      </w:r>
      <w:bookmarkEnd w:id="14"/>
    </w:p>
    <w:p w14:paraId="16E1BBA4" w14:textId="5938190E" w:rsidR="003A6D49" w:rsidRPr="008E78A2" w:rsidRDefault="00DB57C6" w:rsidP="00DB57C6">
      <w:pPr>
        <w:pStyle w:val="subsection"/>
      </w:pPr>
      <w:r w:rsidRPr="008E78A2">
        <w:tab/>
        <w:t>(1)</w:t>
      </w:r>
      <w:r w:rsidRPr="008E78A2">
        <w:tab/>
      </w:r>
      <w:r w:rsidR="003A6D49" w:rsidRPr="008E78A2">
        <w:t>A provider must offer a stream</w:t>
      </w:r>
      <w:r w:rsidR="007A5585" w:rsidRPr="008E78A2">
        <w:t>ed</w:t>
      </w:r>
      <w:r w:rsidR="003A6D49" w:rsidRPr="008E78A2">
        <w:t xml:space="preserve"> program or a general</w:t>
      </w:r>
      <w:r w:rsidR="00663870" w:rsidRPr="008E78A2">
        <w:t>ist</w:t>
      </w:r>
      <w:r w:rsidR="003A6D49" w:rsidRPr="008E78A2">
        <w:t xml:space="preserve"> program.</w:t>
      </w:r>
    </w:p>
    <w:p w14:paraId="472E2901" w14:textId="129332E6" w:rsidR="00C12C9B" w:rsidRPr="008E78A2" w:rsidRDefault="00663870" w:rsidP="00DB57C6">
      <w:pPr>
        <w:pStyle w:val="subsection"/>
      </w:pPr>
      <w:r w:rsidRPr="008E78A2">
        <w:tab/>
        <w:t>(2)</w:t>
      </w:r>
      <w:r w:rsidRPr="008E78A2">
        <w:tab/>
      </w:r>
      <w:r w:rsidR="00DB57C6" w:rsidRPr="008E78A2">
        <w:t xml:space="preserve">The </w:t>
      </w:r>
      <w:r w:rsidR="00E6542A" w:rsidRPr="008E78A2">
        <w:t>provider</w:t>
      </w:r>
      <w:r w:rsidR="00C12C9B" w:rsidRPr="008E78A2">
        <w:t xml:space="preserve"> must clearly state</w:t>
      </w:r>
      <w:r w:rsidR="002E5D43" w:rsidRPr="008E78A2">
        <w:t xml:space="preserve"> in the course information</w:t>
      </w:r>
      <w:r w:rsidR="00C12C9B" w:rsidRPr="008E78A2">
        <w:t>:</w:t>
      </w:r>
    </w:p>
    <w:p w14:paraId="23D740B4" w14:textId="746C7FF1" w:rsidR="00C12C9B" w:rsidRPr="008E78A2" w:rsidRDefault="00C12C9B" w:rsidP="00C12C9B">
      <w:pPr>
        <w:pStyle w:val="paragraph"/>
      </w:pPr>
      <w:r w:rsidRPr="008E78A2">
        <w:tab/>
        <w:t>(a)</w:t>
      </w:r>
      <w:r w:rsidRPr="008E78A2">
        <w:tab/>
        <w:t>whether a Foundation Program offers a streamed program or a generalist program</w:t>
      </w:r>
      <w:r w:rsidR="00222479" w:rsidRPr="008E78A2">
        <w:t>;</w:t>
      </w:r>
      <w:r w:rsidRPr="008E78A2">
        <w:t xml:space="preserve"> and</w:t>
      </w:r>
    </w:p>
    <w:p w14:paraId="5E6F0FAA" w14:textId="6A4C9423" w:rsidR="00C12C9B" w:rsidRPr="008E78A2" w:rsidRDefault="00C12C9B" w:rsidP="00C12C9B">
      <w:pPr>
        <w:pStyle w:val="paragraph"/>
      </w:pPr>
      <w:r w:rsidRPr="008E78A2">
        <w:tab/>
        <w:t>(b)</w:t>
      </w:r>
      <w:r w:rsidRPr="008E78A2">
        <w:tab/>
        <w:t>the program structure, including specification of core and elective subjects, and rules for subject choice and combination.</w:t>
      </w:r>
    </w:p>
    <w:p w14:paraId="3A39ACFC" w14:textId="5051CF1A" w:rsidR="0024366F" w:rsidRPr="008E78A2" w:rsidRDefault="003B6856" w:rsidP="00DB57C6">
      <w:pPr>
        <w:pStyle w:val="subsection"/>
      </w:pPr>
      <w:r w:rsidRPr="008E78A2">
        <w:tab/>
        <w:t>(3)</w:t>
      </w:r>
      <w:r w:rsidRPr="008E78A2">
        <w:tab/>
        <w:t>A Foundation Program must be comprised of discipline</w:t>
      </w:r>
      <w:r w:rsidRPr="008E78A2">
        <w:noBreakHyphen/>
        <w:t>based subjects and English language subjects.</w:t>
      </w:r>
    </w:p>
    <w:p w14:paraId="65486827" w14:textId="534D8339" w:rsidR="00E6542A" w:rsidRPr="008E78A2" w:rsidRDefault="00C85113" w:rsidP="00DB57C6">
      <w:pPr>
        <w:pStyle w:val="subsection"/>
      </w:pPr>
      <w:r w:rsidRPr="008E78A2">
        <w:lastRenderedPageBreak/>
        <w:tab/>
      </w:r>
      <w:r w:rsidR="00E6542A" w:rsidRPr="008E78A2">
        <w:t>(</w:t>
      </w:r>
      <w:r w:rsidR="00DB1A1A" w:rsidRPr="008E78A2">
        <w:t>4</w:t>
      </w:r>
      <w:r w:rsidR="00E6542A" w:rsidRPr="008E78A2">
        <w:t>)</w:t>
      </w:r>
      <w:r w:rsidRPr="008E78A2">
        <w:tab/>
        <w:t>A s</w:t>
      </w:r>
      <w:r w:rsidR="00E6542A" w:rsidRPr="008E78A2">
        <w:t xml:space="preserve">tudent enrolled in </w:t>
      </w:r>
      <w:r w:rsidRPr="008E78A2">
        <w:t xml:space="preserve">a Foundation Program </w:t>
      </w:r>
      <w:r w:rsidR="00E6542A" w:rsidRPr="008E78A2">
        <w:t>must complete three discipline</w:t>
      </w:r>
      <w:r w:rsidRPr="008E78A2">
        <w:noBreakHyphen/>
      </w:r>
      <w:r w:rsidR="00E6542A" w:rsidRPr="008E78A2">
        <w:t>based subjects per</w:t>
      </w:r>
      <w:r w:rsidR="007E0059" w:rsidRPr="008E78A2">
        <w:t xml:space="preserve"> study period.</w:t>
      </w:r>
    </w:p>
    <w:p w14:paraId="0195376E" w14:textId="61FCCEC6" w:rsidR="00E6542A" w:rsidRPr="008E78A2" w:rsidRDefault="00E6542A" w:rsidP="00C85113">
      <w:pPr>
        <w:pStyle w:val="notetext"/>
      </w:pPr>
      <w:r w:rsidRPr="008E78A2">
        <w:rPr>
          <w:snapToGrid w:val="0"/>
          <w:lang w:eastAsia="en-US"/>
        </w:rPr>
        <w:t>Note:</w:t>
      </w:r>
      <w:r w:rsidRPr="008E78A2">
        <w:rPr>
          <w:snapToGrid w:val="0"/>
          <w:lang w:eastAsia="en-US"/>
        </w:rPr>
        <w:tab/>
      </w:r>
      <w:r w:rsidR="00C85113" w:rsidRPr="008E78A2">
        <w:rPr>
          <w:snapToGrid w:val="0"/>
          <w:lang w:eastAsia="en-US"/>
        </w:rPr>
        <w:t>The same discipline-based subjects may be studied throughout the duration of the course. For example, a student may fulfil the requirement in subsection (</w:t>
      </w:r>
      <w:r w:rsidR="00CC0CA7" w:rsidRPr="008E78A2">
        <w:rPr>
          <w:snapToGrid w:val="0"/>
          <w:lang w:eastAsia="en-US"/>
        </w:rPr>
        <w:t>4</w:t>
      </w:r>
      <w:r w:rsidR="00C85113" w:rsidRPr="008E78A2">
        <w:rPr>
          <w:snapToGrid w:val="0"/>
          <w:lang w:eastAsia="en-US"/>
        </w:rPr>
        <w:t>) by completing a Mathematics subject, a Science subject, and an Arts subject in each</w:t>
      </w:r>
      <w:r w:rsidR="007E0059" w:rsidRPr="008E78A2">
        <w:rPr>
          <w:snapToGrid w:val="0"/>
          <w:lang w:eastAsia="en-US"/>
        </w:rPr>
        <w:t xml:space="preserve"> study period.</w:t>
      </w:r>
    </w:p>
    <w:p w14:paraId="174D14B9" w14:textId="5046A64E" w:rsidR="00E6542A" w:rsidRPr="008E78A2" w:rsidRDefault="00E6542A" w:rsidP="00DB57C6">
      <w:pPr>
        <w:pStyle w:val="subsection"/>
      </w:pPr>
      <w:r w:rsidRPr="008E78A2">
        <w:tab/>
        <w:t>(</w:t>
      </w:r>
      <w:r w:rsidR="00DB1A1A" w:rsidRPr="008E78A2">
        <w:t>5</w:t>
      </w:r>
      <w:r w:rsidRPr="008E78A2">
        <w:t>)</w:t>
      </w:r>
      <w:r w:rsidRPr="008E78A2">
        <w:tab/>
      </w:r>
      <w:r w:rsidR="00F461EE" w:rsidRPr="008E78A2">
        <w:t>If</w:t>
      </w:r>
      <w:r w:rsidRPr="008E78A2">
        <w:t xml:space="preserve"> the Foundation Program is a generalist program, </w:t>
      </w:r>
      <w:r w:rsidR="00C85113" w:rsidRPr="008E78A2">
        <w:t xml:space="preserve">discipline-based </w:t>
      </w:r>
      <w:r w:rsidRPr="008E78A2">
        <w:t xml:space="preserve">subject offerings must span a broad range of disciplines or Key Learning Areas, and </w:t>
      </w:r>
      <w:r w:rsidR="009E39B1" w:rsidRPr="008E78A2">
        <w:t xml:space="preserve">the program must </w:t>
      </w:r>
      <w:r w:rsidRPr="008E78A2">
        <w:t>include at least one subject in each of the following areas:</w:t>
      </w:r>
    </w:p>
    <w:p w14:paraId="1A9074EF" w14:textId="0E3F4824" w:rsidR="00E6542A" w:rsidRPr="008E78A2" w:rsidRDefault="00E6542A" w:rsidP="00363101">
      <w:pPr>
        <w:pStyle w:val="paragraph"/>
      </w:pPr>
      <w:r w:rsidRPr="008E78A2">
        <w:tab/>
        <w:t>(a)</w:t>
      </w:r>
      <w:r w:rsidRPr="008E78A2">
        <w:tab/>
        <w:t>Mathematics</w:t>
      </w:r>
      <w:r w:rsidR="001A342A" w:rsidRPr="008E78A2">
        <w:t>;</w:t>
      </w:r>
    </w:p>
    <w:p w14:paraId="32E2B88F" w14:textId="32E00D48" w:rsidR="00E6542A" w:rsidRPr="008E78A2" w:rsidRDefault="00E6542A" w:rsidP="00E6542A">
      <w:pPr>
        <w:pStyle w:val="paragraph"/>
      </w:pPr>
      <w:r w:rsidRPr="008E78A2">
        <w:tab/>
        <w:t>(</w:t>
      </w:r>
      <w:r w:rsidR="00363101" w:rsidRPr="008E78A2">
        <w:t>b</w:t>
      </w:r>
      <w:r w:rsidRPr="008E78A2">
        <w:t>)</w:t>
      </w:r>
      <w:r w:rsidRPr="008E78A2">
        <w:tab/>
        <w:t>the Arts</w:t>
      </w:r>
      <w:r w:rsidR="00222479" w:rsidRPr="008E78A2">
        <w:t>;</w:t>
      </w:r>
      <w:r w:rsidRPr="008E78A2">
        <w:t xml:space="preserve"> </w:t>
      </w:r>
    </w:p>
    <w:p w14:paraId="3ECF2795" w14:textId="1265C8EB" w:rsidR="00E6542A" w:rsidRPr="008E78A2" w:rsidRDefault="00E6542A" w:rsidP="00FA0A40">
      <w:pPr>
        <w:pStyle w:val="paragraph"/>
      </w:pPr>
      <w:r w:rsidRPr="008E78A2">
        <w:tab/>
        <w:t>(</w:t>
      </w:r>
      <w:r w:rsidR="00363101" w:rsidRPr="008E78A2">
        <w:t>c</w:t>
      </w:r>
      <w:r w:rsidRPr="008E78A2">
        <w:t>)</w:t>
      </w:r>
      <w:r w:rsidRPr="008E78A2">
        <w:tab/>
      </w:r>
      <w:r w:rsidR="00FA0A40" w:rsidRPr="008E78A2">
        <w:t>Humanities and Social Science</w:t>
      </w:r>
      <w:r w:rsidR="006E6731" w:rsidRPr="008E78A2">
        <w:t>s</w:t>
      </w:r>
      <w:r w:rsidR="00135AEA" w:rsidRPr="008E78A2">
        <w:t>; and</w:t>
      </w:r>
    </w:p>
    <w:p w14:paraId="222CE66C" w14:textId="77C2C868" w:rsidR="00135AEA" w:rsidRPr="008E78A2" w:rsidRDefault="00135AEA" w:rsidP="00FA0A40">
      <w:pPr>
        <w:pStyle w:val="paragraph"/>
      </w:pPr>
      <w:r w:rsidRPr="008E78A2">
        <w:tab/>
        <w:t>(d)</w:t>
      </w:r>
      <w:r w:rsidRPr="008E78A2">
        <w:tab/>
        <w:t>either:</w:t>
      </w:r>
    </w:p>
    <w:p w14:paraId="068F3705" w14:textId="2C1EBC0A" w:rsidR="00135AEA" w:rsidRPr="008E78A2" w:rsidRDefault="00135AEA" w:rsidP="006E6731">
      <w:pPr>
        <w:pStyle w:val="paragraphsub"/>
      </w:pPr>
      <w:r w:rsidRPr="008E78A2">
        <w:tab/>
        <w:t>(</w:t>
      </w:r>
      <w:proofErr w:type="spellStart"/>
      <w:r w:rsidRPr="008E78A2">
        <w:t>i</w:t>
      </w:r>
      <w:proofErr w:type="spellEnd"/>
      <w:r w:rsidRPr="008E78A2">
        <w:t>)</w:t>
      </w:r>
      <w:r w:rsidRPr="008E78A2">
        <w:tab/>
        <w:t>Science; or</w:t>
      </w:r>
    </w:p>
    <w:p w14:paraId="1BE483EA" w14:textId="5591F2A5" w:rsidR="00135AEA" w:rsidRPr="008E78A2" w:rsidRDefault="00135AEA" w:rsidP="006E6731">
      <w:pPr>
        <w:pStyle w:val="paragraphsub"/>
      </w:pPr>
      <w:r w:rsidRPr="008E78A2">
        <w:tab/>
        <w:t>(ii)</w:t>
      </w:r>
      <w:r w:rsidRPr="008E78A2">
        <w:tab/>
        <w:t>Technology.</w:t>
      </w:r>
    </w:p>
    <w:p w14:paraId="47FA0D2E" w14:textId="7356EA1B" w:rsidR="00C85113" w:rsidRPr="008E78A2" w:rsidRDefault="00C85113" w:rsidP="00C85113">
      <w:pPr>
        <w:pStyle w:val="subsection"/>
      </w:pPr>
      <w:r w:rsidRPr="008E78A2">
        <w:tab/>
        <w:t>(</w:t>
      </w:r>
      <w:r w:rsidR="00DB1A1A" w:rsidRPr="008E78A2">
        <w:t>6</w:t>
      </w:r>
      <w:r w:rsidRPr="008E78A2">
        <w:t>)</w:t>
      </w:r>
      <w:r w:rsidRPr="008E78A2">
        <w:tab/>
      </w:r>
      <w:r w:rsidR="006B05DF" w:rsidRPr="008E78A2">
        <w:t>I</w:t>
      </w:r>
      <w:r w:rsidRPr="008E78A2">
        <w:t>f the Foundation Program is a streamed program, discipline</w:t>
      </w:r>
      <w:r w:rsidRPr="008E78A2">
        <w:noBreakHyphen/>
        <w:t xml:space="preserve">based subject offerings must clearly be relevant to the proposed area of higher education study, or be made up of one or more of the following areas: </w:t>
      </w:r>
    </w:p>
    <w:p w14:paraId="01070DD6" w14:textId="77777777" w:rsidR="00B03B95" w:rsidRPr="008E78A2" w:rsidRDefault="00B03B95" w:rsidP="00B03B95">
      <w:pPr>
        <w:pStyle w:val="paragraph"/>
      </w:pPr>
      <w:r w:rsidRPr="008E78A2">
        <w:tab/>
        <w:t>(a)</w:t>
      </w:r>
      <w:r w:rsidRPr="008E78A2">
        <w:tab/>
        <w:t>Mathematics;</w:t>
      </w:r>
    </w:p>
    <w:p w14:paraId="06AA699E" w14:textId="77777777" w:rsidR="00B03B95" w:rsidRPr="008E78A2" w:rsidRDefault="00B03B95" w:rsidP="00B03B95">
      <w:pPr>
        <w:pStyle w:val="paragraph"/>
      </w:pPr>
      <w:r w:rsidRPr="008E78A2">
        <w:tab/>
        <w:t>(b)</w:t>
      </w:r>
      <w:r w:rsidRPr="008E78A2">
        <w:tab/>
        <w:t xml:space="preserve">the Arts; </w:t>
      </w:r>
    </w:p>
    <w:p w14:paraId="52A27F95" w14:textId="6CF15072" w:rsidR="00B03B95" w:rsidRPr="008E78A2" w:rsidRDefault="00B03B95" w:rsidP="00B03B95">
      <w:pPr>
        <w:pStyle w:val="paragraph"/>
      </w:pPr>
      <w:r w:rsidRPr="008E78A2">
        <w:tab/>
        <w:t>(c)</w:t>
      </w:r>
      <w:r w:rsidRPr="008E78A2">
        <w:tab/>
        <w:t xml:space="preserve">Humanities and Social Sciences; </w:t>
      </w:r>
    </w:p>
    <w:p w14:paraId="65F57312" w14:textId="2F3E02F7" w:rsidR="009F10A9" w:rsidRPr="008E78A2" w:rsidRDefault="00B03B95" w:rsidP="009F10A9">
      <w:pPr>
        <w:pStyle w:val="paragraph"/>
      </w:pPr>
      <w:r w:rsidRPr="008E78A2">
        <w:tab/>
        <w:t>(d)</w:t>
      </w:r>
      <w:r w:rsidRPr="008E78A2">
        <w:tab/>
        <w:t>Science; or</w:t>
      </w:r>
    </w:p>
    <w:p w14:paraId="46DB8580" w14:textId="4D366F29" w:rsidR="00B03B95" w:rsidRPr="008E78A2" w:rsidRDefault="009F10A9" w:rsidP="009F10A9">
      <w:pPr>
        <w:pStyle w:val="paragraph"/>
      </w:pPr>
      <w:r w:rsidRPr="008E78A2">
        <w:tab/>
        <w:t>(e)</w:t>
      </w:r>
      <w:r w:rsidRPr="008E78A2">
        <w:tab/>
      </w:r>
      <w:r w:rsidR="00B03B95" w:rsidRPr="008E78A2">
        <w:t>Technology.</w:t>
      </w:r>
    </w:p>
    <w:p w14:paraId="270D8EBC" w14:textId="54943154" w:rsidR="00C12C9B" w:rsidRPr="008E78A2" w:rsidRDefault="00C12C9B" w:rsidP="00C12C9B">
      <w:pPr>
        <w:pStyle w:val="subsection"/>
      </w:pPr>
      <w:r w:rsidRPr="008E78A2">
        <w:tab/>
        <w:t>(</w:t>
      </w:r>
      <w:r w:rsidR="00301733" w:rsidRPr="008E78A2">
        <w:t>7</w:t>
      </w:r>
      <w:r w:rsidRPr="008E78A2">
        <w:t>)</w:t>
      </w:r>
      <w:r w:rsidRPr="008E78A2">
        <w:tab/>
        <w:t>A Foundation Program cannot include paid work experience.</w:t>
      </w:r>
    </w:p>
    <w:p w14:paraId="2A04777E" w14:textId="4BADB984" w:rsidR="00C85113" w:rsidRPr="008E78A2" w:rsidRDefault="00FA5513" w:rsidP="00C12C9B">
      <w:pPr>
        <w:pStyle w:val="ActHead5"/>
      </w:pPr>
      <w:bookmarkStart w:id="15" w:name="_Toc80878892"/>
      <w:r w:rsidRPr="008E78A2">
        <w:t>12</w:t>
      </w:r>
      <w:r w:rsidR="00C12C9B" w:rsidRPr="008E78A2">
        <w:t xml:space="preserve">  English </w:t>
      </w:r>
      <w:r w:rsidR="00BF62E8" w:rsidRPr="008E78A2">
        <w:t>language subject</w:t>
      </w:r>
      <w:r w:rsidR="00B03B95" w:rsidRPr="008E78A2">
        <w:t>s</w:t>
      </w:r>
      <w:r w:rsidR="004F4593" w:rsidRPr="008E78A2">
        <w:t xml:space="preserve"> (Standard </w:t>
      </w:r>
      <w:r w:rsidR="007C2D49" w:rsidRPr="008E78A2">
        <w:t>5</w:t>
      </w:r>
      <w:r w:rsidR="004F4593" w:rsidRPr="008E78A2">
        <w:t>)</w:t>
      </w:r>
      <w:bookmarkEnd w:id="15"/>
    </w:p>
    <w:p w14:paraId="77896B8D" w14:textId="7F529D51" w:rsidR="00F725BB" w:rsidRPr="008E78A2" w:rsidRDefault="00320496" w:rsidP="00320496">
      <w:pPr>
        <w:pStyle w:val="subsection"/>
      </w:pPr>
      <w:bookmarkStart w:id="16" w:name="_Hlk80709382"/>
      <w:r w:rsidRPr="008E78A2">
        <w:tab/>
        <w:t>(1)</w:t>
      </w:r>
      <w:r w:rsidRPr="008E78A2">
        <w:tab/>
        <w:t xml:space="preserve">A </w:t>
      </w:r>
      <w:r w:rsidR="00BE2026" w:rsidRPr="008E78A2">
        <w:t xml:space="preserve">standard </w:t>
      </w:r>
      <w:r w:rsidRPr="008E78A2">
        <w:t xml:space="preserve">Foundation Program must include a minimum </w:t>
      </w:r>
      <w:r w:rsidR="00BE2026" w:rsidRPr="008E78A2">
        <w:t>of 200</w:t>
      </w:r>
      <w:r w:rsidRPr="008E78A2">
        <w:t xml:space="preserve"> hours of scheduled </w:t>
      </w:r>
      <w:r w:rsidR="00822A62" w:rsidRPr="008E78A2">
        <w:t>English language learning,</w:t>
      </w:r>
      <w:r w:rsidR="00DA1122" w:rsidRPr="008E78A2">
        <w:t xml:space="preserve"> </w:t>
      </w:r>
      <w:r w:rsidR="00F725BB" w:rsidRPr="008E78A2">
        <w:t xml:space="preserve">and at least 100 of those hours </w:t>
      </w:r>
      <w:r w:rsidR="00882730" w:rsidRPr="008E78A2">
        <w:t xml:space="preserve">must be </w:t>
      </w:r>
      <w:r w:rsidR="00822A62" w:rsidRPr="008E78A2">
        <w:t>scheduled formal class contact time.</w:t>
      </w:r>
    </w:p>
    <w:p w14:paraId="27B97DD0" w14:textId="26934A0E" w:rsidR="00320496" w:rsidRPr="008E78A2" w:rsidRDefault="00822A62" w:rsidP="00F725BB">
      <w:pPr>
        <w:pStyle w:val="notetext"/>
      </w:pPr>
      <w:r w:rsidRPr="008E78A2">
        <w:t xml:space="preserve"> </w:t>
      </w:r>
      <w:r w:rsidR="00F725BB" w:rsidRPr="008E78A2">
        <w:rPr>
          <w:snapToGrid w:val="0"/>
          <w:lang w:eastAsia="en-US"/>
        </w:rPr>
        <w:t>Note:</w:t>
      </w:r>
      <w:r w:rsidR="00F725BB" w:rsidRPr="008E78A2">
        <w:rPr>
          <w:snapToGrid w:val="0"/>
          <w:lang w:eastAsia="en-US"/>
        </w:rPr>
        <w:tab/>
        <w:t xml:space="preserve">For example, a standard Foundation Program which included more than 200 hours of scheduled English language learning would still only need to include 100 hours of scheduled formal class contact </w:t>
      </w:r>
      <w:r w:rsidR="00A2044C" w:rsidRPr="008E78A2">
        <w:rPr>
          <w:snapToGrid w:val="0"/>
          <w:lang w:eastAsia="en-US"/>
        </w:rPr>
        <w:t>time but</w:t>
      </w:r>
      <w:r w:rsidR="00F725BB" w:rsidRPr="008E78A2">
        <w:rPr>
          <w:snapToGrid w:val="0"/>
          <w:lang w:eastAsia="en-US"/>
        </w:rPr>
        <w:t xml:space="preserve"> could include more. </w:t>
      </w:r>
    </w:p>
    <w:p w14:paraId="5DF9688D" w14:textId="08BF0E34" w:rsidR="00882730" w:rsidRPr="008E78A2" w:rsidRDefault="00320496" w:rsidP="00320496">
      <w:pPr>
        <w:pStyle w:val="subsection"/>
      </w:pPr>
      <w:r w:rsidRPr="008E78A2">
        <w:tab/>
        <w:t>(</w:t>
      </w:r>
      <w:r w:rsidR="006240D6" w:rsidRPr="008E78A2">
        <w:t>2</w:t>
      </w:r>
      <w:r w:rsidRPr="008E78A2">
        <w:t>)</w:t>
      </w:r>
      <w:r w:rsidRPr="008E78A2">
        <w:tab/>
      </w:r>
      <w:r w:rsidR="00DA1122" w:rsidRPr="008E78A2">
        <w:t xml:space="preserve">At least </w:t>
      </w:r>
      <w:r w:rsidR="006B6B7E" w:rsidRPr="008E78A2">
        <w:t>28 per cent</w:t>
      </w:r>
      <w:r w:rsidR="00DA1122" w:rsidRPr="008E78A2">
        <w:t xml:space="preserve"> of scheduled course contact hours</w:t>
      </w:r>
      <w:r w:rsidR="00BE2026" w:rsidRPr="008E78A2">
        <w:t xml:space="preserve"> </w:t>
      </w:r>
      <w:r w:rsidR="00DA1122" w:rsidRPr="008E78A2">
        <w:t xml:space="preserve">for an extended Foundation Program </w:t>
      </w:r>
      <w:r w:rsidR="00BE2026" w:rsidRPr="008E78A2">
        <w:t xml:space="preserve">must </w:t>
      </w:r>
      <w:r w:rsidR="00DA1122" w:rsidRPr="008E78A2">
        <w:t>be</w:t>
      </w:r>
      <w:r w:rsidR="00BE2026" w:rsidRPr="008E78A2">
        <w:t xml:space="preserve"> scheduled English language learning</w:t>
      </w:r>
      <w:r w:rsidR="00DA1122" w:rsidRPr="008E78A2">
        <w:t>, and</w:t>
      </w:r>
      <w:r w:rsidR="00882730" w:rsidRPr="008E78A2">
        <w:t xml:space="preserve"> at least half </w:t>
      </w:r>
      <w:r w:rsidR="00DA1122" w:rsidRPr="008E78A2">
        <w:t xml:space="preserve">of the </w:t>
      </w:r>
      <w:r w:rsidR="00F725BB" w:rsidRPr="008E78A2">
        <w:t xml:space="preserve">minimum </w:t>
      </w:r>
      <w:r w:rsidR="00DA1122" w:rsidRPr="008E78A2">
        <w:t xml:space="preserve">English language learning hours </w:t>
      </w:r>
      <w:r w:rsidR="00882730" w:rsidRPr="008E78A2">
        <w:t>must be scheduled formal class contact time.</w:t>
      </w:r>
    </w:p>
    <w:p w14:paraId="3B5AF030" w14:textId="7443F819" w:rsidR="00320496" w:rsidRPr="008E78A2" w:rsidRDefault="00822A62" w:rsidP="00BE2026">
      <w:pPr>
        <w:pStyle w:val="notetext"/>
      </w:pPr>
      <w:r w:rsidRPr="008E78A2">
        <w:rPr>
          <w:snapToGrid w:val="0"/>
          <w:lang w:eastAsia="en-US"/>
        </w:rPr>
        <w:t>Note:</w:t>
      </w:r>
      <w:r w:rsidRPr="008E78A2">
        <w:rPr>
          <w:snapToGrid w:val="0"/>
          <w:lang w:eastAsia="en-US"/>
        </w:rPr>
        <w:tab/>
        <w:t>For example, an extended Foundation Program with 10</w:t>
      </w:r>
      <w:r w:rsidR="00DA1122" w:rsidRPr="008E78A2">
        <w:rPr>
          <w:snapToGrid w:val="0"/>
          <w:lang w:eastAsia="en-US"/>
        </w:rPr>
        <w:t>0</w:t>
      </w:r>
      <w:r w:rsidRPr="008E78A2">
        <w:rPr>
          <w:snapToGrid w:val="0"/>
          <w:lang w:eastAsia="en-US"/>
        </w:rPr>
        <w:t xml:space="preserve">0 scheduled course contact hours must include a minimum of </w:t>
      </w:r>
      <w:r w:rsidR="00DA1122" w:rsidRPr="008E78A2">
        <w:rPr>
          <w:snapToGrid w:val="0"/>
          <w:lang w:eastAsia="en-US"/>
        </w:rPr>
        <w:t>2</w:t>
      </w:r>
      <w:r w:rsidR="006B6B7E" w:rsidRPr="008E78A2">
        <w:rPr>
          <w:snapToGrid w:val="0"/>
          <w:lang w:eastAsia="en-US"/>
        </w:rPr>
        <w:t>8</w:t>
      </w:r>
      <w:r w:rsidR="00DA1122" w:rsidRPr="008E78A2">
        <w:rPr>
          <w:snapToGrid w:val="0"/>
          <w:lang w:eastAsia="en-US"/>
        </w:rPr>
        <w:t>0</w:t>
      </w:r>
      <w:r w:rsidRPr="008E78A2">
        <w:rPr>
          <w:snapToGrid w:val="0"/>
          <w:lang w:eastAsia="en-US"/>
        </w:rPr>
        <w:t xml:space="preserve"> hours of English language</w:t>
      </w:r>
      <w:r w:rsidR="00DA1122" w:rsidRPr="008E78A2">
        <w:rPr>
          <w:snapToGrid w:val="0"/>
          <w:lang w:eastAsia="en-US"/>
        </w:rPr>
        <w:t xml:space="preserve"> learning. Of those 2</w:t>
      </w:r>
      <w:r w:rsidR="006B6B7E" w:rsidRPr="008E78A2">
        <w:rPr>
          <w:snapToGrid w:val="0"/>
          <w:lang w:eastAsia="en-US"/>
        </w:rPr>
        <w:t>8</w:t>
      </w:r>
      <w:r w:rsidR="00DA1122" w:rsidRPr="008E78A2">
        <w:rPr>
          <w:snapToGrid w:val="0"/>
          <w:lang w:eastAsia="en-US"/>
        </w:rPr>
        <w:t>0 hours, a minimum of</w:t>
      </w:r>
      <w:r w:rsidRPr="008E78A2">
        <w:rPr>
          <w:snapToGrid w:val="0"/>
          <w:lang w:eastAsia="en-US"/>
        </w:rPr>
        <w:t xml:space="preserve"> </w:t>
      </w:r>
      <w:r w:rsidR="00DA1122" w:rsidRPr="008E78A2">
        <w:rPr>
          <w:snapToGrid w:val="0"/>
          <w:lang w:eastAsia="en-US"/>
        </w:rPr>
        <w:t>1</w:t>
      </w:r>
      <w:r w:rsidR="00EB079E" w:rsidRPr="008E78A2">
        <w:rPr>
          <w:snapToGrid w:val="0"/>
          <w:lang w:eastAsia="en-US"/>
        </w:rPr>
        <w:t>40</w:t>
      </w:r>
      <w:r w:rsidR="00DA1122" w:rsidRPr="008E78A2">
        <w:rPr>
          <w:snapToGrid w:val="0"/>
          <w:lang w:eastAsia="en-US"/>
        </w:rPr>
        <w:t xml:space="preserve"> hours must be</w:t>
      </w:r>
      <w:r w:rsidRPr="008E78A2">
        <w:rPr>
          <w:snapToGrid w:val="0"/>
          <w:lang w:eastAsia="en-US"/>
        </w:rPr>
        <w:t xml:space="preserve"> </w:t>
      </w:r>
      <w:r w:rsidR="00DA1122" w:rsidRPr="008E78A2">
        <w:rPr>
          <w:snapToGrid w:val="0"/>
          <w:lang w:eastAsia="en-US"/>
        </w:rPr>
        <w:t xml:space="preserve">formal class </w:t>
      </w:r>
      <w:r w:rsidRPr="008E78A2">
        <w:rPr>
          <w:snapToGrid w:val="0"/>
          <w:lang w:eastAsia="en-US"/>
        </w:rPr>
        <w:t>contact time</w:t>
      </w:r>
      <w:r w:rsidR="00DA1122" w:rsidRPr="008E78A2">
        <w:rPr>
          <w:snapToGrid w:val="0"/>
          <w:lang w:eastAsia="en-US"/>
        </w:rPr>
        <w:t>.</w:t>
      </w:r>
      <w:r w:rsidR="00F725BB" w:rsidRPr="008E78A2">
        <w:rPr>
          <w:snapToGrid w:val="0"/>
          <w:lang w:eastAsia="en-US"/>
        </w:rPr>
        <w:t xml:space="preserve"> If the program included more than the minimum hours of English language learning, the minimum number of hours of formal class contact time would remain at 1</w:t>
      </w:r>
      <w:r w:rsidR="00EB079E" w:rsidRPr="008E78A2">
        <w:rPr>
          <w:snapToGrid w:val="0"/>
          <w:lang w:eastAsia="en-US"/>
        </w:rPr>
        <w:t>40</w:t>
      </w:r>
      <w:r w:rsidR="00F725BB" w:rsidRPr="008E78A2">
        <w:rPr>
          <w:snapToGrid w:val="0"/>
          <w:lang w:eastAsia="en-US"/>
        </w:rPr>
        <w:t>.</w:t>
      </w:r>
      <w:r w:rsidRPr="008E78A2">
        <w:rPr>
          <w:snapToGrid w:val="0"/>
          <w:lang w:eastAsia="en-US"/>
        </w:rPr>
        <w:t xml:space="preserve"> </w:t>
      </w:r>
    </w:p>
    <w:bookmarkEnd w:id="16"/>
    <w:p w14:paraId="3ACDDD8F" w14:textId="41DC2684" w:rsidR="00B23CD4" w:rsidRPr="008E78A2" w:rsidRDefault="00BE2026" w:rsidP="00B23CD4">
      <w:pPr>
        <w:pStyle w:val="subsection"/>
      </w:pPr>
      <w:r w:rsidRPr="008E78A2">
        <w:tab/>
        <w:t>(</w:t>
      </w:r>
      <w:r w:rsidR="006240D6" w:rsidRPr="008E78A2">
        <w:t>3</w:t>
      </w:r>
      <w:r w:rsidRPr="008E78A2">
        <w:t>)</w:t>
      </w:r>
      <w:r w:rsidRPr="008E78A2">
        <w:tab/>
        <w:t xml:space="preserve">For the purposes of subsections (1) and (2), the minimum hours must be spread consistently throughout the duration of the program and must not be undertaken in a </w:t>
      </w:r>
      <w:r w:rsidR="00156B7A" w:rsidRPr="008E78A2">
        <w:t xml:space="preserve">block of </w:t>
      </w:r>
      <w:r w:rsidRPr="008E78A2">
        <w:t>full</w:t>
      </w:r>
      <w:r w:rsidRPr="008E78A2">
        <w:noBreakHyphen/>
        <w:t>time study.</w:t>
      </w:r>
    </w:p>
    <w:p w14:paraId="4C3CCA80" w14:textId="37A44D9D" w:rsidR="00AF3EEC" w:rsidRPr="008E78A2" w:rsidRDefault="00AF3EEC" w:rsidP="00AF3EEC">
      <w:pPr>
        <w:pStyle w:val="subsection"/>
      </w:pPr>
      <w:r w:rsidRPr="008E78A2">
        <w:lastRenderedPageBreak/>
        <w:tab/>
        <w:t>(4)</w:t>
      </w:r>
      <w:r w:rsidRPr="008E78A2">
        <w:tab/>
        <w:t xml:space="preserve">For the purposes of this section: </w:t>
      </w:r>
    </w:p>
    <w:p w14:paraId="53317B6C" w14:textId="7F5FBEDC" w:rsidR="00AF3EEC" w:rsidRPr="008E78A2" w:rsidRDefault="00AF3EEC" w:rsidP="00AF3EEC">
      <w:pPr>
        <w:pStyle w:val="paragraph"/>
      </w:pPr>
      <w:r w:rsidRPr="008E78A2">
        <w:tab/>
        <w:t>(a)</w:t>
      </w:r>
      <w:r w:rsidRPr="008E78A2">
        <w:tab/>
      </w:r>
      <w:r w:rsidRPr="008E78A2">
        <w:rPr>
          <w:b/>
          <w:bCs/>
          <w:i/>
          <w:iCs/>
        </w:rPr>
        <w:t>English language learning</w:t>
      </w:r>
      <w:r w:rsidRPr="008E78A2">
        <w:t xml:space="preserve"> may be delivered online or in person and includes formal class contact time and regular, supervised self</w:t>
      </w:r>
      <w:r w:rsidRPr="008E78A2">
        <w:noBreakHyphen/>
        <w:t>directed study of English; and</w:t>
      </w:r>
    </w:p>
    <w:p w14:paraId="35BE7437" w14:textId="22CBA017" w:rsidR="00AF3EEC" w:rsidRPr="008E78A2" w:rsidRDefault="00AF3EEC" w:rsidP="00C649E4">
      <w:pPr>
        <w:pStyle w:val="paragraph"/>
      </w:pPr>
      <w:r w:rsidRPr="008E78A2">
        <w:tab/>
        <w:t>(b)</w:t>
      </w:r>
      <w:r w:rsidRPr="008E78A2">
        <w:tab/>
      </w:r>
      <w:r w:rsidRPr="008E78A2">
        <w:rPr>
          <w:b/>
          <w:bCs/>
          <w:i/>
          <w:iCs/>
        </w:rPr>
        <w:t>formal class contact time</w:t>
      </w:r>
      <w:r w:rsidRPr="008E78A2">
        <w:t xml:space="preserve"> does not include supervised self-directed study of English.</w:t>
      </w:r>
    </w:p>
    <w:p w14:paraId="2BCDEC71" w14:textId="476D2CE0" w:rsidR="00B23CD4" w:rsidRPr="008E78A2" w:rsidRDefault="00B23CD4" w:rsidP="00B23CD4">
      <w:pPr>
        <w:pStyle w:val="subsection"/>
      </w:pPr>
      <w:r w:rsidRPr="008E78A2">
        <w:tab/>
        <w:t>(</w:t>
      </w:r>
      <w:r w:rsidR="00AF3EEC" w:rsidRPr="008E78A2">
        <w:t>5</w:t>
      </w:r>
      <w:r w:rsidRPr="008E78A2">
        <w:t>)</w:t>
      </w:r>
      <w:r w:rsidRPr="008E78A2">
        <w:tab/>
      </w:r>
      <w:r w:rsidR="003C2F06" w:rsidRPr="008E78A2">
        <w:t>An E</w:t>
      </w:r>
      <w:r w:rsidR="00616DC1" w:rsidRPr="008E78A2">
        <w:t xml:space="preserve">nglish language </w:t>
      </w:r>
      <w:r w:rsidR="00AC1AA5" w:rsidRPr="008E78A2">
        <w:t>subject</w:t>
      </w:r>
      <w:r w:rsidRPr="008E78A2">
        <w:t xml:space="preserve"> must explicitly include all of the following teaching and</w:t>
      </w:r>
      <w:r w:rsidR="00A13159" w:rsidRPr="008E78A2">
        <w:t xml:space="preserve"> </w:t>
      </w:r>
      <w:r w:rsidRPr="008E78A2">
        <w:t>learning components:</w:t>
      </w:r>
    </w:p>
    <w:p w14:paraId="15F482F2" w14:textId="6A7C2DE7" w:rsidR="00B23CD4" w:rsidRPr="008E78A2" w:rsidRDefault="00A13159" w:rsidP="00A13159">
      <w:pPr>
        <w:pStyle w:val="paragraph"/>
      </w:pPr>
      <w:r w:rsidRPr="008E78A2">
        <w:tab/>
        <w:t>(a)</w:t>
      </w:r>
      <w:r w:rsidRPr="008E78A2">
        <w:tab/>
      </w:r>
      <w:r w:rsidR="00B23CD4" w:rsidRPr="008E78A2">
        <w:t>academic listening skills</w:t>
      </w:r>
      <w:r w:rsidRPr="008E78A2">
        <w:t>;</w:t>
      </w:r>
    </w:p>
    <w:p w14:paraId="605033DC" w14:textId="0557AD49" w:rsidR="00B23CD4" w:rsidRPr="008E78A2" w:rsidRDefault="00A13159" w:rsidP="00A13159">
      <w:pPr>
        <w:pStyle w:val="paragraph"/>
      </w:pPr>
      <w:r w:rsidRPr="008E78A2">
        <w:tab/>
        <w:t>(b)</w:t>
      </w:r>
      <w:r w:rsidRPr="008E78A2">
        <w:tab/>
      </w:r>
      <w:r w:rsidR="00B23CD4" w:rsidRPr="008E78A2">
        <w:t>academic reading skills</w:t>
      </w:r>
      <w:r w:rsidRPr="008E78A2">
        <w:t>;</w:t>
      </w:r>
    </w:p>
    <w:p w14:paraId="7FE276BB" w14:textId="15C81DDC" w:rsidR="00B23CD4" w:rsidRPr="008E78A2" w:rsidRDefault="00A13159" w:rsidP="00A13159">
      <w:pPr>
        <w:pStyle w:val="paragraph"/>
      </w:pPr>
      <w:r w:rsidRPr="008E78A2">
        <w:tab/>
        <w:t>(c)</w:t>
      </w:r>
      <w:r w:rsidRPr="008E78A2">
        <w:tab/>
      </w:r>
      <w:r w:rsidR="00B23CD4" w:rsidRPr="008E78A2">
        <w:t>academic writing skills, including essay</w:t>
      </w:r>
      <w:r w:rsidRPr="008E78A2">
        <w:t xml:space="preserve"> and </w:t>
      </w:r>
      <w:r w:rsidR="00B23CD4" w:rsidRPr="008E78A2">
        <w:t>report writing</w:t>
      </w:r>
      <w:r w:rsidRPr="008E78A2">
        <w:t>;</w:t>
      </w:r>
    </w:p>
    <w:p w14:paraId="2DF1CEC8" w14:textId="41BBBB65" w:rsidR="00B23CD4" w:rsidRPr="008E78A2" w:rsidRDefault="00A13159" w:rsidP="00A13159">
      <w:pPr>
        <w:pStyle w:val="paragraph"/>
      </w:pPr>
      <w:r w:rsidRPr="008E78A2">
        <w:tab/>
        <w:t>(d)</w:t>
      </w:r>
      <w:r w:rsidRPr="008E78A2">
        <w:tab/>
      </w:r>
      <w:r w:rsidR="00B23CD4" w:rsidRPr="008E78A2">
        <w:t>academic writing conventions</w:t>
      </w:r>
      <w:r w:rsidRPr="008E78A2">
        <w:t xml:space="preserve">, </w:t>
      </w:r>
      <w:r w:rsidR="00B23CD4" w:rsidRPr="008E78A2">
        <w:t>including understanding</w:t>
      </w:r>
      <w:r w:rsidRPr="008E78A2">
        <w:t xml:space="preserve"> and </w:t>
      </w:r>
      <w:r w:rsidR="00B23CD4" w:rsidRPr="008E78A2">
        <w:t>avoiding plagiarism</w:t>
      </w:r>
      <w:r w:rsidRPr="008E78A2">
        <w:t>;</w:t>
      </w:r>
    </w:p>
    <w:p w14:paraId="6E2A7A8D" w14:textId="003B1D9E" w:rsidR="000C06E5" w:rsidRPr="008E78A2" w:rsidRDefault="00A13159" w:rsidP="00A13159">
      <w:pPr>
        <w:pStyle w:val="paragraph"/>
      </w:pPr>
      <w:r w:rsidRPr="008E78A2">
        <w:tab/>
        <w:t>(e)</w:t>
      </w:r>
      <w:r w:rsidRPr="008E78A2">
        <w:tab/>
      </w:r>
      <w:r w:rsidR="000C06E5" w:rsidRPr="008E78A2">
        <w:t>independent study skills;</w:t>
      </w:r>
    </w:p>
    <w:p w14:paraId="3096A965" w14:textId="33AE008F" w:rsidR="00B23CD4" w:rsidRPr="008E78A2" w:rsidRDefault="000C06E5" w:rsidP="00A13159">
      <w:pPr>
        <w:pStyle w:val="paragraph"/>
      </w:pPr>
      <w:r w:rsidRPr="008E78A2">
        <w:tab/>
        <w:t>(f)</w:t>
      </w:r>
      <w:r w:rsidRPr="008E78A2">
        <w:tab/>
      </w:r>
      <w:r w:rsidR="00B23CD4" w:rsidRPr="008E78A2">
        <w:t>oral presentation skills</w:t>
      </w:r>
      <w:r w:rsidR="00A13159" w:rsidRPr="008E78A2">
        <w:t>;</w:t>
      </w:r>
    </w:p>
    <w:p w14:paraId="1EED6042" w14:textId="16A108EE" w:rsidR="00B23CD4" w:rsidRPr="008E78A2" w:rsidRDefault="00A13159" w:rsidP="00A13159">
      <w:pPr>
        <w:pStyle w:val="paragraph"/>
      </w:pPr>
      <w:r w:rsidRPr="008E78A2">
        <w:tab/>
        <w:t>(</w:t>
      </w:r>
      <w:r w:rsidR="000C06E5" w:rsidRPr="008E78A2">
        <w:t>g</w:t>
      </w:r>
      <w:r w:rsidRPr="008E78A2">
        <w:t>)</w:t>
      </w:r>
      <w:r w:rsidRPr="008E78A2">
        <w:tab/>
      </w:r>
      <w:r w:rsidR="00B23CD4" w:rsidRPr="008E78A2">
        <w:t>group discussion</w:t>
      </w:r>
      <w:r w:rsidRPr="008E78A2">
        <w:t>; and</w:t>
      </w:r>
    </w:p>
    <w:p w14:paraId="34C56C43" w14:textId="30076C7E" w:rsidR="00B23CD4" w:rsidRPr="008E78A2" w:rsidRDefault="00A13159" w:rsidP="00A13159">
      <w:pPr>
        <w:pStyle w:val="paragraph"/>
      </w:pPr>
      <w:r w:rsidRPr="008E78A2">
        <w:tab/>
        <w:t>(</w:t>
      </w:r>
      <w:r w:rsidR="000C06E5" w:rsidRPr="008E78A2">
        <w:t>h</w:t>
      </w:r>
      <w:r w:rsidRPr="008E78A2">
        <w:t>)</w:t>
      </w:r>
      <w:r w:rsidRPr="008E78A2">
        <w:tab/>
      </w:r>
      <w:r w:rsidR="00B23CD4" w:rsidRPr="008E78A2">
        <w:t>critical thinking</w:t>
      </w:r>
      <w:r w:rsidRPr="008E78A2">
        <w:t>.</w:t>
      </w:r>
    </w:p>
    <w:p w14:paraId="1FE27173" w14:textId="7D30D2DF" w:rsidR="008802B7" w:rsidRPr="008E78A2" w:rsidRDefault="00A359ED" w:rsidP="000F7BE0">
      <w:pPr>
        <w:pStyle w:val="subsection"/>
      </w:pPr>
      <w:r w:rsidRPr="008E78A2">
        <w:tab/>
        <w:t>(</w:t>
      </w:r>
      <w:r w:rsidR="000F7BE0" w:rsidRPr="008E78A2">
        <w:t>6</w:t>
      </w:r>
      <w:r w:rsidRPr="008E78A2">
        <w:t>)</w:t>
      </w:r>
      <w:r w:rsidRPr="008E78A2">
        <w:tab/>
        <w:t xml:space="preserve">A provider must put in place formal measures to ensure that assessment outcomes for the </w:t>
      </w:r>
      <w:r w:rsidR="00AC1AA5" w:rsidRPr="008E78A2">
        <w:t>English language subjects</w:t>
      </w:r>
      <w:r w:rsidRPr="008E78A2">
        <w:t xml:space="preserve"> are comparable to other criteria used for admission to the </w:t>
      </w:r>
      <w:r w:rsidR="008231DE" w:rsidRPr="008E78A2">
        <w:t xml:space="preserve">available </w:t>
      </w:r>
      <w:r w:rsidR="00BD0355" w:rsidRPr="008E78A2">
        <w:t>higher education pathway</w:t>
      </w:r>
      <w:r w:rsidR="008231DE" w:rsidRPr="008E78A2">
        <w:t>s</w:t>
      </w:r>
      <w:r w:rsidRPr="008E78A2">
        <w:t>, or for admission to other similar courses of study.</w:t>
      </w:r>
    </w:p>
    <w:p w14:paraId="51AEB6D0" w14:textId="18C97156" w:rsidR="00320496" w:rsidRPr="008E78A2" w:rsidRDefault="00FA5513" w:rsidP="006240D6">
      <w:pPr>
        <w:pStyle w:val="ActHead5"/>
      </w:pPr>
      <w:bookmarkStart w:id="17" w:name="_Hlk75269115"/>
      <w:bookmarkStart w:id="18" w:name="_Toc80878893"/>
      <w:r w:rsidRPr="008E78A2">
        <w:t>13</w:t>
      </w:r>
      <w:r w:rsidR="006240D6" w:rsidRPr="008E78A2">
        <w:t xml:space="preserve">  </w:t>
      </w:r>
      <w:bookmarkEnd w:id="17"/>
      <w:r w:rsidR="00CD53E8" w:rsidRPr="008E78A2">
        <w:t>Pathways</w:t>
      </w:r>
      <w:r w:rsidR="004F4593" w:rsidRPr="008E78A2">
        <w:t xml:space="preserve"> (Standard </w:t>
      </w:r>
      <w:r w:rsidR="007C2D49" w:rsidRPr="008E78A2">
        <w:t>6</w:t>
      </w:r>
      <w:r w:rsidR="004F4593" w:rsidRPr="008E78A2">
        <w:t>)</w:t>
      </w:r>
      <w:bookmarkEnd w:id="18"/>
    </w:p>
    <w:p w14:paraId="6435F4A8" w14:textId="4D0017C0" w:rsidR="003D2E66" w:rsidRPr="008E78A2" w:rsidRDefault="00CD53E8" w:rsidP="00CD53E8">
      <w:pPr>
        <w:pStyle w:val="subsection"/>
      </w:pPr>
      <w:r w:rsidRPr="008E78A2">
        <w:tab/>
        <w:t>(1)</w:t>
      </w:r>
      <w:r w:rsidRPr="008E78A2">
        <w:tab/>
        <w:t>A provider must have a formal</w:t>
      </w:r>
      <w:r w:rsidR="000C381F" w:rsidRPr="008E78A2">
        <w:t>, written</w:t>
      </w:r>
      <w:r w:rsidRPr="008E78A2">
        <w:t xml:space="preserve"> agreement with a higher education provider</w:t>
      </w:r>
      <w:r w:rsidR="004D352E" w:rsidRPr="008E78A2">
        <w:t xml:space="preserve"> in which</w:t>
      </w:r>
      <w:r w:rsidR="00147849" w:rsidRPr="008E78A2">
        <w:t>:</w:t>
      </w:r>
      <w:r w:rsidRPr="008E78A2">
        <w:t xml:space="preserve"> </w:t>
      </w:r>
    </w:p>
    <w:p w14:paraId="12818FD7" w14:textId="7E72BE8F" w:rsidR="00147849" w:rsidRPr="008E78A2" w:rsidRDefault="009016E9" w:rsidP="009016E9">
      <w:pPr>
        <w:pStyle w:val="paragraph"/>
      </w:pPr>
      <w:r w:rsidRPr="008E78A2">
        <w:tab/>
        <w:t>(a)</w:t>
      </w:r>
      <w:r w:rsidRPr="008E78A2">
        <w:tab/>
      </w:r>
      <w:r w:rsidR="00147849" w:rsidRPr="008E78A2">
        <w:t>the</w:t>
      </w:r>
      <w:r w:rsidR="008F5D40" w:rsidRPr="008E78A2">
        <w:t xml:space="preserve"> provider</w:t>
      </w:r>
      <w:r w:rsidR="000A6363" w:rsidRPr="008E78A2">
        <w:t xml:space="preserve"> gives assurance</w:t>
      </w:r>
      <w:r w:rsidR="00013C3B" w:rsidRPr="008E78A2">
        <w:t xml:space="preserve"> </w:t>
      </w:r>
      <w:r w:rsidR="004D7DD4" w:rsidRPr="008E78A2">
        <w:t xml:space="preserve">to the higher education provider </w:t>
      </w:r>
      <w:r w:rsidR="00013C3B" w:rsidRPr="008E78A2">
        <w:t>that successful completion of the Foundation Program</w:t>
      </w:r>
      <w:r w:rsidR="00147849" w:rsidRPr="008E78A2">
        <w:t xml:space="preserve"> by a student</w:t>
      </w:r>
      <w:r w:rsidR="00013C3B" w:rsidRPr="008E78A2">
        <w:t xml:space="preserve"> demonstrates overall </w:t>
      </w:r>
      <w:r w:rsidR="009B6311" w:rsidRPr="008E78A2">
        <w:t>higher education</w:t>
      </w:r>
      <w:r w:rsidR="00013C3B" w:rsidRPr="008E78A2">
        <w:t xml:space="preserve"> readiness</w:t>
      </w:r>
      <w:r w:rsidR="00147849" w:rsidRPr="008E78A2">
        <w:t>; and</w:t>
      </w:r>
    </w:p>
    <w:p w14:paraId="63209312" w14:textId="48E109E6" w:rsidR="003D2E66" w:rsidRPr="008E78A2" w:rsidRDefault="009016E9" w:rsidP="009016E9">
      <w:pPr>
        <w:pStyle w:val="paragraph"/>
      </w:pPr>
      <w:r w:rsidRPr="008E78A2">
        <w:tab/>
        <w:t>(b)</w:t>
      </w:r>
      <w:r w:rsidRPr="008E78A2">
        <w:tab/>
      </w:r>
      <w:r w:rsidR="004D352E" w:rsidRPr="008E78A2">
        <w:t xml:space="preserve">the higher education provider </w:t>
      </w:r>
      <w:r w:rsidRPr="008E78A2">
        <w:t>gives assurance</w:t>
      </w:r>
      <w:r w:rsidR="00CD53E8" w:rsidRPr="008E78A2">
        <w:t xml:space="preserve"> </w:t>
      </w:r>
      <w:r w:rsidR="004D7DD4" w:rsidRPr="008E78A2">
        <w:t xml:space="preserve">to the provider </w:t>
      </w:r>
      <w:r w:rsidR="00CD53E8" w:rsidRPr="008E78A2">
        <w:t xml:space="preserve">that successful completion of a </w:t>
      </w:r>
      <w:r w:rsidR="008A0DF3" w:rsidRPr="008E78A2">
        <w:t>F</w:t>
      </w:r>
      <w:r w:rsidR="00CD53E8" w:rsidRPr="008E78A2">
        <w:t xml:space="preserve">oundation </w:t>
      </w:r>
      <w:r w:rsidR="008A0DF3" w:rsidRPr="008E78A2">
        <w:t>P</w:t>
      </w:r>
      <w:r w:rsidR="00CD53E8" w:rsidRPr="008E78A2">
        <w:t>rogram will provide entry into one or more higher education pathways</w:t>
      </w:r>
      <w:r w:rsidRPr="008E78A2">
        <w:t>.</w:t>
      </w:r>
    </w:p>
    <w:p w14:paraId="5F06B17D" w14:textId="3699A163" w:rsidR="008A0DF3" w:rsidRPr="008E78A2" w:rsidRDefault="008A0DF3" w:rsidP="00CD53E8">
      <w:pPr>
        <w:pStyle w:val="subsection"/>
      </w:pPr>
      <w:r w:rsidRPr="008E78A2">
        <w:tab/>
        <w:t>(2)</w:t>
      </w:r>
      <w:r w:rsidRPr="008E78A2">
        <w:tab/>
        <w:t>For the purposes of sub</w:t>
      </w:r>
      <w:r w:rsidR="00FA5513" w:rsidRPr="008E78A2">
        <w:t>section</w:t>
      </w:r>
      <w:r w:rsidRPr="008E78A2">
        <w:t xml:space="preserve"> (1), a provider must maintain a register of all agreements with higher education providers, including the period of currency of each agreement and the authorising persons from each higher education provider.</w:t>
      </w:r>
    </w:p>
    <w:p w14:paraId="53B64BCD" w14:textId="2283F495" w:rsidR="000C381F" w:rsidRPr="008E78A2" w:rsidRDefault="00CD53E8" w:rsidP="00CD53E8">
      <w:pPr>
        <w:pStyle w:val="subsection"/>
      </w:pPr>
      <w:r w:rsidRPr="008E78A2">
        <w:tab/>
        <w:t>(</w:t>
      </w:r>
      <w:r w:rsidR="008A0DF3" w:rsidRPr="008E78A2">
        <w:t>3</w:t>
      </w:r>
      <w:r w:rsidRPr="008E78A2">
        <w:t>)</w:t>
      </w:r>
      <w:r w:rsidRPr="008E78A2">
        <w:tab/>
        <w:t xml:space="preserve">The course </w:t>
      </w:r>
      <w:r w:rsidR="002E5D43" w:rsidRPr="008E78A2">
        <w:t>information</w:t>
      </w:r>
      <w:r w:rsidRPr="008E78A2">
        <w:t xml:space="preserve"> for a Foundation Program</w:t>
      </w:r>
      <w:r w:rsidR="000121DC" w:rsidRPr="008E78A2">
        <w:t xml:space="preserve"> </w:t>
      </w:r>
      <w:r w:rsidRPr="008E78A2">
        <w:t>made available to potential applicants must</w:t>
      </w:r>
      <w:r w:rsidR="000C381F" w:rsidRPr="008E78A2">
        <w:t>:</w:t>
      </w:r>
      <w:r w:rsidRPr="008E78A2">
        <w:t xml:space="preserve"> </w:t>
      </w:r>
    </w:p>
    <w:p w14:paraId="1422240D" w14:textId="0586FE34" w:rsidR="000C381F" w:rsidRPr="008E78A2" w:rsidRDefault="001A2EEF" w:rsidP="001A2EEF">
      <w:pPr>
        <w:pStyle w:val="paragraph"/>
      </w:pPr>
      <w:r w:rsidRPr="008E78A2">
        <w:tab/>
        <w:t>(a)</w:t>
      </w:r>
      <w:r w:rsidRPr="008E78A2">
        <w:tab/>
        <w:t>c</w:t>
      </w:r>
      <w:r w:rsidR="000C381F" w:rsidRPr="008E78A2">
        <w:t>ontain a list of higher education courses which will be available to students upon successful completion of the Foundation Program</w:t>
      </w:r>
      <w:r w:rsidR="001A342A" w:rsidRPr="008E78A2">
        <w:t>;</w:t>
      </w:r>
      <w:r w:rsidR="000C381F" w:rsidRPr="008E78A2">
        <w:t xml:space="preserve"> </w:t>
      </w:r>
    </w:p>
    <w:p w14:paraId="439011F8" w14:textId="78F73C87" w:rsidR="000C381F" w:rsidRPr="008E78A2" w:rsidRDefault="001A2EEF" w:rsidP="001A2EEF">
      <w:pPr>
        <w:pStyle w:val="paragraph"/>
      </w:pPr>
      <w:r w:rsidRPr="008E78A2">
        <w:tab/>
        <w:t>(b)</w:t>
      </w:r>
      <w:r w:rsidRPr="008E78A2">
        <w:tab/>
      </w:r>
      <w:r w:rsidR="000C381F" w:rsidRPr="008E78A2">
        <w:t>where specific subjects are required for a student to gain entry to particular higher education courses, contain a list of th</w:t>
      </w:r>
      <w:r w:rsidRPr="008E78A2">
        <w:t>o</w:t>
      </w:r>
      <w:r w:rsidR="000C381F" w:rsidRPr="008E78A2">
        <w:t>se subjects</w:t>
      </w:r>
      <w:r w:rsidR="00222479" w:rsidRPr="008E78A2">
        <w:t>;</w:t>
      </w:r>
      <w:r w:rsidR="001A342A" w:rsidRPr="008E78A2">
        <w:t xml:space="preserve"> and</w:t>
      </w:r>
    </w:p>
    <w:p w14:paraId="4D29E33E" w14:textId="0B4BDD6B" w:rsidR="008A0DF3" w:rsidRPr="008E78A2" w:rsidRDefault="008A0DF3" w:rsidP="008A0DF3">
      <w:pPr>
        <w:pStyle w:val="paragraph"/>
      </w:pPr>
      <w:r w:rsidRPr="008E78A2">
        <w:tab/>
        <w:t>(c)</w:t>
      </w:r>
      <w:r w:rsidRPr="008E78A2">
        <w:tab/>
        <w:t xml:space="preserve">state the Foundation Program grades required to enter each of the specified higher education courses including, where appropriate, both an aggregate </w:t>
      </w:r>
      <w:r w:rsidRPr="008E78A2">
        <w:lastRenderedPageBreak/>
        <w:t>or average grade and any additional requirements for achievement in specified subject areas.</w:t>
      </w:r>
    </w:p>
    <w:p w14:paraId="7EEFA926" w14:textId="283DD584" w:rsidR="007F5EDF" w:rsidRPr="008E78A2" w:rsidRDefault="00990101" w:rsidP="00990101">
      <w:pPr>
        <w:pStyle w:val="subsection"/>
      </w:pPr>
      <w:r w:rsidRPr="008E78A2">
        <w:tab/>
        <w:t>(4)</w:t>
      </w:r>
      <w:r w:rsidRPr="008E78A2">
        <w:tab/>
      </w:r>
      <w:r w:rsidR="007F5EDF" w:rsidRPr="008E78A2">
        <w:t xml:space="preserve">For the purposes of paragraph (3)(c), </w:t>
      </w:r>
      <w:r w:rsidR="007F5EDF" w:rsidRPr="008E78A2">
        <w:rPr>
          <w:snapToGrid w:val="0"/>
          <w:lang w:eastAsia="en-US"/>
        </w:rPr>
        <w:t>where the grades required for individual courses are not fixed, or where they may change from year to year, this should be noted, together with the most recent set of required grades.</w:t>
      </w:r>
    </w:p>
    <w:p w14:paraId="222D0A6F" w14:textId="3FCC49BC" w:rsidR="00990101" w:rsidRPr="008E78A2" w:rsidRDefault="007F5EDF" w:rsidP="00990101">
      <w:pPr>
        <w:pStyle w:val="subsection"/>
      </w:pPr>
      <w:r w:rsidRPr="008E78A2">
        <w:tab/>
        <w:t>(5)</w:t>
      </w:r>
      <w:r w:rsidRPr="008E78A2">
        <w:tab/>
      </w:r>
      <w:r w:rsidR="00990101" w:rsidRPr="008E78A2">
        <w:t xml:space="preserve">Information required to be included in course </w:t>
      </w:r>
      <w:r w:rsidR="002E5D43" w:rsidRPr="008E78A2">
        <w:t xml:space="preserve">information </w:t>
      </w:r>
      <w:r w:rsidR="00990101" w:rsidRPr="008E78A2">
        <w:t>under subsection (3) must be updated annually.</w:t>
      </w:r>
    </w:p>
    <w:p w14:paraId="2432B00B" w14:textId="114CD8EF" w:rsidR="00C7784A" w:rsidRPr="008E78A2" w:rsidRDefault="00C7784A" w:rsidP="00C7784A">
      <w:pPr>
        <w:pStyle w:val="subsection"/>
      </w:pPr>
      <w:r w:rsidRPr="008E78A2">
        <w:tab/>
      </w:r>
      <w:r w:rsidR="009326CB" w:rsidRPr="008E78A2">
        <w:t>(</w:t>
      </w:r>
      <w:r w:rsidR="007F5EDF" w:rsidRPr="008E78A2">
        <w:t>6</w:t>
      </w:r>
      <w:r w:rsidR="009326CB" w:rsidRPr="008E78A2">
        <w:t>)</w:t>
      </w:r>
      <w:r w:rsidRPr="008E78A2">
        <w:tab/>
        <w:t>Prior to a student enrolling with a provider, the provider must provide the student with guidance on pathways available to the student, which:</w:t>
      </w:r>
    </w:p>
    <w:p w14:paraId="27CDB421" w14:textId="7E851641" w:rsidR="00C7784A" w:rsidRPr="008E78A2" w:rsidRDefault="00C7784A" w:rsidP="009326CB">
      <w:pPr>
        <w:pStyle w:val="paragraph"/>
      </w:pPr>
      <w:r w:rsidRPr="008E78A2">
        <w:tab/>
        <w:t>(a)</w:t>
      </w:r>
      <w:r w:rsidRPr="008E78A2">
        <w:tab/>
        <w:t>assists the student to identify a stated goal to achieve in their course</w:t>
      </w:r>
      <w:r w:rsidR="001A342A" w:rsidRPr="008E78A2">
        <w:t>;</w:t>
      </w:r>
    </w:p>
    <w:p w14:paraId="63EE6FB5" w14:textId="66386C95" w:rsidR="00C7784A" w:rsidRPr="008E78A2" w:rsidRDefault="00C7784A" w:rsidP="009326CB">
      <w:pPr>
        <w:pStyle w:val="paragraph"/>
      </w:pPr>
      <w:r w:rsidRPr="008E78A2">
        <w:tab/>
        <w:t>(b)</w:t>
      </w:r>
      <w:r w:rsidRPr="008E78A2">
        <w:tab/>
        <w:t>indicates alternative pathways, entry to which may be more or less demanding than their stated goal</w:t>
      </w:r>
      <w:r w:rsidR="00222479" w:rsidRPr="008E78A2">
        <w:t>;</w:t>
      </w:r>
      <w:r w:rsidRPr="008E78A2">
        <w:t xml:space="preserve"> and</w:t>
      </w:r>
    </w:p>
    <w:p w14:paraId="50C6F1EB" w14:textId="52D4891C" w:rsidR="00C8394E" w:rsidRPr="008E78A2" w:rsidRDefault="00C7784A" w:rsidP="00C8394E">
      <w:pPr>
        <w:pStyle w:val="paragraph"/>
      </w:pPr>
      <w:r w:rsidRPr="008E78A2">
        <w:tab/>
        <w:t>(c)</w:t>
      </w:r>
      <w:r w:rsidRPr="008E78A2">
        <w:tab/>
        <w:t>if the student intends to enrol in a packaged course, informs the student of any transfer restrictions that may apply.</w:t>
      </w:r>
    </w:p>
    <w:p w14:paraId="393B8074" w14:textId="30D74D8F" w:rsidR="00EE0313" w:rsidRPr="008E78A2" w:rsidRDefault="00EE0313" w:rsidP="00EE0313">
      <w:pPr>
        <w:pStyle w:val="subsection"/>
      </w:pPr>
      <w:r w:rsidRPr="008E78A2">
        <w:tab/>
        <w:t>(</w:t>
      </w:r>
      <w:r w:rsidR="007F5EDF" w:rsidRPr="008E78A2">
        <w:t>7</w:t>
      </w:r>
      <w:r w:rsidRPr="008E78A2">
        <w:t>)</w:t>
      </w:r>
      <w:r w:rsidRPr="008E78A2">
        <w:tab/>
        <w:t>For the purposes of subsection (</w:t>
      </w:r>
      <w:r w:rsidR="007F5EDF" w:rsidRPr="008E78A2">
        <w:t>6</w:t>
      </w:r>
      <w:r w:rsidRPr="008E78A2">
        <w:t xml:space="preserve">), a </w:t>
      </w:r>
      <w:r w:rsidRPr="008E78A2">
        <w:rPr>
          <w:b/>
          <w:bCs/>
          <w:i/>
          <w:iCs/>
        </w:rPr>
        <w:t>stated goal</w:t>
      </w:r>
      <w:r w:rsidRPr="008E78A2">
        <w:t xml:space="preserve"> must set out:</w:t>
      </w:r>
    </w:p>
    <w:p w14:paraId="6D2B656A" w14:textId="2AC5326F" w:rsidR="00EE0313" w:rsidRPr="008E78A2" w:rsidRDefault="00EE0313" w:rsidP="00EE0313">
      <w:pPr>
        <w:pStyle w:val="paragraph"/>
      </w:pPr>
      <w:r w:rsidRPr="008E78A2">
        <w:tab/>
        <w:t>(a)</w:t>
      </w:r>
      <w:r w:rsidRPr="008E78A2">
        <w:tab/>
        <w:t>one or more specified courses at a specified university or other higher education provider, to which the successful student of the Foundation Program can seek entry</w:t>
      </w:r>
      <w:r w:rsidR="00222479" w:rsidRPr="008E78A2">
        <w:t>;</w:t>
      </w:r>
      <w:r w:rsidRPr="008E78A2">
        <w:t xml:space="preserve"> and </w:t>
      </w:r>
    </w:p>
    <w:p w14:paraId="3E9CE1B8" w14:textId="2B86D587" w:rsidR="00EE0313" w:rsidRPr="008E78A2" w:rsidRDefault="00EE0313" w:rsidP="00EE0313">
      <w:pPr>
        <w:pStyle w:val="paragraph"/>
      </w:pPr>
      <w:r w:rsidRPr="008E78A2">
        <w:tab/>
        <w:t>(b)</w:t>
      </w:r>
      <w:r w:rsidRPr="008E78A2">
        <w:tab/>
        <w:t>the subjects and grades required for qualification for entry to one or more pathways.</w:t>
      </w:r>
    </w:p>
    <w:p w14:paraId="4729224F" w14:textId="65B385B6" w:rsidR="00181EB8" w:rsidRPr="008E78A2" w:rsidRDefault="00FA5513" w:rsidP="00FA5513">
      <w:pPr>
        <w:pStyle w:val="ActHead5"/>
        <w:ind w:left="0" w:firstLine="0"/>
        <w:rPr>
          <w:rStyle w:val="Strong"/>
          <w:b/>
          <w:bCs w:val="0"/>
        </w:rPr>
      </w:pPr>
      <w:bookmarkStart w:id="19" w:name="_Toc80878894"/>
      <w:r w:rsidRPr="008E78A2">
        <w:rPr>
          <w:rStyle w:val="Strong"/>
          <w:b/>
          <w:bCs w:val="0"/>
        </w:rPr>
        <w:t>14</w:t>
      </w:r>
      <w:r w:rsidR="006537BD" w:rsidRPr="008E78A2">
        <w:rPr>
          <w:rStyle w:val="Strong"/>
          <w:b/>
          <w:bCs w:val="0"/>
        </w:rPr>
        <w:t xml:space="preserve"> </w:t>
      </w:r>
      <w:r w:rsidR="00181EB8" w:rsidRPr="008E78A2">
        <w:rPr>
          <w:rStyle w:val="Strong"/>
          <w:b/>
          <w:bCs w:val="0"/>
        </w:rPr>
        <w:t xml:space="preserve"> </w:t>
      </w:r>
      <w:r w:rsidR="002A0F6A" w:rsidRPr="008E78A2">
        <w:rPr>
          <w:rStyle w:val="Strong"/>
          <w:b/>
          <w:bCs w:val="0"/>
        </w:rPr>
        <w:t>A</w:t>
      </w:r>
      <w:r w:rsidR="000563AC" w:rsidRPr="008E78A2">
        <w:rPr>
          <w:rStyle w:val="Strong"/>
          <w:b/>
          <w:bCs w:val="0"/>
        </w:rPr>
        <w:t>ssessment</w:t>
      </w:r>
      <w:r w:rsidR="00CD53E8" w:rsidRPr="008E78A2">
        <w:rPr>
          <w:rStyle w:val="Strong"/>
          <w:b/>
          <w:bCs w:val="0"/>
        </w:rPr>
        <w:t xml:space="preserve"> </w:t>
      </w:r>
      <w:r w:rsidR="004F4593" w:rsidRPr="008E78A2">
        <w:rPr>
          <w:rStyle w:val="Strong"/>
          <w:b/>
          <w:bCs w:val="0"/>
        </w:rPr>
        <w:t xml:space="preserve">(Standard </w:t>
      </w:r>
      <w:r w:rsidR="007C2D49" w:rsidRPr="008E78A2">
        <w:rPr>
          <w:rStyle w:val="Strong"/>
          <w:b/>
          <w:bCs w:val="0"/>
        </w:rPr>
        <w:t>7</w:t>
      </w:r>
      <w:r w:rsidR="004F4593" w:rsidRPr="008E78A2">
        <w:rPr>
          <w:rStyle w:val="Strong"/>
          <w:b/>
          <w:bCs w:val="0"/>
        </w:rPr>
        <w:t>)</w:t>
      </w:r>
      <w:bookmarkEnd w:id="19"/>
    </w:p>
    <w:p w14:paraId="1FD9E993" w14:textId="6B2E1245" w:rsidR="002E5D43" w:rsidRPr="008E78A2" w:rsidRDefault="002E5D43" w:rsidP="00AD6EF4">
      <w:pPr>
        <w:pStyle w:val="subsection"/>
      </w:pPr>
      <w:r w:rsidRPr="008E78A2">
        <w:tab/>
        <w:t>(1)</w:t>
      </w:r>
      <w:r w:rsidRPr="008E78A2">
        <w:tab/>
      </w:r>
      <w:r w:rsidR="00AD6EF4" w:rsidRPr="008E78A2">
        <w:t xml:space="preserve">Providers must have </w:t>
      </w:r>
      <w:r w:rsidR="00FF0308" w:rsidRPr="008E78A2">
        <w:t xml:space="preserve">and implement </w:t>
      </w:r>
      <w:r w:rsidR="00AD6EF4" w:rsidRPr="008E78A2">
        <w:t>a</w:t>
      </w:r>
      <w:r w:rsidR="00A33D36" w:rsidRPr="008E78A2">
        <w:t>ssessment policies and procedures</w:t>
      </w:r>
      <w:r w:rsidR="00AD6EF4" w:rsidRPr="008E78A2">
        <w:t xml:space="preserve"> which</w:t>
      </w:r>
      <w:r w:rsidR="005612AD" w:rsidRPr="008E78A2">
        <w:t xml:space="preserve"> provide for</w:t>
      </w:r>
      <w:r w:rsidR="00AD6EF4" w:rsidRPr="008E78A2">
        <w:t xml:space="preserve">: </w:t>
      </w:r>
    </w:p>
    <w:p w14:paraId="5A62E462" w14:textId="59D8FF34" w:rsidR="00046F34" w:rsidRPr="008E78A2" w:rsidRDefault="002E5D43" w:rsidP="002E5D43">
      <w:pPr>
        <w:pStyle w:val="paragraph"/>
      </w:pPr>
      <w:r w:rsidRPr="008E78A2">
        <w:tab/>
        <w:t>(a)</w:t>
      </w:r>
      <w:r w:rsidRPr="008E78A2">
        <w:tab/>
        <w:t xml:space="preserve">formative </w:t>
      </w:r>
      <w:r w:rsidR="004F497D" w:rsidRPr="008E78A2">
        <w:t>assessment</w:t>
      </w:r>
      <w:r w:rsidR="00046F34" w:rsidRPr="008E78A2">
        <w:t>;</w:t>
      </w:r>
      <w:r w:rsidR="004F497D" w:rsidRPr="008E78A2">
        <w:t xml:space="preserve"> </w:t>
      </w:r>
    </w:p>
    <w:p w14:paraId="05E2626E" w14:textId="73BE7436" w:rsidR="002E5D43" w:rsidRPr="008E78A2" w:rsidRDefault="00046F34" w:rsidP="002E5D43">
      <w:pPr>
        <w:pStyle w:val="paragraph"/>
      </w:pPr>
      <w:r w:rsidRPr="008E78A2">
        <w:tab/>
        <w:t>(b)</w:t>
      </w:r>
      <w:r w:rsidRPr="008E78A2">
        <w:tab/>
      </w:r>
      <w:r w:rsidR="002E5D43" w:rsidRPr="008E78A2">
        <w:t xml:space="preserve">summative assessment; </w:t>
      </w:r>
    </w:p>
    <w:p w14:paraId="5F1DAF0D" w14:textId="345D762B" w:rsidR="002E5D43" w:rsidRPr="008E78A2" w:rsidRDefault="002E5D43" w:rsidP="002E5D43">
      <w:pPr>
        <w:pStyle w:val="paragraph"/>
      </w:pPr>
      <w:r w:rsidRPr="008E78A2">
        <w:tab/>
        <w:t>(</w:t>
      </w:r>
      <w:r w:rsidR="00046F34" w:rsidRPr="008E78A2">
        <w:t>c</w:t>
      </w:r>
      <w:r w:rsidRPr="008E78A2">
        <w:t>)</w:t>
      </w:r>
      <w:r w:rsidRPr="008E78A2">
        <w:tab/>
        <w:t>clear identif</w:t>
      </w:r>
      <w:r w:rsidR="005612AD" w:rsidRPr="008E78A2">
        <w:t>ication of</w:t>
      </w:r>
      <w:r w:rsidRPr="008E78A2">
        <w:t xml:space="preserve"> assessment outcomes as they relate to progress through the course; </w:t>
      </w:r>
    </w:p>
    <w:p w14:paraId="5A43A131" w14:textId="712F6C36" w:rsidR="0090649C" w:rsidRPr="008E78A2" w:rsidRDefault="002E5D43" w:rsidP="0090649C">
      <w:pPr>
        <w:pStyle w:val="paragraph"/>
      </w:pPr>
      <w:r w:rsidRPr="008E78A2">
        <w:tab/>
        <w:t>(</w:t>
      </w:r>
      <w:r w:rsidR="00046F34" w:rsidRPr="008E78A2">
        <w:t>d</w:t>
      </w:r>
      <w:r w:rsidRPr="008E78A2">
        <w:t>)</w:t>
      </w:r>
      <w:r w:rsidRPr="008E78A2">
        <w:tab/>
        <w:t xml:space="preserve">compulsory assessment procedures that are valid, reliable, fair, </w:t>
      </w:r>
      <w:r w:rsidR="00A2044C" w:rsidRPr="008E78A2">
        <w:t>flexible,</w:t>
      </w:r>
      <w:r w:rsidRPr="008E78A2">
        <w:t xml:space="preserve"> and clearly reference</w:t>
      </w:r>
      <w:r w:rsidR="00234F48" w:rsidRPr="008E78A2">
        <w:t>d</w:t>
      </w:r>
      <w:r w:rsidRPr="008E78A2">
        <w:t xml:space="preserve"> to criteria</w:t>
      </w:r>
      <w:r w:rsidR="0058063C" w:rsidRPr="008E78A2">
        <w:t>;</w:t>
      </w:r>
    </w:p>
    <w:p w14:paraId="44B98C02" w14:textId="31E37D9A" w:rsidR="0090649C" w:rsidRPr="008E78A2" w:rsidRDefault="0090649C" w:rsidP="0090649C">
      <w:pPr>
        <w:pStyle w:val="paragraph"/>
      </w:pPr>
      <w:r w:rsidRPr="008E78A2">
        <w:tab/>
        <w:t>(</w:t>
      </w:r>
      <w:r w:rsidR="00046F34" w:rsidRPr="008E78A2">
        <w:t>e</w:t>
      </w:r>
      <w:r w:rsidRPr="008E78A2">
        <w:t>)</w:t>
      </w:r>
      <w:r w:rsidRPr="008E78A2">
        <w:tab/>
        <w:t>appropriate independent oversight or moderation of assessment outcomes</w:t>
      </w:r>
      <w:r w:rsidR="0058063C" w:rsidRPr="008E78A2">
        <w:t>; and</w:t>
      </w:r>
    </w:p>
    <w:p w14:paraId="4F6583BF" w14:textId="42CAF98B" w:rsidR="0090649C" w:rsidRPr="008E78A2" w:rsidRDefault="0090649C" w:rsidP="0090649C">
      <w:pPr>
        <w:pStyle w:val="paragraph"/>
      </w:pPr>
      <w:r w:rsidRPr="008E78A2">
        <w:tab/>
        <w:t>(</w:t>
      </w:r>
      <w:r w:rsidR="00046F34" w:rsidRPr="008E78A2">
        <w:t>f</w:t>
      </w:r>
      <w:r w:rsidRPr="008E78A2">
        <w:t>)</w:t>
      </w:r>
      <w:r w:rsidRPr="008E78A2">
        <w:tab/>
      </w:r>
      <w:r w:rsidR="00326E61" w:rsidRPr="008E78A2">
        <w:t>formal</w:t>
      </w:r>
      <w:r w:rsidRPr="008E78A2">
        <w:t xml:space="preserve"> measures to ensure that assessment outcomes are comparable to other criteria used for admission to the tertiary education course of study, or for admission to other similar courses of study</w:t>
      </w:r>
      <w:r w:rsidR="009F608C" w:rsidRPr="008E78A2">
        <w:t>.</w:t>
      </w:r>
    </w:p>
    <w:p w14:paraId="5D3F2195" w14:textId="08A646AA" w:rsidR="00FF0EAF" w:rsidRPr="008E78A2" w:rsidRDefault="00FF0EAF" w:rsidP="00FF0EAF">
      <w:pPr>
        <w:pStyle w:val="subsection"/>
      </w:pPr>
      <w:r w:rsidRPr="008E78A2">
        <w:tab/>
        <w:t>(2)</w:t>
      </w:r>
      <w:r w:rsidRPr="008E78A2">
        <w:tab/>
        <w:t>Each subject must include</w:t>
      </w:r>
      <w:r w:rsidR="00F418FD" w:rsidRPr="008E78A2">
        <w:t xml:space="preserve"> a</w:t>
      </w:r>
      <w:r w:rsidR="000931E5" w:rsidRPr="008E78A2">
        <w:t xml:space="preserve"> minimum of two of either or both of the following types of assessment: </w:t>
      </w:r>
    </w:p>
    <w:p w14:paraId="59F83049" w14:textId="77777777" w:rsidR="00FF0EAF" w:rsidRPr="008E78A2" w:rsidRDefault="00FF0EAF" w:rsidP="00FF0EAF">
      <w:pPr>
        <w:pStyle w:val="paragraph"/>
      </w:pPr>
      <w:r w:rsidRPr="008E78A2">
        <w:tab/>
        <w:t>(a)</w:t>
      </w:r>
      <w:r w:rsidRPr="008E78A2">
        <w:tab/>
        <w:t xml:space="preserve">formally assessed coursework; or </w:t>
      </w:r>
    </w:p>
    <w:p w14:paraId="49CFBA14" w14:textId="1930780E" w:rsidR="00BC60E5" w:rsidRPr="008E78A2" w:rsidRDefault="00FF0EAF" w:rsidP="00183EDF">
      <w:pPr>
        <w:pStyle w:val="paragraph"/>
      </w:pPr>
      <w:r w:rsidRPr="008E78A2">
        <w:tab/>
        <w:t>(b)</w:t>
      </w:r>
      <w:r w:rsidRPr="008E78A2">
        <w:tab/>
        <w:t>examinations.</w:t>
      </w:r>
    </w:p>
    <w:p w14:paraId="680CA45E" w14:textId="2C2446F6" w:rsidR="006A1285" w:rsidRPr="008E78A2" w:rsidRDefault="006A1285" w:rsidP="006A1285">
      <w:pPr>
        <w:pStyle w:val="subsection"/>
      </w:pPr>
      <w:r w:rsidRPr="008E78A2">
        <w:tab/>
        <w:t>(</w:t>
      </w:r>
      <w:r w:rsidR="00183EDF" w:rsidRPr="008E78A2">
        <w:t>3</w:t>
      </w:r>
      <w:r w:rsidRPr="008E78A2">
        <w:t>)</w:t>
      </w:r>
      <w:r w:rsidRPr="008E78A2">
        <w:tab/>
        <w:t>Providers must retain an accurate record of</w:t>
      </w:r>
      <w:r w:rsidR="00BC60E5" w:rsidRPr="008E78A2">
        <w:t>:</w:t>
      </w:r>
    </w:p>
    <w:p w14:paraId="480A888F" w14:textId="41EF8C27" w:rsidR="006A1285" w:rsidRPr="008E78A2" w:rsidRDefault="006A1285" w:rsidP="006A1285">
      <w:pPr>
        <w:pStyle w:val="paragraph"/>
      </w:pPr>
      <w:r w:rsidRPr="008E78A2">
        <w:tab/>
        <w:t>(a)</w:t>
      </w:r>
      <w:r w:rsidRPr="008E78A2">
        <w:tab/>
        <w:t>individual students’ results in exams and assessed coursework</w:t>
      </w:r>
      <w:r w:rsidR="00183EDF" w:rsidRPr="008E78A2">
        <w:t>;</w:t>
      </w:r>
      <w:r w:rsidRPr="008E78A2">
        <w:t xml:space="preserve"> and</w:t>
      </w:r>
    </w:p>
    <w:p w14:paraId="459817AA" w14:textId="48BDB2C2" w:rsidR="006A1285" w:rsidRPr="008E78A2" w:rsidRDefault="006A1285" w:rsidP="006A1285">
      <w:pPr>
        <w:pStyle w:val="paragraph"/>
      </w:pPr>
      <w:r w:rsidRPr="008E78A2">
        <w:lastRenderedPageBreak/>
        <w:tab/>
        <w:t>(b)</w:t>
      </w:r>
      <w:r w:rsidRPr="008E78A2">
        <w:tab/>
        <w:t>the patterns of results, including percentages of students achieving each grade or band of percentage scores in each subject and changes made to the results given by teachers.</w:t>
      </w:r>
    </w:p>
    <w:p w14:paraId="60209291" w14:textId="2CA9EE5F" w:rsidR="00CD53E8" w:rsidRPr="008E78A2" w:rsidRDefault="00CD53E8" w:rsidP="00CD53E8">
      <w:pPr>
        <w:pStyle w:val="subsection"/>
      </w:pPr>
      <w:r w:rsidRPr="008E78A2">
        <w:tab/>
        <w:t>(</w:t>
      </w:r>
      <w:r w:rsidR="007C2D49" w:rsidRPr="008E78A2">
        <w:t>4</w:t>
      </w:r>
      <w:r w:rsidRPr="008E78A2">
        <w:t>)</w:t>
      </w:r>
      <w:r w:rsidRPr="008E78A2">
        <w:tab/>
        <w:t xml:space="preserve">At the outset of the </w:t>
      </w:r>
      <w:r w:rsidR="004A7B51" w:rsidRPr="008E78A2">
        <w:t>Foundation Program</w:t>
      </w:r>
      <w:r w:rsidRPr="008E78A2">
        <w:t xml:space="preserve">, a provider must provide students with the assessment criteria used for each subject, together with information on the way in which these are to be assessed, including the </w:t>
      </w:r>
      <w:r w:rsidR="00296941" w:rsidRPr="008E78A2">
        <w:t xml:space="preserve">marking or </w:t>
      </w:r>
      <w:r w:rsidRPr="008E78A2">
        <w:t>grading system to be used.</w:t>
      </w:r>
    </w:p>
    <w:p w14:paraId="5CA3B4D8" w14:textId="673F1B59" w:rsidR="00CD53E8" w:rsidRPr="008E78A2" w:rsidRDefault="00CD53E8" w:rsidP="00CD53E8">
      <w:pPr>
        <w:pStyle w:val="subsection"/>
      </w:pPr>
      <w:r w:rsidRPr="008E78A2">
        <w:tab/>
        <w:t>(</w:t>
      </w:r>
      <w:r w:rsidR="007C2D49" w:rsidRPr="008E78A2">
        <w:t>5</w:t>
      </w:r>
      <w:r w:rsidRPr="008E78A2">
        <w:t>)</w:t>
      </w:r>
      <w:r w:rsidRPr="008E78A2">
        <w:tab/>
        <w:t xml:space="preserve">A provider must inform students, at the commencement of each subject, of the assessment outcomes they need to achieve the stated goal. </w:t>
      </w:r>
    </w:p>
    <w:p w14:paraId="0F5D9917" w14:textId="0B8E02CB" w:rsidR="00CD53E8" w:rsidRPr="008E78A2" w:rsidRDefault="00CD53E8" w:rsidP="00CD53E8">
      <w:pPr>
        <w:pStyle w:val="subsection"/>
      </w:pPr>
      <w:r w:rsidRPr="008E78A2">
        <w:tab/>
        <w:t>(</w:t>
      </w:r>
      <w:r w:rsidR="007C2D49" w:rsidRPr="008E78A2">
        <w:t>6</w:t>
      </w:r>
      <w:r w:rsidRPr="008E78A2">
        <w:t>)</w:t>
      </w:r>
      <w:r w:rsidRPr="008E78A2">
        <w:tab/>
      </w:r>
      <w:r w:rsidR="00296941" w:rsidRPr="008E78A2">
        <w:t>A provider</w:t>
      </w:r>
      <w:r w:rsidRPr="008E78A2">
        <w:t xml:space="preserve"> must provide each student with their assessment results for </w:t>
      </w:r>
      <w:r w:rsidR="00183EDF" w:rsidRPr="008E78A2">
        <w:t xml:space="preserve">each formal coursework assessment or examination. </w:t>
      </w:r>
    </w:p>
    <w:p w14:paraId="14C6B9EF" w14:textId="4FCF9D73" w:rsidR="00CD53E8" w:rsidRPr="008E78A2" w:rsidRDefault="00CD53E8" w:rsidP="00CD53E8">
      <w:pPr>
        <w:pStyle w:val="subsection"/>
      </w:pPr>
      <w:r w:rsidRPr="008E78A2">
        <w:tab/>
        <w:t>(</w:t>
      </w:r>
      <w:r w:rsidR="007C2D49" w:rsidRPr="008E78A2">
        <w:t>7</w:t>
      </w:r>
      <w:r w:rsidRPr="008E78A2">
        <w:t>)</w:t>
      </w:r>
      <w:r w:rsidRPr="008E78A2">
        <w:tab/>
        <w:t>A provider must provide each student with a progress report for each subject,</w:t>
      </w:r>
      <w:r w:rsidR="00A5454F" w:rsidRPr="008E78A2">
        <w:t xml:space="preserve"> available in an online format,</w:t>
      </w:r>
      <w:r w:rsidRPr="008E78A2">
        <w:t xml:space="preserve"> at least once per </w:t>
      </w:r>
      <w:r w:rsidR="000E1DFF" w:rsidRPr="008E78A2">
        <w:t xml:space="preserve">study period </w:t>
      </w:r>
      <w:r w:rsidRPr="008E78A2">
        <w:t>in each subject.</w:t>
      </w:r>
    </w:p>
    <w:p w14:paraId="26D7D09B" w14:textId="518AA0FA" w:rsidR="00CD53E8" w:rsidRPr="008E78A2" w:rsidRDefault="00CD53E8" w:rsidP="00CD53E8">
      <w:pPr>
        <w:pStyle w:val="subsection"/>
      </w:pPr>
      <w:r w:rsidRPr="008E78A2">
        <w:tab/>
        <w:t>(</w:t>
      </w:r>
      <w:r w:rsidR="007C2D49" w:rsidRPr="008E78A2">
        <w:t>8</w:t>
      </w:r>
      <w:r w:rsidRPr="008E78A2">
        <w:t>)</w:t>
      </w:r>
      <w:r w:rsidRPr="008E78A2">
        <w:tab/>
        <w:t xml:space="preserve">A provider must give a student formal notification if the student consistently performs below the standard required in any subject to achieve the stated goal. </w:t>
      </w:r>
    </w:p>
    <w:p w14:paraId="406A886D" w14:textId="747AC5CA" w:rsidR="00CD53E8" w:rsidRPr="008E78A2" w:rsidRDefault="00CD53E8" w:rsidP="00CD53E8">
      <w:pPr>
        <w:pStyle w:val="subsection"/>
      </w:pPr>
      <w:r w:rsidRPr="008E78A2">
        <w:tab/>
        <w:t>(</w:t>
      </w:r>
      <w:r w:rsidR="007C2D49" w:rsidRPr="008E78A2">
        <w:t>9</w:t>
      </w:r>
      <w:r w:rsidRPr="008E78A2">
        <w:t>)</w:t>
      </w:r>
      <w:r w:rsidRPr="008E78A2">
        <w:tab/>
        <w:t>A provider must provide each student with a formal report</w:t>
      </w:r>
      <w:r w:rsidR="00296941" w:rsidRPr="008E78A2">
        <w:t>, available in an online format,</w:t>
      </w:r>
      <w:r w:rsidRPr="008E78A2">
        <w:t xml:space="preserve"> at the end of each study period for each subject, informing them if they are on target to achieve the stated goal.</w:t>
      </w:r>
    </w:p>
    <w:p w14:paraId="52008754" w14:textId="4605A6CD" w:rsidR="00CD53E8" w:rsidRPr="008E78A2" w:rsidRDefault="00CD53E8" w:rsidP="00CD53E8">
      <w:pPr>
        <w:pStyle w:val="subsection"/>
      </w:pPr>
      <w:r w:rsidRPr="008E78A2">
        <w:tab/>
        <w:t>(</w:t>
      </w:r>
      <w:r w:rsidR="007C2D49" w:rsidRPr="008E78A2">
        <w:t>10</w:t>
      </w:r>
      <w:r w:rsidRPr="008E78A2">
        <w:t>)</w:t>
      </w:r>
      <w:r w:rsidRPr="008E78A2">
        <w:tab/>
        <w:t>For the purposes of subsection (</w:t>
      </w:r>
      <w:r w:rsidR="00C71A0D" w:rsidRPr="008E78A2">
        <w:t>9</w:t>
      </w:r>
      <w:r w:rsidRPr="008E78A2">
        <w:t xml:space="preserve">), if </w:t>
      </w:r>
      <w:r w:rsidR="00492757" w:rsidRPr="008E78A2">
        <w:t xml:space="preserve">a </w:t>
      </w:r>
      <w:r w:rsidRPr="008E78A2">
        <w:t>student</w:t>
      </w:r>
      <w:r w:rsidR="00492757" w:rsidRPr="008E78A2">
        <w:t xml:space="preserve"> is not</w:t>
      </w:r>
      <w:r w:rsidRPr="008E78A2">
        <w:t xml:space="preserve"> </w:t>
      </w:r>
      <w:r w:rsidR="004F497D" w:rsidRPr="008E78A2">
        <w:t>on target to achieve</w:t>
      </w:r>
      <w:r w:rsidRPr="008E78A2">
        <w:t xml:space="preserve"> the stated goal, formal reports must be supplemented with ongoing informal reports from teachers.</w:t>
      </w:r>
    </w:p>
    <w:p w14:paraId="6823EB04" w14:textId="1154D55F" w:rsidR="00CD53E8" w:rsidRPr="008E78A2" w:rsidRDefault="00CD53E8" w:rsidP="00CD53E8">
      <w:pPr>
        <w:pStyle w:val="subsection"/>
      </w:pPr>
      <w:r w:rsidRPr="008E78A2">
        <w:tab/>
        <w:t>(</w:t>
      </w:r>
      <w:r w:rsidR="007C2D49" w:rsidRPr="008E78A2">
        <w:t>11</w:t>
      </w:r>
      <w:r w:rsidRPr="008E78A2">
        <w:t>)</w:t>
      </w:r>
      <w:r w:rsidRPr="008E78A2">
        <w:tab/>
        <w:t xml:space="preserve">If </w:t>
      </w:r>
      <w:r w:rsidR="00492757" w:rsidRPr="008E78A2">
        <w:t>a</w:t>
      </w:r>
      <w:r w:rsidRPr="008E78A2">
        <w:t xml:space="preserve"> student </w:t>
      </w:r>
      <w:r w:rsidR="00FA5513" w:rsidRPr="008E78A2">
        <w:t>is</w:t>
      </w:r>
      <w:r w:rsidRPr="008E78A2">
        <w:t xml:space="preserve"> at risk of not achieving adequate assessment results or grades for their intended pathway, the provider must</w:t>
      </w:r>
      <w:r w:rsidR="00492757" w:rsidRPr="008E78A2">
        <w:t>, during the Foundation Program,</w:t>
      </w:r>
      <w:r w:rsidRPr="008E78A2">
        <w:t xml:space="preserve"> provide </w:t>
      </w:r>
      <w:r w:rsidR="00492757" w:rsidRPr="008E78A2">
        <w:t>the</w:t>
      </w:r>
      <w:r w:rsidRPr="008E78A2">
        <w:t xml:space="preserve"> student with advice on alternative possible pathways.</w:t>
      </w:r>
    </w:p>
    <w:p w14:paraId="6C1006A8" w14:textId="6D08D419" w:rsidR="006356CC" w:rsidRPr="008E78A2" w:rsidRDefault="006356CC" w:rsidP="006356CC">
      <w:pPr>
        <w:pStyle w:val="subsection"/>
      </w:pPr>
      <w:r w:rsidRPr="008E78A2">
        <w:tab/>
        <w:t>(</w:t>
      </w:r>
      <w:r w:rsidR="007C2D49" w:rsidRPr="008E78A2">
        <w:t>12</w:t>
      </w:r>
      <w:r w:rsidRPr="008E78A2">
        <w:t>)</w:t>
      </w:r>
      <w:r w:rsidRPr="008E78A2">
        <w:tab/>
        <w:t>A provider must clearly articulate the appeal mechanisms available to students within the Foundation Program who seek a review of the assessment process or results.</w:t>
      </w:r>
    </w:p>
    <w:p w14:paraId="67797B4E" w14:textId="1B5516DE" w:rsidR="007003E9" w:rsidRPr="008E78A2" w:rsidRDefault="007003E9" w:rsidP="006356CC">
      <w:pPr>
        <w:pStyle w:val="subsection"/>
      </w:pPr>
      <w:r w:rsidRPr="008E78A2">
        <w:tab/>
        <w:t>(1</w:t>
      </w:r>
      <w:r w:rsidR="007C2D49" w:rsidRPr="008E78A2">
        <w:t>3</w:t>
      </w:r>
      <w:r w:rsidRPr="008E78A2">
        <w:t>)</w:t>
      </w:r>
      <w:r w:rsidRPr="008E78A2">
        <w:tab/>
      </w:r>
      <w:r w:rsidR="00227871" w:rsidRPr="008E78A2">
        <w:t>Without limiting this section, a</w:t>
      </w:r>
      <w:r w:rsidRPr="008E78A2">
        <w:t xml:space="preserve"> provider must comply with the </w:t>
      </w:r>
      <w:r w:rsidR="002B491C" w:rsidRPr="008E78A2">
        <w:t>requirements</w:t>
      </w:r>
      <w:r w:rsidR="00764691" w:rsidRPr="008E78A2">
        <w:t xml:space="preserve"> in the national code</w:t>
      </w:r>
      <w:r w:rsidR="002B491C" w:rsidRPr="008E78A2">
        <w:t xml:space="preserve"> to identify, notify and assist an overseas student </w:t>
      </w:r>
      <w:r w:rsidR="00764691" w:rsidRPr="008E78A2">
        <w:t xml:space="preserve">who is </w:t>
      </w:r>
      <w:r w:rsidR="002B491C" w:rsidRPr="008E78A2">
        <w:t xml:space="preserve">at risk of not </w:t>
      </w:r>
      <w:r w:rsidR="00BF6190" w:rsidRPr="008E78A2">
        <w:t xml:space="preserve">achieving </w:t>
      </w:r>
      <w:r w:rsidR="00861E58" w:rsidRPr="008E78A2">
        <w:t>adequate assessment results or grades for their intended pathway</w:t>
      </w:r>
      <w:r w:rsidR="008339B6" w:rsidRPr="008E78A2">
        <w:t xml:space="preserve"> or </w:t>
      </w:r>
      <w:r w:rsidR="00BF6190" w:rsidRPr="008E78A2">
        <w:t>stated goal</w:t>
      </w:r>
      <w:r w:rsidR="00764691" w:rsidRPr="008E78A2">
        <w:t>.</w:t>
      </w:r>
    </w:p>
    <w:p w14:paraId="6F60B71E" w14:textId="7223BD62" w:rsidR="00A85997" w:rsidRPr="008E78A2" w:rsidRDefault="00E01F5E" w:rsidP="00E01F5E">
      <w:pPr>
        <w:pStyle w:val="ActHead5"/>
        <w:rPr>
          <w:b w:val="0"/>
          <w:bCs/>
        </w:rPr>
      </w:pPr>
      <w:bookmarkStart w:id="20" w:name="_Toc80878895"/>
      <w:r w:rsidRPr="008E78A2">
        <w:t>1</w:t>
      </w:r>
      <w:r w:rsidR="009C32B4" w:rsidRPr="008E78A2">
        <w:t>5</w:t>
      </w:r>
      <w:r w:rsidRPr="008E78A2">
        <w:t xml:space="preserve">  Teacher </w:t>
      </w:r>
      <w:r w:rsidR="00504413" w:rsidRPr="008E78A2">
        <w:t>requirements</w:t>
      </w:r>
      <w:r w:rsidR="00A85997" w:rsidRPr="008E78A2">
        <w:t xml:space="preserve"> </w:t>
      </w:r>
      <w:r w:rsidR="004F4593" w:rsidRPr="008E78A2">
        <w:t>(Standard 8)</w:t>
      </w:r>
      <w:bookmarkEnd w:id="20"/>
    </w:p>
    <w:p w14:paraId="4C6C91C3" w14:textId="66E89348" w:rsidR="00E01F5E" w:rsidRPr="008E78A2" w:rsidRDefault="00E01F5E" w:rsidP="00E01F5E">
      <w:pPr>
        <w:pStyle w:val="subsection"/>
      </w:pPr>
      <w:r w:rsidRPr="008E78A2">
        <w:tab/>
        <w:t>(1)</w:t>
      </w:r>
      <w:r w:rsidRPr="008E78A2">
        <w:tab/>
        <w:t>A teacher who is primarily responsible for one or more academic subject areas must:</w:t>
      </w:r>
    </w:p>
    <w:p w14:paraId="6C8D92FE" w14:textId="58F061C1" w:rsidR="00E01F5E" w:rsidRPr="008E78A2" w:rsidRDefault="00E01F5E" w:rsidP="00E01F5E">
      <w:pPr>
        <w:pStyle w:val="paragraph"/>
      </w:pPr>
      <w:bookmarkStart w:id="21" w:name="_Hlk75948155"/>
      <w:r w:rsidRPr="008E78A2">
        <w:tab/>
      </w:r>
      <w:bookmarkEnd w:id="21"/>
      <w:r w:rsidRPr="008E78A2">
        <w:t>(a)</w:t>
      </w:r>
      <w:r w:rsidRPr="008E78A2">
        <w:tab/>
        <w:t>h</w:t>
      </w:r>
      <w:r w:rsidR="005116FB" w:rsidRPr="008E78A2">
        <w:t xml:space="preserve">old a minimum of a 3-year </w:t>
      </w:r>
      <w:r w:rsidR="00CB312C" w:rsidRPr="008E78A2">
        <w:t>B</w:t>
      </w:r>
      <w:r w:rsidR="005116FB" w:rsidRPr="008E78A2">
        <w:t>achelor degree in a</w:t>
      </w:r>
      <w:r w:rsidR="00313F76" w:rsidRPr="008E78A2">
        <w:t xml:space="preserve">n </w:t>
      </w:r>
      <w:r w:rsidR="005116FB" w:rsidRPr="008E78A2">
        <w:t xml:space="preserve">area </w:t>
      </w:r>
      <w:r w:rsidRPr="008E78A2">
        <w:t xml:space="preserve">relevant to the </w:t>
      </w:r>
      <w:r w:rsidR="00136129" w:rsidRPr="008E78A2">
        <w:t>subject</w:t>
      </w:r>
      <w:r w:rsidRPr="008E78A2">
        <w:t xml:space="preserve"> being taught, and</w:t>
      </w:r>
    </w:p>
    <w:p w14:paraId="0E4D0713" w14:textId="50A79B46" w:rsidR="00E01F5E" w:rsidRPr="008E78A2" w:rsidRDefault="00E01F5E" w:rsidP="00E01F5E">
      <w:pPr>
        <w:pStyle w:val="paragraph"/>
      </w:pPr>
      <w:r w:rsidRPr="008E78A2">
        <w:tab/>
        <w:t>(b)</w:t>
      </w:r>
      <w:r w:rsidRPr="008E78A2">
        <w:tab/>
        <w:t>either:</w:t>
      </w:r>
    </w:p>
    <w:p w14:paraId="3C150D7D" w14:textId="6DFF0F92" w:rsidR="00E01F5E" w:rsidRPr="008E78A2" w:rsidRDefault="00E01F5E" w:rsidP="00E01F5E">
      <w:pPr>
        <w:pStyle w:val="paragraphsub"/>
      </w:pPr>
      <w:r w:rsidRPr="008E78A2">
        <w:tab/>
        <w:t>(</w:t>
      </w:r>
      <w:proofErr w:type="spellStart"/>
      <w:r w:rsidRPr="008E78A2">
        <w:t>i</w:t>
      </w:r>
      <w:proofErr w:type="spellEnd"/>
      <w:r w:rsidRPr="008E78A2">
        <w:t>)</w:t>
      </w:r>
      <w:r w:rsidRPr="008E78A2">
        <w:tab/>
      </w:r>
      <w:r w:rsidR="005116FB" w:rsidRPr="008E78A2">
        <w:t>hold a Bachelor of Education, Diploma of Education, Diploma of Education Studies or a 2-year Teaching Certificate</w:t>
      </w:r>
      <w:r w:rsidR="00222479" w:rsidRPr="008E78A2">
        <w:t>;</w:t>
      </w:r>
      <w:r w:rsidRPr="008E78A2">
        <w:t xml:space="preserve"> or</w:t>
      </w:r>
    </w:p>
    <w:p w14:paraId="0EB346FC" w14:textId="3EB116FD" w:rsidR="00E01F5E" w:rsidRPr="008E78A2" w:rsidRDefault="00E01F5E" w:rsidP="00E01F5E">
      <w:pPr>
        <w:pStyle w:val="paragraphsub"/>
      </w:pPr>
      <w:r w:rsidRPr="008E78A2">
        <w:lastRenderedPageBreak/>
        <w:tab/>
        <w:t>(ii)</w:t>
      </w:r>
      <w:r w:rsidRPr="008E78A2">
        <w:tab/>
        <w:t xml:space="preserve">have </w:t>
      </w:r>
      <w:r w:rsidR="005116FB" w:rsidRPr="008E78A2">
        <w:t xml:space="preserve">at least </w:t>
      </w:r>
      <w:r w:rsidRPr="008E78A2">
        <w:t>two years of</w:t>
      </w:r>
      <w:r w:rsidR="005116FB" w:rsidRPr="008E78A2">
        <w:t xml:space="preserve"> senior secondary, vocational education and training college, or</w:t>
      </w:r>
      <w:r w:rsidR="00296941" w:rsidRPr="008E78A2">
        <w:t xml:space="preserve"> higher education</w:t>
      </w:r>
      <w:r w:rsidR="005116FB" w:rsidRPr="008E78A2">
        <w:t xml:space="preserve"> teaching experience</w:t>
      </w:r>
      <w:r w:rsidR="00296941" w:rsidRPr="008E78A2">
        <w:t>,</w:t>
      </w:r>
      <w:r w:rsidRPr="008E78A2">
        <w:t xml:space="preserve"> including </w:t>
      </w:r>
      <w:r w:rsidR="005116FB" w:rsidRPr="008E78A2">
        <w:t>breadth of</w:t>
      </w:r>
      <w:r w:rsidRPr="008E78A2">
        <w:t xml:space="preserve"> experience in delivering to students from non-English speaking backgrounds.</w:t>
      </w:r>
    </w:p>
    <w:p w14:paraId="05642088" w14:textId="6AEAFBD7" w:rsidR="00E01F5E" w:rsidRPr="008E78A2" w:rsidRDefault="00E01F5E" w:rsidP="00E01F5E">
      <w:pPr>
        <w:pStyle w:val="subsection"/>
      </w:pPr>
      <w:r w:rsidRPr="008E78A2">
        <w:tab/>
        <w:t>(2)</w:t>
      </w:r>
      <w:r w:rsidRPr="008E78A2">
        <w:tab/>
        <w:t>A teacher who is primarily responsible for one or more academic</w:t>
      </w:r>
      <w:r w:rsidR="007D201A" w:rsidRPr="008E78A2">
        <w:t xml:space="preserve"> English language</w:t>
      </w:r>
      <w:r w:rsidRPr="008E78A2">
        <w:t xml:space="preserve"> subject areas must:</w:t>
      </w:r>
    </w:p>
    <w:p w14:paraId="6D40C7FC" w14:textId="11C702E1" w:rsidR="00E01F5E" w:rsidRPr="008E78A2" w:rsidRDefault="00E01F5E" w:rsidP="00E01F5E">
      <w:pPr>
        <w:pStyle w:val="paragraph"/>
      </w:pPr>
      <w:r w:rsidRPr="008E78A2">
        <w:tab/>
        <w:t>(a)</w:t>
      </w:r>
      <w:r w:rsidRPr="008E78A2">
        <w:tab/>
      </w:r>
      <w:r w:rsidR="005116FB" w:rsidRPr="008E78A2">
        <w:t xml:space="preserve">hold a minimum of a 3-year </w:t>
      </w:r>
      <w:r w:rsidR="00CB312C" w:rsidRPr="008E78A2">
        <w:t>B</w:t>
      </w:r>
      <w:r w:rsidR="005116FB" w:rsidRPr="008E78A2">
        <w:t>achelor degree</w:t>
      </w:r>
      <w:r w:rsidR="001A342A" w:rsidRPr="008E78A2">
        <w:t>;</w:t>
      </w:r>
    </w:p>
    <w:p w14:paraId="19EEE684" w14:textId="16D1DB94" w:rsidR="00E01F5E" w:rsidRPr="008E78A2" w:rsidRDefault="00E01F5E" w:rsidP="007D201A">
      <w:pPr>
        <w:pStyle w:val="paragraph"/>
      </w:pPr>
      <w:r w:rsidRPr="008E78A2">
        <w:tab/>
        <w:t>(b)</w:t>
      </w:r>
      <w:r w:rsidRPr="008E78A2">
        <w:tab/>
      </w:r>
      <w:r w:rsidR="005116FB" w:rsidRPr="008E78A2">
        <w:t>hold a</w:t>
      </w:r>
      <w:r w:rsidR="007D201A" w:rsidRPr="008E78A2">
        <w:t xml:space="preserve">n English language teaching </w:t>
      </w:r>
      <w:r w:rsidRPr="008E78A2">
        <w:t>qualification</w:t>
      </w:r>
      <w:r w:rsidR="00222479" w:rsidRPr="008E78A2">
        <w:t>;</w:t>
      </w:r>
      <w:r w:rsidRPr="008E78A2">
        <w:t xml:space="preserve"> </w:t>
      </w:r>
      <w:r w:rsidR="007D201A" w:rsidRPr="008E78A2">
        <w:t>and</w:t>
      </w:r>
    </w:p>
    <w:p w14:paraId="4D363E04" w14:textId="6328CC3B" w:rsidR="007D201A" w:rsidRPr="008E78A2" w:rsidRDefault="007D201A" w:rsidP="007D201A">
      <w:pPr>
        <w:pStyle w:val="paragraph"/>
      </w:pPr>
      <w:r w:rsidRPr="008E78A2">
        <w:tab/>
        <w:t>(c)</w:t>
      </w:r>
      <w:r w:rsidRPr="008E78A2">
        <w:tab/>
        <w:t xml:space="preserve">have </w:t>
      </w:r>
      <w:r w:rsidR="00CB312C" w:rsidRPr="008E78A2">
        <w:t xml:space="preserve">at least two years ESL/EFL teaching experience. </w:t>
      </w:r>
    </w:p>
    <w:p w14:paraId="0D3B116A" w14:textId="6731229F" w:rsidR="00CB312C" w:rsidRPr="008E78A2" w:rsidRDefault="00CB312C" w:rsidP="00CB312C">
      <w:pPr>
        <w:pStyle w:val="subsection"/>
      </w:pPr>
      <w:r w:rsidRPr="008E78A2">
        <w:tab/>
        <w:t>(3)</w:t>
      </w:r>
      <w:r w:rsidRPr="008E78A2">
        <w:tab/>
        <w:t xml:space="preserve">For the purposes of subsection (2), an </w:t>
      </w:r>
      <w:r w:rsidRPr="008E78A2">
        <w:rPr>
          <w:b/>
          <w:bCs/>
          <w:i/>
          <w:iCs/>
        </w:rPr>
        <w:t>English language teaching qualification</w:t>
      </w:r>
      <w:r w:rsidRPr="008E78A2">
        <w:t xml:space="preserve"> includes:</w:t>
      </w:r>
    </w:p>
    <w:p w14:paraId="43BF44B6" w14:textId="26AC0C7A" w:rsidR="00CB312C" w:rsidRPr="008E78A2" w:rsidRDefault="00CB312C" w:rsidP="00CB312C">
      <w:pPr>
        <w:pStyle w:val="paragraph"/>
      </w:pPr>
      <w:r w:rsidRPr="008E78A2">
        <w:tab/>
        <w:t>(a)</w:t>
      </w:r>
      <w:r w:rsidRPr="008E78A2">
        <w:tab/>
        <w:t>a Graduate Certificate in Teaching English as a Second Language</w:t>
      </w:r>
      <w:r w:rsidR="001A342A" w:rsidRPr="008E78A2">
        <w:t>;</w:t>
      </w:r>
    </w:p>
    <w:p w14:paraId="0E3A5674" w14:textId="6B7C1A5A" w:rsidR="00CB312C" w:rsidRPr="008E78A2" w:rsidRDefault="00CB312C" w:rsidP="00CB312C">
      <w:pPr>
        <w:pStyle w:val="paragraph"/>
      </w:pPr>
      <w:r w:rsidRPr="008E78A2">
        <w:tab/>
        <w:t>(b)</w:t>
      </w:r>
      <w:r w:rsidRPr="008E78A2">
        <w:tab/>
        <w:t>a Graduate Diploma in Teaching English as a Second Language</w:t>
      </w:r>
      <w:r w:rsidR="001A342A" w:rsidRPr="008E78A2">
        <w:t>;</w:t>
      </w:r>
    </w:p>
    <w:p w14:paraId="5E7E07AE" w14:textId="070AA51E" w:rsidR="00CB312C" w:rsidRPr="008E78A2" w:rsidRDefault="00CB312C" w:rsidP="00CB312C">
      <w:pPr>
        <w:pStyle w:val="paragraph"/>
      </w:pPr>
      <w:r w:rsidRPr="008E78A2">
        <w:tab/>
        <w:t>(c)</w:t>
      </w:r>
      <w:r w:rsidRPr="008E78A2">
        <w:tab/>
        <w:t>a Graduate Diploma in Applied Linguistics</w:t>
      </w:r>
      <w:r w:rsidR="001A342A" w:rsidRPr="008E78A2">
        <w:t>;</w:t>
      </w:r>
    </w:p>
    <w:p w14:paraId="15ADA2A8" w14:textId="3AD97459" w:rsidR="00CB312C" w:rsidRPr="008E78A2" w:rsidRDefault="00CB312C" w:rsidP="00CB312C">
      <w:pPr>
        <w:pStyle w:val="paragraph"/>
      </w:pPr>
      <w:r w:rsidRPr="008E78A2">
        <w:tab/>
        <w:t>(d)</w:t>
      </w:r>
      <w:r w:rsidRPr="008E78A2">
        <w:tab/>
        <w:t>a Diploma of Education (English)</w:t>
      </w:r>
      <w:r w:rsidR="009C1FCE" w:rsidRPr="008E78A2">
        <w:t>;</w:t>
      </w:r>
      <w:r w:rsidRPr="008E78A2">
        <w:t xml:space="preserve"> or</w:t>
      </w:r>
    </w:p>
    <w:p w14:paraId="2A2AE93F" w14:textId="234BA48E" w:rsidR="00CB312C" w:rsidRPr="008E78A2" w:rsidRDefault="00CB312C" w:rsidP="00CB312C">
      <w:pPr>
        <w:pStyle w:val="paragraph"/>
      </w:pPr>
      <w:r w:rsidRPr="008E78A2">
        <w:tab/>
        <w:t>(e)</w:t>
      </w:r>
      <w:r w:rsidRPr="008E78A2">
        <w:tab/>
        <w:t>a recognised Teaching English as a Second Language program.</w:t>
      </w:r>
    </w:p>
    <w:p w14:paraId="27F49D3A" w14:textId="597E4DF2" w:rsidR="00C00372" w:rsidRPr="008E78A2" w:rsidRDefault="00C00372" w:rsidP="00C00372">
      <w:pPr>
        <w:pStyle w:val="notetext"/>
        <w:rPr>
          <w:snapToGrid w:val="0"/>
          <w:lang w:eastAsia="en-US"/>
        </w:rPr>
      </w:pPr>
      <w:r w:rsidRPr="008E78A2">
        <w:rPr>
          <w:snapToGrid w:val="0"/>
          <w:lang w:eastAsia="en-US"/>
        </w:rPr>
        <w:t>Note:</w:t>
      </w:r>
      <w:r w:rsidRPr="008E78A2">
        <w:rPr>
          <w:snapToGrid w:val="0"/>
          <w:lang w:eastAsia="en-US"/>
        </w:rPr>
        <w:tab/>
        <w:t>For the purposes of subparagraphs (1) to (3), qualifications may be from Australia or overseas. Overseas teacher qualifications must be equivalent to those of Australian qualifications.</w:t>
      </w:r>
    </w:p>
    <w:p w14:paraId="0CF681AB" w14:textId="53CC94EE" w:rsidR="007D201A" w:rsidRPr="008E78A2" w:rsidRDefault="007D201A" w:rsidP="007D201A">
      <w:pPr>
        <w:pStyle w:val="subsection"/>
      </w:pPr>
      <w:r w:rsidRPr="008E78A2">
        <w:tab/>
        <w:t>(</w:t>
      </w:r>
      <w:r w:rsidR="00C00372" w:rsidRPr="008E78A2">
        <w:t>4</w:t>
      </w:r>
      <w:r w:rsidRPr="008E78A2">
        <w:t>)</w:t>
      </w:r>
      <w:r w:rsidRPr="008E78A2">
        <w:tab/>
        <w:t xml:space="preserve">A provider must retain </w:t>
      </w:r>
      <w:bookmarkStart w:id="22" w:name="_Hlk80731771"/>
      <w:r w:rsidRPr="008E78A2">
        <w:t xml:space="preserve">a copy of </w:t>
      </w:r>
      <w:r w:rsidR="00FA5513" w:rsidRPr="008E78A2">
        <w:t xml:space="preserve">a </w:t>
      </w:r>
      <w:r w:rsidRPr="008E78A2">
        <w:t>Curriculum Vitae, together with certified copies of degrees and qualifications, of all teachers currently employed to teach on the Foundation Program.</w:t>
      </w:r>
    </w:p>
    <w:bookmarkEnd w:id="22"/>
    <w:p w14:paraId="0E021085" w14:textId="52DEC3B5" w:rsidR="007D201A" w:rsidRPr="008E78A2" w:rsidRDefault="007D201A" w:rsidP="007D201A">
      <w:pPr>
        <w:pStyle w:val="subsection"/>
      </w:pPr>
      <w:r w:rsidRPr="008E78A2">
        <w:tab/>
        <w:t>(</w:t>
      </w:r>
      <w:r w:rsidR="00C00372" w:rsidRPr="008E78A2">
        <w:t>5</w:t>
      </w:r>
      <w:r w:rsidRPr="008E78A2">
        <w:t>)</w:t>
      </w:r>
      <w:r w:rsidRPr="008E78A2">
        <w:tab/>
        <w:t>A provider must have written policies governing the recruitment, induction and ongoing professional development of teachers</w:t>
      </w:r>
      <w:r w:rsidR="00C00372" w:rsidRPr="008E78A2">
        <w:t xml:space="preserve"> and communicate these policies to teachers as part of the initial employment process.</w:t>
      </w:r>
    </w:p>
    <w:p w14:paraId="28D79CC0" w14:textId="07B44621" w:rsidR="00504413" w:rsidRPr="008E78A2" w:rsidRDefault="00504413" w:rsidP="007D201A">
      <w:pPr>
        <w:pStyle w:val="subsection"/>
      </w:pPr>
      <w:r w:rsidRPr="008E78A2">
        <w:tab/>
        <w:t>(</w:t>
      </w:r>
      <w:r w:rsidR="00C00372" w:rsidRPr="008E78A2">
        <w:t>6</w:t>
      </w:r>
      <w:r w:rsidRPr="008E78A2">
        <w:t>)</w:t>
      </w:r>
      <w:r w:rsidRPr="008E78A2">
        <w:tab/>
        <w:t xml:space="preserve">A provider must implement a professional development program, to be delivered </w:t>
      </w:r>
      <w:r w:rsidR="004F497D" w:rsidRPr="008E78A2">
        <w:t xml:space="preserve">to teachers </w:t>
      </w:r>
      <w:r w:rsidRPr="008E78A2">
        <w:t>annually.</w:t>
      </w:r>
    </w:p>
    <w:p w14:paraId="2227EE92" w14:textId="1EB3EE30" w:rsidR="007D201A" w:rsidRPr="008E78A2" w:rsidRDefault="007D201A" w:rsidP="007D201A">
      <w:pPr>
        <w:pStyle w:val="subsection"/>
      </w:pPr>
      <w:r w:rsidRPr="008E78A2">
        <w:tab/>
        <w:t>(</w:t>
      </w:r>
      <w:r w:rsidR="00C00372" w:rsidRPr="008E78A2">
        <w:t>7</w:t>
      </w:r>
      <w:r w:rsidRPr="008E78A2">
        <w:t>)</w:t>
      </w:r>
      <w:r w:rsidRPr="008E78A2">
        <w:tab/>
      </w:r>
      <w:r w:rsidR="00313F76" w:rsidRPr="008E78A2">
        <w:t xml:space="preserve">A teacher must comply with all applicable state, territory </w:t>
      </w:r>
      <w:r w:rsidR="004C5323" w:rsidRPr="008E78A2">
        <w:t>and</w:t>
      </w:r>
      <w:r w:rsidR="00313F76" w:rsidRPr="008E78A2">
        <w:t xml:space="preserve"> Commonwealth child protection legislation and child safety requirements.</w:t>
      </w:r>
    </w:p>
    <w:p w14:paraId="2D567FF5" w14:textId="3EA37279" w:rsidR="00E6542A" w:rsidRPr="008E78A2" w:rsidRDefault="00504413" w:rsidP="00504413">
      <w:pPr>
        <w:pStyle w:val="ActHead5"/>
      </w:pPr>
      <w:bookmarkStart w:id="23" w:name="_Toc80878896"/>
      <w:r w:rsidRPr="008E78A2">
        <w:t>1</w:t>
      </w:r>
      <w:r w:rsidR="009C32B4" w:rsidRPr="008E78A2">
        <w:t>6</w:t>
      </w:r>
      <w:r w:rsidRPr="008E78A2">
        <w:t xml:space="preserve">  Marketing of Foundation Programs</w:t>
      </w:r>
      <w:r w:rsidR="004F4593" w:rsidRPr="008E78A2">
        <w:t xml:space="preserve"> (Standard 9)</w:t>
      </w:r>
      <w:bookmarkEnd w:id="23"/>
    </w:p>
    <w:p w14:paraId="414EFFE0" w14:textId="713E030F" w:rsidR="00A46DE9" w:rsidRPr="008E78A2" w:rsidRDefault="005E1BD7" w:rsidP="00A46DE9">
      <w:pPr>
        <w:pStyle w:val="subsection"/>
      </w:pPr>
      <w:r w:rsidRPr="008E78A2">
        <w:tab/>
      </w:r>
      <w:r w:rsidR="00A70260" w:rsidRPr="008E78A2">
        <w:t>(</w:t>
      </w:r>
      <w:r w:rsidR="00E76E54" w:rsidRPr="008E78A2">
        <w:t>1</w:t>
      </w:r>
      <w:r w:rsidR="00A70260" w:rsidRPr="008E78A2">
        <w:t>)</w:t>
      </w:r>
      <w:r w:rsidRPr="008E78A2">
        <w:tab/>
      </w:r>
      <w:r w:rsidR="00A46DE9" w:rsidRPr="008E78A2">
        <w:t xml:space="preserve">A provider who provides a </w:t>
      </w:r>
      <w:r w:rsidR="00CD7A0B" w:rsidRPr="008E78A2">
        <w:t>p</w:t>
      </w:r>
      <w:r w:rsidR="00A46DE9" w:rsidRPr="008E78A2">
        <w:t xml:space="preserve">rogram which does not </w:t>
      </w:r>
      <w:r w:rsidR="00774F36" w:rsidRPr="008E78A2">
        <w:t>comply with the Foundation Program Standards</w:t>
      </w:r>
      <w:r w:rsidR="00A46DE9" w:rsidRPr="008E78A2">
        <w:t xml:space="preserve"> must not use the word ‘Foundation’ in the title of that program.</w:t>
      </w:r>
    </w:p>
    <w:p w14:paraId="0E388CF4" w14:textId="6E58E9B5" w:rsidR="00E76E54" w:rsidRPr="008E78A2" w:rsidRDefault="00A46DE9" w:rsidP="00504413">
      <w:pPr>
        <w:pStyle w:val="subsection"/>
      </w:pPr>
      <w:r w:rsidRPr="008E78A2">
        <w:tab/>
        <w:t>(2)</w:t>
      </w:r>
      <w:r w:rsidRPr="008E78A2">
        <w:tab/>
      </w:r>
      <w:r w:rsidR="00E76E54" w:rsidRPr="008E78A2">
        <w:t xml:space="preserve">If a Foundation Program </w:t>
      </w:r>
      <w:r w:rsidR="007F6F7A" w:rsidRPr="008E78A2">
        <w:t xml:space="preserve">complies with </w:t>
      </w:r>
      <w:r w:rsidR="00E76E54" w:rsidRPr="008E78A2">
        <w:t xml:space="preserve">the </w:t>
      </w:r>
      <w:r w:rsidR="007F6F7A" w:rsidRPr="008E78A2">
        <w:t>Foundation Program S</w:t>
      </w:r>
      <w:r w:rsidR="00E76E54" w:rsidRPr="008E78A2">
        <w:t>tandards, the title of the program must include the word ‘Foundation’.</w:t>
      </w:r>
    </w:p>
    <w:p w14:paraId="329F0F9F" w14:textId="65278A4F" w:rsidR="00A70260" w:rsidRPr="008E78A2" w:rsidRDefault="00E76E54" w:rsidP="00504413">
      <w:pPr>
        <w:pStyle w:val="subsection"/>
      </w:pPr>
      <w:r w:rsidRPr="008E78A2">
        <w:tab/>
        <w:t>(</w:t>
      </w:r>
      <w:r w:rsidR="00A46DE9" w:rsidRPr="008E78A2">
        <w:t>3</w:t>
      </w:r>
      <w:r w:rsidRPr="008E78A2">
        <w:t>)</w:t>
      </w:r>
      <w:r w:rsidRPr="008E78A2">
        <w:tab/>
      </w:r>
      <w:r w:rsidR="005E1BD7" w:rsidRPr="008E78A2">
        <w:t>Without limiting subsection (</w:t>
      </w:r>
      <w:r w:rsidR="00A46DE9" w:rsidRPr="008E78A2">
        <w:t>2</w:t>
      </w:r>
      <w:r w:rsidR="005E1BD7" w:rsidRPr="008E78A2">
        <w:t>), i</w:t>
      </w:r>
      <w:r w:rsidR="00A70260" w:rsidRPr="008E78A2">
        <w:t>f a</w:t>
      </w:r>
      <w:r w:rsidRPr="008E78A2">
        <w:t>n extended</w:t>
      </w:r>
      <w:r w:rsidR="00A70260" w:rsidRPr="008E78A2">
        <w:t xml:space="preserve"> Foundation Program </w:t>
      </w:r>
      <w:r w:rsidR="007F6F7A" w:rsidRPr="008E78A2">
        <w:t xml:space="preserve">complies with </w:t>
      </w:r>
      <w:r w:rsidRPr="008E78A2">
        <w:t xml:space="preserve">the </w:t>
      </w:r>
      <w:r w:rsidR="007F6F7A" w:rsidRPr="008E78A2">
        <w:t>Foundation Program S</w:t>
      </w:r>
      <w:r w:rsidRPr="008E78A2">
        <w:t>tandards</w:t>
      </w:r>
      <w:r w:rsidR="00A70260" w:rsidRPr="008E78A2">
        <w:t>, the title of the program must include the word ‘extended’.</w:t>
      </w:r>
    </w:p>
    <w:p w14:paraId="15343EA2" w14:textId="1A937CB5" w:rsidR="00A70260" w:rsidRPr="008E78A2" w:rsidRDefault="005E1BD7" w:rsidP="00504413">
      <w:pPr>
        <w:pStyle w:val="subsection"/>
      </w:pPr>
      <w:r w:rsidRPr="008E78A2">
        <w:tab/>
      </w:r>
      <w:r w:rsidR="00A70260" w:rsidRPr="008E78A2">
        <w:t>(</w:t>
      </w:r>
      <w:r w:rsidR="00A46DE9" w:rsidRPr="008E78A2">
        <w:t>4</w:t>
      </w:r>
      <w:r w:rsidR="00A70260" w:rsidRPr="008E78A2">
        <w:t>)</w:t>
      </w:r>
      <w:r w:rsidRPr="008E78A2">
        <w:tab/>
      </w:r>
      <w:r w:rsidR="00A70260" w:rsidRPr="008E78A2">
        <w:t>A provider must specify that a Foundation Program is specifically designed for overseas students.</w:t>
      </w:r>
    </w:p>
    <w:p w14:paraId="121A830B" w14:textId="1E6403EA" w:rsidR="00A70260" w:rsidRPr="008E78A2" w:rsidRDefault="005E1BD7" w:rsidP="00A70260">
      <w:pPr>
        <w:pStyle w:val="subsection"/>
      </w:pPr>
      <w:r w:rsidRPr="008E78A2">
        <w:lastRenderedPageBreak/>
        <w:tab/>
      </w:r>
      <w:r w:rsidR="00A70260" w:rsidRPr="008E78A2">
        <w:t>(</w:t>
      </w:r>
      <w:r w:rsidR="00A46DE9" w:rsidRPr="008E78A2">
        <w:t>5</w:t>
      </w:r>
      <w:r w:rsidR="00A70260" w:rsidRPr="008E78A2">
        <w:t>)</w:t>
      </w:r>
      <w:r w:rsidRPr="008E78A2">
        <w:tab/>
      </w:r>
      <w:r w:rsidR="00A70260" w:rsidRPr="008E78A2">
        <w:t>In advertising a Foundation Program, a provider must not:</w:t>
      </w:r>
    </w:p>
    <w:p w14:paraId="1AA53A81" w14:textId="5A0943C8" w:rsidR="00A70260" w:rsidRPr="008E78A2" w:rsidRDefault="005E1BD7" w:rsidP="005E1BD7">
      <w:pPr>
        <w:pStyle w:val="paragraph"/>
      </w:pPr>
      <w:r w:rsidRPr="008E78A2">
        <w:tab/>
        <w:t>(a)</w:t>
      </w:r>
      <w:r w:rsidRPr="008E78A2">
        <w:tab/>
      </w:r>
      <w:r w:rsidR="00A70260" w:rsidRPr="008E78A2">
        <w:t>claim or suggest equivalence of the Foundation Program to an Australian Senior Certificate of Education</w:t>
      </w:r>
      <w:r w:rsidR="00133636" w:rsidRPr="008E78A2">
        <w:t>;</w:t>
      </w:r>
      <w:r w:rsidRPr="008E78A2">
        <w:t xml:space="preserve"> or</w:t>
      </w:r>
    </w:p>
    <w:p w14:paraId="1D806F2F" w14:textId="16CABCF7" w:rsidR="00A70260" w:rsidRPr="008E78A2" w:rsidRDefault="005E1BD7" w:rsidP="005E1BD7">
      <w:pPr>
        <w:pStyle w:val="paragraph"/>
      </w:pPr>
      <w:r w:rsidRPr="008E78A2">
        <w:tab/>
        <w:t>(b)</w:t>
      </w:r>
      <w:r w:rsidRPr="008E78A2">
        <w:tab/>
      </w:r>
      <w:r w:rsidR="00A70260" w:rsidRPr="008E78A2">
        <w:t xml:space="preserve">claim guaranteed entry into higher education from enrolment alone into the Foundation Program, without clearly </w:t>
      </w:r>
      <w:r w:rsidRPr="008E78A2">
        <w:t xml:space="preserve">stating </w:t>
      </w:r>
      <w:r w:rsidR="00A70260" w:rsidRPr="008E78A2">
        <w:t>the conditions for such entry as per the requirement</w:t>
      </w:r>
      <w:r w:rsidR="00C00372" w:rsidRPr="008E78A2">
        <w:t>s</w:t>
      </w:r>
      <w:r w:rsidR="00A70260" w:rsidRPr="008E78A2">
        <w:t xml:space="preserve"> in section</w:t>
      </w:r>
      <w:r w:rsidR="00BC0FBD" w:rsidRPr="008E78A2">
        <w:t xml:space="preserve"> </w:t>
      </w:r>
      <w:r w:rsidR="0045466C" w:rsidRPr="008E78A2">
        <w:t>10</w:t>
      </w:r>
      <w:r w:rsidR="00A70260" w:rsidRPr="008E78A2">
        <w:t>.</w:t>
      </w:r>
    </w:p>
    <w:p w14:paraId="535EC477" w14:textId="52C63F09" w:rsidR="00C00372" w:rsidRPr="008E78A2" w:rsidRDefault="00C00372" w:rsidP="00C00372">
      <w:pPr>
        <w:pStyle w:val="subsection"/>
      </w:pPr>
      <w:r w:rsidRPr="008E78A2">
        <w:tab/>
        <w:t>(</w:t>
      </w:r>
      <w:r w:rsidR="00A46DE9" w:rsidRPr="008E78A2">
        <w:t>6</w:t>
      </w:r>
      <w:r w:rsidRPr="008E78A2">
        <w:t>)</w:t>
      </w:r>
      <w:r w:rsidRPr="008E78A2">
        <w:tab/>
        <w:t>Documents or certificates provided to students to demonstrate successful completion of a Foundation program must include the word ‘Foundation’, and if applicable, ‘extended’.</w:t>
      </w:r>
    </w:p>
    <w:p w14:paraId="46D5C2D3" w14:textId="06C4B8C1" w:rsidR="00E6542A" w:rsidRPr="008E78A2" w:rsidRDefault="00504413" w:rsidP="00454CAD">
      <w:pPr>
        <w:pStyle w:val="ActHead5"/>
      </w:pPr>
      <w:bookmarkStart w:id="24" w:name="_Toc80878897"/>
      <w:r w:rsidRPr="008E78A2">
        <w:t>1</w:t>
      </w:r>
      <w:r w:rsidR="009C32B4" w:rsidRPr="008E78A2">
        <w:t>7</w:t>
      </w:r>
      <w:r w:rsidR="00454CAD" w:rsidRPr="008E78A2">
        <w:t xml:space="preserve">  Younger students</w:t>
      </w:r>
      <w:r w:rsidR="004F4593" w:rsidRPr="008E78A2">
        <w:t xml:space="preserve"> (Standard 10)</w:t>
      </w:r>
      <w:bookmarkEnd w:id="24"/>
    </w:p>
    <w:p w14:paraId="0871C490" w14:textId="04456C79" w:rsidR="00454CAD" w:rsidRPr="008E78A2" w:rsidRDefault="00DA530D" w:rsidP="00454CAD">
      <w:pPr>
        <w:pStyle w:val="subsection"/>
      </w:pPr>
      <w:r w:rsidRPr="008E78A2">
        <w:tab/>
        <w:t>(1)</w:t>
      </w:r>
      <w:r w:rsidRPr="008E78A2">
        <w:tab/>
      </w:r>
      <w:r w:rsidR="00454CAD" w:rsidRPr="008E78A2">
        <w:t>Where a provider enrols students under the age of 18</w:t>
      </w:r>
      <w:r w:rsidR="00A70260" w:rsidRPr="008E78A2">
        <w:t xml:space="preserve"> in a Foundation Program</w:t>
      </w:r>
      <w:r w:rsidR="00454CAD" w:rsidRPr="008E78A2">
        <w:t xml:space="preserve">, the operations of the provider must be appropriate for the age, </w:t>
      </w:r>
      <w:r w:rsidR="00A2044C" w:rsidRPr="008E78A2">
        <w:t>maturity,</w:t>
      </w:r>
      <w:r w:rsidR="00454CAD" w:rsidRPr="008E78A2">
        <w:t xml:space="preserve"> and English language proficiency of the students.</w:t>
      </w:r>
    </w:p>
    <w:p w14:paraId="0F8E7B1E" w14:textId="16C924F7" w:rsidR="00454CAD" w:rsidRPr="008E78A2" w:rsidRDefault="00DA530D" w:rsidP="00454CAD">
      <w:pPr>
        <w:pStyle w:val="subsection"/>
      </w:pPr>
      <w:r w:rsidRPr="008E78A2">
        <w:tab/>
        <w:t>(2)</w:t>
      </w:r>
      <w:r w:rsidRPr="008E78A2">
        <w:tab/>
      </w:r>
      <w:r w:rsidR="00046F34" w:rsidRPr="008E78A2">
        <w:t>O</w:t>
      </w:r>
      <w:r w:rsidR="004F497D" w:rsidRPr="008E78A2">
        <w:t xml:space="preserve">perations of </w:t>
      </w:r>
      <w:r w:rsidR="00046F34" w:rsidRPr="008E78A2">
        <w:t>a</w:t>
      </w:r>
      <w:r w:rsidR="004F497D" w:rsidRPr="008E78A2">
        <w:t xml:space="preserve"> provider </w:t>
      </w:r>
      <w:r w:rsidR="00046F34" w:rsidRPr="008E78A2">
        <w:t xml:space="preserve">that </w:t>
      </w:r>
      <w:r w:rsidR="004F497D" w:rsidRPr="008E78A2">
        <w:t xml:space="preserve">are appropriate for the age, maturity and English language proficiency of the students </w:t>
      </w:r>
      <w:r w:rsidR="00046F34" w:rsidRPr="008E78A2">
        <w:t>would include</w:t>
      </w:r>
      <w:r w:rsidR="00454CAD" w:rsidRPr="008E78A2">
        <w:t>:</w:t>
      </w:r>
    </w:p>
    <w:p w14:paraId="2D7BB2A8" w14:textId="30259B55" w:rsidR="00454CAD" w:rsidRPr="008E78A2" w:rsidRDefault="00DA530D" w:rsidP="00DA530D">
      <w:pPr>
        <w:pStyle w:val="paragraph"/>
      </w:pPr>
      <w:r w:rsidRPr="008E78A2">
        <w:tab/>
      </w:r>
      <w:r w:rsidR="00454CAD" w:rsidRPr="008E78A2">
        <w:t>(a)</w:t>
      </w:r>
      <w:r w:rsidRPr="008E78A2">
        <w:tab/>
      </w:r>
      <w:r w:rsidR="00454CAD" w:rsidRPr="008E78A2">
        <w:t>mak</w:t>
      </w:r>
      <w:r w:rsidRPr="008E78A2">
        <w:t>ing</w:t>
      </w:r>
      <w:r w:rsidR="00454CAD" w:rsidRPr="008E78A2">
        <w:t xml:space="preserve"> arrangements for students under the age of 18 which comply with the </w:t>
      </w:r>
      <w:r w:rsidR="00E662DA" w:rsidRPr="008E78A2">
        <w:t>n</w:t>
      </w:r>
      <w:r w:rsidR="00454CAD" w:rsidRPr="008E78A2">
        <w:t xml:space="preserve">ational </w:t>
      </w:r>
      <w:r w:rsidR="00E662DA" w:rsidRPr="008E78A2">
        <w:t>c</w:t>
      </w:r>
      <w:r w:rsidR="00454CAD" w:rsidRPr="008E78A2">
        <w:t>ode</w:t>
      </w:r>
      <w:r w:rsidR="001A342A" w:rsidRPr="008E78A2">
        <w:t>;</w:t>
      </w:r>
    </w:p>
    <w:p w14:paraId="70AAEC5E" w14:textId="35BC6059" w:rsidR="00454CAD" w:rsidRPr="008E78A2" w:rsidRDefault="00DA530D" w:rsidP="00DA530D">
      <w:pPr>
        <w:pStyle w:val="paragraph"/>
      </w:pPr>
      <w:r w:rsidRPr="008E78A2">
        <w:tab/>
      </w:r>
      <w:r w:rsidR="00454CAD" w:rsidRPr="008E78A2">
        <w:t>(b)</w:t>
      </w:r>
      <w:r w:rsidRPr="008E78A2">
        <w:tab/>
      </w:r>
      <w:r w:rsidR="00454CAD" w:rsidRPr="008E78A2">
        <w:t>ensur</w:t>
      </w:r>
      <w:r w:rsidRPr="008E78A2">
        <w:t>ing</w:t>
      </w:r>
      <w:r w:rsidR="00454CAD" w:rsidRPr="008E78A2">
        <w:t xml:space="preserve"> facilities and operations for any mixed-age student cohorts are</w:t>
      </w:r>
      <w:r w:rsidRPr="008E78A2">
        <w:t xml:space="preserve"> </w:t>
      </w:r>
      <w:r w:rsidR="00454CAD" w:rsidRPr="008E78A2">
        <w:t>designed to meet the needs of students of different ages, maturity and levels of English la</w:t>
      </w:r>
      <w:r w:rsidRPr="008E78A2">
        <w:t>n</w:t>
      </w:r>
      <w:r w:rsidR="00454CAD" w:rsidRPr="008E78A2">
        <w:t>guage proficiency</w:t>
      </w:r>
      <w:r w:rsidR="001A342A" w:rsidRPr="008E78A2">
        <w:t>;</w:t>
      </w:r>
    </w:p>
    <w:p w14:paraId="2FAB063A" w14:textId="1C61C33A" w:rsidR="00454CAD" w:rsidRPr="008E78A2" w:rsidRDefault="00DA530D" w:rsidP="00DA530D">
      <w:pPr>
        <w:pStyle w:val="paragraph"/>
      </w:pPr>
      <w:r w:rsidRPr="008E78A2">
        <w:tab/>
      </w:r>
      <w:r w:rsidR="00454CAD" w:rsidRPr="008E78A2">
        <w:t>(c)</w:t>
      </w:r>
      <w:r w:rsidRPr="008E78A2">
        <w:tab/>
      </w:r>
      <w:r w:rsidR="00454CAD" w:rsidRPr="008E78A2">
        <w:t>provid</w:t>
      </w:r>
      <w:r w:rsidRPr="008E78A2">
        <w:t>ing</w:t>
      </w:r>
      <w:r w:rsidR="00454CAD" w:rsidRPr="008E78A2">
        <w:t xml:space="preserve"> students with access to services, learning opportunities, facilities and equipment that address their English language </w:t>
      </w:r>
      <w:r w:rsidR="00D31712" w:rsidRPr="008E78A2">
        <w:t xml:space="preserve">and academic </w:t>
      </w:r>
      <w:r w:rsidR="00454CAD" w:rsidRPr="008E78A2">
        <w:t>learning needs</w:t>
      </w:r>
      <w:r w:rsidR="00133636" w:rsidRPr="008E78A2">
        <w:t>;</w:t>
      </w:r>
      <w:r w:rsidRPr="008E78A2">
        <w:t xml:space="preserve"> and</w:t>
      </w:r>
    </w:p>
    <w:p w14:paraId="21EF979C" w14:textId="38AC4D55" w:rsidR="00DB57C6" w:rsidRPr="008E78A2" w:rsidRDefault="00DA530D" w:rsidP="00DA530D">
      <w:pPr>
        <w:pStyle w:val="paragraph"/>
      </w:pPr>
      <w:r w:rsidRPr="008E78A2">
        <w:tab/>
      </w:r>
      <w:r w:rsidR="00454CAD" w:rsidRPr="008E78A2">
        <w:t>(d)</w:t>
      </w:r>
      <w:r w:rsidRPr="008E78A2">
        <w:tab/>
        <w:t>ensuring c</w:t>
      </w:r>
      <w:r w:rsidR="00454CAD" w:rsidRPr="008E78A2">
        <w:t xml:space="preserve">ourse materials and </w:t>
      </w:r>
      <w:r w:rsidR="00136129" w:rsidRPr="008E78A2">
        <w:t>teaching</w:t>
      </w:r>
      <w:r w:rsidR="00454CAD" w:rsidRPr="008E78A2">
        <w:t xml:space="preserve"> </w:t>
      </w:r>
      <w:r w:rsidRPr="008E78A2">
        <w:t xml:space="preserve">are </w:t>
      </w:r>
      <w:r w:rsidR="00454CAD" w:rsidRPr="008E78A2">
        <w:t>tailored to meet student learning requirements, taking into account their differing levels of age and maturity</w:t>
      </w:r>
      <w:r w:rsidRPr="008E78A2">
        <w:t>.</w:t>
      </w:r>
    </w:p>
    <w:p w14:paraId="716CAAEA" w14:textId="5B4A797B" w:rsidR="00E52584" w:rsidRPr="008E78A2" w:rsidRDefault="00E52584" w:rsidP="00E52584">
      <w:pPr>
        <w:pStyle w:val="subsection"/>
      </w:pPr>
      <w:r w:rsidRPr="008E78A2">
        <w:tab/>
        <w:t>(3)</w:t>
      </w:r>
      <w:r w:rsidRPr="008E78A2">
        <w:tab/>
        <w:t xml:space="preserve">A provider must comply with all applicable state, territory </w:t>
      </w:r>
      <w:r w:rsidR="004C5323" w:rsidRPr="008E78A2">
        <w:t>and</w:t>
      </w:r>
      <w:r w:rsidRPr="008E78A2">
        <w:t xml:space="preserve"> Commonwealth child protection legislation and child safety requirements.</w:t>
      </w:r>
    </w:p>
    <w:p w14:paraId="3A1A98DD" w14:textId="28DAFEC4" w:rsidR="00196562" w:rsidRPr="008E78A2" w:rsidRDefault="00196562" w:rsidP="00261C4A">
      <w:pPr>
        <w:pStyle w:val="subsection"/>
        <w:ind w:left="0" w:firstLine="0"/>
        <w:rPr>
          <w:u w:val="single"/>
        </w:rPr>
      </w:pPr>
    </w:p>
    <w:p w14:paraId="01052669" w14:textId="7A251EB6" w:rsidR="0070064D" w:rsidRPr="008E78A2" w:rsidRDefault="003665FA" w:rsidP="00E13949">
      <w:pPr>
        <w:spacing w:line="240" w:lineRule="auto"/>
        <w:rPr>
          <w:u w:val="single"/>
        </w:rPr>
      </w:pPr>
      <w:r w:rsidRPr="008E78A2">
        <w:br w:type="page"/>
      </w:r>
    </w:p>
    <w:p w14:paraId="303E7E36" w14:textId="48D7CD41" w:rsidR="00FE4ECE" w:rsidRPr="008E78A2" w:rsidRDefault="00FE4ECE" w:rsidP="00FE4ECE">
      <w:pPr>
        <w:pStyle w:val="ActHead6"/>
      </w:pPr>
      <w:bookmarkStart w:id="25" w:name="_Toc80878898"/>
      <w:r w:rsidRPr="008E78A2">
        <w:lastRenderedPageBreak/>
        <w:t>Schedule 1—</w:t>
      </w:r>
      <w:r w:rsidR="00270BDB" w:rsidRPr="008E78A2">
        <w:t>Saving and Transitional</w:t>
      </w:r>
      <w:bookmarkEnd w:id="25"/>
    </w:p>
    <w:p w14:paraId="74648472" w14:textId="064E28F0" w:rsidR="00133636" w:rsidRPr="008E78A2" w:rsidRDefault="00133636" w:rsidP="00133636">
      <w:pPr>
        <w:pStyle w:val="ItemHead"/>
      </w:pPr>
      <w:r w:rsidRPr="008E78A2">
        <w:t xml:space="preserve">1  </w:t>
      </w:r>
      <w:r w:rsidR="002E037D" w:rsidRPr="008E78A2">
        <w:t>Saving and Transitional</w:t>
      </w:r>
    </w:p>
    <w:p w14:paraId="32AD154C" w14:textId="0FC559F6" w:rsidR="00FE4ECE" w:rsidRPr="008E78A2" w:rsidRDefault="00DC1A90" w:rsidP="00901116">
      <w:pPr>
        <w:pStyle w:val="subsection"/>
      </w:pPr>
      <w:r w:rsidRPr="008E78A2">
        <w:tab/>
      </w:r>
      <w:r w:rsidRPr="008E78A2">
        <w:tab/>
      </w:r>
      <w:r w:rsidR="004F497D" w:rsidRPr="008E78A2">
        <w:t>Despite their repeal by Schedule 2 of this instrument, t</w:t>
      </w:r>
      <w:r w:rsidR="00901116" w:rsidRPr="008E78A2">
        <w:t xml:space="preserve">he Foundation Program Standards, as in force immediately before the commencement of this </w:t>
      </w:r>
      <w:r w:rsidR="00B70BA5" w:rsidRPr="008E78A2">
        <w:t>Schedule</w:t>
      </w:r>
      <w:r w:rsidR="00901116" w:rsidRPr="008E78A2">
        <w:t xml:space="preserve">, </w:t>
      </w:r>
      <w:r w:rsidR="004F497D" w:rsidRPr="008E78A2">
        <w:t xml:space="preserve">are to be taken to </w:t>
      </w:r>
      <w:r w:rsidR="00901116" w:rsidRPr="008E78A2">
        <w:t>continue to apply on and after that commencement in relation to the following:</w:t>
      </w:r>
    </w:p>
    <w:p w14:paraId="224140BF" w14:textId="5FA23E2E" w:rsidR="00FA1C1C" w:rsidRPr="008E78A2" w:rsidRDefault="00B8140C" w:rsidP="00CD7A0B">
      <w:pPr>
        <w:pStyle w:val="paragraph"/>
      </w:pPr>
      <w:r w:rsidRPr="008E78A2">
        <w:tab/>
      </w:r>
      <w:r w:rsidR="00FA1C1C" w:rsidRPr="008E78A2">
        <w:t>(a)</w:t>
      </w:r>
      <w:r w:rsidRPr="008E78A2">
        <w:tab/>
      </w:r>
      <w:r w:rsidR="00FA1C1C" w:rsidRPr="008E78A2">
        <w:t>an application for registration</w:t>
      </w:r>
      <w:r w:rsidR="000873F7" w:rsidRPr="008E78A2">
        <w:t>, renewal of registration or changes to registration</w:t>
      </w:r>
      <w:r w:rsidR="00FA1C1C" w:rsidRPr="008E78A2">
        <w:t xml:space="preserve"> made, but not decided, under </w:t>
      </w:r>
      <w:r w:rsidR="00275B23" w:rsidRPr="008E78A2">
        <w:t xml:space="preserve">Part 2 </w:t>
      </w:r>
      <w:r w:rsidR="00FA1C1C" w:rsidRPr="008E78A2">
        <w:t xml:space="preserve">of the Act before </w:t>
      </w:r>
      <w:r w:rsidR="00617BCC" w:rsidRPr="008E78A2">
        <w:t xml:space="preserve">that </w:t>
      </w:r>
      <w:r w:rsidR="00FA1C1C" w:rsidRPr="008E78A2">
        <w:t>commencement;</w:t>
      </w:r>
      <w:r w:rsidR="00617BCC" w:rsidRPr="008E78A2">
        <w:t xml:space="preserve"> and</w:t>
      </w:r>
    </w:p>
    <w:p w14:paraId="55882304" w14:textId="39FE57E1" w:rsidR="00FA1C1C" w:rsidRPr="008E78A2" w:rsidRDefault="00B8140C" w:rsidP="00B8140C">
      <w:pPr>
        <w:pStyle w:val="paragraph"/>
      </w:pPr>
      <w:r w:rsidRPr="008E78A2">
        <w:tab/>
      </w:r>
      <w:r w:rsidR="00FA1C1C" w:rsidRPr="008E78A2">
        <w:t>(b)</w:t>
      </w:r>
      <w:r w:rsidRPr="008E78A2">
        <w:tab/>
      </w:r>
      <w:r w:rsidR="00FA1C1C" w:rsidRPr="008E78A2">
        <w:t xml:space="preserve">powers exercised, rights </w:t>
      </w:r>
      <w:r w:rsidR="00A2044C" w:rsidRPr="008E78A2">
        <w:t>created,</w:t>
      </w:r>
      <w:r w:rsidR="00FA1C1C" w:rsidRPr="008E78A2">
        <w:t xml:space="preserve"> and duties imposed under the </w:t>
      </w:r>
      <w:r w:rsidR="000873F7" w:rsidRPr="008E78A2">
        <w:t xml:space="preserve">Act </w:t>
      </w:r>
      <w:r w:rsidR="00FA1C1C" w:rsidRPr="008E78A2">
        <w:t>before, on or after that commencement as a result of:</w:t>
      </w:r>
    </w:p>
    <w:p w14:paraId="17A9B06A" w14:textId="59E0F9B3" w:rsidR="000873F7" w:rsidRPr="008E78A2" w:rsidRDefault="00B8140C" w:rsidP="00B8140C">
      <w:pPr>
        <w:pStyle w:val="paragraphsub"/>
      </w:pPr>
      <w:r w:rsidRPr="008E78A2">
        <w:tab/>
      </w:r>
      <w:r w:rsidR="000873F7" w:rsidRPr="008E78A2">
        <w:t>(</w:t>
      </w:r>
      <w:proofErr w:type="spellStart"/>
      <w:r w:rsidR="000873F7" w:rsidRPr="008E78A2">
        <w:t>i</w:t>
      </w:r>
      <w:proofErr w:type="spellEnd"/>
      <w:r w:rsidR="000873F7" w:rsidRPr="008E78A2">
        <w:t>)</w:t>
      </w:r>
      <w:r w:rsidRPr="008E78A2">
        <w:tab/>
      </w:r>
      <w:r w:rsidR="000873F7" w:rsidRPr="008E78A2">
        <w:t xml:space="preserve">enforcement action commenced </w:t>
      </w:r>
      <w:r w:rsidR="00B533E0" w:rsidRPr="008E78A2">
        <w:t xml:space="preserve">before that commencement </w:t>
      </w:r>
      <w:r w:rsidR="000873F7" w:rsidRPr="008E78A2">
        <w:t>under Part 6 of the Act</w:t>
      </w:r>
      <w:r w:rsidR="00275B23" w:rsidRPr="008E78A2">
        <w:t xml:space="preserve">, </w:t>
      </w:r>
      <w:r w:rsidR="000873F7" w:rsidRPr="008E78A2">
        <w:t>in relation to the Foundation Program Standards;</w:t>
      </w:r>
      <w:r w:rsidR="00285538" w:rsidRPr="008E78A2">
        <w:t xml:space="preserve"> or</w:t>
      </w:r>
    </w:p>
    <w:p w14:paraId="40448C75" w14:textId="401C9419" w:rsidR="000873F7" w:rsidRPr="008E78A2" w:rsidRDefault="00B8140C" w:rsidP="00B8140C">
      <w:pPr>
        <w:pStyle w:val="paragraphsub"/>
      </w:pPr>
      <w:r w:rsidRPr="008E78A2">
        <w:tab/>
      </w:r>
      <w:r w:rsidR="000873F7" w:rsidRPr="008E78A2">
        <w:t>(ii)</w:t>
      </w:r>
      <w:r w:rsidRPr="008E78A2">
        <w:tab/>
      </w:r>
      <w:r w:rsidR="000873F7" w:rsidRPr="008E78A2">
        <w:t xml:space="preserve">monitoring and searching actions commenced </w:t>
      </w:r>
      <w:r w:rsidR="00B533E0" w:rsidRPr="008E78A2">
        <w:t xml:space="preserve">before that commencement </w:t>
      </w:r>
      <w:r w:rsidR="000873F7" w:rsidRPr="008E78A2">
        <w:t>under Part 7 of the Act</w:t>
      </w:r>
      <w:r w:rsidR="00275B23" w:rsidRPr="008E78A2">
        <w:t xml:space="preserve">, </w:t>
      </w:r>
      <w:r w:rsidR="000873F7" w:rsidRPr="008E78A2">
        <w:t>in relation to the Foundation Program Standards</w:t>
      </w:r>
      <w:r w:rsidR="00285538" w:rsidRPr="008E78A2">
        <w:t>.</w:t>
      </w:r>
    </w:p>
    <w:p w14:paraId="669B46DC" w14:textId="77777777" w:rsidR="00FE4ECE" w:rsidRPr="008E78A2" w:rsidRDefault="00FE4ECE" w:rsidP="00D6537E">
      <w:pPr>
        <w:pStyle w:val="ActHead6"/>
      </w:pPr>
    </w:p>
    <w:p w14:paraId="26740B16" w14:textId="49CD36DB" w:rsidR="00D6537E" w:rsidRPr="008E78A2" w:rsidRDefault="004E1307" w:rsidP="00D6537E">
      <w:pPr>
        <w:pStyle w:val="ActHead6"/>
      </w:pPr>
      <w:bookmarkStart w:id="26" w:name="_Toc80878899"/>
      <w:r w:rsidRPr="008E78A2">
        <w:t xml:space="preserve">Schedule </w:t>
      </w:r>
      <w:r w:rsidR="00FE4ECE" w:rsidRPr="008E78A2">
        <w:t>2</w:t>
      </w:r>
      <w:r w:rsidR="00D6537E" w:rsidRPr="008E78A2">
        <w:t>—Repeals</w:t>
      </w:r>
      <w:bookmarkEnd w:id="26"/>
    </w:p>
    <w:p w14:paraId="4CDA0B35" w14:textId="21313887" w:rsidR="00D6537E" w:rsidRPr="008E78A2" w:rsidRDefault="00FE03BF" w:rsidP="00D6537E">
      <w:pPr>
        <w:pStyle w:val="ActHead9"/>
      </w:pPr>
      <w:bookmarkStart w:id="27" w:name="_Toc80878900"/>
      <w:r w:rsidRPr="008E78A2">
        <w:t>Foundation Program Standards (19/06/2011)</w:t>
      </w:r>
      <w:bookmarkEnd w:id="27"/>
    </w:p>
    <w:p w14:paraId="63ECBD47" w14:textId="77777777" w:rsidR="00D6537E" w:rsidRPr="008E78A2" w:rsidRDefault="00D6537E" w:rsidP="00D6537E">
      <w:pPr>
        <w:pStyle w:val="ItemHead"/>
      </w:pPr>
      <w:bookmarkStart w:id="28" w:name="_Hlk80261522"/>
      <w:r w:rsidRPr="008E78A2">
        <w:t xml:space="preserve">1  </w:t>
      </w:r>
      <w:bookmarkEnd w:id="28"/>
      <w:r w:rsidR="00BB1533" w:rsidRPr="008E78A2">
        <w:t>The w</w:t>
      </w:r>
      <w:r w:rsidRPr="008E78A2">
        <w:t>hole of the instrument</w:t>
      </w:r>
    </w:p>
    <w:p w14:paraId="0C264282" w14:textId="25720D9F" w:rsidR="004E1307" w:rsidRDefault="00D6537E" w:rsidP="00D6537E">
      <w:pPr>
        <w:pStyle w:val="Item"/>
      </w:pPr>
      <w:r w:rsidRPr="008E78A2">
        <w:t>Repeal the instrument</w:t>
      </w:r>
    </w:p>
    <w:p w14:paraId="32D2366A" w14:textId="77777777" w:rsidR="00554826" w:rsidRPr="00554826" w:rsidRDefault="00554826" w:rsidP="00554826"/>
    <w:p w14:paraId="18410BF7" w14:textId="3AA894BE" w:rsidR="00A75FE9" w:rsidRDefault="00A75FE9" w:rsidP="00FA5513">
      <w:pPr>
        <w:spacing w:line="240" w:lineRule="auto"/>
      </w:pPr>
    </w:p>
    <w:p w14:paraId="705EFE49" w14:textId="7D26CB83" w:rsidR="002E3BE1" w:rsidRDefault="002E3BE1" w:rsidP="00FA5513">
      <w:pPr>
        <w:spacing w:line="240" w:lineRule="auto"/>
      </w:pPr>
    </w:p>
    <w:p w14:paraId="545A6284" w14:textId="1BBD18CD" w:rsidR="002E3BE1" w:rsidRDefault="002E3BE1" w:rsidP="00FA5513">
      <w:pPr>
        <w:spacing w:line="240" w:lineRule="auto"/>
      </w:pPr>
    </w:p>
    <w:p w14:paraId="406D273F" w14:textId="626AA8BD" w:rsidR="002E3BE1" w:rsidRDefault="002E3BE1" w:rsidP="00FA5513">
      <w:pPr>
        <w:spacing w:line="240" w:lineRule="auto"/>
      </w:pPr>
    </w:p>
    <w:p w14:paraId="315F98F1" w14:textId="77777777" w:rsidR="002E3BE1" w:rsidRPr="00414D7A" w:rsidRDefault="002E3BE1" w:rsidP="002E3BE1">
      <w:pPr>
        <w:pStyle w:val="ActHead5"/>
      </w:pPr>
    </w:p>
    <w:p w14:paraId="5B597D41" w14:textId="77777777" w:rsidR="003F7F05" w:rsidRDefault="002E3BE1" w:rsidP="002E3BE1">
      <w:pPr>
        <w:pStyle w:val="subsection"/>
      </w:pPr>
      <w:r>
        <w:tab/>
      </w:r>
    </w:p>
    <w:p w14:paraId="30D84715" w14:textId="11694349" w:rsidR="002E3BE1" w:rsidRPr="000631FA" w:rsidRDefault="002E3BE1" w:rsidP="00FA5513">
      <w:pPr>
        <w:spacing w:line="240" w:lineRule="auto"/>
        <w:rPr>
          <w:rFonts w:eastAsia="Times New Roman" w:cs="Times New Roman"/>
          <w:lang w:eastAsia="en-AU"/>
        </w:rPr>
      </w:pPr>
    </w:p>
    <w:sectPr w:rsidR="002E3BE1" w:rsidRPr="000631FA"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31AB5" w14:textId="77777777" w:rsidR="00046F34" w:rsidRDefault="00046F34" w:rsidP="00715914">
      <w:pPr>
        <w:spacing w:line="240" w:lineRule="auto"/>
      </w:pPr>
      <w:r>
        <w:separator/>
      </w:r>
    </w:p>
  </w:endnote>
  <w:endnote w:type="continuationSeparator" w:id="0">
    <w:p w14:paraId="079ACD08" w14:textId="77777777" w:rsidR="00046F34" w:rsidRDefault="00046F3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B68CA" w14:textId="77777777" w:rsidR="00046F34" w:rsidRPr="00E33C1C" w:rsidRDefault="00046F34"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46F34" w14:paraId="2E13B1F2" w14:textId="77777777" w:rsidTr="00B33709">
      <w:tc>
        <w:tcPr>
          <w:tcW w:w="709" w:type="dxa"/>
          <w:tcBorders>
            <w:top w:val="nil"/>
            <w:left w:val="nil"/>
            <w:bottom w:val="nil"/>
            <w:right w:val="nil"/>
          </w:tcBorders>
        </w:tcPr>
        <w:p w14:paraId="63200890" w14:textId="77777777" w:rsidR="00046F34" w:rsidRDefault="00046F3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EF56DD4" w14:textId="77777777" w:rsidR="00046F34" w:rsidRPr="004E1307" w:rsidRDefault="00046F3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08833EFA" w14:textId="77777777" w:rsidR="00046F34" w:rsidRDefault="00046F34" w:rsidP="00A369E3">
          <w:pPr>
            <w:spacing w:line="0" w:lineRule="atLeast"/>
            <w:jc w:val="right"/>
            <w:rPr>
              <w:sz w:val="18"/>
            </w:rPr>
          </w:pPr>
        </w:p>
      </w:tc>
    </w:tr>
    <w:tr w:rsidR="00046F34" w14:paraId="0B332E25"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49E6270" w14:textId="77777777" w:rsidR="00046F34" w:rsidRDefault="00046F34" w:rsidP="00A369E3">
          <w:pPr>
            <w:jc w:val="right"/>
            <w:rPr>
              <w:sz w:val="18"/>
            </w:rPr>
          </w:pPr>
        </w:p>
      </w:tc>
    </w:tr>
  </w:tbl>
  <w:p w14:paraId="457DF18C" w14:textId="77777777" w:rsidR="00046F34" w:rsidRPr="00ED79B6" w:rsidRDefault="00046F3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FBB4E" w14:textId="77777777" w:rsidR="00046F34" w:rsidRPr="00E33C1C" w:rsidRDefault="00046F34"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046F34" w14:paraId="2B901C52" w14:textId="77777777" w:rsidTr="00A369E3">
      <w:tc>
        <w:tcPr>
          <w:tcW w:w="1384" w:type="dxa"/>
          <w:tcBorders>
            <w:top w:val="nil"/>
            <w:left w:val="nil"/>
            <w:bottom w:val="nil"/>
            <w:right w:val="nil"/>
          </w:tcBorders>
        </w:tcPr>
        <w:p w14:paraId="66418310" w14:textId="77777777" w:rsidR="00046F34" w:rsidRDefault="00046F34" w:rsidP="00A369E3">
          <w:pPr>
            <w:spacing w:line="0" w:lineRule="atLeast"/>
            <w:rPr>
              <w:sz w:val="18"/>
            </w:rPr>
          </w:pPr>
        </w:p>
      </w:tc>
      <w:tc>
        <w:tcPr>
          <w:tcW w:w="6379" w:type="dxa"/>
          <w:tcBorders>
            <w:top w:val="nil"/>
            <w:left w:val="nil"/>
            <w:bottom w:val="nil"/>
            <w:right w:val="nil"/>
          </w:tcBorders>
        </w:tcPr>
        <w:p w14:paraId="7A4DF3F2" w14:textId="77777777" w:rsidR="00046F34" w:rsidRDefault="00046F3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B9483C7" w14:textId="77777777" w:rsidR="00046F34" w:rsidRDefault="00046F3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46F34" w14:paraId="298D193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29B4403" w14:textId="77777777" w:rsidR="00046F34" w:rsidRDefault="00046F34" w:rsidP="00A369E3">
          <w:pPr>
            <w:rPr>
              <w:sz w:val="18"/>
            </w:rPr>
          </w:pPr>
        </w:p>
      </w:tc>
    </w:tr>
  </w:tbl>
  <w:p w14:paraId="250CD23C" w14:textId="77777777" w:rsidR="00046F34" w:rsidRPr="00ED79B6" w:rsidRDefault="00046F34"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7B1F1" w14:textId="77777777" w:rsidR="00046F34" w:rsidRPr="00E33C1C" w:rsidRDefault="00046F34"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46F34" w14:paraId="5AA18E03" w14:textId="77777777" w:rsidTr="00B33709">
      <w:tc>
        <w:tcPr>
          <w:tcW w:w="1384" w:type="dxa"/>
          <w:tcBorders>
            <w:top w:val="nil"/>
            <w:left w:val="nil"/>
            <w:bottom w:val="nil"/>
            <w:right w:val="nil"/>
          </w:tcBorders>
        </w:tcPr>
        <w:p w14:paraId="1022668F" w14:textId="77777777" w:rsidR="00046F34" w:rsidRDefault="00046F34" w:rsidP="00A369E3">
          <w:pPr>
            <w:spacing w:line="0" w:lineRule="atLeast"/>
            <w:rPr>
              <w:sz w:val="18"/>
            </w:rPr>
          </w:pPr>
        </w:p>
      </w:tc>
      <w:tc>
        <w:tcPr>
          <w:tcW w:w="6379" w:type="dxa"/>
          <w:tcBorders>
            <w:top w:val="nil"/>
            <w:left w:val="nil"/>
            <w:bottom w:val="nil"/>
            <w:right w:val="nil"/>
          </w:tcBorders>
        </w:tcPr>
        <w:p w14:paraId="12C54708" w14:textId="77777777" w:rsidR="00046F34" w:rsidRDefault="00046F34" w:rsidP="00A369E3">
          <w:pPr>
            <w:spacing w:line="0" w:lineRule="atLeast"/>
            <w:jc w:val="center"/>
            <w:rPr>
              <w:sz w:val="18"/>
            </w:rPr>
          </w:pPr>
        </w:p>
      </w:tc>
      <w:tc>
        <w:tcPr>
          <w:tcW w:w="709" w:type="dxa"/>
          <w:tcBorders>
            <w:top w:val="nil"/>
            <w:left w:val="nil"/>
            <w:bottom w:val="nil"/>
            <w:right w:val="nil"/>
          </w:tcBorders>
        </w:tcPr>
        <w:p w14:paraId="3542B188" w14:textId="77777777" w:rsidR="00046F34" w:rsidRDefault="00046F34" w:rsidP="00A369E3">
          <w:pPr>
            <w:spacing w:line="0" w:lineRule="atLeast"/>
            <w:jc w:val="right"/>
            <w:rPr>
              <w:sz w:val="18"/>
            </w:rPr>
          </w:pPr>
        </w:p>
      </w:tc>
    </w:tr>
  </w:tbl>
  <w:p w14:paraId="02D2009B" w14:textId="77777777" w:rsidR="00046F34" w:rsidRPr="00ED79B6" w:rsidRDefault="00046F34"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6FCE6" w14:textId="77777777" w:rsidR="00046F34" w:rsidRPr="002B0EA5" w:rsidRDefault="00046F34" w:rsidP="006841A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46F34" w14:paraId="45B11605" w14:textId="77777777" w:rsidTr="006841A3">
      <w:tc>
        <w:tcPr>
          <w:tcW w:w="365" w:type="pct"/>
        </w:tcPr>
        <w:p w14:paraId="7E5100C2" w14:textId="77777777" w:rsidR="00046F34" w:rsidRDefault="00046F34" w:rsidP="006841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4970053" w14:textId="7C79437D" w:rsidR="00046F34" w:rsidRDefault="00046F34" w:rsidP="006841A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Education Services for Overseas Students (Foundation Program Standards) Instrument 2021</w:t>
          </w:r>
          <w:r w:rsidRPr="004E1307">
            <w:rPr>
              <w:i/>
              <w:sz w:val="18"/>
            </w:rPr>
            <w:fldChar w:fldCharType="end"/>
          </w:r>
        </w:p>
      </w:tc>
      <w:tc>
        <w:tcPr>
          <w:tcW w:w="947" w:type="pct"/>
        </w:tcPr>
        <w:p w14:paraId="2FF42EB8" w14:textId="77777777" w:rsidR="00046F34" w:rsidRDefault="00046F34" w:rsidP="006841A3">
          <w:pPr>
            <w:spacing w:line="0" w:lineRule="atLeast"/>
            <w:jc w:val="right"/>
            <w:rPr>
              <w:sz w:val="18"/>
            </w:rPr>
          </w:pPr>
        </w:p>
      </w:tc>
    </w:tr>
    <w:tr w:rsidR="00046F34" w14:paraId="539913C1" w14:textId="77777777" w:rsidTr="006841A3">
      <w:tc>
        <w:tcPr>
          <w:tcW w:w="5000" w:type="pct"/>
          <w:gridSpan w:val="3"/>
        </w:tcPr>
        <w:p w14:paraId="35A69B1A" w14:textId="77777777" w:rsidR="00046F34" w:rsidRDefault="00046F34" w:rsidP="006841A3">
          <w:pPr>
            <w:jc w:val="right"/>
            <w:rPr>
              <w:sz w:val="18"/>
            </w:rPr>
          </w:pPr>
        </w:p>
      </w:tc>
    </w:tr>
  </w:tbl>
  <w:p w14:paraId="3297AEC0" w14:textId="77777777" w:rsidR="00046F34" w:rsidRPr="00ED79B6" w:rsidRDefault="00046F34" w:rsidP="006841A3">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69D4" w14:textId="77777777" w:rsidR="00046F34" w:rsidRPr="002B0EA5" w:rsidRDefault="00046F34" w:rsidP="006841A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46F34" w14:paraId="13EE77E2" w14:textId="77777777" w:rsidTr="006841A3">
      <w:tc>
        <w:tcPr>
          <w:tcW w:w="947" w:type="pct"/>
        </w:tcPr>
        <w:p w14:paraId="1E85C13C" w14:textId="77777777" w:rsidR="00046F34" w:rsidRDefault="00046F34" w:rsidP="006841A3">
          <w:pPr>
            <w:spacing w:line="0" w:lineRule="atLeast"/>
            <w:rPr>
              <w:sz w:val="18"/>
            </w:rPr>
          </w:pPr>
        </w:p>
      </w:tc>
      <w:tc>
        <w:tcPr>
          <w:tcW w:w="3688" w:type="pct"/>
        </w:tcPr>
        <w:p w14:paraId="0C52EC66" w14:textId="672C771E" w:rsidR="00046F34" w:rsidRDefault="00046F34" w:rsidP="006841A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78A2">
            <w:rPr>
              <w:i/>
              <w:noProof/>
              <w:sz w:val="18"/>
            </w:rPr>
            <w:t>Education Services for Overseas Students (Foundation Program Standards) Instrument 2021</w:t>
          </w:r>
          <w:r w:rsidRPr="004E1307">
            <w:rPr>
              <w:i/>
              <w:sz w:val="18"/>
            </w:rPr>
            <w:fldChar w:fldCharType="end"/>
          </w:r>
        </w:p>
      </w:tc>
      <w:tc>
        <w:tcPr>
          <w:tcW w:w="365" w:type="pct"/>
        </w:tcPr>
        <w:p w14:paraId="6443B11C" w14:textId="39954B56" w:rsidR="00046F34" w:rsidRDefault="00046F34" w:rsidP="006841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237D">
            <w:rPr>
              <w:i/>
              <w:noProof/>
              <w:sz w:val="18"/>
            </w:rPr>
            <w:t>i</w:t>
          </w:r>
          <w:r w:rsidRPr="00ED79B6">
            <w:rPr>
              <w:i/>
              <w:sz w:val="18"/>
            </w:rPr>
            <w:fldChar w:fldCharType="end"/>
          </w:r>
        </w:p>
      </w:tc>
    </w:tr>
    <w:tr w:rsidR="00046F34" w14:paraId="653F122E" w14:textId="77777777" w:rsidTr="006841A3">
      <w:tc>
        <w:tcPr>
          <w:tcW w:w="5000" w:type="pct"/>
          <w:gridSpan w:val="3"/>
        </w:tcPr>
        <w:p w14:paraId="3E79E47B" w14:textId="77777777" w:rsidR="00046F34" w:rsidRDefault="00046F34" w:rsidP="006841A3">
          <w:pPr>
            <w:rPr>
              <w:sz w:val="18"/>
            </w:rPr>
          </w:pPr>
        </w:p>
      </w:tc>
    </w:tr>
  </w:tbl>
  <w:p w14:paraId="3FA96433" w14:textId="77777777" w:rsidR="00046F34" w:rsidRPr="00ED79B6" w:rsidRDefault="00046F34" w:rsidP="006841A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8A13C" w14:textId="77777777" w:rsidR="00046F34" w:rsidRPr="002B0EA5" w:rsidRDefault="00046F34" w:rsidP="006841A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46F34" w14:paraId="15019C72" w14:textId="77777777" w:rsidTr="006841A3">
      <w:tc>
        <w:tcPr>
          <w:tcW w:w="365" w:type="pct"/>
        </w:tcPr>
        <w:p w14:paraId="6CEE31DE" w14:textId="04334E70" w:rsidR="00046F34" w:rsidRDefault="00046F34" w:rsidP="006841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237D">
            <w:rPr>
              <w:i/>
              <w:noProof/>
              <w:sz w:val="18"/>
            </w:rPr>
            <w:t>12</w:t>
          </w:r>
          <w:r w:rsidRPr="00ED79B6">
            <w:rPr>
              <w:i/>
              <w:sz w:val="18"/>
            </w:rPr>
            <w:fldChar w:fldCharType="end"/>
          </w:r>
        </w:p>
      </w:tc>
      <w:tc>
        <w:tcPr>
          <w:tcW w:w="3688" w:type="pct"/>
        </w:tcPr>
        <w:p w14:paraId="08FBFEE6" w14:textId="2579AB3A" w:rsidR="00046F34" w:rsidRDefault="00046F34" w:rsidP="006841A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78A2">
            <w:rPr>
              <w:i/>
              <w:noProof/>
              <w:sz w:val="18"/>
            </w:rPr>
            <w:t>Education Services for Overseas Students (Foundation Program Standards) Instrument 2021</w:t>
          </w:r>
          <w:r w:rsidRPr="004E1307">
            <w:rPr>
              <w:i/>
              <w:sz w:val="18"/>
            </w:rPr>
            <w:fldChar w:fldCharType="end"/>
          </w:r>
        </w:p>
      </w:tc>
      <w:tc>
        <w:tcPr>
          <w:tcW w:w="947" w:type="pct"/>
        </w:tcPr>
        <w:p w14:paraId="466E6ABD" w14:textId="77777777" w:rsidR="00046F34" w:rsidRDefault="00046F34" w:rsidP="006841A3">
          <w:pPr>
            <w:spacing w:line="0" w:lineRule="atLeast"/>
            <w:jc w:val="right"/>
            <w:rPr>
              <w:sz w:val="18"/>
            </w:rPr>
          </w:pPr>
        </w:p>
      </w:tc>
    </w:tr>
    <w:tr w:rsidR="00046F34" w14:paraId="73315FB9" w14:textId="77777777" w:rsidTr="006841A3">
      <w:tc>
        <w:tcPr>
          <w:tcW w:w="5000" w:type="pct"/>
          <w:gridSpan w:val="3"/>
        </w:tcPr>
        <w:p w14:paraId="79DB7556" w14:textId="77777777" w:rsidR="00046F34" w:rsidRDefault="00046F34" w:rsidP="006841A3">
          <w:pPr>
            <w:jc w:val="right"/>
            <w:rPr>
              <w:sz w:val="18"/>
            </w:rPr>
          </w:pPr>
        </w:p>
      </w:tc>
    </w:tr>
  </w:tbl>
  <w:p w14:paraId="4832233C" w14:textId="77777777" w:rsidR="00046F34" w:rsidRPr="00ED79B6" w:rsidRDefault="00046F34" w:rsidP="006841A3">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E64EB" w14:textId="77777777" w:rsidR="00046F34" w:rsidRPr="002B0EA5" w:rsidRDefault="00046F34" w:rsidP="006841A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46F34" w14:paraId="43CDB766" w14:textId="77777777" w:rsidTr="006841A3">
      <w:tc>
        <w:tcPr>
          <w:tcW w:w="947" w:type="pct"/>
        </w:tcPr>
        <w:p w14:paraId="4F029769" w14:textId="77777777" w:rsidR="00046F34" w:rsidRDefault="00046F34" w:rsidP="006841A3">
          <w:pPr>
            <w:spacing w:line="0" w:lineRule="atLeast"/>
            <w:rPr>
              <w:sz w:val="18"/>
            </w:rPr>
          </w:pPr>
        </w:p>
      </w:tc>
      <w:tc>
        <w:tcPr>
          <w:tcW w:w="3688" w:type="pct"/>
        </w:tcPr>
        <w:p w14:paraId="317783B8" w14:textId="619D44BE" w:rsidR="00046F34" w:rsidRDefault="00046F34" w:rsidP="006841A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E78A2">
            <w:rPr>
              <w:i/>
              <w:noProof/>
              <w:sz w:val="18"/>
            </w:rPr>
            <w:t>Education Services for Overseas Students (Foundation Program Standards) Instrument 2021</w:t>
          </w:r>
          <w:r w:rsidRPr="004E1307">
            <w:rPr>
              <w:i/>
              <w:sz w:val="18"/>
            </w:rPr>
            <w:fldChar w:fldCharType="end"/>
          </w:r>
        </w:p>
      </w:tc>
      <w:tc>
        <w:tcPr>
          <w:tcW w:w="365" w:type="pct"/>
        </w:tcPr>
        <w:p w14:paraId="5104E4E3" w14:textId="23CECE74" w:rsidR="00046F34" w:rsidRDefault="00046F34" w:rsidP="006841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237D">
            <w:rPr>
              <w:i/>
              <w:noProof/>
              <w:sz w:val="18"/>
            </w:rPr>
            <w:t>13</w:t>
          </w:r>
          <w:r w:rsidRPr="00ED79B6">
            <w:rPr>
              <w:i/>
              <w:sz w:val="18"/>
            </w:rPr>
            <w:fldChar w:fldCharType="end"/>
          </w:r>
        </w:p>
      </w:tc>
    </w:tr>
    <w:tr w:rsidR="00046F34" w14:paraId="47DF42AE" w14:textId="77777777" w:rsidTr="006841A3">
      <w:tc>
        <w:tcPr>
          <w:tcW w:w="5000" w:type="pct"/>
          <w:gridSpan w:val="3"/>
        </w:tcPr>
        <w:p w14:paraId="4601A337" w14:textId="77777777" w:rsidR="00046F34" w:rsidRDefault="00046F34" w:rsidP="006841A3">
          <w:pPr>
            <w:rPr>
              <w:sz w:val="18"/>
            </w:rPr>
          </w:pPr>
        </w:p>
      </w:tc>
    </w:tr>
  </w:tbl>
  <w:p w14:paraId="5B0DF4E9" w14:textId="77777777" w:rsidR="00046F34" w:rsidRPr="00ED79B6" w:rsidRDefault="00046F34" w:rsidP="006841A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D87DF" w14:textId="77777777" w:rsidR="00046F34" w:rsidRDefault="00046F34" w:rsidP="00715914">
      <w:pPr>
        <w:spacing w:line="240" w:lineRule="auto"/>
      </w:pPr>
      <w:r>
        <w:separator/>
      </w:r>
    </w:p>
  </w:footnote>
  <w:footnote w:type="continuationSeparator" w:id="0">
    <w:p w14:paraId="1265819B" w14:textId="77777777" w:rsidR="00046F34" w:rsidRDefault="00046F3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3396C" w14:textId="77777777" w:rsidR="00046F34" w:rsidRPr="005F1388" w:rsidRDefault="00046F3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745C8" w14:textId="77777777" w:rsidR="00046F34" w:rsidRPr="005F1388" w:rsidRDefault="00046F3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73C73" w14:textId="77777777" w:rsidR="00046F34" w:rsidRPr="00ED79B6" w:rsidRDefault="00046F34" w:rsidP="006841A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BF36C" w14:textId="77777777" w:rsidR="00046F34" w:rsidRPr="00ED79B6" w:rsidRDefault="00046F34" w:rsidP="006841A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03E3D" w14:textId="77777777" w:rsidR="00046F34" w:rsidRPr="00ED79B6" w:rsidRDefault="00046F34"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FB3F8" w14:textId="77777777" w:rsidR="00046F34" w:rsidRDefault="00046F34" w:rsidP="00715914">
    <w:pPr>
      <w:rPr>
        <w:sz w:val="20"/>
      </w:rPr>
    </w:pPr>
  </w:p>
  <w:p w14:paraId="16981C05" w14:textId="77777777" w:rsidR="00046F34" w:rsidRDefault="00046F34" w:rsidP="00715914">
    <w:pPr>
      <w:rPr>
        <w:sz w:val="20"/>
      </w:rPr>
    </w:pPr>
  </w:p>
  <w:p w14:paraId="6477A702" w14:textId="77777777" w:rsidR="00046F34" w:rsidRPr="007A1328" w:rsidRDefault="00046F34" w:rsidP="00715914">
    <w:pPr>
      <w:rPr>
        <w:sz w:val="20"/>
      </w:rPr>
    </w:pPr>
  </w:p>
  <w:p w14:paraId="5D4EE499" w14:textId="77777777" w:rsidR="00046F34" w:rsidRPr="007A1328" w:rsidRDefault="00046F34" w:rsidP="00715914">
    <w:pPr>
      <w:rPr>
        <w:b/>
        <w:sz w:val="24"/>
      </w:rPr>
    </w:pPr>
  </w:p>
  <w:p w14:paraId="36A49880" w14:textId="77777777" w:rsidR="00046F34" w:rsidRPr="007A1328" w:rsidRDefault="00046F34"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2EF0" w14:textId="77777777" w:rsidR="00046F34" w:rsidRPr="007A1328" w:rsidRDefault="00046F34" w:rsidP="00715914">
    <w:pPr>
      <w:jc w:val="right"/>
      <w:rPr>
        <w:sz w:val="20"/>
      </w:rPr>
    </w:pPr>
  </w:p>
  <w:p w14:paraId="2A346CCE" w14:textId="77777777" w:rsidR="00046F34" w:rsidRPr="007A1328" w:rsidRDefault="00046F34" w:rsidP="00715914">
    <w:pPr>
      <w:jc w:val="right"/>
      <w:rPr>
        <w:sz w:val="20"/>
      </w:rPr>
    </w:pPr>
  </w:p>
  <w:p w14:paraId="383ED67B" w14:textId="77777777" w:rsidR="00046F34" w:rsidRPr="007A1328" w:rsidRDefault="00046F34" w:rsidP="00715914">
    <w:pPr>
      <w:jc w:val="right"/>
      <w:rPr>
        <w:sz w:val="20"/>
      </w:rPr>
    </w:pPr>
  </w:p>
  <w:p w14:paraId="5DB6F6A3" w14:textId="77777777" w:rsidR="00046F34" w:rsidRPr="007A1328" w:rsidRDefault="00046F34" w:rsidP="00715914">
    <w:pPr>
      <w:jc w:val="right"/>
      <w:rPr>
        <w:b/>
        <w:sz w:val="24"/>
      </w:rPr>
    </w:pPr>
  </w:p>
  <w:p w14:paraId="4F20AFC5" w14:textId="77777777" w:rsidR="00046F34" w:rsidRPr="007A1328" w:rsidRDefault="00046F34"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2085F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A40F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C8D4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B681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DEE7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8421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4489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09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6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80E2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73533"/>
    <w:multiLevelType w:val="hybridMultilevel"/>
    <w:tmpl w:val="54604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25DF0"/>
    <w:multiLevelType w:val="hybridMultilevel"/>
    <w:tmpl w:val="E36664F0"/>
    <w:lvl w:ilvl="0" w:tplc="1072449E">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4" w15:restartNumberingAfterBreak="0">
    <w:nsid w:val="318166BF"/>
    <w:multiLevelType w:val="hybridMultilevel"/>
    <w:tmpl w:val="ABB00FF2"/>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5" w15:restartNumberingAfterBreak="0">
    <w:nsid w:val="321505C1"/>
    <w:multiLevelType w:val="hybridMultilevel"/>
    <w:tmpl w:val="B6546A74"/>
    <w:lvl w:ilvl="0" w:tplc="D58A950E">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6" w15:restartNumberingAfterBreak="0">
    <w:nsid w:val="32F75E94"/>
    <w:multiLevelType w:val="hybridMultilevel"/>
    <w:tmpl w:val="67127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D650C6"/>
    <w:multiLevelType w:val="hybridMultilevel"/>
    <w:tmpl w:val="AE6CD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FD0052"/>
    <w:multiLevelType w:val="hybridMultilevel"/>
    <w:tmpl w:val="89EA6EFC"/>
    <w:lvl w:ilvl="0" w:tplc="E6DE8CD6">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7763978"/>
    <w:multiLevelType w:val="hybridMultilevel"/>
    <w:tmpl w:val="26D4E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9D05DC"/>
    <w:multiLevelType w:val="hybridMultilevel"/>
    <w:tmpl w:val="E1B8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7A544E"/>
    <w:multiLevelType w:val="hybridMultilevel"/>
    <w:tmpl w:val="B858B68C"/>
    <w:lvl w:ilvl="0" w:tplc="506468E0">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CD3103"/>
    <w:multiLevelType w:val="hybridMultilevel"/>
    <w:tmpl w:val="1A6E6814"/>
    <w:lvl w:ilvl="0" w:tplc="4CF49AD8">
      <w:start w:val="1"/>
      <w:numFmt w:val="decimal"/>
      <w:lvlText w:val="(%1)"/>
      <w:lvlJc w:val="left"/>
      <w:pPr>
        <w:ind w:left="720" w:hanging="360"/>
      </w:pPr>
      <w:rPr>
        <w:rFonts w:ascii="Times New Roman" w:eastAsia="Times New Roman" w:hAnsi="Times New Roman" w:cs="Times New Roman"/>
      </w:rPr>
    </w:lvl>
    <w:lvl w:ilvl="1" w:tplc="578064DE">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ED26AA"/>
    <w:multiLevelType w:val="multilevel"/>
    <w:tmpl w:val="23E2E1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8CF208C"/>
    <w:multiLevelType w:val="hybridMultilevel"/>
    <w:tmpl w:val="31B66E28"/>
    <w:lvl w:ilvl="0" w:tplc="B77A442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EA7C16"/>
    <w:multiLevelType w:val="hybridMultilevel"/>
    <w:tmpl w:val="5A18BAA6"/>
    <w:lvl w:ilvl="0" w:tplc="E53AA4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102055"/>
    <w:multiLevelType w:val="hybridMultilevel"/>
    <w:tmpl w:val="A6C8C078"/>
    <w:lvl w:ilvl="0" w:tplc="11D0B594">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AA2B26"/>
    <w:multiLevelType w:val="hybridMultilevel"/>
    <w:tmpl w:val="C2D63B50"/>
    <w:lvl w:ilvl="0" w:tplc="6D22476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12"/>
  </w:num>
  <w:num w:numId="14">
    <w:abstractNumId w:val="26"/>
  </w:num>
  <w:num w:numId="15">
    <w:abstractNumId w:val="15"/>
  </w:num>
  <w:num w:numId="16">
    <w:abstractNumId w:val="20"/>
  </w:num>
  <w:num w:numId="17">
    <w:abstractNumId w:val="24"/>
  </w:num>
  <w:num w:numId="18">
    <w:abstractNumId w:val="23"/>
  </w:num>
  <w:num w:numId="19">
    <w:abstractNumId w:val="27"/>
  </w:num>
  <w:num w:numId="20">
    <w:abstractNumId w:val="22"/>
  </w:num>
  <w:num w:numId="21">
    <w:abstractNumId w:val="21"/>
  </w:num>
  <w:num w:numId="22">
    <w:abstractNumId w:val="14"/>
  </w:num>
  <w:num w:numId="23">
    <w:abstractNumId w:val="16"/>
  </w:num>
  <w:num w:numId="24">
    <w:abstractNumId w:val="11"/>
  </w:num>
  <w:num w:numId="25">
    <w:abstractNumId w:val="17"/>
  </w:num>
  <w:num w:numId="26">
    <w:abstractNumId w:val="18"/>
  </w:num>
  <w:num w:numId="27">
    <w:abstractNumId w:val="25"/>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F"/>
    <w:rsid w:val="000027B4"/>
    <w:rsid w:val="00004174"/>
    <w:rsid w:val="00004470"/>
    <w:rsid w:val="000121DC"/>
    <w:rsid w:val="000136AF"/>
    <w:rsid w:val="00013C3B"/>
    <w:rsid w:val="000148D6"/>
    <w:rsid w:val="00024042"/>
    <w:rsid w:val="000258B1"/>
    <w:rsid w:val="0003208D"/>
    <w:rsid w:val="0003727B"/>
    <w:rsid w:val="00040A89"/>
    <w:rsid w:val="00040B78"/>
    <w:rsid w:val="000437C1"/>
    <w:rsid w:val="0004455A"/>
    <w:rsid w:val="00046961"/>
    <w:rsid w:val="00046F34"/>
    <w:rsid w:val="0005365D"/>
    <w:rsid w:val="000563AC"/>
    <w:rsid w:val="00060546"/>
    <w:rsid w:val="00060551"/>
    <w:rsid w:val="000614BF"/>
    <w:rsid w:val="00061B7A"/>
    <w:rsid w:val="000631FA"/>
    <w:rsid w:val="0006636F"/>
    <w:rsid w:val="00066D97"/>
    <w:rsid w:val="0006709C"/>
    <w:rsid w:val="000675C2"/>
    <w:rsid w:val="00067BE7"/>
    <w:rsid w:val="0007151F"/>
    <w:rsid w:val="00074376"/>
    <w:rsid w:val="00076635"/>
    <w:rsid w:val="00080CFB"/>
    <w:rsid w:val="00081D7B"/>
    <w:rsid w:val="000873F7"/>
    <w:rsid w:val="0008749A"/>
    <w:rsid w:val="000931E5"/>
    <w:rsid w:val="00093316"/>
    <w:rsid w:val="000978F5"/>
    <w:rsid w:val="000A0182"/>
    <w:rsid w:val="000A036C"/>
    <w:rsid w:val="000A2724"/>
    <w:rsid w:val="000A398B"/>
    <w:rsid w:val="000A6363"/>
    <w:rsid w:val="000A70BD"/>
    <w:rsid w:val="000B15CD"/>
    <w:rsid w:val="000B1CB3"/>
    <w:rsid w:val="000B35EB"/>
    <w:rsid w:val="000B4405"/>
    <w:rsid w:val="000C06E5"/>
    <w:rsid w:val="000C338E"/>
    <w:rsid w:val="000C381F"/>
    <w:rsid w:val="000C60F7"/>
    <w:rsid w:val="000D05EF"/>
    <w:rsid w:val="000E1DFF"/>
    <w:rsid w:val="000E2261"/>
    <w:rsid w:val="000E726C"/>
    <w:rsid w:val="000E78B7"/>
    <w:rsid w:val="000F1822"/>
    <w:rsid w:val="000F21C1"/>
    <w:rsid w:val="000F7BE0"/>
    <w:rsid w:val="0010124A"/>
    <w:rsid w:val="0010173C"/>
    <w:rsid w:val="00104923"/>
    <w:rsid w:val="00106DFA"/>
    <w:rsid w:val="0010745C"/>
    <w:rsid w:val="00117AA8"/>
    <w:rsid w:val="001241EF"/>
    <w:rsid w:val="001257A5"/>
    <w:rsid w:val="00132594"/>
    <w:rsid w:val="00132C50"/>
    <w:rsid w:val="00132CEB"/>
    <w:rsid w:val="00132EA8"/>
    <w:rsid w:val="00133636"/>
    <w:rsid w:val="001339B0"/>
    <w:rsid w:val="00135AEA"/>
    <w:rsid w:val="00136129"/>
    <w:rsid w:val="00136A2B"/>
    <w:rsid w:val="00142B62"/>
    <w:rsid w:val="001441B7"/>
    <w:rsid w:val="00145696"/>
    <w:rsid w:val="00147849"/>
    <w:rsid w:val="001516CB"/>
    <w:rsid w:val="00152336"/>
    <w:rsid w:val="00155A6B"/>
    <w:rsid w:val="0015619E"/>
    <w:rsid w:val="00156B7A"/>
    <w:rsid w:val="00157426"/>
    <w:rsid w:val="00157B8B"/>
    <w:rsid w:val="00161831"/>
    <w:rsid w:val="00166C2F"/>
    <w:rsid w:val="0017139D"/>
    <w:rsid w:val="00171F6A"/>
    <w:rsid w:val="00172D5B"/>
    <w:rsid w:val="001809D7"/>
    <w:rsid w:val="00181EB8"/>
    <w:rsid w:val="00183EDF"/>
    <w:rsid w:val="00192EEE"/>
    <w:rsid w:val="001939E1"/>
    <w:rsid w:val="00194C3E"/>
    <w:rsid w:val="00195382"/>
    <w:rsid w:val="00195E7A"/>
    <w:rsid w:val="00196562"/>
    <w:rsid w:val="001A044C"/>
    <w:rsid w:val="001A2EEF"/>
    <w:rsid w:val="001A342A"/>
    <w:rsid w:val="001A4A8A"/>
    <w:rsid w:val="001B2CB6"/>
    <w:rsid w:val="001C0DAD"/>
    <w:rsid w:val="001C2519"/>
    <w:rsid w:val="001C61C5"/>
    <w:rsid w:val="001C69C4"/>
    <w:rsid w:val="001D37EF"/>
    <w:rsid w:val="001D4C9D"/>
    <w:rsid w:val="001E3590"/>
    <w:rsid w:val="001E4449"/>
    <w:rsid w:val="001E7407"/>
    <w:rsid w:val="001F5D5E"/>
    <w:rsid w:val="001F6219"/>
    <w:rsid w:val="001F6CD4"/>
    <w:rsid w:val="00200B3F"/>
    <w:rsid w:val="00206C4D"/>
    <w:rsid w:val="0021009D"/>
    <w:rsid w:val="00215AF1"/>
    <w:rsid w:val="00222479"/>
    <w:rsid w:val="00227871"/>
    <w:rsid w:val="002321E8"/>
    <w:rsid w:val="0023271A"/>
    <w:rsid w:val="00232984"/>
    <w:rsid w:val="00234F48"/>
    <w:rsid w:val="00237C02"/>
    <w:rsid w:val="0024010F"/>
    <w:rsid w:val="00240749"/>
    <w:rsid w:val="00243018"/>
    <w:rsid w:val="0024366F"/>
    <w:rsid w:val="00246CFC"/>
    <w:rsid w:val="00255F5E"/>
    <w:rsid w:val="002564A4"/>
    <w:rsid w:val="00261C4A"/>
    <w:rsid w:val="00266F04"/>
    <w:rsid w:val="0026736C"/>
    <w:rsid w:val="00270BDB"/>
    <w:rsid w:val="002741F5"/>
    <w:rsid w:val="0027453E"/>
    <w:rsid w:val="00275B23"/>
    <w:rsid w:val="00275E88"/>
    <w:rsid w:val="00281308"/>
    <w:rsid w:val="002813A9"/>
    <w:rsid w:val="00284719"/>
    <w:rsid w:val="00285538"/>
    <w:rsid w:val="002867BD"/>
    <w:rsid w:val="00292CD4"/>
    <w:rsid w:val="002952E4"/>
    <w:rsid w:val="002957CD"/>
    <w:rsid w:val="00296560"/>
    <w:rsid w:val="00296941"/>
    <w:rsid w:val="00297ECB"/>
    <w:rsid w:val="002A0F6A"/>
    <w:rsid w:val="002A7817"/>
    <w:rsid w:val="002A7BCF"/>
    <w:rsid w:val="002B0D9E"/>
    <w:rsid w:val="002B26B2"/>
    <w:rsid w:val="002B3FB6"/>
    <w:rsid w:val="002B44C8"/>
    <w:rsid w:val="002B491C"/>
    <w:rsid w:val="002C00D0"/>
    <w:rsid w:val="002C3FD1"/>
    <w:rsid w:val="002C69F9"/>
    <w:rsid w:val="002D043A"/>
    <w:rsid w:val="002D266B"/>
    <w:rsid w:val="002D6224"/>
    <w:rsid w:val="002E037D"/>
    <w:rsid w:val="002E1697"/>
    <w:rsid w:val="002E1E4F"/>
    <w:rsid w:val="002E3BE1"/>
    <w:rsid w:val="002E5D43"/>
    <w:rsid w:val="002F159D"/>
    <w:rsid w:val="003010F8"/>
    <w:rsid w:val="00301733"/>
    <w:rsid w:val="00301D46"/>
    <w:rsid w:val="00304F8B"/>
    <w:rsid w:val="00305D99"/>
    <w:rsid w:val="00312F25"/>
    <w:rsid w:val="00313F76"/>
    <w:rsid w:val="00320496"/>
    <w:rsid w:val="00322E69"/>
    <w:rsid w:val="00326E61"/>
    <w:rsid w:val="003319B5"/>
    <w:rsid w:val="00333E28"/>
    <w:rsid w:val="003349B6"/>
    <w:rsid w:val="00335BC6"/>
    <w:rsid w:val="003415D3"/>
    <w:rsid w:val="00344338"/>
    <w:rsid w:val="00344701"/>
    <w:rsid w:val="003507BE"/>
    <w:rsid w:val="00352B0F"/>
    <w:rsid w:val="003536C5"/>
    <w:rsid w:val="003545AB"/>
    <w:rsid w:val="00360459"/>
    <w:rsid w:val="00362EFE"/>
    <w:rsid w:val="00363101"/>
    <w:rsid w:val="003665FA"/>
    <w:rsid w:val="00366AAA"/>
    <w:rsid w:val="00374FBB"/>
    <w:rsid w:val="003767E2"/>
    <w:rsid w:val="003772B8"/>
    <w:rsid w:val="0038049F"/>
    <w:rsid w:val="00383C4B"/>
    <w:rsid w:val="00396509"/>
    <w:rsid w:val="003968BE"/>
    <w:rsid w:val="003A339A"/>
    <w:rsid w:val="003A6D49"/>
    <w:rsid w:val="003B472F"/>
    <w:rsid w:val="003B6856"/>
    <w:rsid w:val="003C2F06"/>
    <w:rsid w:val="003C5426"/>
    <w:rsid w:val="003C5F04"/>
    <w:rsid w:val="003C6231"/>
    <w:rsid w:val="003C7B99"/>
    <w:rsid w:val="003D0BFE"/>
    <w:rsid w:val="003D2E66"/>
    <w:rsid w:val="003D5700"/>
    <w:rsid w:val="003E341B"/>
    <w:rsid w:val="003E4D00"/>
    <w:rsid w:val="003E5479"/>
    <w:rsid w:val="003F4A5D"/>
    <w:rsid w:val="003F6D03"/>
    <w:rsid w:val="003F7F05"/>
    <w:rsid w:val="004116CD"/>
    <w:rsid w:val="00411723"/>
    <w:rsid w:val="00414D7A"/>
    <w:rsid w:val="00417EB9"/>
    <w:rsid w:val="00424CA9"/>
    <w:rsid w:val="0042689C"/>
    <w:rsid w:val="004276DF"/>
    <w:rsid w:val="00431E9B"/>
    <w:rsid w:val="004345B0"/>
    <w:rsid w:val="004379E3"/>
    <w:rsid w:val="0044015E"/>
    <w:rsid w:val="004402CE"/>
    <w:rsid w:val="004425C6"/>
    <w:rsid w:val="0044291A"/>
    <w:rsid w:val="00451629"/>
    <w:rsid w:val="0045466C"/>
    <w:rsid w:val="00454CAD"/>
    <w:rsid w:val="004631B8"/>
    <w:rsid w:val="00467661"/>
    <w:rsid w:val="00467EEA"/>
    <w:rsid w:val="0047172E"/>
    <w:rsid w:val="00471A92"/>
    <w:rsid w:val="00472DBE"/>
    <w:rsid w:val="004744FD"/>
    <w:rsid w:val="00474A19"/>
    <w:rsid w:val="00477830"/>
    <w:rsid w:val="0048224F"/>
    <w:rsid w:val="00487764"/>
    <w:rsid w:val="004919C6"/>
    <w:rsid w:val="00492230"/>
    <w:rsid w:val="00492757"/>
    <w:rsid w:val="00494BB3"/>
    <w:rsid w:val="00496735"/>
    <w:rsid w:val="00496F97"/>
    <w:rsid w:val="004A7B51"/>
    <w:rsid w:val="004B08BB"/>
    <w:rsid w:val="004B6C48"/>
    <w:rsid w:val="004B71A1"/>
    <w:rsid w:val="004B7DF0"/>
    <w:rsid w:val="004C21F0"/>
    <w:rsid w:val="004C2A10"/>
    <w:rsid w:val="004C4E59"/>
    <w:rsid w:val="004C5323"/>
    <w:rsid w:val="004C6809"/>
    <w:rsid w:val="004C6C0E"/>
    <w:rsid w:val="004D2D50"/>
    <w:rsid w:val="004D352E"/>
    <w:rsid w:val="004D4539"/>
    <w:rsid w:val="004D4D42"/>
    <w:rsid w:val="004D50BD"/>
    <w:rsid w:val="004D7152"/>
    <w:rsid w:val="004D7525"/>
    <w:rsid w:val="004D7DD4"/>
    <w:rsid w:val="004E063A"/>
    <w:rsid w:val="004E1307"/>
    <w:rsid w:val="004E3B57"/>
    <w:rsid w:val="004E3F77"/>
    <w:rsid w:val="004E7BEC"/>
    <w:rsid w:val="004F245C"/>
    <w:rsid w:val="004F3D27"/>
    <w:rsid w:val="004F4593"/>
    <w:rsid w:val="004F497D"/>
    <w:rsid w:val="005037FE"/>
    <w:rsid w:val="00503A82"/>
    <w:rsid w:val="00504413"/>
    <w:rsid w:val="00504AF8"/>
    <w:rsid w:val="00505D3D"/>
    <w:rsid w:val="00506AF6"/>
    <w:rsid w:val="005116FB"/>
    <w:rsid w:val="00516B8D"/>
    <w:rsid w:val="0052768A"/>
    <w:rsid w:val="005303C8"/>
    <w:rsid w:val="00532A03"/>
    <w:rsid w:val="00537FBC"/>
    <w:rsid w:val="00541D85"/>
    <w:rsid w:val="0054500E"/>
    <w:rsid w:val="00554826"/>
    <w:rsid w:val="00554F6F"/>
    <w:rsid w:val="00555259"/>
    <w:rsid w:val="005612AD"/>
    <w:rsid w:val="00562256"/>
    <w:rsid w:val="00562877"/>
    <w:rsid w:val="0058063C"/>
    <w:rsid w:val="005806A9"/>
    <w:rsid w:val="00584811"/>
    <w:rsid w:val="00585784"/>
    <w:rsid w:val="00585C60"/>
    <w:rsid w:val="00590D74"/>
    <w:rsid w:val="00593AA6"/>
    <w:rsid w:val="00594161"/>
    <w:rsid w:val="005942DA"/>
    <w:rsid w:val="00594749"/>
    <w:rsid w:val="005948F6"/>
    <w:rsid w:val="005A65D5"/>
    <w:rsid w:val="005B12A7"/>
    <w:rsid w:val="005B211F"/>
    <w:rsid w:val="005B4067"/>
    <w:rsid w:val="005C3F41"/>
    <w:rsid w:val="005C4768"/>
    <w:rsid w:val="005C5890"/>
    <w:rsid w:val="005D1D92"/>
    <w:rsid w:val="005D2D09"/>
    <w:rsid w:val="005D458C"/>
    <w:rsid w:val="005D6031"/>
    <w:rsid w:val="005E1BD7"/>
    <w:rsid w:val="005E47B6"/>
    <w:rsid w:val="005E6894"/>
    <w:rsid w:val="00600219"/>
    <w:rsid w:val="00603E5A"/>
    <w:rsid w:val="00604ED3"/>
    <w:rsid w:val="00604F2A"/>
    <w:rsid w:val="0060505B"/>
    <w:rsid w:val="0060615E"/>
    <w:rsid w:val="00616DC1"/>
    <w:rsid w:val="00616F4C"/>
    <w:rsid w:val="00617BCC"/>
    <w:rsid w:val="00620076"/>
    <w:rsid w:val="00620ABE"/>
    <w:rsid w:val="00621134"/>
    <w:rsid w:val="006240D6"/>
    <w:rsid w:val="00627E0A"/>
    <w:rsid w:val="0063431C"/>
    <w:rsid w:val="006356CC"/>
    <w:rsid w:val="006369C4"/>
    <w:rsid w:val="006537BD"/>
    <w:rsid w:val="0065488B"/>
    <w:rsid w:val="006569E8"/>
    <w:rsid w:val="00663870"/>
    <w:rsid w:val="00670D4D"/>
    <w:rsid w:val="00670EA1"/>
    <w:rsid w:val="00675146"/>
    <w:rsid w:val="00676992"/>
    <w:rsid w:val="00676E8A"/>
    <w:rsid w:val="00677CC2"/>
    <w:rsid w:val="006841A3"/>
    <w:rsid w:val="0068744B"/>
    <w:rsid w:val="006905DE"/>
    <w:rsid w:val="0069207B"/>
    <w:rsid w:val="006949B3"/>
    <w:rsid w:val="006A1285"/>
    <w:rsid w:val="006A154F"/>
    <w:rsid w:val="006A28C1"/>
    <w:rsid w:val="006A437B"/>
    <w:rsid w:val="006A74B6"/>
    <w:rsid w:val="006B05DF"/>
    <w:rsid w:val="006B5789"/>
    <w:rsid w:val="006B6B7E"/>
    <w:rsid w:val="006B6B97"/>
    <w:rsid w:val="006C30C5"/>
    <w:rsid w:val="006C48BC"/>
    <w:rsid w:val="006C7F8C"/>
    <w:rsid w:val="006D4079"/>
    <w:rsid w:val="006D5B5B"/>
    <w:rsid w:val="006E2E1C"/>
    <w:rsid w:val="006E6246"/>
    <w:rsid w:val="006E6731"/>
    <w:rsid w:val="006E6830"/>
    <w:rsid w:val="006E69C2"/>
    <w:rsid w:val="006E6DCC"/>
    <w:rsid w:val="006F03D8"/>
    <w:rsid w:val="006F240F"/>
    <w:rsid w:val="006F318F"/>
    <w:rsid w:val="006F78C4"/>
    <w:rsid w:val="0070017E"/>
    <w:rsid w:val="007003E9"/>
    <w:rsid w:val="0070064D"/>
    <w:rsid w:val="00700B2C"/>
    <w:rsid w:val="00701EBB"/>
    <w:rsid w:val="007050A2"/>
    <w:rsid w:val="007078BD"/>
    <w:rsid w:val="007104F2"/>
    <w:rsid w:val="007109D6"/>
    <w:rsid w:val="00710B19"/>
    <w:rsid w:val="00713084"/>
    <w:rsid w:val="00713324"/>
    <w:rsid w:val="007133F4"/>
    <w:rsid w:val="00714F20"/>
    <w:rsid w:val="007152DA"/>
    <w:rsid w:val="0071590F"/>
    <w:rsid w:val="00715914"/>
    <w:rsid w:val="0072147A"/>
    <w:rsid w:val="00722027"/>
    <w:rsid w:val="00723791"/>
    <w:rsid w:val="00731E00"/>
    <w:rsid w:val="00734DBD"/>
    <w:rsid w:val="00740C64"/>
    <w:rsid w:val="00740D6E"/>
    <w:rsid w:val="00741A33"/>
    <w:rsid w:val="007440B7"/>
    <w:rsid w:val="00747807"/>
    <w:rsid w:val="007500C8"/>
    <w:rsid w:val="00754FEF"/>
    <w:rsid w:val="00755B5E"/>
    <w:rsid w:val="00756097"/>
    <w:rsid w:val="00756272"/>
    <w:rsid w:val="00762D38"/>
    <w:rsid w:val="00764691"/>
    <w:rsid w:val="007715C9"/>
    <w:rsid w:val="00771613"/>
    <w:rsid w:val="00772817"/>
    <w:rsid w:val="00774EDD"/>
    <w:rsid w:val="00774F36"/>
    <w:rsid w:val="00775040"/>
    <w:rsid w:val="007757EC"/>
    <w:rsid w:val="007806A9"/>
    <w:rsid w:val="00783B2D"/>
    <w:rsid w:val="00783E89"/>
    <w:rsid w:val="00793915"/>
    <w:rsid w:val="00795314"/>
    <w:rsid w:val="00797A67"/>
    <w:rsid w:val="007A3C92"/>
    <w:rsid w:val="007A5585"/>
    <w:rsid w:val="007B0BF9"/>
    <w:rsid w:val="007B34D4"/>
    <w:rsid w:val="007B77E2"/>
    <w:rsid w:val="007C2253"/>
    <w:rsid w:val="007C259E"/>
    <w:rsid w:val="007C2D49"/>
    <w:rsid w:val="007C6588"/>
    <w:rsid w:val="007C6B49"/>
    <w:rsid w:val="007C6C5F"/>
    <w:rsid w:val="007D201A"/>
    <w:rsid w:val="007D46C3"/>
    <w:rsid w:val="007D7911"/>
    <w:rsid w:val="007E0059"/>
    <w:rsid w:val="007E15DC"/>
    <w:rsid w:val="007E163D"/>
    <w:rsid w:val="007E56DC"/>
    <w:rsid w:val="007E667A"/>
    <w:rsid w:val="007E6C3D"/>
    <w:rsid w:val="007F047E"/>
    <w:rsid w:val="007F28C9"/>
    <w:rsid w:val="007F2BD6"/>
    <w:rsid w:val="007F51B2"/>
    <w:rsid w:val="007F5EDF"/>
    <w:rsid w:val="007F6F7A"/>
    <w:rsid w:val="00803A01"/>
    <w:rsid w:val="008040DD"/>
    <w:rsid w:val="008117E9"/>
    <w:rsid w:val="0082167F"/>
    <w:rsid w:val="00822A62"/>
    <w:rsid w:val="008231DE"/>
    <w:rsid w:val="00824498"/>
    <w:rsid w:val="0082483A"/>
    <w:rsid w:val="00826BD1"/>
    <w:rsid w:val="00831E82"/>
    <w:rsid w:val="00832BDE"/>
    <w:rsid w:val="008339B6"/>
    <w:rsid w:val="00834D01"/>
    <w:rsid w:val="00854D0B"/>
    <w:rsid w:val="00856A31"/>
    <w:rsid w:val="008572E0"/>
    <w:rsid w:val="00860B4E"/>
    <w:rsid w:val="00861E58"/>
    <w:rsid w:val="00862285"/>
    <w:rsid w:val="00865C05"/>
    <w:rsid w:val="00866D05"/>
    <w:rsid w:val="00866EDB"/>
    <w:rsid w:val="00867B37"/>
    <w:rsid w:val="00867DEA"/>
    <w:rsid w:val="0087184A"/>
    <w:rsid w:val="0087241B"/>
    <w:rsid w:val="008754D0"/>
    <w:rsid w:val="00875542"/>
    <w:rsid w:val="00875D13"/>
    <w:rsid w:val="008802B7"/>
    <w:rsid w:val="008808BC"/>
    <w:rsid w:val="00880D0F"/>
    <w:rsid w:val="00880D3F"/>
    <w:rsid w:val="00882730"/>
    <w:rsid w:val="008855C9"/>
    <w:rsid w:val="00886456"/>
    <w:rsid w:val="00895A43"/>
    <w:rsid w:val="00896176"/>
    <w:rsid w:val="008A0DF3"/>
    <w:rsid w:val="008A106B"/>
    <w:rsid w:val="008A46E1"/>
    <w:rsid w:val="008A4F43"/>
    <w:rsid w:val="008B2706"/>
    <w:rsid w:val="008B3BD7"/>
    <w:rsid w:val="008C2B90"/>
    <w:rsid w:val="008C2EAC"/>
    <w:rsid w:val="008C3F6A"/>
    <w:rsid w:val="008D0EE0"/>
    <w:rsid w:val="008D3A9F"/>
    <w:rsid w:val="008E0027"/>
    <w:rsid w:val="008E420A"/>
    <w:rsid w:val="008E6067"/>
    <w:rsid w:val="008E78A2"/>
    <w:rsid w:val="008F54E7"/>
    <w:rsid w:val="008F587F"/>
    <w:rsid w:val="008F5D40"/>
    <w:rsid w:val="008F62BE"/>
    <w:rsid w:val="00901116"/>
    <w:rsid w:val="009016E9"/>
    <w:rsid w:val="009028F8"/>
    <w:rsid w:val="00903422"/>
    <w:rsid w:val="009042E3"/>
    <w:rsid w:val="0090649C"/>
    <w:rsid w:val="00912AC2"/>
    <w:rsid w:val="00917CDF"/>
    <w:rsid w:val="00922894"/>
    <w:rsid w:val="0092463E"/>
    <w:rsid w:val="009254C3"/>
    <w:rsid w:val="00931AD7"/>
    <w:rsid w:val="00932377"/>
    <w:rsid w:val="009326CB"/>
    <w:rsid w:val="00934B56"/>
    <w:rsid w:val="0094056F"/>
    <w:rsid w:val="00941236"/>
    <w:rsid w:val="00942A58"/>
    <w:rsid w:val="00943FD5"/>
    <w:rsid w:val="009443FD"/>
    <w:rsid w:val="00947D5A"/>
    <w:rsid w:val="009532A5"/>
    <w:rsid w:val="009545BD"/>
    <w:rsid w:val="009640D2"/>
    <w:rsid w:val="009642F8"/>
    <w:rsid w:val="00964553"/>
    <w:rsid w:val="00964CF0"/>
    <w:rsid w:val="009653C1"/>
    <w:rsid w:val="00967C5A"/>
    <w:rsid w:val="009728C9"/>
    <w:rsid w:val="00977806"/>
    <w:rsid w:val="00982242"/>
    <w:rsid w:val="009868E9"/>
    <w:rsid w:val="0099005E"/>
    <w:rsid w:val="009900A3"/>
    <w:rsid w:val="00990101"/>
    <w:rsid w:val="00990562"/>
    <w:rsid w:val="0099766E"/>
    <w:rsid w:val="00997DFB"/>
    <w:rsid w:val="009A09BA"/>
    <w:rsid w:val="009B6311"/>
    <w:rsid w:val="009B6AB5"/>
    <w:rsid w:val="009B6FE0"/>
    <w:rsid w:val="009B7D55"/>
    <w:rsid w:val="009C1FCE"/>
    <w:rsid w:val="009C32B4"/>
    <w:rsid w:val="009C3413"/>
    <w:rsid w:val="009C555F"/>
    <w:rsid w:val="009E39B1"/>
    <w:rsid w:val="009F10A9"/>
    <w:rsid w:val="009F1A8C"/>
    <w:rsid w:val="009F21F6"/>
    <w:rsid w:val="009F250B"/>
    <w:rsid w:val="009F608C"/>
    <w:rsid w:val="009F7566"/>
    <w:rsid w:val="00A0441E"/>
    <w:rsid w:val="00A12128"/>
    <w:rsid w:val="00A13159"/>
    <w:rsid w:val="00A16A0F"/>
    <w:rsid w:val="00A2044C"/>
    <w:rsid w:val="00A22C98"/>
    <w:rsid w:val="00A231E2"/>
    <w:rsid w:val="00A33D36"/>
    <w:rsid w:val="00A359ED"/>
    <w:rsid w:val="00A369E3"/>
    <w:rsid w:val="00A3741B"/>
    <w:rsid w:val="00A46DE9"/>
    <w:rsid w:val="00A5345B"/>
    <w:rsid w:val="00A5454F"/>
    <w:rsid w:val="00A55711"/>
    <w:rsid w:val="00A57600"/>
    <w:rsid w:val="00A64912"/>
    <w:rsid w:val="00A66CE3"/>
    <w:rsid w:val="00A678C2"/>
    <w:rsid w:val="00A70260"/>
    <w:rsid w:val="00A70337"/>
    <w:rsid w:val="00A70A74"/>
    <w:rsid w:val="00A71378"/>
    <w:rsid w:val="00A75FE9"/>
    <w:rsid w:val="00A800A9"/>
    <w:rsid w:val="00A83620"/>
    <w:rsid w:val="00A85997"/>
    <w:rsid w:val="00A86528"/>
    <w:rsid w:val="00A90123"/>
    <w:rsid w:val="00A94BD3"/>
    <w:rsid w:val="00A955B3"/>
    <w:rsid w:val="00AA191E"/>
    <w:rsid w:val="00AA5671"/>
    <w:rsid w:val="00AB0351"/>
    <w:rsid w:val="00AB56A7"/>
    <w:rsid w:val="00AB6973"/>
    <w:rsid w:val="00AC1AA5"/>
    <w:rsid w:val="00AC22D9"/>
    <w:rsid w:val="00AC43BE"/>
    <w:rsid w:val="00AC7CDB"/>
    <w:rsid w:val="00AD3E8C"/>
    <w:rsid w:val="00AD53CC"/>
    <w:rsid w:val="00AD5641"/>
    <w:rsid w:val="00AD6EF4"/>
    <w:rsid w:val="00AF05A3"/>
    <w:rsid w:val="00AF06CF"/>
    <w:rsid w:val="00AF3EEC"/>
    <w:rsid w:val="00AF589D"/>
    <w:rsid w:val="00AF6D56"/>
    <w:rsid w:val="00B01623"/>
    <w:rsid w:val="00B03B95"/>
    <w:rsid w:val="00B07CDB"/>
    <w:rsid w:val="00B12F92"/>
    <w:rsid w:val="00B16A31"/>
    <w:rsid w:val="00B17DFD"/>
    <w:rsid w:val="00B21CA5"/>
    <w:rsid w:val="00B22D0E"/>
    <w:rsid w:val="00B23CD4"/>
    <w:rsid w:val="00B25306"/>
    <w:rsid w:val="00B27831"/>
    <w:rsid w:val="00B27BAB"/>
    <w:rsid w:val="00B308FE"/>
    <w:rsid w:val="00B33709"/>
    <w:rsid w:val="00B33B3C"/>
    <w:rsid w:val="00B3511C"/>
    <w:rsid w:val="00B35B46"/>
    <w:rsid w:val="00B36392"/>
    <w:rsid w:val="00B418CB"/>
    <w:rsid w:val="00B42420"/>
    <w:rsid w:val="00B4331C"/>
    <w:rsid w:val="00B47444"/>
    <w:rsid w:val="00B508AD"/>
    <w:rsid w:val="00B50ADC"/>
    <w:rsid w:val="00B512DE"/>
    <w:rsid w:val="00B533E0"/>
    <w:rsid w:val="00B544A6"/>
    <w:rsid w:val="00B566B1"/>
    <w:rsid w:val="00B600C0"/>
    <w:rsid w:val="00B63834"/>
    <w:rsid w:val="00B70BA5"/>
    <w:rsid w:val="00B7237D"/>
    <w:rsid w:val="00B80199"/>
    <w:rsid w:val="00B8140C"/>
    <w:rsid w:val="00B83204"/>
    <w:rsid w:val="00B83832"/>
    <w:rsid w:val="00B856E7"/>
    <w:rsid w:val="00B961B7"/>
    <w:rsid w:val="00B964EC"/>
    <w:rsid w:val="00BA193A"/>
    <w:rsid w:val="00BA220B"/>
    <w:rsid w:val="00BA3A57"/>
    <w:rsid w:val="00BA4847"/>
    <w:rsid w:val="00BA7010"/>
    <w:rsid w:val="00BA7701"/>
    <w:rsid w:val="00BB1533"/>
    <w:rsid w:val="00BB4E1A"/>
    <w:rsid w:val="00BB5021"/>
    <w:rsid w:val="00BC015E"/>
    <w:rsid w:val="00BC0FBD"/>
    <w:rsid w:val="00BC1E9C"/>
    <w:rsid w:val="00BC60E5"/>
    <w:rsid w:val="00BC76AC"/>
    <w:rsid w:val="00BD0355"/>
    <w:rsid w:val="00BD0ECB"/>
    <w:rsid w:val="00BD1B89"/>
    <w:rsid w:val="00BD2024"/>
    <w:rsid w:val="00BD69D8"/>
    <w:rsid w:val="00BD6E9A"/>
    <w:rsid w:val="00BE2026"/>
    <w:rsid w:val="00BE2155"/>
    <w:rsid w:val="00BE719A"/>
    <w:rsid w:val="00BE720A"/>
    <w:rsid w:val="00BE7820"/>
    <w:rsid w:val="00BF0D73"/>
    <w:rsid w:val="00BF2465"/>
    <w:rsid w:val="00BF54F1"/>
    <w:rsid w:val="00BF6190"/>
    <w:rsid w:val="00BF62E8"/>
    <w:rsid w:val="00C00372"/>
    <w:rsid w:val="00C0572B"/>
    <w:rsid w:val="00C06FB2"/>
    <w:rsid w:val="00C07862"/>
    <w:rsid w:val="00C12C9B"/>
    <w:rsid w:val="00C16619"/>
    <w:rsid w:val="00C216D2"/>
    <w:rsid w:val="00C24AFB"/>
    <w:rsid w:val="00C25E7F"/>
    <w:rsid w:val="00C2746F"/>
    <w:rsid w:val="00C314B8"/>
    <w:rsid w:val="00C323D6"/>
    <w:rsid w:val="00C324A0"/>
    <w:rsid w:val="00C42BF8"/>
    <w:rsid w:val="00C50043"/>
    <w:rsid w:val="00C55885"/>
    <w:rsid w:val="00C60A04"/>
    <w:rsid w:val="00C60C4C"/>
    <w:rsid w:val="00C649E4"/>
    <w:rsid w:val="00C71A0D"/>
    <w:rsid w:val="00C7573B"/>
    <w:rsid w:val="00C76F1D"/>
    <w:rsid w:val="00C7784A"/>
    <w:rsid w:val="00C77D54"/>
    <w:rsid w:val="00C81489"/>
    <w:rsid w:val="00C8394E"/>
    <w:rsid w:val="00C85113"/>
    <w:rsid w:val="00C87EBF"/>
    <w:rsid w:val="00C94B96"/>
    <w:rsid w:val="00C97A54"/>
    <w:rsid w:val="00CA5B23"/>
    <w:rsid w:val="00CA746E"/>
    <w:rsid w:val="00CB312C"/>
    <w:rsid w:val="00CB602E"/>
    <w:rsid w:val="00CB7E90"/>
    <w:rsid w:val="00CC0CA7"/>
    <w:rsid w:val="00CD53E8"/>
    <w:rsid w:val="00CD7A0B"/>
    <w:rsid w:val="00CE051D"/>
    <w:rsid w:val="00CE1335"/>
    <w:rsid w:val="00CE493D"/>
    <w:rsid w:val="00CF07FA"/>
    <w:rsid w:val="00CF0BB2"/>
    <w:rsid w:val="00CF3EE8"/>
    <w:rsid w:val="00D00A09"/>
    <w:rsid w:val="00D058A4"/>
    <w:rsid w:val="00D07403"/>
    <w:rsid w:val="00D107E1"/>
    <w:rsid w:val="00D13441"/>
    <w:rsid w:val="00D150E7"/>
    <w:rsid w:val="00D20720"/>
    <w:rsid w:val="00D21DE6"/>
    <w:rsid w:val="00D23372"/>
    <w:rsid w:val="00D2397D"/>
    <w:rsid w:val="00D25BD1"/>
    <w:rsid w:val="00D27D0B"/>
    <w:rsid w:val="00D31712"/>
    <w:rsid w:val="00D31F4C"/>
    <w:rsid w:val="00D42D59"/>
    <w:rsid w:val="00D44C4D"/>
    <w:rsid w:val="00D44DC4"/>
    <w:rsid w:val="00D52DC2"/>
    <w:rsid w:val="00D5390D"/>
    <w:rsid w:val="00D53BCC"/>
    <w:rsid w:val="00D54C9E"/>
    <w:rsid w:val="00D56EBC"/>
    <w:rsid w:val="00D57A09"/>
    <w:rsid w:val="00D6294A"/>
    <w:rsid w:val="00D6537E"/>
    <w:rsid w:val="00D70DFB"/>
    <w:rsid w:val="00D7194E"/>
    <w:rsid w:val="00D71EA1"/>
    <w:rsid w:val="00D73092"/>
    <w:rsid w:val="00D740DC"/>
    <w:rsid w:val="00D76328"/>
    <w:rsid w:val="00D766DF"/>
    <w:rsid w:val="00D76E3C"/>
    <w:rsid w:val="00D80FDC"/>
    <w:rsid w:val="00D812DE"/>
    <w:rsid w:val="00D8206C"/>
    <w:rsid w:val="00D874A7"/>
    <w:rsid w:val="00D91F10"/>
    <w:rsid w:val="00D97BBB"/>
    <w:rsid w:val="00DA1122"/>
    <w:rsid w:val="00DA186E"/>
    <w:rsid w:val="00DA3D23"/>
    <w:rsid w:val="00DA4116"/>
    <w:rsid w:val="00DA530D"/>
    <w:rsid w:val="00DA76B8"/>
    <w:rsid w:val="00DB1A1A"/>
    <w:rsid w:val="00DB251C"/>
    <w:rsid w:val="00DB4630"/>
    <w:rsid w:val="00DB57C6"/>
    <w:rsid w:val="00DC1A90"/>
    <w:rsid w:val="00DC2B2B"/>
    <w:rsid w:val="00DC36C7"/>
    <w:rsid w:val="00DC4F88"/>
    <w:rsid w:val="00DC57AA"/>
    <w:rsid w:val="00DC79E7"/>
    <w:rsid w:val="00DD5655"/>
    <w:rsid w:val="00DE107C"/>
    <w:rsid w:val="00DE379D"/>
    <w:rsid w:val="00DE4772"/>
    <w:rsid w:val="00DF004C"/>
    <w:rsid w:val="00DF18BE"/>
    <w:rsid w:val="00DF2388"/>
    <w:rsid w:val="00DF3803"/>
    <w:rsid w:val="00E01F5E"/>
    <w:rsid w:val="00E02A40"/>
    <w:rsid w:val="00E05704"/>
    <w:rsid w:val="00E13949"/>
    <w:rsid w:val="00E17179"/>
    <w:rsid w:val="00E31A42"/>
    <w:rsid w:val="00E33179"/>
    <w:rsid w:val="00E338EF"/>
    <w:rsid w:val="00E420C2"/>
    <w:rsid w:val="00E52584"/>
    <w:rsid w:val="00E52F57"/>
    <w:rsid w:val="00E544BB"/>
    <w:rsid w:val="00E56C6D"/>
    <w:rsid w:val="00E606E7"/>
    <w:rsid w:val="00E63314"/>
    <w:rsid w:val="00E6533F"/>
    <w:rsid w:val="00E6542A"/>
    <w:rsid w:val="00E662DA"/>
    <w:rsid w:val="00E67232"/>
    <w:rsid w:val="00E73D11"/>
    <w:rsid w:val="00E743E7"/>
    <w:rsid w:val="00E74DC7"/>
    <w:rsid w:val="00E7669B"/>
    <w:rsid w:val="00E76E54"/>
    <w:rsid w:val="00E802B9"/>
    <w:rsid w:val="00E8075A"/>
    <w:rsid w:val="00E83A88"/>
    <w:rsid w:val="00E84496"/>
    <w:rsid w:val="00E902FF"/>
    <w:rsid w:val="00E9073B"/>
    <w:rsid w:val="00E9081F"/>
    <w:rsid w:val="00E940D8"/>
    <w:rsid w:val="00E9465B"/>
    <w:rsid w:val="00E94666"/>
    <w:rsid w:val="00E94D5E"/>
    <w:rsid w:val="00EA0A43"/>
    <w:rsid w:val="00EA1C53"/>
    <w:rsid w:val="00EA1C90"/>
    <w:rsid w:val="00EA2A59"/>
    <w:rsid w:val="00EA7100"/>
    <w:rsid w:val="00EA7F9F"/>
    <w:rsid w:val="00EB079E"/>
    <w:rsid w:val="00EB1274"/>
    <w:rsid w:val="00EB6DFF"/>
    <w:rsid w:val="00ED2BB6"/>
    <w:rsid w:val="00ED34E1"/>
    <w:rsid w:val="00ED3B8D"/>
    <w:rsid w:val="00ED556E"/>
    <w:rsid w:val="00ED6948"/>
    <w:rsid w:val="00EE0313"/>
    <w:rsid w:val="00EE5E36"/>
    <w:rsid w:val="00EF07EA"/>
    <w:rsid w:val="00EF0947"/>
    <w:rsid w:val="00EF285D"/>
    <w:rsid w:val="00EF2E3A"/>
    <w:rsid w:val="00EF4E5F"/>
    <w:rsid w:val="00EF5189"/>
    <w:rsid w:val="00EF7304"/>
    <w:rsid w:val="00F00545"/>
    <w:rsid w:val="00F02C7C"/>
    <w:rsid w:val="00F072A7"/>
    <w:rsid w:val="00F078DC"/>
    <w:rsid w:val="00F21C8B"/>
    <w:rsid w:val="00F239F3"/>
    <w:rsid w:val="00F32BA8"/>
    <w:rsid w:val="00F32EE0"/>
    <w:rsid w:val="00F349F1"/>
    <w:rsid w:val="00F40EF1"/>
    <w:rsid w:val="00F418FD"/>
    <w:rsid w:val="00F4193C"/>
    <w:rsid w:val="00F4350D"/>
    <w:rsid w:val="00F44485"/>
    <w:rsid w:val="00F461EE"/>
    <w:rsid w:val="00F479C4"/>
    <w:rsid w:val="00F50E71"/>
    <w:rsid w:val="00F55A3E"/>
    <w:rsid w:val="00F567F7"/>
    <w:rsid w:val="00F6207C"/>
    <w:rsid w:val="00F62C9D"/>
    <w:rsid w:val="00F6696E"/>
    <w:rsid w:val="00F725BB"/>
    <w:rsid w:val="00F73BD6"/>
    <w:rsid w:val="00F75336"/>
    <w:rsid w:val="00F8073E"/>
    <w:rsid w:val="00F8159F"/>
    <w:rsid w:val="00F83989"/>
    <w:rsid w:val="00F85099"/>
    <w:rsid w:val="00F9379C"/>
    <w:rsid w:val="00F9632C"/>
    <w:rsid w:val="00F979AB"/>
    <w:rsid w:val="00FA0A40"/>
    <w:rsid w:val="00FA1C1C"/>
    <w:rsid w:val="00FA1E52"/>
    <w:rsid w:val="00FA5513"/>
    <w:rsid w:val="00FA6BDB"/>
    <w:rsid w:val="00FB5A08"/>
    <w:rsid w:val="00FC00D9"/>
    <w:rsid w:val="00FC1519"/>
    <w:rsid w:val="00FC1811"/>
    <w:rsid w:val="00FC5309"/>
    <w:rsid w:val="00FC6A80"/>
    <w:rsid w:val="00FD21A9"/>
    <w:rsid w:val="00FD5E08"/>
    <w:rsid w:val="00FE0292"/>
    <w:rsid w:val="00FE03BF"/>
    <w:rsid w:val="00FE4688"/>
    <w:rsid w:val="00FE4ECE"/>
    <w:rsid w:val="00FF0308"/>
    <w:rsid w:val="00FF0EAF"/>
    <w:rsid w:val="00FF2DD0"/>
    <w:rsid w:val="00FF2EB2"/>
    <w:rsid w:val="00FF40FB"/>
    <w:rsid w:val="00FF43EC"/>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FFCEA6"/>
  <w15:docId w15:val="{B9954BE9-736B-4DCB-B07B-E383FFC1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FE03BF"/>
    <w:rPr>
      <w:sz w:val="16"/>
      <w:szCs w:val="16"/>
    </w:rPr>
  </w:style>
  <w:style w:type="paragraph" w:styleId="CommentText">
    <w:name w:val="annotation text"/>
    <w:basedOn w:val="Normal"/>
    <w:link w:val="CommentTextChar"/>
    <w:uiPriority w:val="99"/>
    <w:unhideWhenUsed/>
    <w:rsid w:val="00FE03BF"/>
    <w:pPr>
      <w:spacing w:line="240" w:lineRule="auto"/>
    </w:pPr>
    <w:rPr>
      <w:sz w:val="20"/>
    </w:rPr>
  </w:style>
  <w:style w:type="character" w:customStyle="1" w:styleId="CommentTextChar">
    <w:name w:val="Comment Text Char"/>
    <w:basedOn w:val="DefaultParagraphFont"/>
    <w:link w:val="CommentText"/>
    <w:uiPriority w:val="99"/>
    <w:rsid w:val="00FE03BF"/>
  </w:style>
  <w:style w:type="paragraph" w:styleId="CommentSubject">
    <w:name w:val="annotation subject"/>
    <w:basedOn w:val="CommentText"/>
    <w:next w:val="CommentText"/>
    <w:link w:val="CommentSubjectChar"/>
    <w:uiPriority w:val="99"/>
    <w:semiHidden/>
    <w:unhideWhenUsed/>
    <w:rsid w:val="00FE03BF"/>
    <w:rPr>
      <w:b/>
      <w:bCs/>
    </w:rPr>
  </w:style>
  <w:style w:type="character" w:customStyle="1" w:styleId="CommentSubjectChar">
    <w:name w:val="Comment Subject Char"/>
    <w:basedOn w:val="CommentTextChar"/>
    <w:link w:val="CommentSubject"/>
    <w:uiPriority w:val="99"/>
    <w:semiHidden/>
    <w:rsid w:val="00FE03BF"/>
    <w:rPr>
      <w:b/>
      <w:bCs/>
    </w:rPr>
  </w:style>
  <w:style w:type="paragraph" w:styleId="ListParagraph">
    <w:name w:val="List Paragraph"/>
    <w:basedOn w:val="Normal"/>
    <w:uiPriority w:val="34"/>
    <w:qFormat/>
    <w:rsid w:val="004402CE"/>
    <w:pPr>
      <w:spacing w:after="200" w:line="276" w:lineRule="auto"/>
      <w:ind w:left="720"/>
      <w:contextualSpacing/>
    </w:pPr>
    <w:rPr>
      <w:rFonts w:asciiTheme="minorHAnsi" w:hAnsiTheme="minorHAnsi"/>
      <w:szCs w:val="22"/>
    </w:rPr>
  </w:style>
  <w:style w:type="character" w:styleId="Strong">
    <w:name w:val="Strong"/>
    <w:basedOn w:val="DefaultParagraphFont"/>
    <w:uiPriority w:val="22"/>
    <w:qFormat/>
    <w:rsid w:val="00181EB8"/>
    <w:rPr>
      <w:b/>
      <w:bCs/>
    </w:rPr>
  </w:style>
  <w:style w:type="character" w:styleId="Hyperlink">
    <w:name w:val="Hyperlink"/>
    <w:basedOn w:val="DefaultParagraphFont"/>
    <w:uiPriority w:val="99"/>
    <w:unhideWhenUsed/>
    <w:rsid w:val="007104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552">
      <w:bodyDiv w:val="1"/>
      <w:marLeft w:val="0"/>
      <w:marRight w:val="0"/>
      <w:marTop w:val="0"/>
      <w:marBottom w:val="0"/>
      <w:divBdr>
        <w:top w:val="none" w:sz="0" w:space="0" w:color="auto"/>
        <w:left w:val="none" w:sz="0" w:space="0" w:color="auto"/>
        <w:bottom w:val="none" w:sz="0" w:space="0" w:color="auto"/>
        <w:right w:val="none" w:sz="0" w:space="0" w:color="auto"/>
      </w:divBdr>
    </w:div>
    <w:div w:id="187568658">
      <w:bodyDiv w:val="1"/>
      <w:marLeft w:val="0"/>
      <w:marRight w:val="0"/>
      <w:marTop w:val="0"/>
      <w:marBottom w:val="0"/>
      <w:divBdr>
        <w:top w:val="none" w:sz="0" w:space="0" w:color="auto"/>
        <w:left w:val="none" w:sz="0" w:space="0" w:color="auto"/>
        <w:bottom w:val="none" w:sz="0" w:space="0" w:color="auto"/>
        <w:right w:val="none" w:sz="0" w:space="0" w:color="auto"/>
      </w:divBdr>
    </w:div>
    <w:div w:id="282470031">
      <w:bodyDiv w:val="1"/>
      <w:marLeft w:val="0"/>
      <w:marRight w:val="0"/>
      <w:marTop w:val="0"/>
      <w:marBottom w:val="0"/>
      <w:divBdr>
        <w:top w:val="none" w:sz="0" w:space="0" w:color="auto"/>
        <w:left w:val="none" w:sz="0" w:space="0" w:color="auto"/>
        <w:bottom w:val="none" w:sz="0" w:space="0" w:color="auto"/>
        <w:right w:val="none" w:sz="0" w:space="0" w:color="auto"/>
      </w:divBdr>
    </w:div>
    <w:div w:id="432360647">
      <w:bodyDiv w:val="1"/>
      <w:marLeft w:val="0"/>
      <w:marRight w:val="0"/>
      <w:marTop w:val="0"/>
      <w:marBottom w:val="0"/>
      <w:divBdr>
        <w:top w:val="none" w:sz="0" w:space="0" w:color="auto"/>
        <w:left w:val="none" w:sz="0" w:space="0" w:color="auto"/>
        <w:bottom w:val="none" w:sz="0" w:space="0" w:color="auto"/>
        <w:right w:val="none" w:sz="0" w:space="0" w:color="auto"/>
      </w:divBdr>
    </w:div>
    <w:div w:id="444465535">
      <w:bodyDiv w:val="1"/>
      <w:marLeft w:val="0"/>
      <w:marRight w:val="0"/>
      <w:marTop w:val="0"/>
      <w:marBottom w:val="0"/>
      <w:divBdr>
        <w:top w:val="none" w:sz="0" w:space="0" w:color="auto"/>
        <w:left w:val="none" w:sz="0" w:space="0" w:color="auto"/>
        <w:bottom w:val="none" w:sz="0" w:space="0" w:color="auto"/>
        <w:right w:val="none" w:sz="0" w:space="0" w:color="auto"/>
      </w:divBdr>
    </w:div>
    <w:div w:id="590510221">
      <w:bodyDiv w:val="1"/>
      <w:marLeft w:val="0"/>
      <w:marRight w:val="0"/>
      <w:marTop w:val="0"/>
      <w:marBottom w:val="0"/>
      <w:divBdr>
        <w:top w:val="none" w:sz="0" w:space="0" w:color="auto"/>
        <w:left w:val="none" w:sz="0" w:space="0" w:color="auto"/>
        <w:bottom w:val="none" w:sz="0" w:space="0" w:color="auto"/>
        <w:right w:val="none" w:sz="0" w:space="0" w:color="auto"/>
      </w:divBdr>
    </w:div>
    <w:div w:id="704405663">
      <w:bodyDiv w:val="1"/>
      <w:marLeft w:val="0"/>
      <w:marRight w:val="0"/>
      <w:marTop w:val="0"/>
      <w:marBottom w:val="0"/>
      <w:divBdr>
        <w:top w:val="none" w:sz="0" w:space="0" w:color="auto"/>
        <w:left w:val="none" w:sz="0" w:space="0" w:color="auto"/>
        <w:bottom w:val="none" w:sz="0" w:space="0" w:color="auto"/>
        <w:right w:val="none" w:sz="0" w:space="0" w:color="auto"/>
      </w:divBdr>
    </w:div>
    <w:div w:id="715204821">
      <w:bodyDiv w:val="1"/>
      <w:marLeft w:val="0"/>
      <w:marRight w:val="0"/>
      <w:marTop w:val="0"/>
      <w:marBottom w:val="0"/>
      <w:divBdr>
        <w:top w:val="none" w:sz="0" w:space="0" w:color="auto"/>
        <w:left w:val="none" w:sz="0" w:space="0" w:color="auto"/>
        <w:bottom w:val="none" w:sz="0" w:space="0" w:color="auto"/>
        <w:right w:val="none" w:sz="0" w:space="0" w:color="auto"/>
      </w:divBdr>
    </w:div>
    <w:div w:id="748384632">
      <w:bodyDiv w:val="1"/>
      <w:marLeft w:val="0"/>
      <w:marRight w:val="0"/>
      <w:marTop w:val="0"/>
      <w:marBottom w:val="0"/>
      <w:divBdr>
        <w:top w:val="none" w:sz="0" w:space="0" w:color="auto"/>
        <w:left w:val="none" w:sz="0" w:space="0" w:color="auto"/>
        <w:bottom w:val="none" w:sz="0" w:space="0" w:color="auto"/>
        <w:right w:val="none" w:sz="0" w:space="0" w:color="auto"/>
      </w:divBdr>
    </w:div>
    <w:div w:id="890769875">
      <w:bodyDiv w:val="1"/>
      <w:marLeft w:val="0"/>
      <w:marRight w:val="0"/>
      <w:marTop w:val="0"/>
      <w:marBottom w:val="0"/>
      <w:divBdr>
        <w:top w:val="none" w:sz="0" w:space="0" w:color="auto"/>
        <w:left w:val="none" w:sz="0" w:space="0" w:color="auto"/>
        <w:bottom w:val="none" w:sz="0" w:space="0" w:color="auto"/>
        <w:right w:val="none" w:sz="0" w:space="0" w:color="auto"/>
      </w:divBdr>
    </w:div>
    <w:div w:id="1172068991">
      <w:bodyDiv w:val="1"/>
      <w:marLeft w:val="0"/>
      <w:marRight w:val="0"/>
      <w:marTop w:val="0"/>
      <w:marBottom w:val="0"/>
      <w:divBdr>
        <w:top w:val="none" w:sz="0" w:space="0" w:color="auto"/>
        <w:left w:val="none" w:sz="0" w:space="0" w:color="auto"/>
        <w:bottom w:val="none" w:sz="0" w:space="0" w:color="auto"/>
        <w:right w:val="none" w:sz="0" w:space="0" w:color="auto"/>
      </w:divBdr>
    </w:div>
    <w:div w:id="1575240527">
      <w:bodyDiv w:val="1"/>
      <w:marLeft w:val="0"/>
      <w:marRight w:val="0"/>
      <w:marTop w:val="0"/>
      <w:marBottom w:val="0"/>
      <w:divBdr>
        <w:top w:val="none" w:sz="0" w:space="0" w:color="auto"/>
        <w:left w:val="none" w:sz="0" w:space="0" w:color="auto"/>
        <w:bottom w:val="none" w:sz="0" w:space="0" w:color="auto"/>
        <w:right w:val="none" w:sz="0" w:space="0" w:color="auto"/>
      </w:divBdr>
    </w:div>
    <w:div w:id="1619216241">
      <w:bodyDiv w:val="1"/>
      <w:marLeft w:val="0"/>
      <w:marRight w:val="0"/>
      <w:marTop w:val="0"/>
      <w:marBottom w:val="0"/>
      <w:divBdr>
        <w:top w:val="none" w:sz="0" w:space="0" w:color="auto"/>
        <w:left w:val="none" w:sz="0" w:space="0" w:color="auto"/>
        <w:bottom w:val="none" w:sz="0" w:space="0" w:color="auto"/>
        <w:right w:val="none" w:sz="0" w:space="0" w:color="auto"/>
      </w:divBdr>
    </w:div>
    <w:div w:id="1657493163">
      <w:bodyDiv w:val="1"/>
      <w:marLeft w:val="0"/>
      <w:marRight w:val="0"/>
      <w:marTop w:val="0"/>
      <w:marBottom w:val="0"/>
      <w:divBdr>
        <w:top w:val="none" w:sz="0" w:space="0" w:color="auto"/>
        <w:left w:val="none" w:sz="0" w:space="0" w:color="auto"/>
        <w:bottom w:val="none" w:sz="0" w:space="0" w:color="auto"/>
        <w:right w:val="none" w:sz="0" w:space="0" w:color="auto"/>
      </w:divBdr>
    </w:div>
    <w:div w:id="1677688816">
      <w:bodyDiv w:val="1"/>
      <w:marLeft w:val="0"/>
      <w:marRight w:val="0"/>
      <w:marTop w:val="0"/>
      <w:marBottom w:val="0"/>
      <w:divBdr>
        <w:top w:val="none" w:sz="0" w:space="0" w:color="auto"/>
        <w:left w:val="none" w:sz="0" w:space="0" w:color="auto"/>
        <w:bottom w:val="none" w:sz="0" w:space="0" w:color="auto"/>
        <w:right w:val="none" w:sz="0" w:space="0" w:color="auto"/>
      </w:divBdr>
    </w:div>
    <w:div w:id="1799688737">
      <w:bodyDiv w:val="1"/>
      <w:marLeft w:val="0"/>
      <w:marRight w:val="0"/>
      <w:marTop w:val="0"/>
      <w:marBottom w:val="0"/>
      <w:divBdr>
        <w:top w:val="none" w:sz="0" w:space="0" w:color="auto"/>
        <w:left w:val="none" w:sz="0" w:space="0" w:color="auto"/>
        <w:bottom w:val="none" w:sz="0" w:space="0" w:color="auto"/>
        <w:right w:val="none" w:sz="0" w:space="0" w:color="auto"/>
      </w:divBdr>
    </w:div>
    <w:div w:id="1917549315">
      <w:bodyDiv w:val="1"/>
      <w:marLeft w:val="0"/>
      <w:marRight w:val="0"/>
      <w:marTop w:val="0"/>
      <w:marBottom w:val="0"/>
      <w:divBdr>
        <w:top w:val="none" w:sz="0" w:space="0" w:color="auto"/>
        <w:left w:val="none" w:sz="0" w:space="0" w:color="auto"/>
        <w:bottom w:val="none" w:sz="0" w:space="0" w:color="auto"/>
        <w:right w:val="none" w:sz="0" w:space="0" w:color="auto"/>
      </w:divBdr>
    </w:div>
    <w:div w:id="2060862688">
      <w:bodyDiv w:val="1"/>
      <w:marLeft w:val="0"/>
      <w:marRight w:val="0"/>
      <w:marTop w:val="0"/>
      <w:marBottom w:val="0"/>
      <w:divBdr>
        <w:top w:val="none" w:sz="0" w:space="0" w:color="auto"/>
        <w:left w:val="none" w:sz="0" w:space="0" w:color="auto"/>
        <w:bottom w:val="none" w:sz="0" w:space="0" w:color="auto"/>
        <w:right w:val="none" w:sz="0" w:space="0" w:color="auto"/>
      </w:divBdr>
    </w:div>
    <w:div w:id="21081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3327\AppData\Local\Temp\1\MicrosoftEdgeDownloads\3ba52619-600c-4617-94b8-acfe0de4f74b\template_-_principal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7788576-9ED6-451B-B892-F5C5D41F0D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171A0C70854E4393BE661F16B451C5" ma:contentTypeVersion="" ma:contentTypeDescription="PDMS Document Site Content Type" ma:contentTypeScope="" ma:versionID="1426b8d084309b9ad7654149caf1ba03">
  <xsd:schema xmlns:xsd="http://www.w3.org/2001/XMLSchema" xmlns:xs="http://www.w3.org/2001/XMLSchema" xmlns:p="http://schemas.microsoft.com/office/2006/metadata/properties" xmlns:ns2="57788576-9ED6-451B-B892-F5C5D41F0DFF" targetNamespace="http://schemas.microsoft.com/office/2006/metadata/properties" ma:root="true" ma:fieldsID="70eb5557cb3bae64d41e5b36470eec37" ns2:_="">
    <xsd:import namespace="57788576-9ED6-451B-B892-F5C5D41F0D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88576-9ED6-451B-B892-F5C5D41F0D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E0AF9-D85F-4C6A-AD25-29AE3476B24A}">
  <ds:schemaRefs>
    <ds:schemaRef ds:uri="http://schemas.openxmlformats.org/officeDocument/2006/bibliography"/>
  </ds:schemaRefs>
</ds:datastoreItem>
</file>

<file path=customXml/itemProps2.xml><?xml version="1.0" encoding="utf-8"?>
<ds:datastoreItem xmlns:ds="http://schemas.openxmlformats.org/officeDocument/2006/customXml" ds:itemID="{AEBFD4E2-39D9-4D25-B418-E1479036BDF7}">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57788576-9ED6-451B-B892-F5C5D41F0DFF"/>
  </ds:schemaRefs>
</ds:datastoreItem>
</file>

<file path=customXml/itemProps3.xml><?xml version="1.0" encoding="utf-8"?>
<ds:datastoreItem xmlns:ds="http://schemas.openxmlformats.org/officeDocument/2006/customXml" ds:itemID="{101613D8-B068-470F-B80B-0723E5AA6D0C}">
  <ds:schemaRefs>
    <ds:schemaRef ds:uri="http://schemas.microsoft.com/sharepoint/v3/contenttype/forms"/>
  </ds:schemaRefs>
</ds:datastoreItem>
</file>

<file path=customXml/itemProps4.xml><?xml version="1.0" encoding="utf-8"?>
<ds:datastoreItem xmlns:ds="http://schemas.openxmlformats.org/officeDocument/2006/customXml" ds:itemID="{70A984C0-CC35-48CB-909A-B7CBAE26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88576-9ED6-451B-B892-F5C5D41F0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template_-_principal_instrument_0 (1).dotx</Template>
  <TotalTime>2</TotalTime>
  <Pages>17</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Presneill, Asher</dc:creator>
  <cp:lastModifiedBy>BAKER,Fiona</cp:lastModifiedBy>
  <cp:revision>3</cp:revision>
  <dcterms:created xsi:type="dcterms:W3CDTF">2021-09-14T23:37:00Z</dcterms:created>
  <dcterms:modified xsi:type="dcterms:W3CDTF">2021-09-14T23:40:00Z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0x010100266966F133664895A6EE3632470D45F50044171A0C70854E4393BE661F16B451C5</vt:lpwstr>
  </property>
</Properties>
</file>