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47B4B" w14:textId="77777777" w:rsidR="005E317F" w:rsidRDefault="005E317F" w:rsidP="005E317F">
      <w:pPr>
        <w:rPr>
          <w:sz w:val="28"/>
        </w:rPr>
      </w:pPr>
      <w:r>
        <w:rPr>
          <w:noProof/>
          <w:lang w:eastAsia="en-AU"/>
        </w:rPr>
        <w:drawing>
          <wp:inline distT="0" distB="0" distL="0" distR="0" wp14:anchorId="0BAB0F22" wp14:editId="3C70383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84AA45E" w14:textId="77777777" w:rsidR="005E317F" w:rsidRDefault="005E317F" w:rsidP="005E317F">
      <w:pPr>
        <w:rPr>
          <w:sz w:val="19"/>
        </w:rPr>
      </w:pPr>
    </w:p>
    <w:p w14:paraId="229085DD" w14:textId="3AB6768D" w:rsidR="005E317F" w:rsidRPr="008E6F33" w:rsidRDefault="008E6F33" w:rsidP="005E317F">
      <w:pPr>
        <w:pStyle w:val="ShortT"/>
      </w:pPr>
      <w:r w:rsidRPr="008E6F33">
        <w:t>Poisons Standard</w:t>
      </w:r>
      <w:r w:rsidR="005E317F" w:rsidRPr="008E6F33">
        <w:t xml:space="preserve"> Amendment (</w:t>
      </w:r>
      <w:r w:rsidR="00C77058">
        <w:t>Ivermectin</w:t>
      </w:r>
      <w:r w:rsidR="005E317F" w:rsidRPr="008E6F33">
        <w:t xml:space="preserve">) Instrument </w:t>
      </w:r>
      <w:r w:rsidRPr="008E6F33">
        <w:t>202</w:t>
      </w:r>
      <w:r w:rsidR="004A284E">
        <w:t>1</w:t>
      </w:r>
    </w:p>
    <w:p w14:paraId="1D6C3AD1" w14:textId="513872E3" w:rsidR="005E317F" w:rsidRPr="008E6F33" w:rsidRDefault="005E317F" w:rsidP="005E317F">
      <w:pPr>
        <w:pStyle w:val="SignCoverPageStart"/>
        <w:spacing w:before="240"/>
        <w:ind w:right="91"/>
        <w:rPr>
          <w:szCs w:val="22"/>
        </w:rPr>
      </w:pPr>
      <w:r w:rsidRPr="008E6F33">
        <w:rPr>
          <w:szCs w:val="22"/>
        </w:rPr>
        <w:t xml:space="preserve">I, </w:t>
      </w:r>
      <w:r w:rsidR="008A6B9E">
        <w:rPr>
          <w:szCs w:val="22"/>
        </w:rPr>
        <w:t>Tony Gill</w:t>
      </w:r>
      <w:r w:rsidRPr="008E6F33">
        <w:rPr>
          <w:szCs w:val="22"/>
        </w:rPr>
        <w:t xml:space="preserve">, </w:t>
      </w:r>
      <w:r w:rsidR="008E6F33" w:rsidRPr="008E6F33">
        <w:rPr>
          <w:szCs w:val="22"/>
        </w:rPr>
        <w:t xml:space="preserve">as delegate of the Secretary </w:t>
      </w:r>
      <w:r w:rsidR="00A27400">
        <w:rPr>
          <w:szCs w:val="22"/>
        </w:rPr>
        <w:t>of</w:t>
      </w:r>
      <w:r w:rsidR="00A27400" w:rsidRPr="008E6F33">
        <w:rPr>
          <w:szCs w:val="22"/>
        </w:rPr>
        <w:t xml:space="preserve"> </w:t>
      </w:r>
      <w:r w:rsidR="008E6F33" w:rsidRPr="008E6F33">
        <w:rPr>
          <w:szCs w:val="22"/>
        </w:rPr>
        <w:t>the Department of Health</w:t>
      </w:r>
      <w:r w:rsidRPr="008E6F33">
        <w:rPr>
          <w:szCs w:val="22"/>
        </w:rPr>
        <w:t xml:space="preserve">, make the following </w:t>
      </w:r>
      <w:r w:rsidR="008E6F33" w:rsidRPr="008E6F33">
        <w:rPr>
          <w:szCs w:val="22"/>
        </w:rPr>
        <w:t>instrument</w:t>
      </w:r>
      <w:r w:rsidRPr="008E6F33">
        <w:rPr>
          <w:szCs w:val="22"/>
        </w:rPr>
        <w:t>.</w:t>
      </w:r>
    </w:p>
    <w:p w14:paraId="5C191AFF" w14:textId="2342670D" w:rsidR="005E317F" w:rsidRPr="008E6F33" w:rsidRDefault="005E317F" w:rsidP="005E317F">
      <w:pPr>
        <w:keepNext/>
        <w:spacing w:before="300" w:line="240" w:lineRule="atLeast"/>
        <w:ind w:right="397"/>
        <w:jc w:val="both"/>
        <w:rPr>
          <w:szCs w:val="22"/>
        </w:rPr>
      </w:pPr>
      <w:r w:rsidRPr="008E6F33">
        <w:rPr>
          <w:szCs w:val="22"/>
        </w:rPr>
        <w:t>Dated</w:t>
      </w:r>
      <w:r w:rsidR="008A6B9E">
        <w:rPr>
          <w:szCs w:val="22"/>
        </w:rPr>
        <w:t xml:space="preserve"> 10 </w:t>
      </w:r>
      <w:r w:rsidR="00C77058">
        <w:rPr>
          <w:szCs w:val="22"/>
        </w:rPr>
        <w:t xml:space="preserve">September </w:t>
      </w:r>
      <w:r w:rsidR="00400C8B">
        <w:rPr>
          <w:szCs w:val="22"/>
        </w:rPr>
        <w:t>202</w:t>
      </w:r>
      <w:r w:rsidR="004A284E">
        <w:rPr>
          <w:szCs w:val="22"/>
        </w:rPr>
        <w:t>1</w:t>
      </w:r>
    </w:p>
    <w:p w14:paraId="4A2D95E2" w14:textId="78ED3ADF" w:rsidR="008E6F33" w:rsidRPr="008E6F33" w:rsidRDefault="008A6B9E" w:rsidP="005E317F">
      <w:pPr>
        <w:keepNext/>
        <w:tabs>
          <w:tab w:val="left" w:pos="3402"/>
        </w:tabs>
        <w:spacing w:before="1440" w:line="300" w:lineRule="atLeast"/>
        <w:ind w:right="397"/>
        <w:rPr>
          <w:szCs w:val="22"/>
        </w:rPr>
      </w:pPr>
      <w:r>
        <w:rPr>
          <w:szCs w:val="22"/>
        </w:rPr>
        <w:t>Tony Gill</w:t>
      </w:r>
    </w:p>
    <w:p w14:paraId="79273257" w14:textId="7DC2C44A" w:rsidR="005E317F" w:rsidRDefault="008A6B9E" w:rsidP="008E6F33">
      <w:pPr>
        <w:keepNext/>
        <w:tabs>
          <w:tab w:val="left" w:pos="3402"/>
        </w:tabs>
        <w:spacing w:line="300" w:lineRule="atLeast"/>
        <w:ind w:right="397"/>
        <w:rPr>
          <w:szCs w:val="22"/>
        </w:rPr>
      </w:pPr>
      <w:r>
        <w:rPr>
          <w:szCs w:val="22"/>
        </w:rPr>
        <w:t>Principal Medical Adviser</w:t>
      </w:r>
    </w:p>
    <w:p w14:paraId="6FC33C7F" w14:textId="77777777" w:rsidR="008E6F33" w:rsidRPr="008E6F33" w:rsidRDefault="008E6F33" w:rsidP="008E6F33">
      <w:pPr>
        <w:keepNext/>
        <w:tabs>
          <w:tab w:val="left" w:pos="3402"/>
        </w:tabs>
        <w:spacing w:line="300" w:lineRule="atLeast"/>
        <w:ind w:right="397"/>
        <w:rPr>
          <w:szCs w:val="22"/>
        </w:rPr>
      </w:pPr>
      <w:r w:rsidRPr="008E6F33">
        <w:rPr>
          <w:szCs w:val="22"/>
        </w:rPr>
        <w:t>Health Products Regulation Group</w:t>
      </w:r>
    </w:p>
    <w:p w14:paraId="2FF4CEF2" w14:textId="77777777" w:rsidR="005E317F" w:rsidRPr="000D3FB9" w:rsidRDefault="008E6F33" w:rsidP="005E317F">
      <w:pPr>
        <w:pStyle w:val="SignCoverPageEnd"/>
        <w:ind w:right="91"/>
        <w:rPr>
          <w:sz w:val="22"/>
        </w:rPr>
      </w:pPr>
      <w:r w:rsidRPr="008E6F33">
        <w:rPr>
          <w:sz w:val="22"/>
        </w:rPr>
        <w:t>Department of Health</w:t>
      </w:r>
    </w:p>
    <w:p w14:paraId="5DB3E8AA" w14:textId="77777777" w:rsidR="00B20990" w:rsidRDefault="00B20990" w:rsidP="00B20990"/>
    <w:p w14:paraId="59F197ED" w14:textId="77777777"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245E3498" w14:textId="77777777" w:rsidR="00B20990" w:rsidRDefault="00B20990" w:rsidP="00B20990">
      <w:pPr>
        <w:outlineLvl w:val="0"/>
        <w:rPr>
          <w:sz w:val="36"/>
        </w:rPr>
      </w:pPr>
      <w:r w:rsidRPr="007A1328">
        <w:rPr>
          <w:sz w:val="36"/>
        </w:rPr>
        <w:lastRenderedPageBreak/>
        <w:t>Contents</w:t>
      </w:r>
    </w:p>
    <w:bookmarkStart w:id="0" w:name="BKCheck15B_2"/>
    <w:bookmarkEnd w:id="0"/>
    <w:p w14:paraId="24B9F1AF" w14:textId="057A53D0" w:rsidR="00A070FF"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A070FF">
        <w:rPr>
          <w:noProof/>
        </w:rPr>
        <w:t>1  Name</w:t>
      </w:r>
      <w:r w:rsidR="00A070FF">
        <w:rPr>
          <w:noProof/>
        </w:rPr>
        <w:tab/>
      </w:r>
      <w:r w:rsidR="00A070FF">
        <w:rPr>
          <w:noProof/>
        </w:rPr>
        <w:fldChar w:fldCharType="begin"/>
      </w:r>
      <w:r w:rsidR="00A070FF">
        <w:rPr>
          <w:noProof/>
        </w:rPr>
        <w:instrText xml:space="preserve"> PAGEREF _Toc82080756 \h </w:instrText>
      </w:r>
      <w:r w:rsidR="00A070FF">
        <w:rPr>
          <w:noProof/>
        </w:rPr>
      </w:r>
      <w:r w:rsidR="00A070FF">
        <w:rPr>
          <w:noProof/>
        </w:rPr>
        <w:fldChar w:fldCharType="separate"/>
      </w:r>
      <w:r w:rsidR="00A070FF">
        <w:rPr>
          <w:noProof/>
        </w:rPr>
        <w:t>1</w:t>
      </w:r>
      <w:r w:rsidR="00A070FF">
        <w:rPr>
          <w:noProof/>
        </w:rPr>
        <w:fldChar w:fldCharType="end"/>
      </w:r>
    </w:p>
    <w:p w14:paraId="0C798238" w14:textId="73CF6F0D" w:rsidR="00A070FF" w:rsidRDefault="00A070F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_Toc82080757 \h </w:instrText>
      </w:r>
      <w:r>
        <w:rPr>
          <w:noProof/>
        </w:rPr>
      </w:r>
      <w:r>
        <w:rPr>
          <w:noProof/>
        </w:rPr>
        <w:fldChar w:fldCharType="separate"/>
      </w:r>
      <w:r>
        <w:rPr>
          <w:noProof/>
        </w:rPr>
        <w:t>1</w:t>
      </w:r>
      <w:r>
        <w:rPr>
          <w:noProof/>
        </w:rPr>
        <w:fldChar w:fldCharType="end"/>
      </w:r>
    </w:p>
    <w:p w14:paraId="2C85684D" w14:textId="11C2FB7E" w:rsidR="00A070FF" w:rsidRDefault="00A070F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_Toc82080758 \h </w:instrText>
      </w:r>
      <w:r>
        <w:rPr>
          <w:noProof/>
        </w:rPr>
      </w:r>
      <w:r>
        <w:rPr>
          <w:noProof/>
        </w:rPr>
        <w:fldChar w:fldCharType="separate"/>
      </w:r>
      <w:r>
        <w:rPr>
          <w:noProof/>
        </w:rPr>
        <w:t>1</w:t>
      </w:r>
      <w:r>
        <w:rPr>
          <w:noProof/>
        </w:rPr>
        <w:fldChar w:fldCharType="end"/>
      </w:r>
    </w:p>
    <w:p w14:paraId="14FF102B" w14:textId="292576E5" w:rsidR="00A070FF" w:rsidRDefault="00A070FF">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_Toc82080759 \h </w:instrText>
      </w:r>
      <w:r>
        <w:rPr>
          <w:noProof/>
        </w:rPr>
      </w:r>
      <w:r>
        <w:rPr>
          <w:noProof/>
        </w:rPr>
        <w:fldChar w:fldCharType="separate"/>
      </w:r>
      <w:r>
        <w:rPr>
          <w:noProof/>
        </w:rPr>
        <w:t>1</w:t>
      </w:r>
      <w:r>
        <w:rPr>
          <w:noProof/>
        </w:rPr>
        <w:fldChar w:fldCharType="end"/>
      </w:r>
    </w:p>
    <w:p w14:paraId="181BEBF5" w14:textId="3F42F4EE" w:rsidR="00A070FF" w:rsidRDefault="00A070FF">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_Toc82080760 \h </w:instrText>
      </w:r>
      <w:r>
        <w:rPr>
          <w:noProof/>
        </w:rPr>
      </w:r>
      <w:r>
        <w:rPr>
          <w:noProof/>
        </w:rPr>
        <w:fldChar w:fldCharType="separate"/>
      </w:r>
      <w:r>
        <w:rPr>
          <w:noProof/>
        </w:rPr>
        <w:t>2</w:t>
      </w:r>
      <w:r>
        <w:rPr>
          <w:noProof/>
        </w:rPr>
        <w:fldChar w:fldCharType="end"/>
      </w:r>
    </w:p>
    <w:p w14:paraId="0237E189" w14:textId="67F9F313" w:rsidR="00A070FF" w:rsidRDefault="00A070FF">
      <w:pPr>
        <w:pStyle w:val="TOC9"/>
        <w:rPr>
          <w:rFonts w:asciiTheme="minorHAnsi" w:eastAsiaTheme="minorEastAsia" w:hAnsiTheme="minorHAnsi" w:cstheme="minorBidi"/>
          <w:i w:val="0"/>
          <w:noProof/>
          <w:kern w:val="0"/>
          <w:sz w:val="22"/>
          <w:szCs w:val="22"/>
        </w:rPr>
      </w:pPr>
      <w:r>
        <w:rPr>
          <w:noProof/>
        </w:rPr>
        <w:t>Poisons Standard June 2021</w:t>
      </w:r>
      <w:r>
        <w:rPr>
          <w:noProof/>
        </w:rPr>
        <w:tab/>
      </w:r>
      <w:r>
        <w:rPr>
          <w:noProof/>
        </w:rPr>
        <w:fldChar w:fldCharType="begin"/>
      </w:r>
      <w:r>
        <w:rPr>
          <w:noProof/>
        </w:rPr>
        <w:instrText xml:space="preserve"> PAGEREF _Toc82080761 \h </w:instrText>
      </w:r>
      <w:r>
        <w:rPr>
          <w:noProof/>
        </w:rPr>
      </w:r>
      <w:r>
        <w:rPr>
          <w:noProof/>
        </w:rPr>
        <w:fldChar w:fldCharType="separate"/>
      </w:r>
      <w:r>
        <w:rPr>
          <w:noProof/>
        </w:rPr>
        <w:t>2</w:t>
      </w:r>
      <w:r>
        <w:rPr>
          <w:noProof/>
        </w:rPr>
        <w:fldChar w:fldCharType="end"/>
      </w:r>
    </w:p>
    <w:p w14:paraId="58B51570" w14:textId="22881722" w:rsidR="00B20990" w:rsidRDefault="00B20990" w:rsidP="005E317F">
      <w:r w:rsidRPr="005E317F">
        <w:rPr>
          <w:rFonts w:cs="Times New Roman"/>
          <w:sz w:val="20"/>
        </w:rPr>
        <w:fldChar w:fldCharType="end"/>
      </w:r>
    </w:p>
    <w:p w14:paraId="36043E48" w14:textId="77777777" w:rsidR="00B20990" w:rsidRDefault="00B20990" w:rsidP="00B20990"/>
    <w:p w14:paraId="5BD62CC4" w14:textId="77777777" w:rsidR="00B20990" w:rsidRDefault="00B20990" w:rsidP="00B20990">
      <w:pPr>
        <w:sectPr w:rsidR="00B20990" w:rsidSect="00C6510E">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42804886" w14:textId="77777777" w:rsidR="005E317F" w:rsidRPr="009C2562" w:rsidRDefault="005E317F" w:rsidP="005E317F">
      <w:pPr>
        <w:pStyle w:val="ActHead5"/>
      </w:pPr>
      <w:bookmarkStart w:id="1" w:name="_Toc82080756"/>
      <w:proofErr w:type="gramStart"/>
      <w:r w:rsidRPr="009C2562">
        <w:rPr>
          <w:rStyle w:val="CharSectno"/>
        </w:rPr>
        <w:lastRenderedPageBreak/>
        <w:t>1</w:t>
      </w:r>
      <w:r w:rsidRPr="009C2562">
        <w:t xml:space="preserve">  Name</w:t>
      </w:r>
      <w:bookmarkEnd w:id="1"/>
      <w:proofErr w:type="gramEnd"/>
    </w:p>
    <w:p w14:paraId="4E6B170B" w14:textId="51C484AB"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8E6F33" w:rsidRPr="007D199A">
        <w:rPr>
          <w:i/>
        </w:rPr>
        <w:t>Poisons Standard</w:t>
      </w:r>
      <w:r w:rsidR="007838F3">
        <w:rPr>
          <w:i/>
        </w:rPr>
        <w:t xml:space="preserve"> Amendment (</w:t>
      </w:r>
      <w:r w:rsidR="00C77058">
        <w:rPr>
          <w:i/>
        </w:rPr>
        <w:t>Ivermectin</w:t>
      </w:r>
      <w:r w:rsidR="008E6F33">
        <w:rPr>
          <w:i/>
        </w:rPr>
        <w:t>) Instrument 202</w:t>
      </w:r>
      <w:r w:rsidR="004A284E">
        <w:rPr>
          <w:i/>
        </w:rPr>
        <w:t>1</w:t>
      </w:r>
      <w:r w:rsidRPr="009C2562">
        <w:t>.</w:t>
      </w:r>
    </w:p>
    <w:p w14:paraId="7D5FDD14" w14:textId="77777777" w:rsidR="005E317F" w:rsidRDefault="005E317F" w:rsidP="005E317F">
      <w:pPr>
        <w:pStyle w:val="ActHead5"/>
      </w:pPr>
      <w:bookmarkStart w:id="3" w:name="_Toc82080757"/>
      <w:proofErr w:type="gramStart"/>
      <w:r w:rsidRPr="009C2562">
        <w:rPr>
          <w:rStyle w:val="CharSectno"/>
        </w:rPr>
        <w:t>2</w:t>
      </w:r>
      <w:r w:rsidRPr="009C2562">
        <w:t xml:space="preserve">  Commencement</w:t>
      </w:r>
      <w:bookmarkEnd w:id="3"/>
      <w:proofErr w:type="gramEnd"/>
    </w:p>
    <w:p w14:paraId="61B15188"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6A91C59D"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293B4E7B" w14:textId="77777777" w:rsidTr="00C6510E">
        <w:trPr>
          <w:tblHeader/>
        </w:trPr>
        <w:tc>
          <w:tcPr>
            <w:tcW w:w="8364" w:type="dxa"/>
            <w:gridSpan w:val="3"/>
            <w:tcBorders>
              <w:top w:val="single" w:sz="12" w:space="0" w:color="auto"/>
              <w:bottom w:val="single" w:sz="6" w:space="0" w:color="auto"/>
            </w:tcBorders>
            <w:shd w:val="clear" w:color="auto" w:fill="auto"/>
            <w:hideMark/>
          </w:tcPr>
          <w:p w14:paraId="755717DC" w14:textId="77777777" w:rsidR="00002BCC" w:rsidRPr="003422B4" w:rsidRDefault="00002BCC" w:rsidP="00C6510E">
            <w:pPr>
              <w:pStyle w:val="TableHeading"/>
            </w:pPr>
            <w:r w:rsidRPr="003422B4">
              <w:t>Commencement information</w:t>
            </w:r>
          </w:p>
        </w:tc>
      </w:tr>
      <w:tr w:rsidR="00002BCC" w:rsidRPr="003422B4" w14:paraId="048D333A" w14:textId="77777777" w:rsidTr="00C6510E">
        <w:trPr>
          <w:tblHeader/>
        </w:trPr>
        <w:tc>
          <w:tcPr>
            <w:tcW w:w="2127" w:type="dxa"/>
            <w:tcBorders>
              <w:top w:val="single" w:sz="6" w:space="0" w:color="auto"/>
              <w:bottom w:val="single" w:sz="6" w:space="0" w:color="auto"/>
            </w:tcBorders>
            <w:shd w:val="clear" w:color="auto" w:fill="auto"/>
            <w:hideMark/>
          </w:tcPr>
          <w:p w14:paraId="633E8C63" w14:textId="77777777" w:rsidR="00002BCC" w:rsidRPr="003422B4" w:rsidRDefault="00002BCC" w:rsidP="00C6510E">
            <w:pPr>
              <w:pStyle w:val="TableHeading"/>
            </w:pPr>
            <w:r w:rsidRPr="003422B4">
              <w:t>Column 1</w:t>
            </w:r>
          </w:p>
        </w:tc>
        <w:tc>
          <w:tcPr>
            <w:tcW w:w="4394" w:type="dxa"/>
            <w:tcBorders>
              <w:top w:val="single" w:sz="6" w:space="0" w:color="auto"/>
              <w:bottom w:val="single" w:sz="6" w:space="0" w:color="auto"/>
            </w:tcBorders>
            <w:shd w:val="clear" w:color="auto" w:fill="auto"/>
            <w:hideMark/>
          </w:tcPr>
          <w:p w14:paraId="719CABA5" w14:textId="77777777" w:rsidR="00002BCC" w:rsidRPr="003422B4" w:rsidRDefault="00002BCC" w:rsidP="00C6510E">
            <w:pPr>
              <w:pStyle w:val="TableHeading"/>
            </w:pPr>
            <w:r w:rsidRPr="003422B4">
              <w:t>Column 2</w:t>
            </w:r>
          </w:p>
        </w:tc>
        <w:tc>
          <w:tcPr>
            <w:tcW w:w="1843" w:type="dxa"/>
            <w:tcBorders>
              <w:top w:val="single" w:sz="6" w:space="0" w:color="auto"/>
              <w:bottom w:val="single" w:sz="6" w:space="0" w:color="auto"/>
            </w:tcBorders>
            <w:shd w:val="clear" w:color="auto" w:fill="auto"/>
            <w:hideMark/>
          </w:tcPr>
          <w:p w14:paraId="2271D88C" w14:textId="77777777" w:rsidR="00002BCC" w:rsidRPr="003422B4" w:rsidRDefault="00002BCC" w:rsidP="00C6510E">
            <w:pPr>
              <w:pStyle w:val="TableHeading"/>
            </w:pPr>
            <w:r w:rsidRPr="003422B4">
              <w:t>Column 3</w:t>
            </w:r>
          </w:p>
        </w:tc>
      </w:tr>
      <w:tr w:rsidR="00002BCC" w:rsidRPr="003422B4" w14:paraId="1BCDE861" w14:textId="77777777" w:rsidTr="00C6510E">
        <w:trPr>
          <w:tblHeader/>
        </w:trPr>
        <w:tc>
          <w:tcPr>
            <w:tcW w:w="2127" w:type="dxa"/>
            <w:tcBorders>
              <w:top w:val="single" w:sz="6" w:space="0" w:color="auto"/>
              <w:bottom w:val="single" w:sz="12" w:space="0" w:color="auto"/>
            </w:tcBorders>
            <w:shd w:val="clear" w:color="auto" w:fill="auto"/>
            <w:hideMark/>
          </w:tcPr>
          <w:p w14:paraId="37F2ECAC" w14:textId="77777777" w:rsidR="00002BCC" w:rsidRPr="003422B4" w:rsidRDefault="00002BCC" w:rsidP="00C6510E">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7D6E4997" w14:textId="77777777" w:rsidR="00002BCC" w:rsidRPr="003422B4" w:rsidRDefault="00002BCC" w:rsidP="00C6510E">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0B0A0E29" w14:textId="77777777" w:rsidR="00002BCC" w:rsidRPr="003422B4" w:rsidRDefault="00002BCC" w:rsidP="00C6510E">
            <w:pPr>
              <w:pStyle w:val="TableHeading"/>
            </w:pPr>
            <w:r w:rsidRPr="003422B4">
              <w:t>Date/Details</w:t>
            </w:r>
          </w:p>
        </w:tc>
      </w:tr>
      <w:tr w:rsidR="00002BCC" w:rsidRPr="003422B4" w14:paraId="7F78D5BC" w14:textId="77777777" w:rsidTr="00C6510E">
        <w:tc>
          <w:tcPr>
            <w:tcW w:w="2127" w:type="dxa"/>
            <w:tcBorders>
              <w:top w:val="single" w:sz="12" w:space="0" w:color="auto"/>
              <w:bottom w:val="single" w:sz="12" w:space="0" w:color="auto"/>
            </w:tcBorders>
            <w:shd w:val="clear" w:color="auto" w:fill="auto"/>
            <w:hideMark/>
          </w:tcPr>
          <w:p w14:paraId="45588E88" w14:textId="77777777" w:rsidR="00002BCC" w:rsidRPr="003A6229" w:rsidRDefault="007D199A" w:rsidP="00C6510E">
            <w:pPr>
              <w:pStyle w:val="Tabletext"/>
              <w:rPr>
                <w:i/>
              </w:rPr>
            </w:pPr>
            <w:r>
              <w:t>1. The whole of this instrument</w:t>
            </w:r>
          </w:p>
        </w:tc>
        <w:tc>
          <w:tcPr>
            <w:tcW w:w="4394" w:type="dxa"/>
            <w:tcBorders>
              <w:top w:val="single" w:sz="12" w:space="0" w:color="auto"/>
              <w:bottom w:val="single" w:sz="12" w:space="0" w:color="auto"/>
            </w:tcBorders>
            <w:shd w:val="clear" w:color="auto" w:fill="auto"/>
            <w:hideMark/>
          </w:tcPr>
          <w:p w14:paraId="7160C135" w14:textId="77777777" w:rsidR="00002BCC" w:rsidRPr="006C3A6A" w:rsidRDefault="00647948" w:rsidP="00C6510E">
            <w:pPr>
              <w:pStyle w:val="Tabletext"/>
            </w:pPr>
            <w:r>
              <w:t>The day after this instrument is registered</w:t>
            </w:r>
            <w:r w:rsidR="00002BCC" w:rsidRPr="006C3A6A">
              <w:t>.</w:t>
            </w:r>
          </w:p>
        </w:tc>
        <w:tc>
          <w:tcPr>
            <w:tcW w:w="1843" w:type="dxa"/>
            <w:tcBorders>
              <w:top w:val="single" w:sz="12" w:space="0" w:color="auto"/>
              <w:bottom w:val="single" w:sz="12" w:space="0" w:color="auto"/>
            </w:tcBorders>
            <w:shd w:val="clear" w:color="auto" w:fill="auto"/>
          </w:tcPr>
          <w:p w14:paraId="27E10B3C" w14:textId="796416A2" w:rsidR="00002BCC" w:rsidRPr="006C3A6A" w:rsidRDefault="00002BCC" w:rsidP="00C6510E">
            <w:pPr>
              <w:pStyle w:val="Tabletext"/>
            </w:pPr>
          </w:p>
        </w:tc>
      </w:tr>
    </w:tbl>
    <w:p w14:paraId="59AC7E70"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497B7351"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003C218" w14:textId="77777777" w:rsidR="005E317F" w:rsidRPr="009C2562" w:rsidRDefault="005E317F" w:rsidP="005E317F">
      <w:pPr>
        <w:pStyle w:val="ActHead5"/>
      </w:pPr>
      <w:bookmarkStart w:id="4" w:name="_Toc82080758"/>
      <w:proofErr w:type="gramStart"/>
      <w:r w:rsidRPr="009C2562">
        <w:rPr>
          <w:rStyle w:val="CharSectno"/>
        </w:rPr>
        <w:t>3</w:t>
      </w:r>
      <w:r w:rsidRPr="009C2562">
        <w:t xml:space="preserve">  Authority</w:t>
      </w:r>
      <w:bookmarkEnd w:id="4"/>
      <w:proofErr w:type="gramEnd"/>
    </w:p>
    <w:p w14:paraId="4B39DA20" w14:textId="77777777" w:rsidR="005E317F" w:rsidRPr="009C2562" w:rsidRDefault="005E317F" w:rsidP="005E317F">
      <w:pPr>
        <w:pStyle w:val="subsection"/>
      </w:pPr>
      <w:r w:rsidRPr="009C2562">
        <w:tab/>
      </w:r>
      <w:r w:rsidRPr="009C2562">
        <w:tab/>
        <w:t xml:space="preserve">This instrument is made under </w:t>
      </w:r>
      <w:r w:rsidR="007D199A">
        <w:t xml:space="preserve">paragraph 52D(2)(a) of the </w:t>
      </w:r>
      <w:r w:rsidR="007D199A" w:rsidRPr="007D199A">
        <w:rPr>
          <w:i/>
        </w:rPr>
        <w:t>Therapeutic Goods Act 1989</w:t>
      </w:r>
      <w:r w:rsidRPr="009C2562">
        <w:t>.</w:t>
      </w:r>
    </w:p>
    <w:p w14:paraId="0571DB70" w14:textId="77777777" w:rsidR="005E317F" w:rsidRPr="006065DA" w:rsidRDefault="005E317F" w:rsidP="005E317F">
      <w:pPr>
        <w:pStyle w:val="ActHead5"/>
      </w:pPr>
      <w:bookmarkStart w:id="5" w:name="_Toc82080759"/>
      <w:proofErr w:type="gramStart"/>
      <w:r w:rsidRPr="006065DA">
        <w:t>4  Schedules</w:t>
      </w:r>
      <w:bookmarkEnd w:id="5"/>
      <w:proofErr w:type="gramEnd"/>
    </w:p>
    <w:p w14:paraId="7BFC1B0B" w14:textId="5C0F461B" w:rsidR="005E317F" w:rsidRDefault="005E317F" w:rsidP="005E317F">
      <w:pPr>
        <w:pStyle w:val="subsection"/>
      </w:pPr>
      <w:r w:rsidRPr="006065DA">
        <w:tab/>
      </w:r>
      <w:r w:rsidRPr="006065DA">
        <w:tab/>
        <w:t>Each instrument that is specified in Schedule</w:t>
      </w:r>
      <w:r w:rsidR="00573875">
        <w:t xml:space="preserve"> 1 </w:t>
      </w:r>
      <w:r w:rsidRPr="006065DA">
        <w:t>is amended or repealed as set out in the applicable items in th</w:t>
      </w:r>
      <w:r w:rsidR="00573875">
        <w:t>at</w:t>
      </w:r>
      <w:r w:rsidRPr="006065DA">
        <w:t xml:space="preserve"> Schedule, and any other item has effect according to its terms.</w:t>
      </w:r>
    </w:p>
    <w:p w14:paraId="11A68084" w14:textId="77777777" w:rsidR="005E317F" w:rsidRDefault="005E317F" w:rsidP="005E317F">
      <w:pPr>
        <w:pStyle w:val="ActHead6"/>
        <w:pageBreakBefore/>
        <w:rPr>
          <w:rStyle w:val="CharAmSchText"/>
        </w:rPr>
      </w:pPr>
      <w:bookmarkStart w:id="6" w:name="_Toc82080760"/>
      <w:r w:rsidRPr="00DB64FC">
        <w:rPr>
          <w:rStyle w:val="CharAmSchNo"/>
        </w:rPr>
        <w:lastRenderedPageBreak/>
        <w:t>Schedule 1</w:t>
      </w:r>
      <w:r>
        <w:t>—</w:t>
      </w:r>
      <w:r w:rsidRPr="00DB64FC">
        <w:rPr>
          <w:rStyle w:val="CharAmSchText"/>
        </w:rPr>
        <w:t>Amendments</w:t>
      </w:r>
      <w:bookmarkEnd w:id="6"/>
    </w:p>
    <w:p w14:paraId="11A86E27" w14:textId="7649AE34" w:rsidR="00347A5B" w:rsidRDefault="00347A5B" w:rsidP="00347A5B">
      <w:pPr>
        <w:pStyle w:val="ActHead9"/>
      </w:pPr>
      <w:bookmarkStart w:id="7" w:name="_Toc82080761"/>
      <w:r w:rsidRPr="00431FCA">
        <w:t xml:space="preserve">Poisons Standard </w:t>
      </w:r>
      <w:r w:rsidR="004A284E">
        <w:t>June</w:t>
      </w:r>
      <w:r w:rsidRPr="00431FCA">
        <w:t xml:space="preserve"> 202</w:t>
      </w:r>
      <w:r w:rsidR="004A284E">
        <w:t>1</w:t>
      </w:r>
      <w:bookmarkEnd w:id="7"/>
    </w:p>
    <w:p w14:paraId="0980DE33" w14:textId="631D27C3" w:rsidR="00131E95" w:rsidRDefault="00131E95" w:rsidP="00131E95">
      <w:pPr>
        <w:pStyle w:val="ItemHead"/>
      </w:pPr>
      <w:bookmarkStart w:id="8" w:name="_Hlk79674802"/>
      <w:proofErr w:type="gramStart"/>
      <w:r>
        <w:t>1  Schedule</w:t>
      </w:r>
      <w:proofErr w:type="gramEnd"/>
      <w:r>
        <w:t xml:space="preserve"> 4 of Part 4 of Schedule </w:t>
      </w:r>
      <w:r w:rsidR="00422EEC">
        <w:t>1</w:t>
      </w:r>
      <w:r>
        <w:t xml:space="preserve"> (entry for ivermectin)</w:t>
      </w:r>
    </w:p>
    <w:p w14:paraId="2FD90293" w14:textId="77777777" w:rsidR="00131E95" w:rsidRDefault="00131E95" w:rsidP="00131E95">
      <w:pPr>
        <w:pStyle w:val="Item"/>
      </w:pPr>
      <w:r>
        <w:t>Repeal the entry, substitute:</w:t>
      </w:r>
    </w:p>
    <w:p w14:paraId="33449626" w14:textId="16522E54" w:rsidR="00131E95" w:rsidRPr="006B62EB" w:rsidRDefault="00131E95" w:rsidP="00131E95">
      <w:pPr>
        <w:spacing w:before="240" w:after="240" w:line="240" w:lineRule="atLeast"/>
        <w:rPr>
          <w:rFonts w:eastAsia="Cambria" w:cs="Times New Roman"/>
        </w:rPr>
      </w:pPr>
      <w:bookmarkStart w:id="9" w:name="_Hlk82080659"/>
      <w:r w:rsidRPr="006B62EB">
        <w:rPr>
          <w:rFonts w:eastAsia="Cambria" w:cs="Times New Roman"/>
        </w:rPr>
        <w:t># IVERMECTIN:</w:t>
      </w:r>
    </w:p>
    <w:p w14:paraId="6940F3FD" w14:textId="77777777" w:rsidR="00131E95" w:rsidRPr="00F077FD" w:rsidRDefault="00131E95" w:rsidP="00131E95">
      <w:pPr>
        <w:pStyle w:val="Numberbullet2"/>
        <w:ind w:left="928" w:hanging="360"/>
        <w:rPr>
          <w:color w:val="000000"/>
          <w:szCs w:val="22"/>
        </w:rPr>
      </w:pPr>
      <w:r>
        <w:rPr>
          <w:color w:val="000000"/>
          <w:szCs w:val="22"/>
        </w:rPr>
        <w:t>a)</w:t>
      </w:r>
      <w:r>
        <w:rPr>
          <w:color w:val="000000"/>
          <w:szCs w:val="22"/>
        </w:rPr>
        <w:tab/>
      </w:r>
      <w:r w:rsidRPr="00F077FD">
        <w:rPr>
          <w:color w:val="000000"/>
          <w:szCs w:val="22"/>
        </w:rPr>
        <w:t>for human use; or</w:t>
      </w:r>
    </w:p>
    <w:p w14:paraId="7BDD15FC" w14:textId="01179052" w:rsidR="00131E95" w:rsidRDefault="00131E95" w:rsidP="00131E95">
      <w:pPr>
        <w:pStyle w:val="Numberbullet2"/>
        <w:ind w:left="928" w:hanging="360"/>
        <w:rPr>
          <w:color w:val="000000"/>
          <w:szCs w:val="22"/>
        </w:rPr>
      </w:pPr>
      <w:r>
        <w:rPr>
          <w:color w:val="000000"/>
          <w:szCs w:val="22"/>
        </w:rPr>
        <w:t>b)</w:t>
      </w:r>
      <w:r>
        <w:rPr>
          <w:color w:val="000000"/>
          <w:szCs w:val="22"/>
        </w:rPr>
        <w:tab/>
      </w:r>
      <w:r w:rsidRPr="00F077FD">
        <w:rPr>
          <w:color w:val="000000"/>
          <w:szCs w:val="22"/>
        </w:rPr>
        <w:t>for the treatment of mange in dogs.</w:t>
      </w:r>
    </w:p>
    <w:bookmarkEnd w:id="9"/>
    <w:p w14:paraId="34533E10" w14:textId="55F1F28D" w:rsidR="00AE6356" w:rsidRDefault="00131E95" w:rsidP="00AE6356">
      <w:pPr>
        <w:pStyle w:val="ItemHead"/>
      </w:pPr>
      <w:proofErr w:type="gramStart"/>
      <w:r>
        <w:t>2</w:t>
      </w:r>
      <w:r w:rsidR="00AE6356">
        <w:t xml:space="preserve">  </w:t>
      </w:r>
      <w:r w:rsidR="00772090">
        <w:t>At</w:t>
      </w:r>
      <w:proofErr w:type="gramEnd"/>
      <w:r w:rsidR="00772090">
        <w:t xml:space="preserve"> the end of </w:t>
      </w:r>
      <w:r w:rsidR="00AE6356">
        <w:t xml:space="preserve">Appendix D of Part 5 of Schedule </w:t>
      </w:r>
      <w:r w:rsidR="00422EEC">
        <w:t>1</w:t>
      </w:r>
    </w:p>
    <w:p w14:paraId="29C49949" w14:textId="07B8BC50" w:rsidR="00AE6356" w:rsidRPr="00605182" w:rsidRDefault="00AE6356" w:rsidP="00605182">
      <w:pPr>
        <w:pStyle w:val="ItemHead"/>
        <w:spacing w:after="120"/>
        <w:rPr>
          <w:rFonts w:ascii="Times New Roman" w:hAnsi="Times New Roman"/>
          <w:b w:val="0"/>
          <w:sz w:val="22"/>
          <w:szCs w:val="22"/>
        </w:rPr>
      </w:pPr>
      <w:r>
        <w:rPr>
          <w:rFonts w:ascii="Times New Roman" w:hAnsi="Times New Roman"/>
          <w:b w:val="0"/>
          <w:sz w:val="22"/>
          <w:szCs w:val="22"/>
        </w:rPr>
        <w:tab/>
      </w:r>
      <w:r w:rsidR="00772090">
        <w:rPr>
          <w:rFonts w:ascii="Times New Roman" w:hAnsi="Times New Roman"/>
          <w:b w:val="0"/>
          <w:sz w:val="22"/>
          <w:szCs w:val="22"/>
        </w:rPr>
        <w:t>Add</w:t>
      </w:r>
      <w:r>
        <w:rPr>
          <w:rFonts w:ascii="Times New Roman" w:hAnsi="Times New Roman"/>
          <w:b w:val="0"/>
          <w:sz w:val="22"/>
          <w:szCs w:val="22"/>
        </w:rPr>
        <w:t>:</w:t>
      </w: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663"/>
        <w:gridCol w:w="750"/>
        <w:gridCol w:w="7081"/>
      </w:tblGrid>
      <w:tr w:rsidR="00AE6356" w:rsidRPr="001E2829" w14:paraId="3B3A9055" w14:textId="77777777" w:rsidTr="00C10849">
        <w:tc>
          <w:tcPr>
            <w:tcW w:w="663" w:type="dxa"/>
          </w:tcPr>
          <w:p w14:paraId="46F3894A" w14:textId="135C29CE" w:rsidR="00AE6356" w:rsidRPr="001E2829" w:rsidRDefault="007E6442" w:rsidP="00C10849">
            <w:pPr>
              <w:spacing w:before="240" w:after="240" w:line="240" w:lineRule="atLeast"/>
              <w:rPr>
                <w:b/>
              </w:rPr>
            </w:pPr>
            <w:r>
              <w:rPr>
                <w:rFonts w:eastAsia="Cambria" w:cs="Times New Roman"/>
                <w:b/>
              </w:rPr>
              <w:t>10</w:t>
            </w:r>
            <w:r w:rsidR="00AE6356" w:rsidRPr="00181D9E">
              <w:rPr>
                <w:rFonts w:eastAsia="Cambria" w:cs="Times New Roman"/>
                <w:b/>
              </w:rPr>
              <w:t>.</w:t>
            </w:r>
          </w:p>
        </w:tc>
        <w:tc>
          <w:tcPr>
            <w:tcW w:w="7831" w:type="dxa"/>
            <w:gridSpan w:val="2"/>
          </w:tcPr>
          <w:p w14:paraId="07E6C5AF" w14:textId="1B498614" w:rsidR="00AE6356" w:rsidRPr="00181D9E" w:rsidRDefault="00AE6356" w:rsidP="00C10849">
            <w:pPr>
              <w:pStyle w:val="ItemHead"/>
              <w:spacing w:before="240" w:after="60"/>
              <w:ind w:left="0" w:firstLine="0"/>
              <w:rPr>
                <w:rFonts w:ascii="Times New Roman" w:hAnsi="Times New Roman"/>
                <w:b w:val="0"/>
                <w:sz w:val="22"/>
                <w:szCs w:val="22"/>
              </w:rPr>
            </w:pPr>
            <w:r w:rsidRPr="00181D9E">
              <w:rPr>
                <w:rFonts w:ascii="Times New Roman" w:hAnsi="Times New Roman"/>
                <w:sz w:val="22"/>
                <w:szCs w:val="22"/>
              </w:rPr>
              <w:t>Poisons</w:t>
            </w:r>
            <w:r w:rsidR="007E6442">
              <w:rPr>
                <w:rFonts w:ascii="Times New Roman" w:hAnsi="Times New Roman"/>
                <w:sz w:val="22"/>
                <w:szCs w:val="22"/>
              </w:rPr>
              <w:t xml:space="preserve"> available only </w:t>
            </w:r>
            <w:r w:rsidR="00377616">
              <w:rPr>
                <w:rFonts w:ascii="Times New Roman" w:hAnsi="Times New Roman"/>
                <w:sz w:val="22"/>
                <w:szCs w:val="22"/>
              </w:rPr>
              <w:t>when prescribed or auth</w:t>
            </w:r>
            <w:r w:rsidR="00605182">
              <w:rPr>
                <w:rFonts w:ascii="Times New Roman" w:hAnsi="Times New Roman"/>
                <w:sz w:val="22"/>
                <w:szCs w:val="22"/>
              </w:rPr>
              <w:t>or</w:t>
            </w:r>
            <w:r w:rsidR="00377616">
              <w:rPr>
                <w:rFonts w:ascii="Times New Roman" w:hAnsi="Times New Roman"/>
                <w:sz w:val="22"/>
                <w:szCs w:val="22"/>
              </w:rPr>
              <w:t>ised</w:t>
            </w:r>
            <w:r w:rsidR="007E6442">
              <w:rPr>
                <w:rFonts w:ascii="Times New Roman" w:hAnsi="Times New Roman"/>
                <w:sz w:val="22"/>
                <w:szCs w:val="22"/>
              </w:rPr>
              <w:t xml:space="preserve"> for</w:t>
            </w:r>
            <w:r>
              <w:rPr>
                <w:rFonts w:ascii="Times New Roman" w:hAnsi="Times New Roman"/>
                <w:sz w:val="22"/>
                <w:szCs w:val="22"/>
              </w:rPr>
              <w:t>:</w:t>
            </w:r>
          </w:p>
        </w:tc>
      </w:tr>
      <w:tr w:rsidR="00AE6356" w:rsidRPr="001E2829" w14:paraId="5B537D06" w14:textId="77777777" w:rsidTr="00C10849">
        <w:tc>
          <w:tcPr>
            <w:tcW w:w="663" w:type="dxa"/>
          </w:tcPr>
          <w:p w14:paraId="50BFEAD7" w14:textId="77777777" w:rsidR="00AE6356" w:rsidRPr="001E2829" w:rsidRDefault="00AE6356" w:rsidP="009148B1">
            <w:pPr>
              <w:spacing w:before="240" w:after="240" w:line="240" w:lineRule="atLeast"/>
            </w:pPr>
          </w:p>
        </w:tc>
        <w:tc>
          <w:tcPr>
            <w:tcW w:w="750" w:type="dxa"/>
          </w:tcPr>
          <w:p w14:paraId="6DA10B66" w14:textId="77777777" w:rsidR="00AE6356" w:rsidRPr="00B11E67" w:rsidRDefault="00AE6356" w:rsidP="00DB7FB8">
            <w:pPr>
              <w:spacing w:before="240" w:after="240" w:line="240" w:lineRule="atLeast"/>
              <w:rPr>
                <w:szCs w:val="22"/>
              </w:rPr>
            </w:pPr>
            <w:r w:rsidRPr="009148B1">
              <w:rPr>
                <w:rFonts w:eastAsia="Cambria" w:cs="Times New Roman"/>
              </w:rPr>
              <w:t>(1)</w:t>
            </w:r>
          </w:p>
        </w:tc>
        <w:tc>
          <w:tcPr>
            <w:tcW w:w="7081" w:type="dxa"/>
          </w:tcPr>
          <w:p w14:paraId="17D9BC2D" w14:textId="1596CA3A" w:rsidR="00A44005" w:rsidRPr="009148B1" w:rsidRDefault="00A44005" w:rsidP="009148B1">
            <w:pPr>
              <w:spacing w:before="240" w:after="240" w:line="240" w:lineRule="atLeast"/>
              <w:rPr>
                <w:rFonts w:eastAsia="Cambria"/>
              </w:rPr>
            </w:pPr>
            <w:r w:rsidRPr="00605182">
              <w:rPr>
                <w:kern w:val="28"/>
                <w:szCs w:val="22"/>
              </w:rPr>
              <w:t xml:space="preserve">an indication that is accepted by the Secretary of the Australian Government Department of Health in relation to the inclusion of ivermectin in tablet dosage form in the Australian Register of Therapeutic Goods (an </w:t>
            </w:r>
            <w:r w:rsidRPr="00605182">
              <w:rPr>
                <w:b/>
                <w:bCs/>
                <w:i/>
                <w:iCs/>
                <w:kern w:val="28"/>
                <w:szCs w:val="22"/>
              </w:rPr>
              <w:t>approved indication</w:t>
            </w:r>
            <w:r w:rsidRPr="00605182">
              <w:rPr>
                <w:kern w:val="28"/>
                <w:szCs w:val="22"/>
              </w:rPr>
              <w:t>)</w:t>
            </w:r>
            <w:r w:rsidR="00DF410A">
              <w:rPr>
                <w:kern w:val="28"/>
                <w:szCs w:val="22"/>
              </w:rPr>
              <w:t>; or</w:t>
            </w:r>
          </w:p>
          <w:p w14:paraId="263F0946" w14:textId="1F4617E8" w:rsidR="00A44005" w:rsidRPr="009148B1" w:rsidRDefault="00A44005" w:rsidP="009148B1">
            <w:pPr>
              <w:pStyle w:val="notetext"/>
              <w:ind w:left="887"/>
              <w:rPr>
                <w:rFonts w:eastAsia="Cambria"/>
                <w:i/>
                <w:iCs/>
                <w:szCs w:val="18"/>
              </w:rPr>
            </w:pPr>
            <w:r w:rsidRPr="009148B1">
              <w:rPr>
                <w:snapToGrid w:val="0"/>
                <w:lang w:eastAsia="en-US"/>
              </w:rPr>
              <w:t>Note:</w:t>
            </w:r>
            <w:r w:rsidRPr="009148B1">
              <w:rPr>
                <w:snapToGrid w:val="0"/>
                <w:lang w:eastAsia="en-US"/>
              </w:rPr>
              <w:tab/>
              <w:t>Approved indications are shown in the public summary of the Australian Register of Therapeutic Goods on the Therapeutic Goods Administration website at www.tga.gov.au.</w:t>
            </w:r>
          </w:p>
        </w:tc>
      </w:tr>
      <w:tr w:rsidR="00AE6356" w:rsidRPr="001E2829" w14:paraId="2A97D529" w14:textId="77777777" w:rsidTr="00C10849">
        <w:tc>
          <w:tcPr>
            <w:tcW w:w="663" w:type="dxa"/>
          </w:tcPr>
          <w:p w14:paraId="2CF02AAB" w14:textId="77777777" w:rsidR="00AE6356" w:rsidRPr="001E2829" w:rsidRDefault="00AE6356" w:rsidP="009148B1">
            <w:pPr>
              <w:spacing w:before="240" w:after="240" w:line="240" w:lineRule="atLeast"/>
            </w:pPr>
          </w:p>
        </w:tc>
        <w:tc>
          <w:tcPr>
            <w:tcW w:w="750" w:type="dxa"/>
          </w:tcPr>
          <w:p w14:paraId="14A1B3A5" w14:textId="77777777" w:rsidR="00AE6356" w:rsidRPr="00B11E67" w:rsidRDefault="00AE6356" w:rsidP="00DB7FB8">
            <w:pPr>
              <w:spacing w:before="240" w:after="240" w:line="240" w:lineRule="atLeast"/>
              <w:rPr>
                <w:szCs w:val="22"/>
              </w:rPr>
            </w:pPr>
            <w:r w:rsidRPr="009148B1">
              <w:rPr>
                <w:rFonts w:eastAsia="Cambria" w:cs="Times New Roman"/>
              </w:rPr>
              <w:t>(2)</w:t>
            </w:r>
          </w:p>
        </w:tc>
        <w:tc>
          <w:tcPr>
            <w:tcW w:w="7081" w:type="dxa"/>
          </w:tcPr>
          <w:p w14:paraId="114161BA" w14:textId="5B931D0D" w:rsidR="00A44005" w:rsidRPr="009148B1" w:rsidRDefault="00A44005" w:rsidP="00A44005">
            <w:pPr>
              <w:spacing w:before="240" w:after="240" w:line="240" w:lineRule="atLeast"/>
              <w:rPr>
                <w:rFonts w:eastAsia="Cambria" w:cs="Times New Roman"/>
              </w:rPr>
            </w:pPr>
            <w:r w:rsidRPr="00B05387">
              <w:rPr>
                <w:rFonts w:eastAsia="Times New Roman" w:cs="Times New Roman"/>
                <w:kern w:val="28"/>
                <w:szCs w:val="22"/>
                <w:lang w:eastAsia="en-AU"/>
              </w:rPr>
              <w:t xml:space="preserve">an indication that is not an approved indication, when the preparation is prescribed or authorised by a medical practitioner registered under State or Territory legislation that forms part of the Health Practitioner Regulation National Law, as a specialist in any of the following </w:t>
            </w:r>
            <w:r w:rsidR="006E51AD">
              <w:rPr>
                <w:rFonts w:eastAsia="Times New Roman" w:cs="Times New Roman"/>
                <w:kern w:val="28"/>
                <w:szCs w:val="22"/>
                <w:lang w:eastAsia="en-AU"/>
              </w:rPr>
              <w:t xml:space="preserve">specialties or fields of </w:t>
            </w:r>
            <w:r w:rsidRPr="00B05387">
              <w:rPr>
                <w:rFonts w:eastAsia="Times New Roman" w:cs="Times New Roman"/>
                <w:kern w:val="28"/>
                <w:szCs w:val="22"/>
                <w:lang w:eastAsia="en-AU"/>
              </w:rPr>
              <w:t>specialt</w:t>
            </w:r>
            <w:r w:rsidR="006E51AD">
              <w:rPr>
                <w:rFonts w:eastAsia="Times New Roman" w:cs="Times New Roman"/>
                <w:kern w:val="28"/>
                <w:szCs w:val="22"/>
                <w:lang w:eastAsia="en-AU"/>
              </w:rPr>
              <w:t>y practices</w:t>
            </w:r>
            <w:r w:rsidRPr="00B05387">
              <w:rPr>
                <w:rFonts w:eastAsia="Times New Roman" w:cs="Times New Roman"/>
                <w:kern w:val="28"/>
                <w:szCs w:val="22"/>
                <w:lang w:eastAsia="en-AU"/>
              </w:rPr>
              <w:t>:</w:t>
            </w:r>
          </w:p>
          <w:p w14:paraId="1A364A66" w14:textId="77777777" w:rsidR="00A44005" w:rsidRPr="003B3A4E" w:rsidRDefault="00A44005" w:rsidP="009148B1">
            <w:pPr>
              <w:spacing w:before="240" w:after="240" w:line="240" w:lineRule="atLeast"/>
              <w:rPr>
                <w:szCs w:val="22"/>
              </w:rPr>
            </w:pPr>
            <w:r w:rsidRPr="008803FD">
              <w:rPr>
                <w:szCs w:val="22"/>
              </w:rPr>
              <w:t xml:space="preserve">(a) </w:t>
            </w:r>
            <w:proofErr w:type="gramStart"/>
            <w:r w:rsidRPr="008803FD">
              <w:rPr>
                <w:szCs w:val="22"/>
              </w:rPr>
              <w:t>dermatology;</w:t>
            </w:r>
            <w:proofErr w:type="gramEnd"/>
          </w:p>
          <w:p w14:paraId="2FD0FA68" w14:textId="3341E6BA" w:rsidR="00A44005" w:rsidRPr="009148B1" w:rsidRDefault="00A44005" w:rsidP="009148B1">
            <w:pPr>
              <w:spacing w:before="240" w:after="240" w:line="240" w:lineRule="atLeast"/>
              <w:rPr>
                <w:rFonts w:eastAsia="Cambria"/>
                <w:b/>
              </w:rPr>
            </w:pPr>
            <w:r w:rsidRPr="008803FD">
              <w:rPr>
                <w:szCs w:val="22"/>
              </w:rPr>
              <w:t>(b</w:t>
            </w:r>
            <w:r w:rsidRPr="005C3071">
              <w:rPr>
                <w:szCs w:val="22"/>
              </w:rPr>
              <w:t xml:space="preserve">) </w:t>
            </w:r>
            <w:r w:rsidR="00377616">
              <w:rPr>
                <w:szCs w:val="22"/>
              </w:rPr>
              <w:t>gastroenterology</w:t>
            </w:r>
            <w:r w:rsidR="006E51AD">
              <w:rPr>
                <w:szCs w:val="22"/>
              </w:rPr>
              <w:t xml:space="preserve"> and </w:t>
            </w:r>
            <w:proofErr w:type="gramStart"/>
            <w:r w:rsidR="006E51AD">
              <w:rPr>
                <w:szCs w:val="22"/>
              </w:rPr>
              <w:t>hepatology</w:t>
            </w:r>
            <w:r w:rsidRPr="005C3071">
              <w:rPr>
                <w:szCs w:val="22"/>
              </w:rPr>
              <w:t>;</w:t>
            </w:r>
            <w:proofErr w:type="gramEnd"/>
          </w:p>
          <w:p w14:paraId="7F9FD9B8" w14:textId="6119DE35" w:rsidR="006E51AD" w:rsidRDefault="00A44005" w:rsidP="009148B1">
            <w:pPr>
              <w:spacing w:before="240" w:after="240" w:line="240" w:lineRule="atLeast"/>
              <w:rPr>
                <w:szCs w:val="22"/>
              </w:rPr>
            </w:pPr>
            <w:r w:rsidRPr="008803FD">
              <w:rPr>
                <w:szCs w:val="22"/>
              </w:rPr>
              <w:t xml:space="preserve">(c) </w:t>
            </w:r>
            <w:r w:rsidR="00377616">
              <w:rPr>
                <w:szCs w:val="22"/>
              </w:rPr>
              <w:t xml:space="preserve">infectious </w:t>
            </w:r>
            <w:proofErr w:type="gramStart"/>
            <w:r w:rsidR="00377616">
              <w:rPr>
                <w:szCs w:val="22"/>
              </w:rPr>
              <w:t>disease</w:t>
            </w:r>
            <w:r w:rsidR="006E51AD">
              <w:rPr>
                <w:szCs w:val="22"/>
              </w:rPr>
              <w:t>s</w:t>
            </w:r>
            <w:r w:rsidRPr="008803FD">
              <w:rPr>
                <w:szCs w:val="22"/>
              </w:rPr>
              <w:t>;</w:t>
            </w:r>
            <w:proofErr w:type="gramEnd"/>
          </w:p>
          <w:p w14:paraId="43BC4681" w14:textId="77777777" w:rsidR="006E51AD" w:rsidRDefault="006E51AD" w:rsidP="009148B1">
            <w:pPr>
              <w:spacing w:before="240" w:after="240" w:line="240" w:lineRule="atLeast"/>
              <w:rPr>
                <w:szCs w:val="22"/>
              </w:rPr>
            </w:pPr>
            <w:r>
              <w:rPr>
                <w:szCs w:val="22"/>
              </w:rPr>
              <w:t xml:space="preserve">(d) paediatric gastroenterology and </w:t>
            </w:r>
            <w:proofErr w:type="gramStart"/>
            <w:r>
              <w:rPr>
                <w:szCs w:val="22"/>
              </w:rPr>
              <w:t>hepatology;</w:t>
            </w:r>
            <w:proofErr w:type="gramEnd"/>
          </w:p>
          <w:p w14:paraId="1A758C66" w14:textId="100F8CA0" w:rsidR="00A44005" w:rsidRPr="00B05387" w:rsidRDefault="006E51AD" w:rsidP="009148B1">
            <w:pPr>
              <w:spacing w:before="240" w:after="240" w:line="240" w:lineRule="atLeast"/>
              <w:rPr>
                <w:szCs w:val="22"/>
              </w:rPr>
            </w:pPr>
            <w:r>
              <w:rPr>
                <w:szCs w:val="22"/>
              </w:rPr>
              <w:t>(e) paediatric infectious disease</w:t>
            </w:r>
            <w:r w:rsidR="0076528B">
              <w:rPr>
                <w:szCs w:val="22"/>
              </w:rPr>
              <w:t>s</w:t>
            </w:r>
            <w:r w:rsidR="00DF410A">
              <w:rPr>
                <w:szCs w:val="22"/>
              </w:rPr>
              <w:t>; or</w:t>
            </w:r>
          </w:p>
        </w:tc>
      </w:tr>
      <w:tr w:rsidR="00A44005" w:rsidRPr="001E2829" w14:paraId="701F8638" w14:textId="77777777" w:rsidTr="00C10849">
        <w:tc>
          <w:tcPr>
            <w:tcW w:w="663" w:type="dxa"/>
          </w:tcPr>
          <w:p w14:paraId="340B4B67" w14:textId="77777777" w:rsidR="00A44005" w:rsidRPr="001E2829" w:rsidRDefault="00A44005" w:rsidP="009148B1">
            <w:pPr>
              <w:spacing w:before="240" w:after="240" w:line="240" w:lineRule="atLeast"/>
            </w:pPr>
          </w:p>
        </w:tc>
        <w:tc>
          <w:tcPr>
            <w:tcW w:w="750" w:type="dxa"/>
          </w:tcPr>
          <w:p w14:paraId="30587D9E" w14:textId="25F1C559" w:rsidR="00A44005" w:rsidRDefault="00A44005" w:rsidP="00C10849">
            <w:pPr>
              <w:spacing w:before="240" w:after="240" w:line="240" w:lineRule="atLeast"/>
              <w:rPr>
                <w:szCs w:val="22"/>
              </w:rPr>
            </w:pPr>
            <w:r>
              <w:rPr>
                <w:szCs w:val="22"/>
              </w:rPr>
              <w:t>(3)</w:t>
            </w:r>
          </w:p>
        </w:tc>
        <w:tc>
          <w:tcPr>
            <w:tcW w:w="7081" w:type="dxa"/>
          </w:tcPr>
          <w:p w14:paraId="4DD7F003" w14:textId="6438C247" w:rsidR="00A44005" w:rsidRPr="003E6095" w:rsidRDefault="00A44005" w:rsidP="00C10849">
            <w:pPr>
              <w:spacing w:before="240" w:after="240" w:line="240" w:lineRule="atLeast"/>
              <w:rPr>
                <w:szCs w:val="22"/>
              </w:rPr>
            </w:pPr>
            <w:r w:rsidRPr="00B05387">
              <w:rPr>
                <w:rFonts w:eastAsia="Times New Roman" w:cs="Times New Roman"/>
                <w:kern w:val="28"/>
                <w:szCs w:val="22"/>
                <w:lang w:eastAsia="en-AU"/>
              </w:rPr>
              <w:t xml:space="preserve">use in a clinical trial that is approved by, or notified to, the Secretary of the Australian Government Department of Health under the </w:t>
            </w:r>
            <w:r w:rsidRPr="00B05387">
              <w:rPr>
                <w:rFonts w:eastAsia="Times New Roman" w:cs="Times New Roman"/>
                <w:i/>
                <w:iCs/>
                <w:kern w:val="28"/>
                <w:szCs w:val="22"/>
                <w:lang w:eastAsia="en-AU"/>
              </w:rPr>
              <w:t>Therapeutic Goods Act 1989</w:t>
            </w:r>
            <w:r w:rsidRPr="00B05387">
              <w:rPr>
                <w:rFonts w:eastAsia="Times New Roman" w:cs="Times New Roman"/>
                <w:kern w:val="28"/>
                <w:szCs w:val="22"/>
                <w:lang w:eastAsia="en-AU"/>
              </w:rPr>
              <w:t>.</w:t>
            </w:r>
          </w:p>
        </w:tc>
      </w:tr>
      <w:tr w:rsidR="00AE6356" w:rsidRPr="001E2829" w14:paraId="0FFC9D23" w14:textId="77777777" w:rsidTr="00C10849">
        <w:tc>
          <w:tcPr>
            <w:tcW w:w="663" w:type="dxa"/>
          </w:tcPr>
          <w:p w14:paraId="1DD950E6" w14:textId="77777777" w:rsidR="00AE6356" w:rsidRPr="001E2829" w:rsidRDefault="00AE6356" w:rsidP="009148B1">
            <w:pPr>
              <w:spacing w:before="240" w:after="240" w:line="240" w:lineRule="atLeast"/>
            </w:pPr>
          </w:p>
        </w:tc>
        <w:tc>
          <w:tcPr>
            <w:tcW w:w="7831" w:type="dxa"/>
            <w:gridSpan w:val="2"/>
          </w:tcPr>
          <w:p w14:paraId="35015A94" w14:textId="31E0852E" w:rsidR="00AE6356" w:rsidRPr="001E2829" w:rsidRDefault="007E6442" w:rsidP="00C10849">
            <w:pPr>
              <w:spacing w:before="240" w:after="240" w:line="240" w:lineRule="atLeast"/>
            </w:pPr>
            <w:r>
              <w:rPr>
                <w:szCs w:val="22"/>
              </w:rPr>
              <w:t xml:space="preserve">IVERMECTIN </w:t>
            </w:r>
            <w:r w:rsidR="00AD4466">
              <w:rPr>
                <w:szCs w:val="22"/>
              </w:rPr>
              <w:t xml:space="preserve">in preparations for oral administration </w:t>
            </w:r>
            <w:r>
              <w:rPr>
                <w:szCs w:val="22"/>
              </w:rPr>
              <w:t>for human use</w:t>
            </w:r>
            <w:r w:rsidR="00AE6356" w:rsidRPr="00181D9E">
              <w:rPr>
                <w:rFonts w:eastAsia="Cambria" w:cs="Times New Roman"/>
              </w:rPr>
              <w:t>.</w:t>
            </w:r>
          </w:p>
        </w:tc>
      </w:tr>
    </w:tbl>
    <w:bookmarkEnd w:id="8"/>
    <w:p w14:paraId="19748DEA" w14:textId="3851D60B" w:rsidR="00F077FD" w:rsidRDefault="00F077FD" w:rsidP="00131E95">
      <w:pPr>
        <w:pStyle w:val="ItemHead"/>
      </w:pPr>
      <w:proofErr w:type="gramStart"/>
      <w:r>
        <w:t>3  Schedule</w:t>
      </w:r>
      <w:proofErr w:type="gramEnd"/>
      <w:r>
        <w:t xml:space="preserve"> </w:t>
      </w:r>
      <w:r w:rsidR="00422EEC">
        <w:t>1</w:t>
      </w:r>
      <w:r>
        <w:t xml:space="preserve"> (index)</w:t>
      </w:r>
    </w:p>
    <w:p w14:paraId="2774F95D" w14:textId="7D1302D2" w:rsidR="00F077FD" w:rsidRPr="006C4095" w:rsidRDefault="00F077FD" w:rsidP="00131E95">
      <w:pPr>
        <w:pStyle w:val="Item"/>
        <w:keepNext/>
      </w:pPr>
      <w:r>
        <w:t xml:space="preserve">Omit </w:t>
      </w:r>
      <w:r w:rsidRPr="006C4095">
        <w:t xml:space="preserve">the entry for </w:t>
      </w:r>
      <w:r w:rsidR="00131E95">
        <w:t>ivermectin</w:t>
      </w:r>
      <w:r>
        <w:t>, substitute:</w:t>
      </w:r>
    </w:p>
    <w:p w14:paraId="3934EC77" w14:textId="77777777" w:rsidR="00131E95" w:rsidRPr="001E2829" w:rsidRDefault="00131E95" w:rsidP="00131E95">
      <w:pPr>
        <w:spacing w:before="120"/>
        <w:rPr>
          <w:b/>
        </w:rPr>
      </w:pPr>
      <w:bookmarkStart w:id="10" w:name="_Hlk82080708"/>
      <w:r w:rsidRPr="001E2829">
        <w:rPr>
          <w:b/>
        </w:rPr>
        <w:t>IVERMECTIN</w:t>
      </w:r>
    </w:p>
    <w:p w14:paraId="6EF6B4E9" w14:textId="1DEED1A9" w:rsidR="00534ED0" w:rsidRPr="00F74AAD" w:rsidRDefault="00131E95" w:rsidP="00F74AAD">
      <w:pPr>
        <w:spacing w:before="240" w:after="240" w:line="240" w:lineRule="atLeast"/>
        <w:rPr>
          <w:b/>
        </w:rPr>
      </w:pPr>
      <w:r w:rsidRPr="001E2829">
        <w:t>Schedule 7</w:t>
      </w:r>
      <w:r w:rsidRPr="001E2829">
        <w:br/>
        <w:t>Schedule 5</w:t>
      </w:r>
      <w:r w:rsidRPr="001E2829">
        <w:br/>
        <w:t>Schedule 4</w:t>
      </w:r>
      <w:r>
        <w:br/>
        <w:t>Appendix D, Item 10</w:t>
      </w:r>
      <w:bookmarkEnd w:id="10"/>
    </w:p>
    <w:sectPr w:rsidR="00534ED0" w:rsidRPr="00F74AAD" w:rsidSect="0038323B">
      <w:headerReference w:type="even" r:id="rId20"/>
      <w:headerReference w:type="default" r:id="rId21"/>
      <w:footerReference w:type="even" r:id="rId22"/>
      <w:footerReference w:type="default" r:id="rId23"/>
      <w:footerReference w:type="first" r:id="rId24"/>
      <w:pgSz w:w="11906" w:h="16838" w:code="9"/>
      <w:pgMar w:top="1522" w:right="1701" w:bottom="567" w:left="1701" w:header="90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2331E" w14:textId="77777777" w:rsidR="000560D0" w:rsidRDefault="000560D0" w:rsidP="0048364F">
      <w:pPr>
        <w:spacing w:line="240" w:lineRule="auto"/>
      </w:pPr>
      <w:r>
        <w:separator/>
      </w:r>
    </w:p>
  </w:endnote>
  <w:endnote w:type="continuationSeparator" w:id="0">
    <w:p w14:paraId="4C18FFCB" w14:textId="77777777" w:rsidR="000560D0" w:rsidRDefault="000560D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OT-Light">
    <w:altName w:val="DINO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3A493906" w14:textId="77777777" w:rsidTr="00C6510E">
      <w:tc>
        <w:tcPr>
          <w:tcW w:w="5000" w:type="pct"/>
        </w:tcPr>
        <w:p w14:paraId="55D07C9B" w14:textId="77777777" w:rsidR="009278C1" w:rsidRDefault="009278C1" w:rsidP="00C6510E">
          <w:pPr>
            <w:rPr>
              <w:sz w:val="18"/>
            </w:rPr>
          </w:pPr>
        </w:p>
      </w:tc>
    </w:tr>
  </w:tbl>
  <w:p w14:paraId="261D788B"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24E263A" w14:textId="77777777" w:rsidTr="00C6510E">
      <w:tc>
        <w:tcPr>
          <w:tcW w:w="5000" w:type="pct"/>
        </w:tcPr>
        <w:p w14:paraId="29028FAA" w14:textId="77777777" w:rsidR="00B20990" w:rsidRDefault="00B20990" w:rsidP="00C6510E">
          <w:pPr>
            <w:rPr>
              <w:sz w:val="18"/>
            </w:rPr>
          </w:pPr>
        </w:p>
      </w:tc>
    </w:tr>
  </w:tbl>
  <w:p w14:paraId="6B1D651F" w14:textId="77777777" w:rsidR="00B20990" w:rsidRPr="006D3667" w:rsidRDefault="00B20990" w:rsidP="00C65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F2EF4" w14:textId="77777777" w:rsidR="00B20990" w:rsidRDefault="00B20990" w:rsidP="00C6510E">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3BD237B2" w14:textId="77777777" w:rsidTr="00C6510E">
      <w:tc>
        <w:tcPr>
          <w:tcW w:w="5000" w:type="pct"/>
        </w:tcPr>
        <w:p w14:paraId="48994AAA" w14:textId="77777777" w:rsidR="00B20990" w:rsidRDefault="00B20990" w:rsidP="00C6510E">
          <w:pPr>
            <w:rPr>
              <w:sz w:val="18"/>
            </w:rPr>
          </w:pPr>
        </w:p>
      </w:tc>
    </w:tr>
  </w:tbl>
  <w:p w14:paraId="0AAF7CA3"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1DB3" w14:textId="77777777" w:rsidR="00B20990" w:rsidRPr="00E33C1C" w:rsidRDefault="00B20990" w:rsidP="00C6510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79300280" w14:textId="77777777" w:rsidTr="00C6510E">
      <w:tc>
        <w:tcPr>
          <w:tcW w:w="365" w:type="pct"/>
          <w:tcBorders>
            <w:top w:val="nil"/>
            <w:left w:val="nil"/>
            <w:bottom w:val="nil"/>
            <w:right w:val="nil"/>
          </w:tcBorders>
        </w:tcPr>
        <w:p w14:paraId="411E0430" w14:textId="77777777" w:rsidR="00B20990" w:rsidRDefault="00B20990" w:rsidP="00C6510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206A">
            <w:rPr>
              <w:i/>
              <w:noProof/>
              <w:sz w:val="18"/>
            </w:rPr>
            <w:t>4</w:t>
          </w:r>
          <w:r w:rsidRPr="00ED79B6">
            <w:rPr>
              <w:i/>
              <w:sz w:val="18"/>
            </w:rPr>
            <w:fldChar w:fldCharType="end"/>
          </w:r>
        </w:p>
      </w:tc>
      <w:tc>
        <w:tcPr>
          <w:tcW w:w="3688" w:type="pct"/>
          <w:tcBorders>
            <w:top w:val="nil"/>
            <w:left w:val="nil"/>
            <w:bottom w:val="nil"/>
            <w:right w:val="nil"/>
          </w:tcBorders>
        </w:tcPr>
        <w:p w14:paraId="37938D10" w14:textId="77777777" w:rsidR="00B20990" w:rsidRDefault="00B20990" w:rsidP="00C6510E">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25C73">
            <w:rPr>
              <w:i/>
              <w:noProof/>
              <w:sz w:val="18"/>
            </w:rPr>
            <w:t>Poisons Standard Amendment (Hydroxychloroquine and Salbutamol) Instrument 2020</w:t>
          </w:r>
          <w:r w:rsidRPr="00B20990">
            <w:rPr>
              <w:i/>
              <w:sz w:val="18"/>
            </w:rPr>
            <w:fldChar w:fldCharType="end"/>
          </w:r>
        </w:p>
      </w:tc>
      <w:tc>
        <w:tcPr>
          <w:tcW w:w="947" w:type="pct"/>
          <w:tcBorders>
            <w:top w:val="nil"/>
            <w:left w:val="nil"/>
            <w:bottom w:val="nil"/>
            <w:right w:val="nil"/>
          </w:tcBorders>
        </w:tcPr>
        <w:p w14:paraId="329780AC" w14:textId="77777777" w:rsidR="00B20990" w:rsidRDefault="00B20990" w:rsidP="00C6510E">
          <w:pPr>
            <w:spacing w:line="0" w:lineRule="atLeast"/>
            <w:jc w:val="right"/>
            <w:rPr>
              <w:sz w:val="18"/>
            </w:rPr>
          </w:pPr>
        </w:p>
      </w:tc>
    </w:tr>
    <w:tr w:rsidR="00B20990" w14:paraId="4FEF948F" w14:textId="77777777" w:rsidTr="00C65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1DCD54C" w14:textId="77777777" w:rsidR="00B20990" w:rsidRDefault="00B20990" w:rsidP="00C6510E">
          <w:pPr>
            <w:jc w:val="right"/>
            <w:rPr>
              <w:sz w:val="18"/>
            </w:rPr>
          </w:pPr>
        </w:p>
      </w:tc>
    </w:tr>
  </w:tbl>
  <w:p w14:paraId="35230485" w14:textId="77777777" w:rsidR="00B20990" w:rsidRPr="00ED79B6" w:rsidRDefault="00B20990" w:rsidP="00C6510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D114" w14:textId="77777777" w:rsidR="00B20990" w:rsidRPr="00E33C1C" w:rsidRDefault="00B20990" w:rsidP="00C6510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64"/>
      <w:gridCol w:w="5339"/>
      <w:gridCol w:w="1410"/>
    </w:tblGrid>
    <w:tr w:rsidR="00B20990" w14:paraId="4AE87FFD" w14:textId="77777777" w:rsidTr="00B11E67">
      <w:tc>
        <w:tcPr>
          <w:tcW w:w="941" w:type="pct"/>
          <w:tcBorders>
            <w:top w:val="nil"/>
            <w:left w:val="nil"/>
            <w:bottom w:val="nil"/>
            <w:right w:val="nil"/>
          </w:tcBorders>
        </w:tcPr>
        <w:p w14:paraId="30A5E2E1" w14:textId="77777777" w:rsidR="00B20990" w:rsidRDefault="00B20990" w:rsidP="00C6510E">
          <w:pPr>
            <w:spacing w:line="0" w:lineRule="atLeast"/>
            <w:rPr>
              <w:sz w:val="18"/>
            </w:rPr>
          </w:pPr>
        </w:p>
      </w:tc>
      <w:tc>
        <w:tcPr>
          <w:tcW w:w="3211" w:type="pct"/>
          <w:tcBorders>
            <w:top w:val="nil"/>
            <w:left w:val="nil"/>
            <w:bottom w:val="nil"/>
            <w:right w:val="nil"/>
          </w:tcBorders>
        </w:tcPr>
        <w:p w14:paraId="66FD99D1" w14:textId="4281284C" w:rsidR="00B20990" w:rsidRPr="00B20990" w:rsidRDefault="00B20990" w:rsidP="00C6510E">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F410A">
            <w:rPr>
              <w:i/>
              <w:noProof/>
              <w:sz w:val="18"/>
            </w:rPr>
            <w:t>Poisons Standard Amendment (Ivermectin) Instrument 2021</w:t>
          </w:r>
          <w:r w:rsidRPr="00B20990">
            <w:rPr>
              <w:i/>
              <w:sz w:val="18"/>
            </w:rPr>
            <w:fldChar w:fldCharType="end"/>
          </w:r>
        </w:p>
      </w:tc>
      <w:tc>
        <w:tcPr>
          <w:tcW w:w="848" w:type="pct"/>
          <w:tcBorders>
            <w:top w:val="nil"/>
            <w:left w:val="nil"/>
            <w:bottom w:val="nil"/>
            <w:right w:val="nil"/>
          </w:tcBorders>
        </w:tcPr>
        <w:p w14:paraId="2A02DD17" w14:textId="4319C8CF" w:rsidR="00B20990" w:rsidRDefault="00B20990" w:rsidP="00C651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3F14">
            <w:rPr>
              <w:i/>
              <w:noProof/>
              <w:sz w:val="18"/>
            </w:rPr>
            <w:t>i</w:t>
          </w:r>
          <w:r w:rsidRPr="00ED79B6">
            <w:rPr>
              <w:i/>
              <w:sz w:val="18"/>
            </w:rPr>
            <w:fldChar w:fldCharType="end"/>
          </w:r>
        </w:p>
      </w:tc>
    </w:tr>
  </w:tbl>
  <w:p w14:paraId="2C208C32" w14:textId="77777777" w:rsidR="00B20990" w:rsidRPr="008C38F7" w:rsidRDefault="00B20990" w:rsidP="008C38F7">
    <w:pPr>
      <w:jc w:val="cen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B30D5" w14:textId="77777777" w:rsidR="00EE57E8" w:rsidRPr="00E33C1C" w:rsidRDefault="00EE57E8" w:rsidP="009C5989">
    <w:pPr>
      <w:pBdr>
        <w:top w:val="single" w:sz="6" w:space="1" w:color="auto"/>
      </w:pBdr>
      <w:spacing w:before="120" w:line="0" w:lineRule="atLeast"/>
      <w:rPr>
        <w:sz w:val="16"/>
        <w:szCs w:val="16"/>
      </w:rPr>
    </w:pPr>
  </w:p>
  <w:tbl>
    <w:tblPr>
      <w:tblStyle w:val="TableGrid"/>
      <w:tblW w:w="8474" w:type="dxa"/>
      <w:tblLayout w:type="fixed"/>
      <w:tblLook w:val="04A0" w:firstRow="1" w:lastRow="0" w:firstColumn="1" w:lastColumn="0" w:noHBand="0" w:noVBand="1"/>
    </w:tblPr>
    <w:tblGrid>
      <w:gridCol w:w="1418"/>
      <w:gridCol w:w="5670"/>
      <w:gridCol w:w="1386"/>
    </w:tblGrid>
    <w:tr w:rsidR="00EE57E8" w14:paraId="6F454017" w14:textId="77777777" w:rsidTr="00465CCF">
      <w:tc>
        <w:tcPr>
          <w:tcW w:w="1418" w:type="dxa"/>
          <w:tcBorders>
            <w:top w:val="nil"/>
            <w:left w:val="nil"/>
            <w:bottom w:val="nil"/>
            <w:right w:val="nil"/>
          </w:tcBorders>
        </w:tcPr>
        <w:p w14:paraId="374D4ACC" w14:textId="779D095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3F14">
            <w:rPr>
              <w:i/>
              <w:noProof/>
              <w:sz w:val="18"/>
            </w:rPr>
            <w:t>2</w:t>
          </w:r>
          <w:r w:rsidRPr="00ED79B6">
            <w:rPr>
              <w:i/>
              <w:sz w:val="18"/>
            </w:rPr>
            <w:fldChar w:fldCharType="end"/>
          </w:r>
        </w:p>
      </w:tc>
      <w:tc>
        <w:tcPr>
          <w:tcW w:w="5670" w:type="dxa"/>
          <w:tcBorders>
            <w:top w:val="nil"/>
            <w:left w:val="nil"/>
            <w:bottom w:val="nil"/>
            <w:right w:val="nil"/>
          </w:tcBorders>
        </w:tcPr>
        <w:p w14:paraId="2B3B51C5" w14:textId="79FFF8F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F410A">
            <w:rPr>
              <w:i/>
              <w:noProof/>
              <w:sz w:val="18"/>
            </w:rPr>
            <w:t>Poisons Standard Amendment (Ivermectin) Instrument 2021</w:t>
          </w:r>
          <w:r w:rsidRPr="00B20990">
            <w:rPr>
              <w:i/>
              <w:sz w:val="18"/>
            </w:rPr>
            <w:fldChar w:fldCharType="end"/>
          </w:r>
        </w:p>
      </w:tc>
      <w:tc>
        <w:tcPr>
          <w:tcW w:w="1386" w:type="dxa"/>
          <w:tcBorders>
            <w:top w:val="nil"/>
            <w:left w:val="nil"/>
            <w:bottom w:val="nil"/>
            <w:right w:val="nil"/>
          </w:tcBorders>
        </w:tcPr>
        <w:p w14:paraId="1DBCCE5B" w14:textId="77777777" w:rsidR="00EE57E8" w:rsidRDefault="00EE57E8" w:rsidP="00EE57E8">
          <w:pPr>
            <w:spacing w:line="0" w:lineRule="atLeast"/>
            <w:jc w:val="right"/>
            <w:rPr>
              <w:sz w:val="18"/>
            </w:rPr>
          </w:pPr>
        </w:p>
      </w:tc>
    </w:tr>
  </w:tbl>
  <w:p w14:paraId="0B0DC712" w14:textId="77777777" w:rsidR="00EE57E8" w:rsidRPr="008C38F7" w:rsidRDefault="00EE57E8" w:rsidP="008C38F7">
    <w:pPr>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752A0" w14:textId="77777777" w:rsidR="00EE57E8" w:rsidRPr="00E33C1C" w:rsidRDefault="00EE57E8" w:rsidP="009C5989">
    <w:pPr>
      <w:pBdr>
        <w:top w:val="single" w:sz="6" w:space="1" w:color="auto"/>
      </w:pBdr>
      <w:spacing w:before="120" w:line="0" w:lineRule="atLeast"/>
      <w:rPr>
        <w:sz w:val="16"/>
        <w:szCs w:val="16"/>
      </w:rPr>
    </w:pPr>
  </w:p>
  <w:tbl>
    <w:tblPr>
      <w:tblStyle w:val="TableGrid"/>
      <w:tblW w:w="8505" w:type="dxa"/>
      <w:tblLayout w:type="fixed"/>
      <w:tblLook w:val="04A0" w:firstRow="1" w:lastRow="0" w:firstColumn="1" w:lastColumn="0" w:noHBand="0" w:noVBand="1"/>
    </w:tblPr>
    <w:tblGrid>
      <w:gridCol w:w="1384"/>
      <w:gridCol w:w="5704"/>
      <w:gridCol w:w="1417"/>
    </w:tblGrid>
    <w:tr w:rsidR="00EE57E8" w14:paraId="41209093" w14:textId="77777777" w:rsidTr="00B11E67">
      <w:tc>
        <w:tcPr>
          <w:tcW w:w="1384" w:type="dxa"/>
          <w:tcBorders>
            <w:top w:val="nil"/>
            <w:left w:val="nil"/>
            <w:bottom w:val="nil"/>
            <w:right w:val="nil"/>
          </w:tcBorders>
        </w:tcPr>
        <w:p w14:paraId="0FB9714F" w14:textId="77777777" w:rsidR="00EE57E8" w:rsidRDefault="00EE57E8" w:rsidP="00EE57E8">
          <w:pPr>
            <w:spacing w:line="0" w:lineRule="atLeast"/>
            <w:rPr>
              <w:sz w:val="18"/>
            </w:rPr>
          </w:pPr>
        </w:p>
      </w:tc>
      <w:tc>
        <w:tcPr>
          <w:tcW w:w="5704" w:type="dxa"/>
          <w:tcBorders>
            <w:top w:val="nil"/>
            <w:left w:val="nil"/>
            <w:bottom w:val="nil"/>
            <w:right w:val="nil"/>
          </w:tcBorders>
        </w:tcPr>
        <w:p w14:paraId="583CAB7B" w14:textId="4EBC1D13"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F410A">
            <w:rPr>
              <w:i/>
              <w:noProof/>
              <w:sz w:val="18"/>
            </w:rPr>
            <w:t>Poisons Standard Amendment (Ivermectin) Instrument 2021</w:t>
          </w:r>
          <w:r w:rsidRPr="00B20990">
            <w:rPr>
              <w:i/>
              <w:sz w:val="18"/>
            </w:rPr>
            <w:fldChar w:fldCharType="end"/>
          </w:r>
        </w:p>
      </w:tc>
      <w:tc>
        <w:tcPr>
          <w:tcW w:w="1417" w:type="dxa"/>
          <w:tcBorders>
            <w:top w:val="nil"/>
            <w:left w:val="nil"/>
            <w:bottom w:val="nil"/>
            <w:right w:val="nil"/>
          </w:tcBorders>
        </w:tcPr>
        <w:p w14:paraId="2A8B67F9" w14:textId="01796D9F"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3F14">
            <w:rPr>
              <w:i/>
              <w:noProof/>
              <w:sz w:val="18"/>
            </w:rPr>
            <w:t>1</w:t>
          </w:r>
          <w:r w:rsidRPr="00ED79B6">
            <w:rPr>
              <w:i/>
              <w:sz w:val="18"/>
            </w:rPr>
            <w:fldChar w:fldCharType="end"/>
          </w:r>
        </w:p>
      </w:tc>
    </w:tr>
  </w:tbl>
  <w:p w14:paraId="5E4FC94F" w14:textId="77777777" w:rsidR="00EE57E8" w:rsidRPr="008C38F7" w:rsidRDefault="00EE57E8" w:rsidP="008C38F7">
    <w:pPr>
      <w:jc w:val="cente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78543"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FD908D5" w14:textId="77777777" w:rsidTr="007A6863">
      <w:tc>
        <w:tcPr>
          <w:tcW w:w="1384" w:type="dxa"/>
          <w:tcBorders>
            <w:top w:val="nil"/>
            <w:left w:val="nil"/>
            <w:bottom w:val="nil"/>
            <w:right w:val="nil"/>
          </w:tcBorders>
        </w:tcPr>
        <w:p w14:paraId="57B012EF" w14:textId="77777777" w:rsidR="00EE57E8" w:rsidRDefault="00EE57E8" w:rsidP="00EE57E8">
          <w:pPr>
            <w:spacing w:line="0" w:lineRule="atLeast"/>
            <w:rPr>
              <w:sz w:val="18"/>
            </w:rPr>
          </w:pPr>
        </w:p>
      </w:tc>
      <w:tc>
        <w:tcPr>
          <w:tcW w:w="6379" w:type="dxa"/>
          <w:tcBorders>
            <w:top w:val="nil"/>
            <w:left w:val="nil"/>
            <w:bottom w:val="nil"/>
            <w:right w:val="nil"/>
          </w:tcBorders>
        </w:tcPr>
        <w:p w14:paraId="18D3527D"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5C73">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E103BF4"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0744683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434C3B2" w14:textId="61E62D40"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25C73">
            <w:rPr>
              <w:i/>
              <w:noProof/>
              <w:sz w:val="18"/>
            </w:rPr>
            <w:t>U:\Documents\Poisons Standard Amdt Salbutamol\DRAFT Poisons Standard Amendment (Hydroxychloroquine and Salbutamol) Instrument 2020.docx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A6B9E">
            <w:rPr>
              <w:i/>
              <w:noProof/>
              <w:sz w:val="18"/>
            </w:rPr>
            <w:t>10/9/2021 12:03 PM</w:t>
          </w:r>
          <w:r w:rsidRPr="00ED79B6">
            <w:rPr>
              <w:i/>
              <w:sz w:val="18"/>
            </w:rPr>
            <w:fldChar w:fldCharType="end"/>
          </w:r>
        </w:p>
      </w:tc>
    </w:tr>
  </w:tbl>
  <w:p w14:paraId="665EFD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2D7D9" w14:textId="77777777" w:rsidR="000560D0" w:rsidRDefault="000560D0" w:rsidP="0048364F">
      <w:pPr>
        <w:spacing w:line="240" w:lineRule="auto"/>
      </w:pPr>
      <w:r>
        <w:separator/>
      </w:r>
    </w:p>
  </w:footnote>
  <w:footnote w:type="continuationSeparator" w:id="0">
    <w:p w14:paraId="0F4969FC" w14:textId="77777777" w:rsidR="000560D0" w:rsidRDefault="000560D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90AE4"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CF50"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CD12"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B9543" w14:textId="77777777" w:rsidR="00B20990" w:rsidRPr="00ED79B6" w:rsidRDefault="00B20990" w:rsidP="00C6510E">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1411B" w14:textId="77777777" w:rsidR="00B20990" w:rsidRPr="00ED79B6" w:rsidRDefault="00B20990" w:rsidP="00C6510E">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ED5C6"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8F23" w14:textId="77777777" w:rsidR="00EE57E8" w:rsidRPr="00A961C4" w:rsidRDefault="00EE57E8" w:rsidP="0048364F">
    <w:pPr>
      <w:rPr>
        <w:b/>
        <w:sz w:val="20"/>
      </w:rPr>
    </w:pPr>
  </w:p>
  <w:p w14:paraId="342929FA" w14:textId="77777777" w:rsidR="00EE57E8" w:rsidRPr="00A961C4" w:rsidRDefault="00EE57E8" w:rsidP="0048364F">
    <w:pPr>
      <w:rPr>
        <w:b/>
        <w:sz w:val="20"/>
      </w:rPr>
    </w:pPr>
  </w:p>
  <w:p w14:paraId="2A3C23C1"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297B2" w14:textId="77777777" w:rsidR="00EE57E8" w:rsidRPr="00A961C4" w:rsidRDefault="00EE57E8" w:rsidP="0048364F">
    <w:pPr>
      <w:jc w:val="right"/>
      <w:rPr>
        <w:sz w:val="20"/>
      </w:rPr>
    </w:pPr>
  </w:p>
  <w:p w14:paraId="45526F71" w14:textId="77777777" w:rsidR="00EE57E8" w:rsidRPr="00A961C4" w:rsidRDefault="00EE57E8" w:rsidP="0048364F">
    <w:pPr>
      <w:jc w:val="right"/>
      <w:rPr>
        <w:b/>
        <w:sz w:val="20"/>
      </w:rPr>
    </w:pPr>
  </w:p>
  <w:p w14:paraId="068A0B7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0B8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C8F3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F13E9"/>
    <w:multiLevelType w:val="multilevel"/>
    <w:tmpl w:val="D1D689A0"/>
    <w:styleLink w:val="ListBullets"/>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B01F1C"/>
    <w:multiLevelType w:val="hybridMultilevel"/>
    <w:tmpl w:val="184205D0"/>
    <w:lvl w:ilvl="0" w:tplc="473404E4">
      <w:start w:val="1"/>
      <w:numFmt w:val="decimal"/>
      <w:lvlText w:val="%1"/>
      <w:lvlJc w:val="left"/>
      <w:pPr>
        <w:ind w:left="1068" w:hanging="7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B2E6678"/>
    <w:multiLevelType w:val="hybridMultilevel"/>
    <w:tmpl w:val="9D9273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3"/>
  </w:num>
  <w:num w:numId="15">
    <w:abstractNumId w:val="16"/>
  </w:num>
  <w:num w:numId="16">
    <w:abstractNumId w:val="11"/>
  </w:num>
  <w:num w:numId="17">
    <w:abstractNumId w:val="14"/>
    <w:lvlOverride w:ilvl="0">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33"/>
    <w:rsid w:val="00000263"/>
    <w:rsid w:val="00002BCC"/>
    <w:rsid w:val="000113BC"/>
    <w:rsid w:val="000136AF"/>
    <w:rsid w:val="000216EA"/>
    <w:rsid w:val="0004044E"/>
    <w:rsid w:val="0005120E"/>
    <w:rsid w:val="0005403A"/>
    <w:rsid w:val="00054577"/>
    <w:rsid w:val="000560D0"/>
    <w:rsid w:val="000614BF"/>
    <w:rsid w:val="00070CF5"/>
    <w:rsid w:val="0007169C"/>
    <w:rsid w:val="00077593"/>
    <w:rsid w:val="00080B40"/>
    <w:rsid w:val="00083F48"/>
    <w:rsid w:val="000A479A"/>
    <w:rsid w:val="000A7DF9"/>
    <w:rsid w:val="000C7AFC"/>
    <w:rsid w:val="000D05EF"/>
    <w:rsid w:val="000D3FB9"/>
    <w:rsid w:val="000D5485"/>
    <w:rsid w:val="000E598E"/>
    <w:rsid w:val="000E5A3D"/>
    <w:rsid w:val="000F0ADA"/>
    <w:rsid w:val="000F21C1"/>
    <w:rsid w:val="00104F67"/>
    <w:rsid w:val="0010745C"/>
    <w:rsid w:val="00107D7C"/>
    <w:rsid w:val="001122FF"/>
    <w:rsid w:val="001300D0"/>
    <w:rsid w:val="00131E95"/>
    <w:rsid w:val="00135224"/>
    <w:rsid w:val="00160BD7"/>
    <w:rsid w:val="001643C9"/>
    <w:rsid w:val="00165568"/>
    <w:rsid w:val="00166082"/>
    <w:rsid w:val="00166C2F"/>
    <w:rsid w:val="001716C9"/>
    <w:rsid w:val="00184261"/>
    <w:rsid w:val="00184BAE"/>
    <w:rsid w:val="00193461"/>
    <w:rsid w:val="00193487"/>
    <w:rsid w:val="001939E1"/>
    <w:rsid w:val="0019452E"/>
    <w:rsid w:val="00195382"/>
    <w:rsid w:val="001A34D2"/>
    <w:rsid w:val="001A3B9F"/>
    <w:rsid w:val="001A5520"/>
    <w:rsid w:val="001A65C0"/>
    <w:rsid w:val="001B0FC2"/>
    <w:rsid w:val="001B7A5D"/>
    <w:rsid w:val="001C61B0"/>
    <w:rsid w:val="001C69C4"/>
    <w:rsid w:val="001C6D73"/>
    <w:rsid w:val="001D516B"/>
    <w:rsid w:val="001E0A8D"/>
    <w:rsid w:val="001E3590"/>
    <w:rsid w:val="001E7407"/>
    <w:rsid w:val="001F1A46"/>
    <w:rsid w:val="00201D27"/>
    <w:rsid w:val="0021153A"/>
    <w:rsid w:val="00213F14"/>
    <w:rsid w:val="00223A39"/>
    <w:rsid w:val="002245A6"/>
    <w:rsid w:val="002302EA"/>
    <w:rsid w:val="0023098A"/>
    <w:rsid w:val="00230B7A"/>
    <w:rsid w:val="00237614"/>
    <w:rsid w:val="00240749"/>
    <w:rsid w:val="002468D7"/>
    <w:rsid w:val="00247E97"/>
    <w:rsid w:val="002516E1"/>
    <w:rsid w:val="00256C81"/>
    <w:rsid w:val="00285CDD"/>
    <w:rsid w:val="00291167"/>
    <w:rsid w:val="0029489E"/>
    <w:rsid w:val="00297ECB"/>
    <w:rsid w:val="002A5873"/>
    <w:rsid w:val="002B6171"/>
    <w:rsid w:val="002C152A"/>
    <w:rsid w:val="002C6F5D"/>
    <w:rsid w:val="002C7691"/>
    <w:rsid w:val="002D043A"/>
    <w:rsid w:val="002D6661"/>
    <w:rsid w:val="002F3585"/>
    <w:rsid w:val="00316FAF"/>
    <w:rsid w:val="0031700D"/>
    <w:rsid w:val="0031713F"/>
    <w:rsid w:val="003222D1"/>
    <w:rsid w:val="0032750F"/>
    <w:rsid w:val="003415D3"/>
    <w:rsid w:val="003442F6"/>
    <w:rsid w:val="00346335"/>
    <w:rsid w:val="00347A5B"/>
    <w:rsid w:val="00352B0F"/>
    <w:rsid w:val="003561B0"/>
    <w:rsid w:val="00377616"/>
    <w:rsid w:val="0038323B"/>
    <w:rsid w:val="00397893"/>
    <w:rsid w:val="003A15AC"/>
    <w:rsid w:val="003B0627"/>
    <w:rsid w:val="003B3358"/>
    <w:rsid w:val="003B3A4E"/>
    <w:rsid w:val="003C5F2B"/>
    <w:rsid w:val="003C7D35"/>
    <w:rsid w:val="003D0BFE"/>
    <w:rsid w:val="003D5700"/>
    <w:rsid w:val="003E6095"/>
    <w:rsid w:val="003F6F52"/>
    <w:rsid w:val="00400C8B"/>
    <w:rsid w:val="004022CA"/>
    <w:rsid w:val="004116CD"/>
    <w:rsid w:val="00414ADE"/>
    <w:rsid w:val="00422EEC"/>
    <w:rsid w:val="00424CA9"/>
    <w:rsid w:val="004257BB"/>
    <w:rsid w:val="00431FCA"/>
    <w:rsid w:val="0044291A"/>
    <w:rsid w:val="004600B0"/>
    <w:rsid w:val="00460499"/>
    <w:rsid w:val="00460FBA"/>
    <w:rsid w:val="004628DF"/>
    <w:rsid w:val="00465CCF"/>
    <w:rsid w:val="004731CE"/>
    <w:rsid w:val="00474835"/>
    <w:rsid w:val="004819C7"/>
    <w:rsid w:val="0048364F"/>
    <w:rsid w:val="004877FC"/>
    <w:rsid w:val="00490533"/>
    <w:rsid w:val="00490F2E"/>
    <w:rsid w:val="00496F97"/>
    <w:rsid w:val="004A284E"/>
    <w:rsid w:val="004A53EA"/>
    <w:rsid w:val="004B35E7"/>
    <w:rsid w:val="004B7A40"/>
    <w:rsid w:val="004C24E2"/>
    <w:rsid w:val="004D7DE2"/>
    <w:rsid w:val="004F1FAC"/>
    <w:rsid w:val="004F676E"/>
    <w:rsid w:val="004F71C0"/>
    <w:rsid w:val="004F7CBF"/>
    <w:rsid w:val="00516B8D"/>
    <w:rsid w:val="005271B3"/>
    <w:rsid w:val="0052756C"/>
    <w:rsid w:val="00530230"/>
    <w:rsid w:val="00530CC9"/>
    <w:rsid w:val="00531B46"/>
    <w:rsid w:val="00534ED0"/>
    <w:rsid w:val="0053699E"/>
    <w:rsid w:val="00537FBC"/>
    <w:rsid w:val="00541D73"/>
    <w:rsid w:val="00543469"/>
    <w:rsid w:val="00546FA3"/>
    <w:rsid w:val="00557C7A"/>
    <w:rsid w:val="00562A58"/>
    <w:rsid w:val="00562C03"/>
    <w:rsid w:val="00564AA9"/>
    <w:rsid w:val="0056541A"/>
    <w:rsid w:val="00573875"/>
    <w:rsid w:val="00581211"/>
    <w:rsid w:val="0058383E"/>
    <w:rsid w:val="00584811"/>
    <w:rsid w:val="005933F2"/>
    <w:rsid w:val="00593AA6"/>
    <w:rsid w:val="00594161"/>
    <w:rsid w:val="00594749"/>
    <w:rsid w:val="00594956"/>
    <w:rsid w:val="005978F4"/>
    <w:rsid w:val="005A0475"/>
    <w:rsid w:val="005B1555"/>
    <w:rsid w:val="005B4067"/>
    <w:rsid w:val="005C1762"/>
    <w:rsid w:val="005C3071"/>
    <w:rsid w:val="005C3F41"/>
    <w:rsid w:val="005C4EF0"/>
    <w:rsid w:val="005C5B67"/>
    <w:rsid w:val="005D5EA1"/>
    <w:rsid w:val="005E098C"/>
    <w:rsid w:val="005E1F8D"/>
    <w:rsid w:val="005E317F"/>
    <w:rsid w:val="005E3946"/>
    <w:rsid w:val="005E61D3"/>
    <w:rsid w:val="00600219"/>
    <w:rsid w:val="00605182"/>
    <w:rsid w:val="006057D1"/>
    <w:rsid w:val="0060584E"/>
    <w:rsid w:val="006065DA"/>
    <w:rsid w:val="00606AA4"/>
    <w:rsid w:val="00614A7F"/>
    <w:rsid w:val="00620766"/>
    <w:rsid w:val="00635DD3"/>
    <w:rsid w:val="00640402"/>
    <w:rsid w:val="00640F78"/>
    <w:rsid w:val="006446C9"/>
    <w:rsid w:val="00647948"/>
    <w:rsid w:val="00650A9F"/>
    <w:rsid w:val="00655D6A"/>
    <w:rsid w:val="00656DE9"/>
    <w:rsid w:val="00665F4F"/>
    <w:rsid w:val="00672876"/>
    <w:rsid w:val="006746FD"/>
    <w:rsid w:val="00677CC2"/>
    <w:rsid w:val="00685F42"/>
    <w:rsid w:val="0069207B"/>
    <w:rsid w:val="006A304E"/>
    <w:rsid w:val="006B62EB"/>
    <w:rsid w:val="006B7006"/>
    <w:rsid w:val="006C3A6A"/>
    <w:rsid w:val="006C7F8C"/>
    <w:rsid w:val="006D7AB9"/>
    <w:rsid w:val="006E51AD"/>
    <w:rsid w:val="00700B2C"/>
    <w:rsid w:val="00702E41"/>
    <w:rsid w:val="00713084"/>
    <w:rsid w:val="00717463"/>
    <w:rsid w:val="0072037A"/>
    <w:rsid w:val="00720FC2"/>
    <w:rsid w:val="00722E89"/>
    <w:rsid w:val="00731E00"/>
    <w:rsid w:val="007339C7"/>
    <w:rsid w:val="00740B47"/>
    <w:rsid w:val="00741AB6"/>
    <w:rsid w:val="007440B7"/>
    <w:rsid w:val="00747993"/>
    <w:rsid w:val="007634AD"/>
    <w:rsid w:val="0076528B"/>
    <w:rsid w:val="00767A67"/>
    <w:rsid w:val="007715C9"/>
    <w:rsid w:val="00772090"/>
    <w:rsid w:val="00772A6D"/>
    <w:rsid w:val="00774EDD"/>
    <w:rsid w:val="007757EC"/>
    <w:rsid w:val="007838F3"/>
    <w:rsid w:val="00784066"/>
    <w:rsid w:val="007A2408"/>
    <w:rsid w:val="007A6863"/>
    <w:rsid w:val="007C78B4"/>
    <w:rsid w:val="007D199A"/>
    <w:rsid w:val="007D58E7"/>
    <w:rsid w:val="007D6AF4"/>
    <w:rsid w:val="007E32B6"/>
    <w:rsid w:val="007E486B"/>
    <w:rsid w:val="007E6442"/>
    <w:rsid w:val="007E7D4A"/>
    <w:rsid w:val="007F1073"/>
    <w:rsid w:val="007F48ED"/>
    <w:rsid w:val="007F5E3F"/>
    <w:rsid w:val="00803B5D"/>
    <w:rsid w:val="00804F93"/>
    <w:rsid w:val="00812F45"/>
    <w:rsid w:val="0082176B"/>
    <w:rsid w:val="0083137E"/>
    <w:rsid w:val="00836FE9"/>
    <w:rsid w:val="0084172C"/>
    <w:rsid w:val="0085175E"/>
    <w:rsid w:val="00856A31"/>
    <w:rsid w:val="008735D0"/>
    <w:rsid w:val="008754D0"/>
    <w:rsid w:val="00877C69"/>
    <w:rsid w:val="00877D48"/>
    <w:rsid w:val="008803FD"/>
    <w:rsid w:val="0088345B"/>
    <w:rsid w:val="008A16A5"/>
    <w:rsid w:val="008A5C57"/>
    <w:rsid w:val="008A6B9E"/>
    <w:rsid w:val="008B4884"/>
    <w:rsid w:val="008C0629"/>
    <w:rsid w:val="008C38F7"/>
    <w:rsid w:val="008D0BD8"/>
    <w:rsid w:val="008D0EE0"/>
    <w:rsid w:val="008D7A27"/>
    <w:rsid w:val="008E4702"/>
    <w:rsid w:val="008E69AA"/>
    <w:rsid w:val="008E6F33"/>
    <w:rsid w:val="008F4F1C"/>
    <w:rsid w:val="008F7D3B"/>
    <w:rsid w:val="009069AD"/>
    <w:rsid w:val="00910E64"/>
    <w:rsid w:val="009148B1"/>
    <w:rsid w:val="00922764"/>
    <w:rsid w:val="009278C1"/>
    <w:rsid w:val="00930632"/>
    <w:rsid w:val="00932377"/>
    <w:rsid w:val="009346E3"/>
    <w:rsid w:val="0094523D"/>
    <w:rsid w:val="009554C1"/>
    <w:rsid w:val="00963FFA"/>
    <w:rsid w:val="00966C5F"/>
    <w:rsid w:val="00976A63"/>
    <w:rsid w:val="00981F73"/>
    <w:rsid w:val="009824F9"/>
    <w:rsid w:val="009A69D1"/>
    <w:rsid w:val="009B2490"/>
    <w:rsid w:val="009B50E5"/>
    <w:rsid w:val="009C3431"/>
    <w:rsid w:val="009C5989"/>
    <w:rsid w:val="009C6A32"/>
    <w:rsid w:val="009D08DA"/>
    <w:rsid w:val="009E2D2B"/>
    <w:rsid w:val="009E4893"/>
    <w:rsid w:val="00A06860"/>
    <w:rsid w:val="00A070FF"/>
    <w:rsid w:val="00A136F5"/>
    <w:rsid w:val="00A20E61"/>
    <w:rsid w:val="00A231E2"/>
    <w:rsid w:val="00A2550D"/>
    <w:rsid w:val="00A27400"/>
    <w:rsid w:val="00A35055"/>
    <w:rsid w:val="00A379BB"/>
    <w:rsid w:val="00A4169B"/>
    <w:rsid w:val="00A44005"/>
    <w:rsid w:val="00A50D55"/>
    <w:rsid w:val="00A52FDA"/>
    <w:rsid w:val="00A64912"/>
    <w:rsid w:val="00A67567"/>
    <w:rsid w:val="00A70A74"/>
    <w:rsid w:val="00A76243"/>
    <w:rsid w:val="00A81F51"/>
    <w:rsid w:val="00A9231A"/>
    <w:rsid w:val="00A95BC7"/>
    <w:rsid w:val="00AA0343"/>
    <w:rsid w:val="00AA78CE"/>
    <w:rsid w:val="00AA7B26"/>
    <w:rsid w:val="00AC767C"/>
    <w:rsid w:val="00AD3467"/>
    <w:rsid w:val="00AD4466"/>
    <w:rsid w:val="00AD5641"/>
    <w:rsid w:val="00AE6356"/>
    <w:rsid w:val="00AF33DB"/>
    <w:rsid w:val="00AF5507"/>
    <w:rsid w:val="00B02129"/>
    <w:rsid w:val="00B032D8"/>
    <w:rsid w:val="00B05387"/>
    <w:rsid w:val="00B05D72"/>
    <w:rsid w:val="00B11E67"/>
    <w:rsid w:val="00B1206A"/>
    <w:rsid w:val="00B177AE"/>
    <w:rsid w:val="00B20990"/>
    <w:rsid w:val="00B23FAF"/>
    <w:rsid w:val="00B33B3C"/>
    <w:rsid w:val="00B36CE8"/>
    <w:rsid w:val="00B40D74"/>
    <w:rsid w:val="00B42649"/>
    <w:rsid w:val="00B46467"/>
    <w:rsid w:val="00B52663"/>
    <w:rsid w:val="00B56DCB"/>
    <w:rsid w:val="00B61728"/>
    <w:rsid w:val="00B770D2"/>
    <w:rsid w:val="00B93516"/>
    <w:rsid w:val="00B96776"/>
    <w:rsid w:val="00B973E5"/>
    <w:rsid w:val="00BA47A3"/>
    <w:rsid w:val="00BA5026"/>
    <w:rsid w:val="00BA7B5B"/>
    <w:rsid w:val="00BB6E79"/>
    <w:rsid w:val="00BE42C5"/>
    <w:rsid w:val="00BE4875"/>
    <w:rsid w:val="00BE719A"/>
    <w:rsid w:val="00BE720A"/>
    <w:rsid w:val="00BF0723"/>
    <w:rsid w:val="00BF1313"/>
    <w:rsid w:val="00BF6650"/>
    <w:rsid w:val="00C04658"/>
    <w:rsid w:val="00C067E5"/>
    <w:rsid w:val="00C13A52"/>
    <w:rsid w:val="00C1578E"/>
    <w:rsid w:val="00C164CA"/>
    <w:rsid w:val="00C26051"/>
    <w:rsid w:val="00C37F14"/>
    <w:rsid w:val="00C42BF8"/>
    <w:rsid w:val="00C460AE"/>
    <w:rsid w:val="00C50043"/>
    <w:rsid w:val="00C5015F"/>
    <w:rsid w:val="00C50A0F"/>
    <w:rsid w:val="00C50F4A"/>
    <w:rsid w:val="00C54E90"/>
    <w:rsid w:val="00C6510E"/>
    <w:rsid w:val="00C72D10"/>
    <w:rsid w:val="00C7573B"/>
    <w:rsid w:val="00C76CF3"/>
    <w:rsid w:val="00C77058"/>
    <w:rsid w:val="00C907E2"/>
    <w:rsid w:val="00C93205"/>
    <w:rsid w:val="00C945DC"/>
    <w:rsid w:val="00CA46C1"/>
    <w:rsid w:val="00CA7844"/>
    <w:rsid w:val="00CB58EF"/>
    <w:rsid w:val="00CE0A93"/>
    <w:rsid w:val="00CF0BB2"/>
    <w:rsid w:val="00D12B0D"/>
    <w:rsid w:val="00D13441"/>
    <w:rsid w:val="00D243A3"/>
    <w:rsid w:val="00D31206"/>
    <w:rsid w:val="00D33440"/>
    <w:rsid w:val="00D52EFE"/>
    <w:rsid w:val="00D56A0D"/>
    <w:rsid w:val="00D63EF6"/>
    <w:rsid w:val="00D66518"/>
    <w:rsid w:val="00D70DFB"/>
    <w:rsid w:val="00D71EEA"/>
    <w:rsid w:val="00D735CD"/>
    <w:rsid w:val="00D766DF"/>
    <w:rsid w:val="00D90841"/>
    <w:rsid w:val="00D929B8"/>
    <w:rsid w:val="00DA2439"/>
    <w:rsid w:val="00DA6F05"/>
    <w:rsid w:val="00DB2DC3"/>
    <w:rsid w:val="00DB64FC"/>
    <w:rsid w:val="00DB7FB8"/>
    <w:rsid w:val="00DE149E"/>
    <w:rsid w:val="00DE23C3"/>
    <w:rsid w:val="00DF410A"/>
    <w:rsid w:val="00E034DB"/>
    <w:rsid w:val="00E05704"/>
    <w:rsid w:val="00E12F1A"/>
    <w:rsid w:val="00E22935"/>
    <w:rsid w:val="00E54292"/>
    <w:rsid w:val="00E60191"/>
    <w:rsid w:val="00E74DC7"/>
    <w:rsid w:val="00E87699"/>
    <w:rsid w:val="00E92E27"/>
    <w:rsid w:val="00E94500"/>
    <w:rsid w:val="00E9555E"/>
    <w:rsid w:val="00E9586B"/>
    <w:rsid w:val="00E97334"/>
    <w:rsid w:val="00EB276E"/>
    <w:rsid w:val="00EB3A99"/>
    <w:rsid w:val="00EB3EDF"/>
    <w:rsid w:val="00EB5745"/>
    <w:rsid w:val="00EB65F8"/>
    <w:rsid w:val="00EC7F90"/>
    <w:rsid w:val="00ED28FC"/>
    <w:rsid w:val="00ED4928"/>
    <w:rsid w:val="00EE3FFE"/>
    <w:rsid w:val="00EE57E8"/>
    <w:rsid w:val="00EE6190"/>
    <w:rsid w:val="00EF2E3A"/>
    <w:rsid w:val="00EF6402"/>
    <w:rsid w:val="00EF79D4"/>
    <w:rsid w:val="00F047E2"/>
    <w:rsid w:val="00F04D57"/>
    <w:rsid w:val="00F077FD"/>
    <w:rsid w:val="00F078DC"/>
    <w:rsid w:val="00F12291"/>
    <w:rsid w:val="00F13E86"/>
    <w:rsid w:val="00F20B52"/>
    <w:rsid w:val="00F25C73"/>
    <w:rsid w:val="00F32FCB"/>
    <w:rsid w:val="00F33523"/>
    <w:rsid w:val="00F56FB4"/>
    <w:rsid w:val="00F63EFA"/>
    <w:rsid w:val="00F677A9"/>
    <w:rsid w:val="00F71195"/>
    <w:rsid w:val="00F74AAD"/>
    <w:rsid w:val="00F8121C"/>
    <w:rsid w:val="00F84CF5"/>
    <w:rsid w:val="00F8612E"/>
    <w:rsid w:val="00F94583"/>
    <w:rsid w:val="00FA420B"/>
    <w:rsid w:val="00FB262E"/>
    <w:rsid w:val="00FB6AEE"/>
    <w:rsid w:val="00FB7DD5"/>
    <w:rsid w:val="00FC3EAC"/>
    <w:rsid w:val="00FC685D"/>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EDE63D"/>
  <w15:docId w15:val="{31AD95BE-C2DC-4487-8E65-4ECBAC80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635DD3"/>
    <w:rPr>
      <w:sz w:val="16"/>
      <w:szCs w:val="16"/>
    </w:rPr>
  </w:style>
  <w:style w:type="paragraph" w:styleId="CommentText">
    <w:name w:val="annotation text"/>
    <w:basedOn w:val="Normal"/>
    <w:link w:val="CommentTextChar"/>
    <w:uiPriority w:val="99"/>
    <w:semiHidden/>
    <w:unhideWhenUsed/>
    <w:rsid w:val="00635DD3"/>
    <w:pPr>
      <w:spacing w:line="240" w:lineRule="auto"/>
    </w:pPr>
    <w:rPr>
      <w:sz w:val="20"/>
    </w:rPr>
  </w:style>
  <w:style w:type="character" w:customStyle="1" w:styleId="CommentTextChar">
    <w:name w:val="Comment Text Char"/>
    <w:basedOn w:val="DefaultParagraphFont"/>
    <w:link w:val="CommentText"/>
    <w:uiPriority w:val="99"/>
    <w:semiHidden/>
    <w:rsid w:val="00635DD3"/>
  </w:style>
  <w:style w:type="paragraph" w:styleId="CommentSubject">
    <w:name w:val="annotation subject"/>
    <w:basedOn w:val="CommentText"/>
    <w:next w:val="CommentText"/>
    <w:link w:val="CommentSubjectChar"/>
    <w:uiPriority w:val="99"/>
    <w:semiHidden/>
    <w:unhideWhenUsed/>
    <w:rsid w:val="00635DD3"/>
    <w:rPr>
      <w:b/>
      <w:bCs/>
    </w:rPr>
  </w:style>
  <w:style w:type="character" w:customStyle="1" w:styleId="CommentSubjectChar">
    <w:name w:val="Comment Subject Char"/>
    <w:basedOn w:val="CommentTextChar"/>
    <w:link w:val="CommentSubject"/>
    <w:uiPriority w:val="99"/>
    <w:semiHidden/>
    <w:rsid w:val="00635DD3"/>
    <w:rPr>
      <w:b/>
      <w:bCs/>
    </w:rPr>
  </w:style>
  <w:style w:type="paragraph" w:customStyle="1" w:styleId="Numberbullet2">
    <w:name w:val="Number bullet 2"/>
    <w:basedOn w:val="ListBullet2"/>
    <w:qFormat/>
    <w:rsid w:val="007D6AF4"/>
    <w:pPr>
      <w:numPr>
        <w:numId w:val="0"/>
      </w:numPr>
      <w:spacing w:after="120" w:line="240" w:lineRule="auto"/>
      <w:contextualSpacing w:val="0"/>
    </w:pPr>
    <w:rPr>
      <w:rFonts w:eastAsia="Cambria" w:cs="Times New Roman"/>
    </w:rPr>
  </w:style>
  <w:style w:type="paragraph" w:styleId="ListBullet2">
    <w:name w:val="List Bullet 2"/>
    <w:basedOn w:val="Normal"/>
    <w:uiPriority w:val="2"/>
    <w:unhideWhenUsed/>
    <w:qFormat/>
    <w:rsid w:val="007D6AF4"/>
    <w:pPr>
      <w:numPr>
        <w:numId w:val="2"/>
      </w:numPr>
      <w:contextualSpacing/>
    </w:pPr>
  </w:style>
  <w:style w:type="paragraph" w:styleId="Revision">
    <w:name w:val="Revision"/>
    <w:hidden/>
    <w:uiPriority w:val="99"/>
    <w:semiHidden/>
    <w:rsid w:val="00930632"/>
    <w:rPr>
      <w:sz w:val="22"/>
    </w:rPr>
  </w:style>
  <w:style w:type="paragraph" w:customStyle="1" w:styleId="Default">
    <w:name w:val="Default"/>
    <w:rsid w:val="009E4893"/>
    <w:pPr>
      <w:autoSpaceDE w:val="0"/>
      <w:autoSpaceDN w:val="0"/>
      <w:adjustRightInd w:val="0"/>
    </w:pPr>
    <w:rPr>
      <w:rFonts w:ascii="DINOT-Light" w:hAnsi="DINOT-Light" w:cs="DINOT-Light"/>
      <w:color w:val="000000"/>
      <w:sz w:val="24"/>
      <w:szCs w:val="24"/>
    </w:rPr>
  </w:style>
  <w:style w:type="character" w:styleId="Hyperlink">
    <w:name w:val="Hyperlink"/>
    <w:basedOn w:val="DefaultParagraphFont"/>
    <w:uiPriority w:val="99"/>
    <w:semiHidden/>
    <w:unhideWhenUsed/>
    <w:rsid w:val="009E4893"/>
    <w:rPr>
      <w:color w:val="0000FF"/>
      <w:u w:val="single"/>
    </w:rPr>
  </w:style>
  <w:style w:type="paragraph" w:styleId="ListBullet">
    <w:name w:val="List Bullet"/>
    <w:basedOn w:val="Normal"/>
    <w:uiPriority w:val="2"/>
    <w:qFormat/>
    <w:rsid w:val="00A44005"/>
    <w:pPr>
      <w:tabs>
        <w:tab w:val="num" w:pos="360"/>
      </w:tabs>
      <w:spacing w:before="180" w:after="180" w:line="240" w:lineRule="atLeast"/>
    </w:pPr>
    <w:rPr>
      <w:rFonts w:ascii="Cambria" w:eastAsia="Cambria" w:hAnsi="Cambria" w:cs="Times New Roman"/>
      <w:szCs w:val="22"/>
    </w:rPr>
  </w:style>
  <w:style w:type="numbering" w:customStyle="1" w:styleId="ListBullets">
    <w:name w:val="ListBullets"/>
    <w:uiPriority w:val="99"/>
    <w:locked/>
    <w:rsid w:val="00A44005"/>
    <w:pPr>
      <w:numPr>
        <w:numId w:val="16"/>
      </w:numPr>
    </w:pPr>
  </w:style>
  <w:style w:type="paragraph" w:styleId="ListParagraph">
    <w:name w:val="List Paragraph"/>
    <w:basedOn w:val="Normal"/>
    <w:uiPriority w:val="34"/>
    <w:qFormat/>
    <w:rsid w:val="006B6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5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1FA5B-776A-4AE7-AD75-45BFD754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Freebairn, Will</dc:creator>
  <cp:keywords/>
  <dc:description/>
  <cp:lastModifiedBy>EDLINGTON, Mandy</cp:lastModifiedBy>
  <cp:revision>3</cp:revision>
  <cp:lastPrinted>2020-03-23T01:38:00Z</cp:lastPrinted>
  <dcterms:created xsi:type="dcterms:W3CDTF">2021-09-10T02:05:00Z</dcterms:created>
  <dcterms:modified xsi:type="dcterms:W3CDTF">2021-09-10T02:07:00Z</dcterms:modified>
</cp:coreProperties>
</file>