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7D255" w14:textId="77777777" w:rsidR="005E317F" w:rsidRPr="009E3973" w:rsidRDefault="005E317F" w:rsidP="009E3973">
      <w:pPr>
        <w:rPr>
          <w:sz w:val="28"/>
        </w:rPr>
      </w:pPr>
      <w:r w:rsidRPr="009E3973">
        <w:rPr>
          <w:noProof/>
          <w:lang w:eastAsia="en-AU"/>
        </w:rPr>
        <w:drawing>
          <wp:inline distT="0" distB="0" distL="0" distR="0" wp14:anchorId="3A0394BE" wp14:editId="366E021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54CF0E7" w14:textId="77777777" w:rsidR="005E317F" w:rsidRPr="009E3973" w:rsidRDefault="005E317F" w:rsidP="009E3973">
      <w:pPr>
        <w:rPr>
          <w:sz w:val="19"/>
        </w:rPr>
      </w:pPr>
    </w:p>
    <w:p w14:paraId="53C2A895" w14:textId="516D522D" w:rsidR="005E317F" w:rsidRPr="009E3973" w:rsidRDefault="00C32F16" w:rsidP="009E3973">
      <w:pPr>
        <w:pStyle w:val="ShortT"/>
      </w:pPr>
      <w:r w:rsidRPr="009E3973">
        <w:t>Child Care Subsidy</w:t>
      </w:r>
      <w:r w:rsidR="005E317F" w:rsidRPr="009E3973">
        <w:t xml:space="preserve"> Amendment (</w:t>
      </w:r>
      <w:r w:rsidRPr="009E3973">
        <w:t>Coronavirus Response Measures No. 6</w:t>
      </w:r>
      <w:r w:rsidR="005E317F" w:rsidRPr="009E3973">
        <w:t xml:space="preserve">) </w:t>
      </w:r>
      <w:r w:rsidRPr="009E3973">
        <w:t>Minister’s Rules 2021</w:t>
      </w:r>
    </w:p>
    <w:p w14:paraId="6DCA2DB9" w14:textId="70C471EC" w:rsidR="005E317F" w:rsidRPr="009E3973" w:rsidRDefault="005E317F" w:rsidP="009E3973">
      <w:pPr>
        <w:pStyle w:val="SignCoverPageStart"/>
        <w:spacing w:before="240"/>
        <w:ind w:right="91"/>
        <w:rPr>
          <w:szCs w:val="22"/>
        </w:rPr>
      </w:pPr>
      <w:r w:rsidRPr="009E3973">
        <w:rPr>
          <w:szCs w:val="22"/>
        </w:rPr>
        <w:t xml:space="preserve">I, </w:t>
      </w:r>
      <w:r w:rsidR="00C32F16" w:rsidRPr="009E3973">
        <w:rPr>
          <w:szCs w:val="22"/>
        </w:rPr>
        <w:t>Alan Tudge</w:t>
      </w:r>
      <w:r w:rsidRPr="009E3973">
        <w:rPr>
          <w:szCs w:val="22"/>
        </w:rPr>
        <w:t xml:space="preserve">, </w:t>
      </w:r>
      <w:r w:rsidR="00C32F16" w:rsidRPr="009E3973">
        <w:rPr>
          <w:szCs w:val="22"/>
        </w:rPr>
        <w:t>Minister for Education and Youth</w:t>
      </w:r>
      <w:r w:rsidRPr="009E3973">
        <w:rPr>
          <w:szCs w:val="22"/>
        </w:rPr>
        <w:t xml:space="preserve">, make the following </w:t>
      </w:r>
      <w:r w:rsidR="00C32F16" w:rsidRPr="009E3973">
        <w:rPr>
          <w:szCs w:val="22"/>
        </w:rPr>
        <w:t>rules</w:t>
      </w:r>
      <w:r w:rsidRPr="009E3973">
        <w:rPr>
          <w:szCs w:val="22"/>
        </w:rPr>
        <w:t>.</w:t>
      </w:r>
    </w:p>
    <w:p w14:paraId="00490AFF" w14:textId="3A4BD09B" w:rsidR="005E317F" w:rsidRPr="009E3973" w:rsidRDefault="005E317F" w:rsidP="009E3973">
      <w:pPr>
        <w:keepNext/>
        <w:spacing w:before="300" w:line="240" w:lineRule="atLeast"/>
        <w:ind w:right="397"/>
        <w:jc w:val="both"/>
        <w:rPr>
          <w:szCs w:val="22"/>
        </w:rPr>
      </w:pPr>
      <w:r w:rsidRPr="009E3973">
        <w:rPr>
          <w:szCs w:val="22"/>
        </w:rPr>
        <w:t>Dated</w:t>
      </w:r>
      <w:r w:rsidRPr="009E3973">
        <w:rPr>
          <w:szCs w:val="22"/>
        </w:rPr>
        <w:tab/>
      </w:r>
      <w:r w:rsidRPr="009E3973">
        <w:rPr>
          <w:szCs w:val="22"/>
        </w:rPr>
        <w:tab/>
      </w:r>
      <w:r w:rsidR="009E3973" w:rsidRPr="009E3973">
        <w:rPr>
          <w:szCs w:val="22"/>
        </w:rPr>
        <w:t>2 September 2021</w:t>
      </w:r>
      <w:r w:rsidRPr="009E3973">
        <w:rPr>
          <w:szCs w:val="22"/>
        </w:rPr>
        <w:tab/>
      </w:r>
      <w:r w:rsidRPr="009E3973">
        <w:rPr>
          <w:szCs w:val="22"/>
        </w:rPr>
        <w:tab/>
      </w:r>
    </w:p>
    <w:p w14:paraId="0D3784A0" w14:textId="5BCB9EBF" w:rsidR="005E317F" w:rsidRPr="009E3973" w:rsidRDefault="00C32F16" w:rsidP="009E3973">
      <w:pPr>
        <w:keepNext/>
        <w:tabs>
          <w:tab w:val="left" w:pos="3402"/>
        </w:tabs>
        <w:spacing w:before="1440" w:line="300" w:lineRule="atLeast"/>
        <w:ind w:right="397"/>
        <w:rPr>
          <w:b/>
          <w:szCs w:val="22"/>
        </w:rPr>
      </w:pPr>
      <w:r w:rsidRPr="009E3973">
        <w:rPr>
          <w:szCs w:val="22"/>
        </w:rPr>
        <w:t>Alan Tudge</w:t>
      </w:r>
      <w:r w:rsidR="005E317F" w:rsidRPr="009E3973">
        <w:rPr>
          <w:szCs w:val="22"/>
        </w:rPr>
        <w:t xml:space="preserve"> </w:t>
      </w:r>
    </w:p>
    <w:p w14:paraId="25E79325" w14:textId="6CB4F248" w:rsidR="005E317F" w:rsidRPr="009E3973" w:rsidRDefault="00C32F16" w:rsidP="009E3973">
      <w:pPr>
        <w:pStyle w:val="SignCoverPageEnd"/>
        <w:ind w:right="91"/>
        <w:rPr>
          <w:sz w:val="22"/>
        </w:rPr>
      </w:pPr>
      <w:r w:rsidRPr="009E3973">
        <w:rPr>
          <w:sz w:val="22"/>
        </w:rPr>
        <w:t>Minister for Education and Youth</w:t>
      </w:r>
    </w:p>
    <w:p w14:paraId="4004A9F4" w14:textId="77777777" w:rsidR="00B20990" w:rsidRPr="009E3973" w:rsidRDefault="00B20990" w:rsidP="009E3973"/>
    <w:p w14:paraId="0DF8D717" w14:textId="77777777" w:rsidR="00B20990" w:rsidRPr="009E3973" w:rsidRDefault="00B20990" w:rsidP="009E3973">
      <w:pPr>
        <w:sectPr w:rsidR="00B20990" w:rsidRPr="009E3973"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1E603645" w14:textId="77777777" w:rsidR="00B20990" w:rsidRPr="009E3973" w:rsidRDefault="00B20990" w:rsidP="009E3973">
      <w:pPr>
        <w:outlineLvl w:val="0"/>
        <w:rPr>
          <w:sz w:val="36"/>
        </w:rPr>
      </w:pPr>
      <w:r w:rsidRPr="009E3973">
        <w:rPr>
          <w:sz w:val="36"/>
        </w:rPr>
        <w:lastRenderedPageBreak/>
        <w:t>Contents</w:t>
      </w:r>
    </w:p>
    <w:bookmarkStart w:id="0" w:name="BKCheck15B_2"/>
    <w:bookmarkEnd w:id="0"/>
    <w:p w14:paraId="5CDB923E" w14:textId="1533B57B" w:rsidR="00FB52DA" w:rsidRPr="009E3973" w:rsidRDefault="00B20990" w:rsidP="009E3973">
      <w:pPr>
        <w:pStyle w:val="TOC5"/>
        <w:rPr>
          <w:rFonts w:asciiTheme="minorHAnsi" w:eastAsiaTheme="minorEastAsia" w:hAnsiTheme="minorHAnsi" w:cstheme="minorBidi"/>
          <w:noProof/>
          <w:kern w:val="0"/>
          <w:sz w:val="22"/>
          <w:szCs w:val="22"/>
        </w:rPr>
      </w:pPr>
      <w:r w:rsidRPr="009E3973">
        <w:fldChar w:fldCharType="begin"/>
      </w:r>
      <w:r w:rsidRPr="009E3973">
        <w:instrText xml:space="preserve"> TOC \o "1-9" </w:instrText>
      </w:r>
      <w:r w:rsidRPr="009E3973">
        <w:fldChar w:fldCharType="separate"/>
      </w:r>
      <w:r w:rsidR="00FB52DA" w:rsidRPr="009E3973">
        <w:rPr>
          <w:noProof/>
        </w:rPr>
        <w:t>1  Name</w:t>
      </w:r>
      <w:r w:rsidR="00FB52DA" w:rsidRPr="009E3973">
        <w:rPr>
          <w:noProof/>
        </w:rPr>
        <w:tab/>
      </w:r>
      <w:r w:rsidR="00FB52DA" w:rsidRPr="009E3973">
        <w:rPr>
          <w:noProof/>
        </w:rPr>
        <w:fldChar w:fldCharType="begin"/>
      </w:r>
      <w:r w:rsidR="00FB52DA" w:rsidRPr="009E3973">
        <w:rPr>
          <w:noProof/>
        </w:rPr>
        <w:instrText xml:space="preserve"> PAGEREF _Toc81227573 \h </w:instrText>
      </w:r>
      <w:r w:rsidR="00FB52DA" w:rsidRPr="009E3973">
        <w:rPr>
          <w:noProof/>
        </w:rPr>
      </w:r>
      <w:r w:rsidR="00FB52DA" w:rsidRPr="009E3973">
        <w:rPr>
          <w:noProof/>
        </w:rPr>
        <w:fldChar w:fldCharType="separate"/>
      </w:r>
      <w:r w:rsidR="00FF686B" w:rsidRPr="009E3973">
        <w:rPr>
          <w:noProof/>
        </w:rPr>
        <w:t>1</w:t>
      </w:r>
      <w:r w:rsidR="00FB52DA" w:rsidRPr="009E3973">
        <w:rPr>
          <w:noProof/>
        </w:rPr>
        <w:fldChar w:fldCharType="end"/>
      </w:r>
    </w:p>
    <w:p w14:paraId="6E8632A1" w14:textId="70AB78F2" w:rsidR="00FB52DA" w:rsidRPr="009E3973" w:rsidRDefault="00FB52DA" w:rsidP="009E3973">
      <w:pPr>
        <w:pStyle w:val="TOC5"/>
        <w:rPr>
          <w:rFonts w:asciiTheme="minorHAnsi" w:eastAsiaTheme="minorEastAsia" w:hAnsiTheme="minorHAnsi" w:cstheme="minorBidi"/>
          <w:noProof/>
          <w:kern w:val="0"/>
          <w:sz w:val="22"/>
          <w:szCs w:val="22"/>
        </w:rPr>
      </w:pPr>
      <w:r w:rsidRPr="009E3973">
        <w:rPr>
          <w:noProof/>
        </w:rPr>
        <w:t>2  Commencement</w:t>
      </w:r>
      <w:r w:rsidRPr="009E3973">
        <w:rPr>
          <w:noProof/>
        </w:rPr>
        <w:tab/>
      </w:r>
      <w:r w:rsidRPr="009E3973">
        <w:rPr>
          <w:noProof/>
        </w:rPr>
        <w:fldChar w:fldCharType="begin"/>
      </w:r>
      <w:r w:rsidRPr="009E3973">
        <w:rPr>
          <w:noProof/>
        </w:rPr>
        <w:instrText xml:space="preserve"> PAGEREF _Toc81227574 \h </w:instrText>
      </w:r>
      <w:r w:rsidRPr="009E3973">
        <w:rPr>
          <w:noProof/>
        </w:rPr>
      </w:r>
      <w:r w:rsidRPr="009E3973">
        <w:rPr>
          <w:noProof/>
        </w:rPr>
        <w:fldChar w:fldCharType="separate"/>
      </w:r>
      <w:r w:rsidR="00FF686B" w:rsidRPr="009E3973">
        <w:rPr>
          <w:noProof/>
        </w:rPr>
        <w:t>1</w:t>
      </w:r>
      <w:r w:rsidRPr="009E3973">
        <w:rPr>
          <w:noProof/>
        </w:rPr>
        <w:fldChar w:fldCharType="end"/>
      </w:r>
    </w:p>
    <w:p w14:paraId="2D515016" w14:textId="5F17E15F" w:rsidR="00FB52DA" w:rsidRPr="009E3973" w:rsidRDefault="00FB52DA" w:rsidP="009E3973">
      <w:pPr>
        <w:pStyle w:val="TOC5"/>
        <w:rPr>
          <w:rFonts w:asciiTheme="minorHAnsi" w:eastAsiaTheme="minorEastAsia" w:hAnsiTheme="minorHAnsi" w:cstheme="minorBidi"/>
          <w:noProof/>
          <w:kern w:val="0"/>
          <w:sz w:val="22"/>
          <w:szCs w:val="22"/>
        </w:rPr>
      </w:pPr>
      <w:r w:rsidRPr="009E3973">
        <w:rPr>
          <w:noProof/>
        </w:rPr>
        <w:t>3  Authority</w:t>
      </w:r>
      <w:r w:rsidRPr="009E3973">
        <w:rPr>
          <w:noProof/>
        </w:rPr>
        <w:tab/>
      </w:r>
      <w:r w:rsidRPr="009E3973">
        <w:rPr>
          <w:noProof/>
        </w:rPr>
        <w:fldChar w:fldCharType="begin"/>
      </w:r>
      <w:r w:rsidRPr="009E3973">
        <w:rPr>
          <w:noProof/>
        </w:rPr>
        <w:instrText xml:space="preserve"> PAGEREF _Toc81227575 \h </w:instrText>
      </w:r>
      <w:r w:rsidRPr="009E3973">
        <w:rPr>
          <w:noProof/>
        </w:rPr>
      </w:r>
      <w:r w:rsidRPr="009E3973">
        <w:rPr>
          <w:noProof/>
        </w:rPr>
        <w:fldChar w:fldCharType="separate"/>
      </w:r>
      <w:r w:rsidR="00FF686B" w:rsidRPr="009E3973">
        <w:rPr>
          <w:noProof/>
        </w:rPr>
        <w:t>1</w:t>
      </w:r>
      <w:r w:rsidRPr="009E3973">
        <w:rPr>
          <w:noProof/>
        </w:rPr>
        <w:fldChar w:fldCharType="end"/>
      </w:r>
    </w:p>
    <w:p w14:paraId="237A30BD" w14:textId="26FA485D" w:rsidR="00FB52DA" w:rsidRPr="009E3973" w:rsidRDefault="00FB52DA" w:rsidP="009E3973">
      <w:pPr>
        <w:pStyle w:val="TOC5"/>
        <w:rPr>
          <w:rFonts w:asciiTheme="minorHAnsi" w:eastAsiaTheme="minorEastAsia" w:hAnsiTheme="minorHAnsi" w:cstheme="minorBidi"/>
          <w:noProof/>
          <w:kern w:val="0"/>
          <w:sz w:val="22"/>
          <w:szCs w:val="22"/>
        </w:rPr>
      </w:pPr>
      <w:r w:rsidRPr="009E3973">
        <w:rPr>
          <w:noProof/>
        </w:rPr>
        <w:t>4  Schedules</w:t>
      </w:r>
      <w:r w:rsidRPr="009E3973">
        <w:rPr>
          <w:noProof/>
        </w:rPr>
        <w:tab/>
      </w:r>
      <w:r w:rsidRPr="009E3973">
        <w:rPr>
          <w:noProof/>
        </w:rPr>
        <w:fldChar w:fldCharType="begin"/>
      </w:r>
      <w:r w:rsidRPr="009E3973">
        <w:rPr>
          <w:noProof/>
        </w:rPr>
        <w:instrText xml:space="preserve"> PAGEREF _Toc81227576 \h </w:instrText>
      </w:r>
      <w:r w:rsidRPr="009E3973">
        <w:rPr>
          <w:noProof/>
        </w:rPr>
      </w:r>
      <w:r w:rsidRPr="009E3973">
        <w:rPr>
          <w:noProof/>
        </w:rPr>
        <w:fldChar w:fldCharType="separate"/>
      </w:r>
      <w:r w:rsidR="00FF686B" w:rsidRPr="009E3973">
        <w:rPr>
          <w:noProof/>
        </w:rPr>
        <w:t>1</w:t>
      </w:r>
      <w:r w:rsidRPr="009E3973">
        <w:rPr>
          <w:noProof/>
        </w:rPr>
        <w:fldChar w:fldCharType="end"/>
      </w:r>
    </w:p>
    <w:p w14:paraId="21AC86D9" w14:textId="051BB2ED" w:rsidR="00FB52DA" w:rsidRPr="009E3973" w:rsidRDefault="00FB52DA" w:rsidP="009E3973">
      <w:pPr>
        <w:pStyle w:val="TOC6"/>
        <w:rPr>
          <w:rFonts w:asciiTheme="minorHAnsi" w:eastAsiaTheme="minorEastAsia" w:hAnsiTheme="minorHAnsi" w:cstheme="minorBidi"/>
          <w:b w:val="0"/>
          <w:noProof/>
          <w:kern w:val="0"/>
          <w:sz w:val="22"/>
          <w:szCs w:val="22"/>
        </w:rPr>
      </w:pPr>
      <w:r w:rsidRPr="009E3973">
        <w:rPr>
          <w:noProof/>
        </w:rPr>
        <w:t>Schedule 1—Amendments</w:t>
      </w:r>
      <w:r w:rsidRPr="009E3973">
        <w:rPr>
          <w:noProof/>
        </w:rPr>
        <w:tab/>
      </w:r>
      <w:r w:rsidRPr="009E3973">
        <w:rPr>
          <w:noProof/>
        </w:rPr>
        <w:fldChar w:fldCharType="begin"/>
      </w:r>
      <w:r w:rsidRPr="009E3973">
        <w:rPr>
          <w:noProof/>
        </w:rPr>
        <w:instrText xml:space="preserve"> PAGEREF _Toc81227577 \h </w:instrText>
      </w:r>
      <w:r w:rsidRPr="009E3973">
        <w:rPr>
          <w:noProof/>
        </w:rPr>
      </w:r>
      <w:r w:rsidRPr="009E3973">
        <w:rPr>
          <w:noProof/>
        </w:rPr>
        <w:fldChar w:fldCharType="separate"/>
      </w:r>
      <w:r w:rsidR="00FF686B" w:rsidRPr="009E3973">
        <w:rPr>
          <w:noProof/>
        </w:rPr>
        <w:t>2</w:t>
      </w:r>
      <w:r w:rsidRPr="009E3973">
        <w:rPr>
          <w:noProof/>
        </w:rPr>
        <w:fldChar w:fldCharType="end"/>
      </w:r>
    </w:p>
    <w:p w14:paraId="72BDF18B" w14:textId="652DAAC4" w:rsidR="00FB52DA" w:rsidRPr="009E3973" w:rsidRDefault="00FB52DA" w:rsidP="009E3973">
      <w:pPr>
        <w:pStyle w:val="TOC7"/>
        <w:rPr>
          <w:rFonts w:asciiTheme="minorHAnsi" w:eastAsiaTheme="minorEastAsia" w:hAnsiTheme="minorHAnsi" w:cstheme="minorBidi"/>
          <w:noProof/>
          <w:kern w:val="0"/>
          <w:sz w:val="22"/>
          <w:szCs w:val="22"/>
        </w:rPr>
      </w:pPr>
      <w:r w:rsidRPr="009E3973">
        <w:rPr>
          <w:rFonts w:cs="Arial"/>
          <w:noProof/>
          <w:color w:val="000000"/>
          <w:shd w:val="clear" w:color="auto" w:fill="FFFFFF"/>
        </w:rPr>
        <w:t>Part 1—Amendments commencing on 23 August 2021</w:t>
      </w:r>
      <w:r w:rsidRPr="009E3973">
        <w:rPr>
          <w:noProof/>
        </w:rPr>
        <w:tab/>
      </w:r>
      <w:r w:rsidRPr="009E3973">
        <w:rPr>
          <w:noProof/>
        </w:rPr>
        <w:fldChar w:fldCharType="begin"/>
      </w:r>
      <w:r w:rsidRPr="009E3973">
        <w:rPr>
          <w:noProof/>
        </w:rPr>
        <w:instrText xml:space="preserve"> PAGEREF _Toc81227578 \h </w:instrText>
      </w:r>
      <w:r w:rsidRPr="009E3973">
        <w:rPr>
          <w:noProof/>
        </w:rPr>
      </w:r>
      <w:r w:rsidRPr="009E3973">
        <w:rPr>
          <w:noProof/>
        </w:rPr>
        <w:fldChar w:fldCharType="separate"/>
      </w:r>
      <w:r w:rsidR="00FF686B" w:rsidRPr="009E3973">
        <w:rPr>
          <w:noProof/>
        </w:rPr>
        <w:t>2</w:t>
      </w:r>
      <w:r w:rsidRPr="009E3973">
        <w:rPr>
          <w:noProof/>
        </w:rPr>
        <w:fldChar w:fldCharType="end"/>
      </w:r>
    </w:p>
    <w:p w14:paraId="7BE862F8" w14:textId="3C3A5B07" w:rsidR="00FB52DA" w:rsidRPr="009E3973" w:rsidRDefault="00FB52DA" w:rsidP="009E3973">
      <w:pPr>
        <w:pStyle w:val="TOC9"/>
        <w:rPr>
          <w:rFonts w:asciiTheme="minorHAnsi" w:eastAsiaTheme="minorEastAsia" w:hAnsiTheme="minorHAnsi" w:cstheme="minorBidi"/>
          <w:i w:val="0"/>
          <w:noProof/>
          <w:kern w:val="0"/>
          <w:sz w:val="22"/>
          <w:szCs w:val="22"/>
        </w:rPr>
      </w:pPr>
      <w:r w:rsidRPr="009E3973">
        <w:rPr>
          <w:noProof/>
        </w:rPr>
        <w:t>Child Care Subsidy Minister’s Rules 2017</w:t>
      </w:r>
      <w:r w:rsidRPr="009E3973">
        <w:rPr>
          <w:noProof/>
        </w:rPr>
        <w:tab/>
      </w:r>
      <w:r w:rsidRPr="009E3973">
        <w:rPr>
          <w:noProof/>
        </w:rPr>
        <w:fldChar w:fldCharType="begin"/>
      </w:r>
      <w:r w:rsidRPr="009E3973">
        <w:rPr>
          <w:noProof/>
        </w:rPr>
        <w:instrText xml:space="preserve"> PAGEREF _Toc81227579 \h </w:instrText>
      </w:r>
      <w:r w:rsidRPr="009E3973">
        <w:rPr>
          <w:noProof/>
        </w:rPr>
      </w:r>
      <w:r w:rsidRPr="009E3973">
        <w:rPr>
          <w:noProof/>
        </w:rPr>
        <w:fldChar w:fldCharType="separate"/>
      </w:r>
      <w:r w:rsidR="00FF686B" w:rsidRPr="009E3973">
        <w:rPr>
          <w:noProof/>
        </w:rPr>
        <w:t>2</w:t>
      </w:r>
      <w:r w:rsidRPr="009E3973">
        <w:rPr>
          <w:noProof/>
        </w:rPr>
        <w:fldChar w:fldCharType="end"/>
      </w:r>
    </w:p>
    <w:p w14:paraId="31E8D851" w14:textId="4523ED10" w:rsidR="00FB52DA" w:rsidRPr="009E3973" w:rsidRDefault="00FB52DA" w:rsidP="009E3973">
      <w:pPr>
        <w:pStyle w:val="TOC7"/>
        <w:rPr>
          <w:rFonts w:asciiTheme="minorHAnsi" w:eastAsiaTheme="minorEastAsia" w:hAnsiTheme="minorHAnsi" w:cstheme="minorBidi"/>
          <w:noProof/>
          <w:kern w:val="0"/>
          <w:sz w:val="22"/>
          <w:szCs w:val="22"/>
        </w:rPr>
      </w:pPr>
      <w:r w:rsidRPr="009E3973">
        <w:rPr>
          <w:rFonts w:cs="Arial"/>
          <w:noProof/>
          <w:color w:val="000000"/>
          <w:shd w:val="clear" w:color="auto" w:fill="FFFFFF"/>
        </w:rPr>
        <w:t>Part 2—Amendments commencing on the day after registration</w:t>
      </w:r>
      <w:r w:rsidRPr="009E3973">
        <w:rPr>
          <w:noProof/>
        </w:rPr>
        <w:tab/>
      </w:r>
      <w:r w:rsidRPr="009E3973">
        <w:rPr>
          <w:noProof/>
        </w:rPr>
        <w:fldChar w:fldCharType="begin"/>
      </w:r>
      <w:r w:rsidRPr="009E3973">
        <w:rPr>
          <w:noProof/>
        </w:rPr>
        <w:instrText xml:space="preserve"> PAGEREF _Toc81227591 \h </w:instrText>
      </w:r>
      <w:r w:rsidRPr="009E3973">
        <w:rPr>
          <w:noProof/>
        </w:rPr>
      </w:r>
      <w:r w:rsidRPr="009E3973">
        <w:rPr>
          <w:noProof/>
        </w:rPr>
        <w:fldChar w:fldCharType="separate"/>
      </w:r>
      <w:r w:rsidR="00FF686B" w:rsidRPr="009E3973">
        <w:rPr>
          <w:noProof/>
        </w:rPr>
        <w:t>9</w:t>
      </w:r>
      <w:r w:rsidRPr="009E3973">
        <w:rPr>
          <w:noProof/>
        </w:rPr>
        <w:fldChar w:fldCharType="end"/>
      </w:r>
    </w:p>
    <w:p w14:paraId="4CBF74AA" w14:textId="5759F7C4" w:rsidR="00FB52DA" w:rsidRPr="009E3973" w:rsidRDefault="00FB52DA" w:rsidP="009E3973">
      <w:pPr>
        <w:pStyle w:val="TOC9"/>
        <w:rPr>
          <w:rFonts w:asciiTheme="minorHAnsi" w:eastAsiaTheme="minorEastAsia" w:hAnsiTheme="minorHAnsi" w:cstheme="minorBidi"/>
          <w:i w:val="0"/>
          <w:noProof/>
          <w:kern w:val="0"/>
          <w:sz w:val="22"/>
          <w:szCs w:val="22"/>
        </w:rPr>
      </w:pPr>
      <w:r w:rsidRPr="009E3973">
        <w:rPr>
          <w:noProof/>
        </w:rPr>
        <w:t>Child Care Subsidy Minister’s Rules 2017</w:t>
      </w:r>
      <w:r w:rsidRPr="009E3973">
        <w:rPr>
          <w:noProof/>
        </w:rPr>
        <w:tab/>
      </w:r>
      <w:r w:rsidRPr="009E3973">
        <w:rPr>
          <w:noProof/>
        </w:rPr>
        <w:fldChar w:fldCharType="begin"/>
      </w:r>
      <w:r w:rsidRPr="009E3973">
        <w:rPr>
          <w:noProof/>
        </w:rPr>
        <w:instrText xml:space="preserve"> PAGEREF _Toc81227592 \h </w:instrText>
      </w:r>
      <w:r w:rsidRPr="009E3973">
        <w:rPr>
          <w:noProof/>
        </w:rPr>
      </w:r>
      <w:r w:rsidRPr="009E3973">
        <w:rPr>
          <w:noProof/>
        </w:rPr>
        <w:fldChar w:fldCharType="separate"/>
      </w:r>
      <w:r w:rsidR="00FF686B" w:rsidRPr="009E3973">
        <w:rPr>
          <w:noProof/>
        </w:rPr>
        <w:t>9</w:t>
      </w:r>
      <w:r w:rsidRPr="009E3973">
        <w:rPr>
          <w:noProof/>
        </w:rPr>
        <w:fldChar w:fldCharType="end"/>
      </w:r>
    </w:p>
    <w:p w14:paraId="51438423" w14:textId="06673111" w:rsidR="00FB52DA" w:rsidRPr="009E3973" w:rsidRDefault="00FB52DA" w:rsidP="009E3973">
      <w:pPr>
        <w:pStyle w:val="TOC5"/>
        <w:rPr>
          <w:rFonts w:asciiTheme="minorHAnsi" w:eastAsiaTheme="minorEastAsia" w:hAnsiTheme="minorHAnsi" w:cstheme="minorBidi"/>
          <w:noProof/>
          <w:kern w:val="0"/>
          <w:sz w:val="22"/>
          <w:szCs w:val="22"/>
        </w:rPr>
      </w:pPr>
    </w:p>
    <w:p w14:paraId="520B9CCC" w14:textId="2631244F" w:rsidR="00B20990" w:rsidRPr="009E3973" w:rsidRDefault="00B20990" w:rsidP="009E3973">
      <w:r w:rsidRPr="009E3973">
        <w:rPr>
          <w:rFonts w:cs="Times New Roman"/>
          <w:sz w:val="20"/>
        </w:rPr>
        <w:fldChar w:fldCharType="end"/>
      </w:r>
    </w:p>
    <w:p w14:paraId="228B11E2" w14:textId="77777777" w:rsidR="00B20990" w:rsidRPr="009E3973" w:rsidRDefault="00B20990" w:rsidP="009E3973"/>
    <w:p w14:paraId="4C39C16D" w14:textId="77777777" w:rsidR="00B20990" w:rsidRPr="009E3973" w:rsidRDefault="00B20990" w:rsidP="009E3973">
      <w:pPr>
        <w:sectPr w:rsidR="00B20990" w:rsidRPr="009E3973" w:rsidSect="00F85F0D">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5EBE4086" w14:textId="77777777" w:rsidR="005E317F" w:rsidRPr="009E3973" w:rsidRDefault="005E317F" w:rsidP="009E3973">
      <w:pPr>
        <w:pStyle w:val="ActHead5"/>
      </w:pPr>
      <w:bookmarkStart w:id="1" w:name="_Toc81227573"/>
      <w:r w:rsidRPr="009E3973">
        <w:rPr>
          <w:rStyle w:val="CharSectno"/>
        </w:rPr>
        <w:lastRenderedPageBreak/>
        <w:t>1</w:t>
      </w:r>
      <w:r w:rsidRPr="009E3973">
        <w:t xml:space="preserve">  Name</w:t>
      </w:r>
      <w:bookmarkEnd w:id="1"/>
    </w:p>
    <w:p w14:paraId="43BE2AEC" w14:textId="6A6C6ADA" w:rsidR="005E317F" w:rsidRPr="009E3973" w:rsidRDefault="005E317F" w:rsidP="009E3973">
      <w:pPr>
        <w:pStyle w:val="subsection"/>
      </w:pPr>
      <w:r w:rsidRPr="009E3973">
        <w:tab/>
      </w:r>
      <w:r w:rsidRPr="009E3973">
        <w:tab/>
        <w:t xml:space="preserve">This instrument is the </w:t>
      </w:r>
      <w:bookmarkStart w:id="2" w:name="BKCheck15B_3"/>
      <w:bookmarkEnd w:id="2"/>
      <w:r w:rsidR="00C32F16" w:rsidRPr="009E3973">
        <w:rPr>
          <w:i/>
        </w:rPr>
        <w:t>Child Care Subsidy Amendment (Coronavirus Response Measures No. 6) Minister’s Rules 2021</w:t>
      </w:r>
      <w:r w:rsidRPr="009E3973">
        <w:t>.</w:t>
      </w:r>
    </w:p>
    <w:p w14:paraId="71817C31" w14:textId="77777777" w:rsidR="005E317F" w:rsidRPr="009E3973" w:rsidRDefault="005E317F" w:rsidP="009E3973">
      <w:pPr>
        <w:pStyle w:val="ActHead5"/>
      </w:pPr>
      <w:bookmarkStart w:id="3" w:name="_Toc81227574"/>
      <w:r w:rsidRPr="009E3973">
        <w:rPr>
          <w:rStyle w:val="CharSectno"/>
        </w:rPr>
        <w:t>2</w:t>
      </w:r>
      <w:r w:rsidRPr="009E3973">
        <w:t xml:space="preserve">  Commencement</w:t>
      </w:r>
      <w:bookmarkEnd w:id="3"/>
    </w:p>
    <w:p w14:paraId="12C4D81C" w14:textId="77777777" w:rsidR="00AA1E18" w:rsidRPr="009E3973" w:rsidRDefault="00AA1E18" w:rsidP="009E3973">
      <w:pPr>
        <w:pStyle w:val="subsection"/>
      </w:pPr>
      <w:r w:rsidRPr="009E3973">
        <w:tab/>
        <w:t>(1)</w:t>
      </w:r>
      <w:r w:rsidRPr="009E3973">
        <w:tab/>
        <w:t>Each provision of this instrument specified in column 1 of the table commences, or is taken to have commenced, in accordance with column 2 of the table. Any other statement in column 2 has effect according to its terms.</w:t>
      </w:r>
    </w:p>
    <w:p w14:paraId="24A370AE" w14:textId="77777777" w:rsidR="00AA1E18" w:rsidRPr="009E3973" w:rsidRDefault="00AA1E18" w:rsidP="009E397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A1E18" w:rsidRPr="009E3973" w14:paraId="3CF3B270" w14:textId="77777777" w:rsidTr="00066CB5">
        <w:trPr>
          <w:tblHeader/>
        </w:trPr>
        <w:tc>
          <w:tcPr>
            <w:tcW w:w="8364" w:type="dxa"/>
            <w:gridSpan w:val="3"/>
            <w:tcBorders>
              <w:top w:val="single" w:sz="12" w:space="0" w:color="auto"/>
              <w:bottom w:val="single" w:sz="6" w:space="0" w:color="auto"/>
            </w:tcBorders>
            <w:shd w:val="clear" w:color="auto" w:fill="auto"/>
            <w:hideMark/>
          </w:tcPr>
          <w:p w14:paraId="2D269A21" w14:textId="77777777" w:rsidR="00AA1E18" w:rsidRPr="009E3973" w:rsidRDefault="00AA1E18" w:rsidP="009E3973">
            <w:pPr>
              <w:pStyle w:val="TableHeading"/>
            </w:pPr>
            <w:r w:rsidRPr="009E3973">
              <w:t>Commencement information</w:t>
            </w:r>
          </w:p>
        </w:tc>
      </w:tr>
      <w:tr w:rsidR="00AA1E18" w:rsidRPr="009E3973" w14:paraId="09B594A3" w14:textId="77777777" w:rsidTr="00066CB5">
        <w:trPr>
          <w:tblHeader/>
        </w:trPr>
        <w:tc>
          <w:tcPr>
            <w:tcW w:w="2127" w:type="dxa"/>
            <w:tcBorders>
              <w:top w:val="single" w:sz="6" w:space="0" w:color="auto"/>
              <w:bottom w:val="single" w:sz="6" w:space="0" w:color="auto"/>
            </w:tcBorders>
            <w:shd w:val="clear" w:color="auto" w:fill="auto"/>
            <w:hideMark/>
          </w:tcPr>
          <w:p w14:paraId="6C115358" w14:textId="77777777" w:rsidR="00AA1E18" w:rsidRPr="009E3973" w:rsidRDefault="00AA1E18" w:rsidP="009E3973">
            <w:pPr>
              <w:pStyle w:val="TableHeading"/>
            </w:pPr>
            <w:r w:rsidRPr="009E3973">
              <w:t>Column 1</w:t>
            </w:r>
          </w:p>
        </w:tc>
        <w:tc>
          <w:tcPr>
            <w:tcW w:w="4394" w:type="dxa"/>
            <w:tcBorders>
              <w:top w:val="single" w:sz="6" w:space="0" w:color="auto"/>
              <w:bottom w:val="single" w:sz="6" w:space="0" w:color="auto"/>
            </w:tcBorders>
            <w:shd w:val="clear" w:color="auto" w:fill="auto"/>
            <w:hideMark/>
          </w:tcPr>
          <w:p w14:paraId="6FB73CF2" w14:textId="77777777" w:rsidR="00AA1E18" w:rsidRPr="009E3973" w:rsidRDefault="00AA1E18" w:rsidP="009E3973">
            <w:pPr>
              <w:pStyle w:val="TableHeading"/>
            </w:pPr>
            <w:r w:rsidRPr="009E3973">
              <w:t>Column 2</w:t>
            </w:r>
          </w:p>
        </w:tc>
        <w:tc>
          <w:tcPr>
            <w:tcW w:w="1843" w:type="dxa"/>
            <w:tcBorders>
              <w:top w:val="single" w:sz="6" w:space="0" w:color="auto"/>
              <w:bottom w:val="single" w:sz="6" w:space="0" w:color="auto"/>
            </w:tcBorders>
            <w:shd w:val="clear" w:color="auto" w:fill="auto"/>
            <w:hideMark/>
          </w:tcPr>
          <w:p w14:paraId="63A9F1FE" w14:textId="77777777" w:rsidR="00AA1E18" w:rsidRPr="009E3973" w:rsidRDefault="00AA1E18" w:rsidP="009E3973">
            <w:pPr>
              <w:pStyle w:val="TableHeading"/>
            </w:pPr>
            <w:r w:rsidRPr="009E3973">
              <w:t>Column 3</w:t>
            </w:r>
          </w:p>
        </w:tc>
      </w:tr>
      <w:tr w:rsidR="00AA1E18" w:rsidRPr="009E3973" w14:paraId="6E12AFC1" w14:textId="77777777" w:rsidTr="00066CB5">
        <w:trPr>
          <w:tblHeader/>
        </w:trPr>
        <w:tc>
          <w:tcPr>
            <w:tcW w:w="2127" w:type="dxa"/>
            <w:tcBorders>
              <w:top w:val="single" w:sz="6" w:space="0" w:color="auto"/>
              <w:bottom w:val="single" w:sz="12" w:space="0" w:color="auto"/>
            </w:tcBorders>
            <w:shd w:val="clear" w:color="auto" w:fill="auto"/>
            <w:hideMark/>
          </w:tcPr>
          <w:p w14:paraId="1613F241" w14:textId="77777777" w:rsidR="00AA1E18" w:rsidRPr="009E3973" w:rsidRDefault="00AA1E18" w:rsidP="009E3973">
            <w:pPr>
              <w:pStyle w:val="TableHeading"/>
            </w:pPr>
            <w:r w:rsidRPr="009E3973">
              <w:t>Provisions</w:t>
            </w:r>
          </w:p>
        </w:tc>
        <w:tc>
          <w:tcPr>
            <w:tcW w:w="4394" w:type="dxa"/>
            <w:tcBorders>
              <w:top w:val="single" w:sz="6" w:space="0" w:color="auto"/>
              <w:bottom w:val="single" w:sz="12" w:space="0" w:color="auto"/>
            </w:tcBorders>
            <w:shd w:val="clear" w:color="auto" w:fill="auto"/>
            <w:hideMark/>
          </w:tcPr>
          <w:p w14:paraId="16417491" w14:textId="77777777" w:rsidR="00AA1E18" w:rsidRPr="009E3973" w:rsidRDefault="00AA1E18" w:rsidP="009E3973">
            <w:pPr>
              <w:pStyle w:val="TableHeading"/>
            </w:pPr>
            <w:r w:rsidRPr="009E3973">
              <w:t>Commencement</w:t>
            </w:r>
          </w:p>
        </w:tc>
        <w:tc>
          <w:tcPr>
            <w:tcW w:w="1843" w:type="dxa"/>
            <w:tcBorders>
              <w:top w:val="single" w:sz="6" w:space="0" w:color="auto"/>
              <w:bottom w:val="single" w:sz="12" w:space="0" w:color="auto"/>
            </w:tcBorders>
            <w:shd w:val="clear" w:color="auto" w:fill="auto"/>
            <w:hideMark/>
          </w:tcPr>
          <w:p w14:paraId="6821A70E" w14:textId="77777777" w:rsidR="00AA1E18" w:rsidRPr="009E3973" w:rsidRDefault="00AA1E18" w:rsidP="009E3973">
            <w:pPr>
              <w:pStyle w:val="TableHeading"/>
            </w:pPr>
            <w:r w:rsidRPr="009E3973">
              <w:t>Date/Details</w:t>
            </w:r>
          </w:p>
        </w:tc>
      </w:tr>
      <w:tr w:rsidR="00AA1E18" w:rsidRPr="009E3973" w14:paraId="10B9D229" w14:textId="77777777" w:rsidTr="00066CB5">
        <w:tc>
          <w:tcPr>
            <w:tcW w:w="2127" w:type="dxa"/>
            <w:tcBorders>
              <w:top w:val="single" w:sz="12" w:space="0" w:color="auto"/>
              <w:bottom w:val="single" w:sz="4" w:space="0" w:color="auto"/>
            </w:tcBorders>
            <w:shd w:val="clear" w:color="auto" w:fill="auto"/>
            <w:hideMark/>
          </w:tcPr>
          <w:p w14:paraId="5DED7FFD" w14:textId="77777777" w:rsidR="00AA1E18" w:rsidRPr="009E3973" w:rsidRDefault="00AA1E18" w:rsidP="009E3973">
            <w:pPr>
              <w:pStyle w:val="Tabletext"/>
            </w:pPr>
            <w:r w:rsidRPr="009E3973">
              <w:t>1.  Sections 1 to 4 and anything in this instrument not elsewhere covered by this table</w:t>
            </w:r>
          </w:p>
        </w:tc>
        <w:tc>
          <w:tcPr>
            <w:tcW w:w="4394" w:type="dxa"/>
            <w:tcBorders>
              <w:top w:val="single" w:sz="12" w:space="0" w:color="auto"/>
              <w:bottom w:val="single" w:sz="4" w:space="0" w:color="auto"/>
            </w:tcBorders>
            <w:shd w:val="clear" w:color="auto" w:fill="auto"/>
            <w:hideMark/>
          </w:tcPr>
          <w:p w14:paraId="7B53F6EE" w14:textId="77777777" w:rsidR="00AA1E18" w:rsidRPr="009E3973" w:rsidRDefault="00AA1E18" w:rsidP="009E3973">
            <w:pPr>
              <w:pStyle w:val="Tabletext"/>
            </w:pPr>
            <w:r w:rsidRPr="009E3973">
              <w:t>23 August 2021.</w:t>
            </w:r>
          </w:p>
        </w:tc>
        <w:tc>
          <w:tcPr>
            <w:tcW w:w="1843" w:type="dxa"/>
            <w:tcBorders>
              <w:top w:val="single" w:sz="12" w:space="0" w:color="auto"/>
              <w:bottom w:val="single" w:sz="4" w:space="0" w:color="auto"/>
            </w:tcBorders>
            <w:shd w:val="clear" w:color="auto" w:fill="auto"/>
          </w:tcPr>
          <w:p w14:paraId="5F35097C" w14:textId="77777777" w:rsidR="00AA1E18" w:rsidRPr="009E3973" w:rsidRDefault="00AA1E18" w:rsidP="009E3973">
            <w:pPr>
              <w:pStyle w:val="Tabletext"/>
            </w:pPr>
            <w:r w:rsidRPr="009E3973">
              <w:t>23 August 2021.</w:t>
            </w:r>
          </w:p>
        </w:tc>
      </w:tr>
      <w:tr w:rsidR="00AA1E18" w:rsidRPr="009E3973" w14:paraId="2B046119" w14:textId="77777777" w:rsidTr="00066CB5">
        <w:tc>
          <w:tcPr>
            <w:tcW w:w="2127" w:type="dxa"/>
            <w:tcBorders>
              <w:top w:val="single" w:sz="4" w:space="0" w:color="auto"/>
              <w:bottom w:val="single" w:sz="4" w:space="0" w:color="auto"/>
            </w:tcBorders>
            <w:shd w:val="clear" w:color="auto" w:fill="auto"/>
          </w:tcPr>
          <w:p w14:paraId="43C028E4" w14:textId="24DF8743" w:rsidR="00AA1E18" w:rsidRPr="009E3973" w:rsidRDefault="008E735B" w:rsidP="009E3973">
            <w:pPr>
              <w:pStyle w:val="Tabletext"/>
            </w:pPr>
            <w:r w:rsidRPr="009E3973">
              <w:t xml:space="preserve">2.  </w:t>
            </w:r>
            <w:r w:rsidR="00AA1E18" w:rsidRPr="009E3973">
              <w:t>Schedule 1, Part 1</w:t>
            </w:r>
          </w:p>
        </w:tc>
        <w:tc>
          <w:tcPr>
            <w:tcW w:w="4394" w:type="dxa"/>
            <w:tcBorders>
              <w:top w:val="single" w:sz="4" w:space="0" w:color="auto"/>
              <w:bottom w:val="single" w:sz="4" w:space="0" w:color="auto"/>
            </w:tcBorders>
            <w:shd w:val="clear" w:color="auto" w:fill="auto"/>
          </w:tcPr>
          <w:p w14:paraId="3DED7CEF" w14:textId="77777777" w:rsidR="00AA1E18" w:rsidRPr="009E3973" w:rsidRDefault="00AA1E18" w:rsidP="009E3973">
            <w:pPr>
              <w:pStyle w:val="Tabletext"/>
            </w:pPr>
            <w:r w:rsidRPr="009E3973">
              <w:t>23 August 2021.</w:t>
            </w:r>
          </w:p>
        </w:tc>
        <w:tc>
          <w:tcPr>
            <w:tcW w:w="1843" w:type="dxa"/>
            <w:tcBorders>
              <w:top w:val="single" w:sz="4" w:space="0" w:color="auto"/>
              <w:bottom w:val="single" w:sz="4" w:space="0" w:color="auto"/>
            </w:tcBorders>
            <w:shd w:val="clear" w:color="auto" w:fill="auto"/>
          </w:tcPr>
          <w:p w14:paraId="5ADEA8F3" w14:textId="77777777" w:rsidR="00AA1E18" w:rsidRPr="009E3973" w:rsidRDefault="00AA1E18" w:rsidP="009E3973">
            <w:pPr>
              <w:pStyle w:val="Tabletext"/>
            </w:pPr>
            <w:r w:rsidRPr="009E3973">
              <w:t>23 August 2021.</w:t>
            </w:r>
          </w:p>
        </w:tc>
      </w:tr>
      <w:tr w:rsidR="00AA1E18" w:rsidRPr="009E3973" w14:paraId="1C221483" w14:textId="77777777" w:rsidTr="00066CB5">
        <w:tc>
          <w:tcPr>
            <w:tcW w:w="2127" w:type="dxa"/>
            <w:tcBorders>
              <w:top w:val="single" w:sz="4" w:space="0" w:color="auto"/>
              <w:bottom w:val="single" w:sz="12" w:space="0" w:color="auto"/>
            </w:tcBorders>
            <w:shd w:val="clear" w:color="auto" w:fill="auto"/>
          </w:tcPr>
          <w:p w14:paraId="620DC85B" w14:textId="5B7FB1B0" w:rsidR="00AA1E18" w:rsidRPr="009E3973" w:rsidRDefault="008E735B" w:rsidP="009E3973">
            <w:pPr>
              <w:pStyle w:val="Tabletext"/>
            </w:pPr>
            <w:r w:rsidRPr="009E3973">
              <w:t xml:space="preserve">3.  </w:t>
            </w:r>
            <w:r w:rsidR="00AA1E18" w:rsidRPr="009E3973">
              <w:t>Schedule 1, Part 2</w:t>
            </w:r>
          </w:p>
        </w:tc>
        <w:tc>
          <w:tcPr>
            <w:tcW w:w="4394" w:type="dxa"/>
            <w:tcBorders>
              <w:top w:val="single" w:sz="4" w:space="0" w:color="auto"/>
              <w:bottom w:val="single" w:sz="12" w:space="0" w:color="auto"/>
            </w:tcBorders>
            <w:shd w:val="clear" w:color="auto" w:fill="auto"/>
          </w:tcPr>
          <w:p w14:paraId="45CC47D0" w14:textId="77777777" w:rsidR="00AA1E18" w:rsidRPr="009E3973" w:rsidRDefault="00AA1E18" w:rsidP="009E3973">
            <w:pPr>
              <w:pStyle w:val="Tabletext"/>
            </w:pPr>
            <w:r w:rsidRPr="009E3973">
              <w:t>The day after this instrument is registered.</w:t>
            </w:r>
          </w:p>
        </w:tc>
        <w:tc>
          <w:tcPr>
            <w:tcW w:w="1843" w:type="dxa"/>
            <w:tcBorders>
              <w:top w:val="single" w:sz="4" w:space="0" w:color="auto"/>
              <w:bottom w:val="single" w:sz="12" w:space="0" w:color="auto"/>
            </w:tcBorders>
            <w:shd w:val="clear" w:color="auto" w:fill="auto"/>
          </w:tcPr>
          <w:p w14:paraId="48EBE0F6" w14:textId="77777777" w:rsidR="00AA1E18" w:rsidRPr="009E3973" w:rsidRDefault="00AA1E18" w:rsidP="009E3973">
            <w:pPr>
              <w:pStyle w:val="Tabletext"/>
            </w:pPr>
          </w:p>
        </w:tc>
      </w:tr>
    </w:tbl>
    <w:p w14:paraId="6279A294" w14:textId="77777777" w:rsidR="00AA1E18" w:rsidRPr="009E3973" w:rsidRDefault="00AA1E18" w:rsidP="009E3973">
      <w:pPr>
        <w:pStyle w:val="notetext"/>
      </w:pPr>
      <w:r w:rsidRPr="009E3973">
        <w:rPr>
          <w:snapToGrid w:val="0"/>
          <w:lang w:eastAsia="en-US"/>
        </w:rPr>
        <w:t>Note:</w:t>
      </w:r>
      <w:r w:rsidRPr="009E3973">
        <w:rPr>
          <w:snapToGrid w:val="0"/>
          <w:lang w:eastAsia="en-US"/>
        </w:rPr>
        <w:tab/>
        <w:t>This table relates only to the provisions of this instrument</w:t>
      </w:r>
      <w:r w:rsidRPr="009E3973">
        <w:t xml:space="preserve"> </w:t>
      </w:r>
      <w:r w:rsidRPr="009E3973">
        <w:rPr>
          <w:snapToGrid w:val="0"/>
          <w:lang w:eastAsia="en-US"/>
        </w:rPr>
        <w:t>as originally made. It will not be amended to deal with any later amendments of this instrument.</w:t>
      </w:r>
    </w:p>
    <w:p w14:paraId="6156F055" w14:textId="77777777" w:rsidR="00002BCC" w:rsidRPr="009E3973" w:rsidRDefault="00002BCC" w:rsidP="009E3973">
      <w:pPr>
        <w:pStyle w:val="subsection"/>
      </w:pPr>
      <w:r w:rsidRPr="009E3973">
        <w:tab/>
        <w:t>(2)</w:t>
      </w:r>
      <w:r w:rsidRPr="009E3973">
        <w:tab/>
        <w:t>Any information in column 3 of the table is not part of this instrument. Information may be inserted in this column, or information in it may be edited, in any published version of this instrument.</w:t>
      </w:r>
    </w:p>
    <w:p w14:paraId="5F4EC930" w14:textId="77777777" w:rsidR="005E317F" w:rsidRPr="009E3973" w:rsidRDefault="005E317F" w:rsidP="009E3973">
      <w:pPr>
        <w:pStyle w:val="ActHead5"/>
      </w:pPr>
      <w:bookmarkStart w:id="4" w:name="_Toc81227575"/>
      <w:r w:rsidRPr="009E3973">
        <w:rPr>
          <w:rStyle w:val="CharSectno"/>
        </w:rPr>
        <w:t>3</w:t>
      </w:r>
      <w:r w:rsidRPr="009E3973">
        <w:t xml:space="preserve">  Authority</w:t>
      </w:r>
      <w:bookmarkEnd w:id="4"/>
    </w:p>
    <w:p w14:paraId="6C892E3F" w14:textId="6AD37C6D" w:rsidR="005E317F" w:rsidRPr="009E3973" w:rsidRDefault="005E317F" w:rsidP="009E3973">
      <w:pPr>
        <w:pStyle w:val="subsection"/>
      </w:pPr>
      <w:r w:rsidRPr="009E3973">
        <w:tab/>
      </w:r>
      <w:r w:rsidRPr="009E3973">
        <w:tab/>
        <w:t xml:space="preserve">This instrument is made under </w:t>
      </w:r>
      <w:r w:rsidR="00C32F16" w:rsidRPr="009E3973">
        <w:t xml:space="preserve">subsection 85GB(1) of the </w:t>
      </w:r>
      <w:r w:rsidR="00C51ACF" w:rsidRPr="009E3973">
        <w:rPr>
          <w:i/>
          <w:iCs/>
        </w:rPr>
        <w:t>A New Tax System (Family Assistance) Act 1999</w:t>
      </w:r>
      <w:r w:rsidRPr="009E3973">
        <w:t>.</w:t>
      </w:r>
    </w:p>
    <w:p w14:paraId="65C011BC" w14:textId="77777777" w:rsidR="005E317F" w:rsidRPr="009E3973" w:rsidRDefault="005E317F" w:rsidP="009E3973">
      <w:pPr>
        <w:pStyle w:val="ActHead5"/>
      </w:pPr>
      <w:bookmarkStart w:id="5" w:name="_Toc81227576"/>
      <w:r w:rsidRPr="009E3973">
        <w:t>4  Schedules</w:t>
      </w:r>
      <w:bookmarkEnd w:id="5"/>
    </w:p>
    <w:p w14:paraId="1475340A" w14:textId="77777777" w:rsidR="005E317F" w:rsidRPr="009E3973" w:rsidRDefault="005E317F" w:rsidP="009E3973">
      <w:pPr>
        <w:pStyle w:val="subsection"/>
      </w:pPr>
      <w:r w:rsidRPr="009E3973">
        <w:tab/>
      </w:r>
      <w:r w:rsidRPr="009E3973">
        <w:tab/>
        <w:t>Each instrument that is specified in a Schedule to this instrument is amended or repealed as set out in the applicable items in the Schedule concerned, and any other item in a Schedule to this instrument has effect according to its terms.</w:t>
      </w:r>
    </w:p>
    <w:p w14:paraId="6F5A15D5" w14:textId="61B3CEE5" w:rsidR="005E317F" w:rsidRPr="009E3973" w:rsidRDefault="005E317F" w:rsidP="009E3973">
      <w:pPr>
        <w:pStyle w:val="ActHead6"/>
        <w:pageBreakBefore/>
      </w:pPr>
      <w:bookmarkStart w:id="6" w:name="_Toc81227577"/>
      <w:r w:rsidRPr="009E3973">
        <w:rPr>
          <w:rStyle w:val="CharAmSchNo"/>
        </w:rPr>
        <w:lastRenderedPageBreak/>
        <w:t>Schedule 1</w:t>
      </w:r>
      <w:r w:rsidRPr="009E3973">
        <w:t>—</w:t>
      </w:r>
      <w:r w:rsidRPr="009E3973">
        <w:rPr>
          <w:rStyle w:val="CharAmSchText"/>
        </w:rPr>
        <w:t>Amendments</w:t>
      </w:r>
      <w:bookmarkEnd w:id="6"/>
    </w:p>
    <w:p w14:paraId="2CB738B2" w14:textId="3C81514E" w:rsidR="00AA1E18" w:rsidRPr="009E3973" w:rsidRDefault="00AA1E18" w:rsidP="009E3973">
      <w:pPr>
        <w:pStyle w:val="ActHead7"/>
      </w:pPr>
      <w:bookmarkStart w:id="7" w:name="_Toc34134154"/>
      <w:bookmarkStart w:id="8" w:name="_Toc81227578"/>
      <w:r w:rsidRPr="009E3973">
        <w:rPr>
          <w:rStyle w:val="charampartno0"/>
          <w:rFonts w:cs="Arial"/>
          <w:color w:val="000000"/>
          <w:szCs w:val="28"/>
          <w:shd w:val="clear" w:color="auto" w:fill="FFFFFF"/>
        </w:rPr>
        <w:t>Part 1</w:t>
      </w:r>
      <w:r w:rsidRPr="009E3973">
        <w:rPr>
          <w:rFonts w:cs="Arial"/>
          <w:color w:val="000000"/>
          <w:szCs w:val="28"/>
          <w:shd w:val="clear" w:color="auto" w:fill="FFFFFF"/>
        </w:rPr>
        <w:t>—</w:t>
      </w:r>
      <w:r w:rsidRPr="009E3973">
        <w:rPr>
          <w:rStyle w:val="charamparttext0"/>
          <w:rFonts w:cs="Arial"/>
          <w:color w:val="000000"/>
          <w:szCs w:val="28"/>
          <w:shd w:val="clear" w:color="auto" w:fill="FFFFFF"/>
        </w:rPr>
        <w:t xml:space="preserve">Amendments commencing </w:t>
      </w:r>
      <w:bookmarkEnd w:id="7"/>
      <w:r w:rsidR="00B660D6" w:rsidRPr="009E3973">
        <w:rPr>
          <w:rStyle w:val="charamparttext0"/>
          <w:rFonts w:cs="Arial"/>
          <w:color w:val="000000"/>
          <w:szCs w:val="28"/>
          <w:shd w:val="clear" w:color="auto" w:fill="FFFFFF"/>
        </w:rPr>
        <w:t xml:space="preserve">on </w:t>
      </w:r>
      <w:r w:rsidRPr="009E3973">
        <w:rPr>
          <w:rStyle w:val="charamparttext0"/>
          <w:rFonts w:cs="Arial"/>
          <w:color w:val="000000"/>
          <w:szCs w:val="28"/>
          <w:shd w:val="clear" w:color="auto" w:fill="FFFFFF"/>
        </w:rPr>
        <w:t>23 August 2021</w:t>
      </w:r>
      <w:bookmarkEnd w:id="8"/>
    </w:p>
    <w:p w14:paraId="6E04810A" w14:textId="2EC1527F" w:rsidR="005E317F" w:rsidRPr="009E3973" w:rsidRDefault="00C51ACF" w:rsidP="009E3973">
      <w:pPr>
        <w:pStyle w:val="ActHead9"/>
      </w:pPr>
      <w:bookmarkStart w:id="9" w:name="_Toc81227579"/>
      <w:r w:rsidRPr="009E3973">
        <w:t>Child Care Subsidy Minister’s Rules 2017</w:t>
      </w:r>
      <w:bookmarkEnd w:id="9"/>
    </w:p>
    <w:p w14:paraId="7A424E30" w14:textId="0B6BAE3E" w:rsidR="001A18D3" w:rsidRPr="009E3973" w:rsidRDefault="001A18D3" w:rsidP="009E3973">
      <w:pPr>
        <w:pStyle w:val="ItemHead"/>
      </w:pPr>
      <w:r w:rsidRPr="009E3973">
        <w:t>1  Section 4</w:t>
      </w:r>
      <w:r w:rsidR="000C2443" w:rsidRPr="009E3973">
        <w:t xml:space="preserve"> (</w:t>
      </w:r>
      <w:r w:rsidRPr="009E3973">
        <w:t xml:space="preserve">definition of </w:t>
      </w:r>
      <w:r w:rsidRPr="009E3973">
        <w:rPr>
          <w:i/>
          <w:iCs/>
        </w:rPr>
        <w:t>business continuity payment</w:t>
      </w:r>
      <w:r w:rsidR="000C2443" w:rsidRPr="009E3973">
        <w:t>)</w:t>
      </w:r>
    </w:p>
    <w:p w14:paraId="628F602B" w14:textId="0C864A91" w:rsidR="001A18D3" w:rsidRPr="009E3973" w:rsidRDefault="000C2443" w:rsidP="009E3973">
      <w:pPr>
        <w:pStyle w:val="Item"/>
      </w:pPr>
      <w:r w:rsidRPr="009E3973">
        <w:t xml:space="preserve">After </w:t>
      </w:r>
      <w:r w:rsidR="001A18D3" w:rsidRPr="009E3973">
        <w:t>“section</w:t>
      </w:r>
      <w:r w:rsidR="00AE69ED" w:rsidRPr="009E3973">
        <w:t> </w:t>
      </w:r>
      <w:r w:rsidR="001A18D3" w:rsidRPr="009E3973">
        <w:t xml:space="preserve">205A”, </w:t>
      </w:r>
      <w:r w:rsidRPr="009E3973">
        <w:t xml:space="preserve">insert </w:t>
      </w:r>
      <w:r w:rsidR="001A18D3" w:rsidRPr="009E3973">
        <w:t>“</w:t>
      </w:r>
      <w:r w:rsidRPr="009E3973">
        <w:t xml:space="preserve">or </w:t>
      </w:r>
      <w:r w:rsidR="001A18D3" w:rsidRPr="009E3973">
        <w:t>section</w:t>
      </w:r>
      <w:r w:rsidR="00BD31D0" w:rsidRPr="009E3973">
        <w:t> </w:t>
      </w:r>
      <w:r w:rsidR="001A18D3" w:rsidRPr="009E3973">
        <w:t>205C”.</w:t>
      </w:r>
    </w:p>
    <w:p w14:paraId="7A24685C" w14:textId="08463AA4" w:rsidR="00C6614E" w:rsidRPr="009E3973" w:rsidRDefault="004D4957" w:rsidP="009E3973">
      <w:pPr>
        <w:pStyle w:val="ItemHead"/>
      </w:pPr>
      <w:r w:rsidRPr="009E3973">
        <w:t>2</w:t>
      </w:r>
      <w:r w:rsidR="00C6614E" w:rsidRPr="009E3973">
        <w:t xml:space="preserve">  Section 4 (definition of </w:t>
      </w:r>
      <w:r w:rsidR="00C6614E" w:rsidRPr="009E3973">
        <w:rPr>
          <w:i/>
          <w:iCs/>
        </w:rPr>
        <w:t>health agency</w:t>
      </w:r>
      <w:r w:rsidR="00C6614E" w:rsidRPr="009E3973">
        <w:t>)</w:t>
      </w:r>
    </w:p>
    <w:p w14:paraId="34AC3746" w14:textId="22062C86" w:rsidR="00AC247A" w:rsidRPr="009E3973" w:rsidRDefault="00C6614E" w:rsidP="009E3973">
      <w:pPr>
        <w:pStyle w:val="Item"/>
      </w:pPr>
      <w:r w:rsidRPr="009E3973">
        <w:t>Omit “</w:t>
      </w:r>
      <w:r w:rsidR="001222BF" w:rsidRPr="009E3973">
        <w:t>ha</w:t>
      </w:r>
      <w:r w:rsidR="001222BF" w:rsidRPr="009E3973">
        <w:rPr>
          <w:shd w:val="clear" w:color="auto" w:fill="FFFFFF"/>
        </w:rPr>
        <w:t>s the meaning given by section 54A</w:t>
      </w:r>
      <w:r w:rsidRPr="009E3973">
        <w:t>”, substitute “</w:t>
      </w:r>
      <w:r w:rsidR="00AC247A" w:rsidRPr="009E3973">
        <w:t>means a government agency with responsibility for human health.”</w:t>
      </w:r>
    </w:p>
    <w:p w14:paraId="76A11AF3" w14:textId="0944663F" w:rsidR="00A812F9" w:rsidRPr="009E3973" w:rsidRDefault="004D4957" w:rsidP="009E3973">
      <w:pPr>
        <w:pStyle w:val="ItemHead"/>
      </w:pPr>
      <w:r w:rsidRPr="009E3973">
        <w:t>3</w:t>
      </w:r>
      <w:r w:rsidR="003401FE" w:rsidRPr="009E3973">
        <w:t xml:space="preserve">  Section 4</w:t>
      </w:r>
    </w:p>
    <w:p w14:paraId="3942A7A3" w14:textId="3099EA42" w:rsidR="003401FE" w:rsidRPr="009E3973" w:rsidRDefault="003401FE" w:rsidP="009E3973">
      <w:pPr>
        <w:pStyle w:val="Item"/>
      </w:pPr>
      <w:r w:rsidRPr="009E3973">
        <w:t>Insert:</w:t>
      </w:r>
    </w:p>
    <w:p w14:paraId="3387348D" w14:textId="699500F1" w:rsidR="00FD671D" w:rsidRPr="009E3973" w:rsidRDefault="003401FE" w:rsidP="009E3973">
      <w:pPr>
        <w:pStyle w:val="Definition"/>
      </w:pPr>
      <w:r w:rsidRPr="009E3973">
        <w:rPr>
          <w:b/>
          <w:bCs/>
          <w:i/>
          <w:iCs/>
        </w:rPr>
        <w:t>in a COVID-19 hotspot</w:t>
      </w:r>
      <w:r w:rsidR="00400968" w:rsidRPr="009E3973">
        <w:t>:</w:t>
      </w:r>
      <w:r w:rsidR="00FD671D" w:rsidRPr="009E3973">
        <w:t xml:space="preserve"> a</w:t>
      </w:r>
      <w:r w:rsidR="00A86D54" w:rsidRPr="009E3973">
        <w:t xml:space="preserve">n approved child care service is </w:t>
      </w:r>
      <w:r w:rsidR="00175C18" w:rsidRPr="009E3973">
        <w:t>i</w:t>
      </w:r>
      <w:r w:rsidR="00FD671D" w:rsidRPr="009E3973">
        <w:t>n</w:t>
      </w:r>
      <w:r w:rsidR="00175C18" w:rsidRPr="009E3973">
        <w:t xml:space="preserve"> a </w:t>
      </w:r>
      <w:r w:rsidR="00FD671D" w:rsidRPr="009E3973">
        <w:t>COVID</w:t>
      </w:r>
      <w:r w:rsidR="001F41C3" w:rsidRPr="009E3973">
        <w:noBreakHyphen/>
      </w:r>
      <w:r w:rsidR="00FD671D" w:rsidRPr="009E3973">
        <w:t>19</w:t>
      </w:r>
      <w:r w:rsidR="00175C18" w:rsidRPr="009E3973">
        <w:t xml:space="preserve"> </w:t>
      </w:r>
      <w:r w:rsidR="00FD671D" w:rsidRPr="009E3973">
        <w:t>hotspot</w:t>
      </w:r>
      <w:r w:rsidR="00175C18" w:rsidRPr="009E3973">
        <w:t xml:space="preserve"> </w:t>
      </w:r>
      <w:r w:rsidR="00FD671D" w:rsidRPr="009E3973">
        <w:t>on a day if it is in a location that is, for at least 12 hours of that day:</w:t>
      </w:r>
    </w:p>
    <w:p w14:paraId="64F7DCA9" w14:textId="5EBD92CD" w:rsidR="00FD671D" w:rsidRPr="009E3973" w:rsidRDefault="00A86D54" w:rsidP="009E3973">
      <w:pPr>
        <w:pStyle w:val="paragraph"/>
      </w:pPr>
      <w:r w:rsidRPr="009E3973">
        <w:tab/>
      </w:r>
      <w:r w:rsidR="00FD671D" w:rsidRPr="009E3973">
        <w:t>(a)</w:t>
      </w:r>
      <w:r w:rsidR="00FD671D" w:rsidRPr="009E3973">
        <w:rPr>
          <w:sz w:val="14"/>
          <w:szCs w:val="14"/>
        </w:rPr>
        <w:tab/>
      </w:r>
      <w:r w:rsidR="00FD671D" w:rsidRPr="009E3973">
        <w:t>subject to a State or Territory public health order restricting the movement of persons for a period; and</w:t>
      </w:r>
    </w:p>
    <w:p w14:paraId="1BBCB315" w14:textId="536E2B35" w:rsidR="003401FE" w:rsidRPr="009E3973" w:rsidRDefault="00A86D54" w:rsidP="009E3973">
      <w:pPr>
        <w:pStyle w:val="paragraph"/>
      </w:pPr>
      <w:r w:rsidRPr="009E3973">
        <w:tab/>
      </w:r>
      <w:r w:rsidR="00FD671D" w:rsidRPr="009E3973">
        <w:t>(b)</w:t>
      </w:r>
      <w:r w:rsidR="00FD671D" w:rsidRPr="009E3973">
        <w:rPr>
          <w:sz w:val="14"/>
          <w:szCs w:val="14"/>
        </w:rPr>
        <w:tab/>
      </w:r>
      <w:r w:rsidR="00C02A45" w:rsidRPr="009E3973">
        <w:t>with</w:t>
      </w:r>
      <w:r w:rsidR="00FD671D" w:rsidRPr="009E3973">
        <w:t>in</w:t>
      </w:r>
      <w:r w:rsidR="00400968" w:rsidRPr="009E3973">
        <w:t xml:space="preserve"> </w:t>
      </w:r>
      <w:r w:rsidR="00FD671D" w:rsidRPr="009E3973">
        <w:t>a</w:t>
      </w:r>
      <w:r w:rsidR="00400968" w:rsidRPr="009E3973">
        <w:t xml:space="preserve"> </w:t>
      </w:r>
      <w:r w:rsidR="00FD671D" w:rsidRPr="009E3973">
        <w:t>COVID</w:t>
      </w:r>
      <w:r w:rsidR="00FD671D" w:rsidRPr="009E3973">
        <w:noBreakHyphen/>
        <w:t>19</w:t>
      </w:r>
      <w:r w:rsidR="00400968" w:rsidRPr="009E3973">
        <w:t xml:space="preserve"> </w:t>
      </w:r>
      <w:r w:rsidR="00FD671D" w:rsidRPr="009E3973">
        <w:t>hotspot as determined by the</w:t>
      </w:r>
      <w:r w:rsidR="00400968" w:rsidRPr="009E3973">
        <w:t xml:space="preserve"> </w:t>
      </w:r>
      <w:r w:rsidR="00FD671D" w:rsidRPr="009E3973">
        <w:t>Commonwealth</w:t>
      </w:r>
      <w:r w:rsidR="00400968" w:rsidRPr="009E3973">
        <w:t xml:space="preserve"> </w:t>
      </w:r>
      <w:r w:rsidR="00FD671D" w:rsidRPr="009E3973">
        <w:t>Chief</w:t>
      </w:r>
      <w:r w:rsidR="00400968" w:rsidRPr="009E3973">
        <w:t xml:space="preserve"> </w:t>
      </w:r>
      <w:r w:rsidR="00FD671D" w:rsidRPr="009E3973">
        <w:t>Medical Officer for the purposes of Commonwealth support</w:t>
      </w:r>
      <w:r w:rsidR="00C04002" w:rsidRPr="009E3973">
        <w:t>.</w:t>
      </w:r>
    </w:p>
    <w:p w14:paraId="74E9020D" w14:textId="228BA0C7" w:rsidR="00B53D13" w:rsidRPr="009E3973" w:rsidRDefault="00E60046" w:rsidP="009E3973">
      <w:pPr>
        <w:pStyle w:val="Definition"/>
      </w:pPr>
      <w:r w:rsidRPr="009E3973">
        <w:rPr>
          <w:b/>
          <w:bCs/>
          <w:i/>
          <w:iCs/>
        </w:rPr>
        <w:t>in a restricted COVID-19 hotspot</w:t>
      </w:r>
      <w:r w:rsidRPr="009E3973">
        <w:t>: an approved child care service is in a restricted COVID</w:t>
      </w:r>
      <w:r w:rsidR="001F41C3" w:rsidRPr="009E3973">
        <w:noBreakHyphen/>
      </w:r>
      <w:r w:rsidRPr="009E3973">
        <w:t>19 hotspot on a day if</w:t>
      </w:r>
      <w:r w:rsidR="00B53D13" w:rsidRPr="009E3973">
        <w:t>:</w:t>
      </w:r>
    </w:p>
    <w:p w14:paraId="41C70FE2" w14:textId="3DDA27B1" w:rsidR="00B53D13" w:rsidRPr="009E3973" w:rsidRDefault="00B53D13" w:rsidP="009E3973">
      <w:pPr>
        <w:pStyle w:val="paragraph"/>
      </w:pPr>
      <w:r w:rsidRPr="009E3973">
        <w:tab/>
        <w:t>(a)</w:t>
      </w:r>
      <w:r w:rsidRPr="009E3973">
        <w:tab/>
      </w:r>
      <w:r w:rsidR="000E7F38" w:rsidRPr="009E3973">
        <w:t xml:space="preserve">it is </w:t>
      </w:r>
      <w:r w:rsidRPr="009E3973">
        <w:t>in a COVID</w:t>
      </w:r>
      <w:r w:rsidR="001F41C3" w:rsidRPr="009E3973">
        <w:noBreakHyphen/>
      </w:r>
      <w:r w:rsidRPr="009E3973">
        <w:t>19 hotspot on that day; and</w:t>
      </w:r>
    </w:p>
    <w:p w14:paraId="6CE8925B" w14:textId="77777777" w:rsidR="003F1267" w:rsidRPr="009E3973" w:rsidRDefault="003F1267" w:rsidP="009E3973">
      <w:pPr>
        <w:pStyle w:val="paragraph"/>
      </w:pPr>
      <w:r w:rsidRPr="009E3973">
        <w:tab/>
        <w:t>(b)</w:t>
      </w:r>
      <w:r w:rsidRPr="009E3973">
        <w:tab/>
        <w:t>either:</w:t>
      </w:r>
    </w:p>
    <w:p w14:paraId="31438BB2" w14:textId="77777777" w:rsidR="003F1267" w:rsidRPr="009E3973" w:rsidRDefault="003F1267" w:rsidP="009E3973">
      <w:pPr>
        <w:pStyle w:val="paragraphsub"/>
        <w:rPr>
          <w:shd w:val="clear" w:color="auto" w:fill="FFFFFF"/>
        </w:rPr>
      </w:pPr>
      <w:r w:rsidRPr="009E3973">
        <w:tab/>
        <w:t>(</w:t>
      </w:r>
      <w:proofErr w:type="spellStart"/>
      <w:r w:rsidRPr="009E3973">
        <w:t>i</w:t>
      </w:r>
      <w:proofErr w:type="spellEnd"/>
      <w:r w:rsidRPr="009E3973">
        <w:t>)</w:t>
      </w:r>
      <w:r w:rsidRPr="009E3973">
        <w:tab/>
      </w:r>
      <w:r w:rsidRPr="009E3973">
        <w:rPr>
          <w:shd w:val="clear" w:color="auto" w:fill="FFFFFF"/>
        </w:rPr>
        <w:t>the State or Territory public health order in relation to that COVID</w:t>
      </w:r>
      <w:r w:rsidRPr="009E3973">
        <w:rPr>
          <w:shd w:val="clear" w:color="auto" w:fill="FFFFFF"/>
        </w:rPr>
        <w:noBreakHyphen/>
        <w:t>19 hotspot provides that only certain children may attend child care or that children may only attend child care in certain circumstances; or</w:t>
      </w:r>
    </w:p>
    <w:p w14:paraId="0752EF07" w14:textId="77777777" w:rsidR="003F1267" w:rsidRPr="009E3973" w:rsidRDefault="003F1267" w:rsidP="009E3973">
      <w:pPr>
        <w:pStyle w:val="paragraphsub"/>
        <w:rPr>
          <w:shd w:val="clear" w:color="auto" w:fill="FFFFFF"/>
        </w:rPr>
      </w:pPr>
      <w:r w:rsidRPr="009E3973">
        <w:rPr>
          <w:shd w:val="clear" w:color="auto" w:fill="FFFFFF"/>
        </w:rPr>
        <w:tab/>
        <w:t>(ii)</w:t>
      </w:r>
      <w:r w:rsidRPr="009E3973">
        <w:rPr>
          <w:shd w:val="clear" w:color="auto" w:fill="FFFFFF"/>
        </w:rPr>
        <w:tab/>
        <w:t>a State or Territory government agency advises, in advice published on the agency’s official website, that only certain children should attend child care, or that children should only attend child care in certain circumstances.</w:t>
      </w:r>
    </w:p>
    <w:p w14:paraId="7452BF43" w14:textId="77777777" w:rsidR="00CD2EB4" w:rsidRPr="009E3973" w:rsidRDefault="00CD2EB4" w:rsidP="009E3973">
      <w:pPr>
        <w:pStyle w:val="ItemHead"/>
      </w:pPr>
      <w:r w:rsidRPr="009E3973">
        <w:t xml:space="preserve">4  Section 4 (definition of </w:t>
      </w:r>
      <w:r w:rsidRPr="009E3973">
        <w:rPr>
          <w:i/>
          <w:iCs/>
        </w:rPr>
        <w:t>Stay at Home Directions</w:t>
      </w:r>
      <w:r w:rsidRPr="009E3973">
        <w:t>)</w:t>
      </w:r>
    </w:p>
    <w:p w14:paraId="57C0CC84" w14:textId="2106D304" w:rsidR="00CD2EB4" w:rsidRPr="009E3973" w:rsidRDefault="00CD2EB4" w:rsidP="009E3973">
      <w:pPr>
        <w:pStyle w:val="Item"/>
      </w:pPr>
      <w:r w:rsidRPr="009E3973">
        <w:t>Repeal the definition</w:t>
      </w:r>
    </w:p>
    <w:p w14:paraId="52F04806" w14:textId="442DDD86" w:rsidR="003935CC" w:rsidRPr="009E3973" w:rsidRDefault="00CD2EB4" w:rsidP="009E3973">
      <w:pPr>
        <w:pStyle w:val="ItemHead"/>
      </w:pPr>
      <w:r w:rsidRPr="009E3973">
        <w:t>5</w:t>
      </w:r>
      <w:r w:rsidR="003935CC" w:rsidRPr="009E3973">
        <w:t xml:space="preserve">  Section 5AA</w:t>
      </w:r>
    </w:p>
    <w:p w14:paraId="71D17199" w14:textId="37ABA679" w:rsidR="003935CC" w:rsidRPr="009E3973" w:rsidRDefault="003935CC" w:rsidP="009E3973">
      <w:pPr>
        <w:pStyle w:val="Item"/>
      </w:pPr>
      <w:r w:rsidRPr="009E3973">
        <w:t>Repeal the section.</w:t>
      </w:r>
    </w:p>
    <w:p w14:paraId="3FD93BF4" w14:textId="1782F2DC" w:rsidR="00AA1E18" w:rsidRPr="009E3973" w:rsidRDefault="00CD2EB4" w:rsidP="009E3973">
      <w:pPr>
        <w:pStyle w:val="ItemHead"/>
      </w:pPr>
      <w:r w:rsidRPr="009E3973">
        <w:t>6</w:t>
      </w:r>
      <w:r w:rsidR="00AA1E18" w:rsidRPr="009E3973">
        <w:t xml:space="preserve">  Section 5AAB</w:t>
      </w:r>
    </w:p>
    <w:p w14:paraId="7E2B2C4A" w14:textId="3E162CB8" w:rsidR="003935CC" w:rsidRPr="009E3973" w:rsidRDefault="00E94E82" w:rsidP="009E3973">
      <w:pPr>
        <w:pStyle w:val="Item"/>
      </w:pPr>
      <w:r w:rsidRPr="009E3973">
        <w:t>Repeal the section.</w:t>
      </w:r>
    </w:p>
    <w:p w14:paraId="6FB1836C" w14:textId="77777777" w:rsidR="00CD2EB4" w:rsidRPr="009E3973" w:rsidRDefault="00CD2EB4" w:rsidP="009E3973">
      <w:pPr>
        <w:pStyle w:val="ItemHead"/>
      </w:pPr>
      <w:r w:rsidRPr="009E3973">
        <w:t>7  Section 5AB</w:t>
      </w:r>
    </w:p>
    <w:p w14:paraId="73BE5E0A" w14:textId="215A6F1B" w:rsidR="00CD2EB4" w:rsidRPr="009E3973" w:rsidRDefault="00CD2EB4" w:rsidP="009E3973">
      <w:pPr>
        <w:pStyle w:val="Item"/>
      </w:pPr>
      <w:r w:rsidRPr="009E3973">
        <w:t>Repeal the section.</w:t>
      </w:r>
    </w:p>
    <w:p w14:paraId="6426E74F" w14:textId="77777777" w:rsidR="00CD2EB4" w:rsidRPr="009E3973" w:rsidRDefault="00CD2EB4" w:rsidP="009E3973">
      <w:pPr>
        <w:pStyle w:val="ItemHead"/>
      </w:pPr>
      <w:r w:rsidRPr="009E3973">
        <w:lastRenderedPageBreak/>
        <w:t>8  Paragraph 5B(2)(e)</w:t>
      </w:r>
    </w:p>
    <w:p w14:paraId="256526F7" w14:textId="40943FC4" w:rsidR="00CD2EB4" w:rsidRPr="009E3973" w:rsidRDefault="00CD2EB4" w:rsidP="009E3973">
      <w:pPr>
        <w:pStyle w:val="Item"/>
      </w:pPr>
      <w:r w:rsidRPr="009E3973">
        <w:t>Repeal the paragraph.</w:t>
      </w:r>
    </w:p>
    <w:p w14:paraId="358C7431" w14:textId="2AEE0CE3" w:rsidR="00116F6C" w:rsidRPr="009E3973" w:rsidRDefault="00CD2EB4" w:rsidP="009E3973">
      <w:pPr>
        <w:pStyle w:val="ItemHead"/>
      </w:pPr>
      <w:r w:rsidRPr="009E3973">
        <w:t>9</w:t>
      </w:r>
      <w:r w:rsidR="00116F6C" w:rsidRPr="009E3973">
        <w:t xml:space="preserve">  Paragraph 6(1)(f)</w:t>
      </w:r>
    </w:p>
    <w:p w14:paraId="6852411B" w14:textId="49CC2522" w:rsidR="00116F6C" w:rsidRPr="009E3973" w:rsidRDefault="00116F6C" w:rsidP="009E3973">
      <w:pPr>
        <w:pStyle w:val="Item"/>
      </w:pPr>
      <w:r w:rsidRPr="009E3973">
        <w:t>Repeal the paragraph.</w:t>
      </w:r>
    </w:p>
    <w:p w14:paraId="0532037B" w14:textId="504F2F2C" w:rsidR="003935CC" w:rsidRPr="009E3973" w:rsidRDefault="00CD2EB4" w:rsidP="009E3973">
      <w:pPr>
        <w:pStyle w:val="ItemHead"/>
      </w:pPr>
      <w:r w:rsidRPr="009E3973">
        <w:t>10</w:t>
      </w:r>
      <w:r w:rsidR="00116F6C" w:rsidRPr="009E3973">
        <w:t xml:space="preserve"> </w:t>
      </w:r>
      <w:r w:rsidR="00574739" w:rsidRPr="009E3973">
        <w:t xml:space="preserve"> </w:t>
      </w:r>
      <w:r w:rsidR="00116F6C" w:rsidRPr="009E3973">
        <w:t>Subsection 6(1A)</w:t>
      </w:r>
    </w:p>
    <w:p w14:paraId="5A460F82" w14:textId="0F77E4D8" w:rsidR="003935CC" w:rsidRPr="009E3973" w:rsidRDefault="00116F6C" w:rsidP="009E3973">
      <w:pPr>
        <w:pStyle w:val="Item"/>
      </w:pPr>
      <w:r w:rsidRPr="009E3973">
        <w:t>Repeal the subsection</w:t>
      </w:r>
      <w:r w:rsidR="00CD2EB4" w:rsidRPr="009E3973">
        <w:t>, including the note</w:t>
      </w:r>
      <w:r w:rsidRPr="009E3973">
        <w:t>.</w:t>
      </w:r>
    </w:p>
    <w:p w14:paraId="7050C977" w14:textId="2612D18D" w:rsidR="00FE7B51" w:rsidRPr="009E3973" w:rsidRDefault="00CD2EB4" w:rsidP="009E3973">
      <w:pPr>
        <w:pStyle w:val="ItemHead"/>
      </w:pPr>
      <w:r w:rsidRPr="009E3973">
        <w:t>11</w:t>
      </w:r>
      <w:r w:rsidR="00FE7B51" w:rsidRPr="009E3973">
        <w:t xml:space="preserve">  Paragraph</w:t>
      </w:r>
      <w:r w:rsidR="000C2443" w:rsidRPr="009E3973">
        <w:t>s</w:t>
      </w:r>
      <w:r w:rsidR="00FE7B51" w:rsidRPr="009E3973">
        <w:t xml:space="preserve"> 8(1)(h)</w:t>
      </w:r>
      <w:r w:rsidR="000C2443" w:rsidRPr="009E3973">
        <w:t xml:space="preserve"> and (</w:t>
      </w:r>
      <w:proofErr w:type="spellStart"/>
      <w:r w:rsidR="000C2443" w:rsidRPr="009E3973">
        <w:t>i</w:t>
      </w:r>
      <w:proofErr w:type="spellEnd"/>
      <w:r w:rsidR="000C2443" w:rsidRPr="009E3973">
        <w:t>)</w:t>
      </w:r>
    </w:p>
    <w:p w14:paraId="4AA7D4A4" w14:textId="5E3BEE83" w:rsidR="00FE7B51" w:rsidRPr="009E3973" w:rsidRDefault="00FE7B51" w:rsidP="009E3973">
      <w:pPr>
        <w:pStyle w:val="Item"/>
      </w:pPr>
      <w:r w:rsidRPr="009E3973">
        <w:t>Repeal the paragraph</w:t>
      </w:r>
      <w:r w:rsidR="000C2443" w:rsidRPr="009E3973">
        <w:t>s</w:t>
      </w:r>
      <w:r w:rsidRPr="009E3973">
        <w:t>.</w:t>
      </w:r>
    </w:p>
    <w:p w14:paraId="6EFA0BDC" w14:textId="2709B4EA" w:rsidR="001A18D3" w:rsidRPr="009E3973" w:rsidRDefault="00CD2EB4" w:rsidP="009E3973">
      <w:pPr>
        <w:pStyle w:val="ItemHead"/>
      </w:pPr>
      <w:r w:rsidRPr="009E3973">
        <w:t>12</w:t>
      </w:r>
      <w:r w:rsidR="001A18D3" w:rsidRPr="009E3973">
        <w:t xml:space="preserve">  Section 47AA</w:t>
      </w:r>
    </w:p>
    <w:p w14:paraId="54B79A90" w14:textId="308403BF" w:rsidR="001A18D3" w:rsidRPr="009E3973" w:rsidRDefault="001A18D3" w:rsidP="009E3973">
      <w:pPr>
        <w:pStyle w:val="Item"/>
        <w:ind w:left="0" w:firstLine="709"/>
      </w:pPr>
      <w:r w:rsidRPr="009E3973">
        <w:t>Repeal the section</w:t>
      </w:r>
      <w:r w:rsidR="00A41DAD" w:rsidRPr="009E3973">
        <w:t>.</w:t>
      </w:r>
    </w:p>
    <w:p w14:paraId="4593FB64" w14:textId="77777777" w:rsidR="00CD2EB4" w:rsidRPr="009E3973" w:rsidRDefault="00CD2EB4" w:rsidP="009E3973">
      <w:pPr>
        <w:pStyle w:val="ItemHead"/>
      </w:pPr>
      <w:r w:rsidRPr="009E3973">
        <w:t>13  Section 47AB</w:t>
      </w:r>
    </w:p>
    <w:p w14:paraId="53908283" w14:textId="276C7849" w:rsidR="00CD2EB4" w:rsidRPr="009E3973" w:rsidRDefault="00CD2EB4" w:rsidP="009E3973">
      <w:pPr>
        <w:pStyle w:val="Item"/>
      </w:pPr>
      <w:r w:rsidRPr="009E3973">
        <w:t>Repeal the section.</w:t>
      </w:r>
    </w:p>
    <w:p w14:paraId="3DD755CB" w14:textId="63477D73" w:rsidR="005E317F" w:rsidRPr="009E3973" w:rsidRDefault="002B6279" w:rsidP="009E3973">
      <w:pPr>
        <w:pStyle w:val="ItemHead"/>
      </w:pPr>
      <w:r w:rsidRPr="009E3973">
        <w:t>1</w:t>
      </w:r>
      <w:r w:rsidR="00CD2EB4" w:rsidRPr="009E3973">
        <w:t>4</w:t>
      </w:r>
      <w:r w:rsidR="005E317F" w:rsidRPr="009E3973">
        <w:t xml:space="preserve">  </w:t>
      </w:r>
      <w:r w:rsidR="00F85F0D" w:rsidRPr="009E3973">
        <w:t>Part 5, Division 1A</w:t>
      </w:r>
    </w:p>
    <w:p w14:paraId="09031BA6" w14:textId="16E758C5" w:rsidR="005E317F" w:rsidRPr="009E3973" w:rsidRDefault="00F85F0D" w:rsidP="009E3973">
      <w:pPr>
        <w:pStyle w:val="Item"/>
      </w:pPr>
      <w:r w:rsidRPr="009E3973">
        <w:t xml:space="preserve">Repeal the </w:t>
      </w:r>
      <w:r w:rsidR="000C2443" w:rsidRPr="009E3973">
        <w:t>D</w:t>
      </w:r>
      <w:r w:rsidRPr="009E3973">
        <w:t xml:space="preserve">ivision. </w:t>
      </w:r>
    </w:p>
    <w:p w14:paraId="2D969652" w14:textId="42392F1E" w:rsidR="00A41DAD" w:rsidRPr="009E3973" w:rsidRDefault="00116F6C" w:rsidP="009E3973">
      <w:pPr>
        <w:pStyle w:val="ItemHead"/>
      </w:pPr>
      <w:r w:rsidRPr="009E3973">
        <w:t>1</w:t>
      </w:r>
      <w:r w:rsidR="00CD2EB4" w:rsidRPr="009E3973">
        <w:t>5</w:t>
      </w:r>
      <w:r w:rsidR="00A41DAD" w:rsidRPr="009E3973">
        <w:t xml:space="preserve">  Section 57AA</w:t>
      </w:r>
    </w:p>
    <w:p w14:paraId="11DFD7F7" w14:textId="44454AF8" w:rsidR="00A41DAD" w:rsidRPr="009E3973" w:rsidRDefault="00A41DAD" w:rsidP="009E3973">
      <w:pPr>
        <w:pStyle w:val="Item"/>
        <w:rPr>
          <w:color w:val="000000"/>
          <w:szCs w:val="22"/>
        </w:rPr>
      </w:pPr>
      <w:r w:rsidRPr="009E3973">
        <w:t>Omit “for a period to which Division 2 does not apply”, substitute “</w:t>
      </w:r>
      <w:r w:rsidRPr="009E3973">
        <w:rPr>
          <w:color w:val="000000"/>
          <w:szCs w:val="22"/>
        </w:rPr>
        <w:t>made under section</w:t>
      </w:r>
      <w:r w:rsidR="00BD31D0" w:rsidRPr="009E3973">
        <w:rPr>
          <w:color w:val="000000"/>
          <w:szCs w:val="22"/>
        </w:rPr>
        <w:t> </w:t>
      </w:r>
      <w:r w:rsidRPr="009E3973">
        <w:rPr>
          <w:color w:val="000000"/>
          <w:szCs w:val="22"/>
        </w:rPr>
        <w:t>205A of the Family Assistance Administration Act.”</w:t>
      </w:r>
    </w:p>
    <w:p w14:paraId="3E46D047" w14:textId="44E42DA4" w:rsidR="00F518A7" w:rsidRPr="009E3973" w:rsidRDefault="004D4957" w:rsidP="009E3973">
      <w:pPr>
        <w:pStyle w:val="ItemHead"/>
      </w:pPr>
      <w:r w:rsidRPr="009E3973">
        <w:t>1</w:t>
      </w:r>
      <w:r w:rsidR="00CD2EB4" w:rsidRPr="009E3973">
        <w:t>6</w:t>
      </w:r>
      <w:r w:rsidR="00F518A7" w:rsidRPr="009E3973">
        <w:t xml:space="preserve">  At the end of section 57AA</w:t>
      </w:r>
    </w:p>
    <w:p w14:paraId="06FF2F73" w14:textId="4D8055B0" w:rsidR="00F518A7" w:rsidRPr="009E3973" w:rsidRDefault="00F518A7" w:rsidP="009E3973">
      <w:pPr>
        <w:pStyle w:val="Item"/>
      </w:pPr>
      <w:r w:rsidRPr="009E3973">
        <w:t>Add:</w:t>
      </w:r>
    </w:p>
    <w:p w14:paraId="4F6432C1" w14:textId="4BB482F4" w:rsidR="00F518A7" w:rsidRPr="009E3973" w:rsidRDefault="00F518A7" w:rsidP="009E3973">
      <w:pPr>
        <w:pStyle w:val="notetext"/>
      </w:pPr>
      <w:r w:rsidRPr="009E3973">
        <w:t>Note:</w:t>
      </w:r>
      <w:r w:rsidRPr="009E3973">
        <w:tab/>
      </w:r>
      <w:r w:rsidR="009108A5" w:rsidRPr="009E3973">
        <w:t xml:space="preserve">Part </w:t>
      </w:r>
      <w:r w:rsidR="004C4FAE" w:rsidRPr="009E3973">
        <w:t>4</w:t>
      </w:r>
      <w:r w:rsidR="009108A5" w:rsidRPr="009E3973">
        <w:t xml:space="preserve"> of Schedule 3 sets out matters in relation to business continuity payments made under section 205C of the Family Assistance Administration Act in relation to the COVID</w:t>
      </w:r>
      <w:r w:rsidR="009108A5" w:rsidRPr="009E3973">
        <w:noBreakHyphen/>
        <w:t>19 pandemic.</w:t>
      </w:r>
    </w:p>
    <w:p w14:paraId="20E233FD" w14:textId="5D7B1F14" w:rsidR="00A41DAD" w:rsidRPr="009E3973" w:rsidRDefault="003C6235" w:rsidP="009E3973">
      <w:pPr>
        <w:pStyle w:val="ItemHead"/>
      </w:pPr>
      <w:r w:rsidRPr="009E3973">
        <w:t>1</w:t>
      </w:r>
      <w:r w:rsidR="00CD2EB4" w:rsidRPr="009E3973">
        <w:t>7</w:t>
      </w:r>
      <w:r w:rsidR="00A41DAD" w:rsidRPr="009E3973">
        <w:t xml:space="preserve">  Part 6, Division 2</w:t>
      </w:r>
    </w:p>
    <w:p w14:paraId="031BD8F4" w14:textId="3159D7EC" w:rsidR="00BD2518" w:rsidRPr="009E3973" w:rsidRDefault="00A41DAD" w:rsidP="009E3973">
      <w:pPr>
        <w:pStyle w:val="Item"/>
      </w:pPr>
      <w:r w:rsidRPr="009E3973">
        <w:t xml:space="preserve">Repeal the </w:t>
      </w:r>
      <w:r w:rsidR="000C2443" w:rsidRPr="009E3973">
        <w:t>D</w:t>
      </w:r>
      <w:r w:rsidRPr="009E3973">
        <w:t>ivision.</w:t>
      </w:r>
    </w:p>
    <w:p w14:paraId="6A5F5627" w14:textId="07D14815" w:rsidR="000F5721" w:rsidRPr="009E3973" w:rsidRDefault="004D4957" w:rsidP="009E3973">
      <w:pPr>
        <w:pStyle w:val="ItemHead"/>
        <w:ind w:left="0" w:firstLine="0"/>
      </w:pPr>
      <w:r w:rsidRPr="009E3973">
        <w:t>1</w:t>
      </w:r>
      <w:r w:rsidR="00CD2EB4" w:rsidRPr="009E3973">
        <w:t>8</w:t>
      </w:r>
      <w:r w:rsidR="000F5721" w:rsidRPr="009E3973">
        <w:t xml:space="preserve">  Schedule 3, </w:t>
      </w:r>
      <w:r w:rsidR="00FB52DA" w:rsidRPr="009E3973">
        <w:t xml:space="preserve">Part 2, </w:t>
      </w:r>
      <w:r w:rsidR="000F5721" w:rsidRPr="009E3973">
        <w:t>before clause 2.1</w:t>
      </w:r>
    </w:p>
    <w:p w14:paraId="150156BD" w14:textId="4FA8BC27" w:rsidR="007E71DA" w:rsidRPr="009E3973" w:rsidRDefault="007E71DA" w:rsidP="009E3973">
      <w:pPr>
        <w:pStyle w:val="Item"/>
      </w:pPr>
      <w:r w:rsidRPr="009E3973">
        <w:t>Insert:</w:t>
      </w:r>
    </w:p>
    <w:p w14:paraId="1746FCD0" w14:textId="533B4D04" w:rsidR="007E71DA" w:rsidRPr="009E3973" w:rsidRDefault="007E71DA" w:rsidP="009E3973">
      <w:pPr>
        <w:pStyle w:val="ActHead5"/>
      </w:pPr>
      <w:bookmarkStart w:id="10" w:name="_Toc81227580"/>
      <w:r w:rsidRPr="009E3973">
        <w:t xml:space="preserve">2.1A  </w:t>
      </w:r>
      <w:r w:rsidR="00FF3A38" w:rsidRPr="009E3973">
        <w:t>Purpose</w:t>
      </w:r>
      <w:bookmarkEnd w:id="10"/>
    </w:p>
    <w:p w14:paraId="250675F6" w14:textId="1B0ED82F" w:rsidR="002519B1" w:rsidRPr="009E3973" w:rsidRDefault="002519B1" w:rsidP="009E3973">
      <w:pPr>
        <w:pStyle w:val="subsection"/>
        <w:rPr>
          <w:color w:val="000000"/>
          <w:szCs w:val="22"/>
          <w:shd w:val="clear" w:color="auto" w:fill="FFFFFF"/>
        </w:rPr>
      </w:pPr>
      <w:r w:rsidRPr="009E3973">
        <w:tab/>
        <w:t>(1)</w:t>
      </w:r>
      <w:r w:rsidRPr="009E3973">
        <w:tab/>
      </w:r>
      <w:r w:rsidRPr="009E3973">
        <w:rPr>
          <w:color w:val="000000"/>
          <w:szCs w:val="22"/>
          <w:shd w:val="clear" w:color="auto" w:fill="FFFFFF"/>
        </w:rPr>
        <w:t xml:space="preserve">This Part sets out, for the purposes of subsection 201B(1A) of the Family Assistance Administration Act, </w:t>
      </w:r>
      <w:r w:rsidR="0046633D" w:rsidRPr="009E3973">
        <w:rPr>
          <w:color w:val="000000"/>
          <w:szCs w:val="22"/>
          <w:shd w:val="clear" w:color="auto" w:fill="FFFFFF"/>
        </w:rPr>
        <w:t>matters in relation to</w:t>
      </w:r>
      <w:r w:rsidRPr="009E3973">
        <w:rPr>
          <w:color w:val="000000"/>
          <w:szCs w:val="22"/>
          <w:shd w:val="clear" w:color="auto" w:fill="FFFFFF"/>
        </w:rPr>
        <w:t xml:space="preserve"> when a provider is not required to take reasonable steps under section 201B of that Act in relation to a session of care provided by a service to a child.</w:t>
      </w:r>
    </w:p>
    <w:p w14:paraId="5FD737C3" w14:textId="63656B70" w:rsidR="00B93285" w:rsidRPr="009E3973" w:rsidRDefault="00B93285" w:rsidP="009E3973">
      <w:pPr>
        <w:pStyle w:val="SubsectionHead"/>
        <w:rPr>
          <w:shd w:val="clear" w:color="auto" w:fill="FFFFFF"/>
        </w:rPr>
      </w:pPr>
      <w:r w:rsidRPr="009E3973">
        <w:rPr>
          <w:shd w:val="clear" w:color="auto" w:fill="FFFFFF"/>
        </w:rPr>
        <w:t>P</w:t>
      </w:r>
      <w:r w:rsidR="003B7F9F" w:rsidRPr="009E3973">
        <w:rPr>
          <w:shd w:val="clear" w:color="auto" w:fill="FFFFFF"/>
        </w:rPr>
        <w:t>articular event or circumstance</w:t>
      </w:r>
    </w:p>
    <w:p w14:paraId="1C9C241A" w14:textId="49E48BE2" w:rsidR="00B77CB4" w:rsidRPr="009E3973" w:rsidRDefault="00B77CB4" w:rsidP="009E3973">
      <w:pPr>
        <w:pStyle w:val="subsection"/>
      </w:pPr>
      <w:r w:rsidRPr="009E3973">
        <w:rPr>
          <w:color w:val="000000"/>
          <w:szCs w:val="22"/>
          <w:shd w:val="clear" w:color="auto" w:fill="FFFFFF"/>
        </w:rPr>
        <w:tab/>
        <w:t>(2)</w:t>
      </w:r>
      <w:r w:rsidRPr="009E3973">
        <w:rPr>
          <w:color w:val="000000"/>
          <w:szCs w:val="22"/>
          <w:shd w:val="clear" w:color="auto" w:fill="FFFFFF"/>
        </w:rPr>
        <w:tab/>
      </w:r>
      <w:r w:rsidR="00014AB9" w:rsidRPr="009E3973">
        <w:rPr>
          <w:color w:val="000000"/>
          <w:szCs w:val="22"/>
          <w:shd w:val="clear" w:color="auto" w:fill="FFFFFF"/>
        </w:rPr>
        <w:t xml:space="preserve">For </w:t>
      </w:r>
      <w:r w:rsidR="009719D5" w:rsidRPr="009E3973">
        <w:rPr>
          <w:color w:val="000000"/>
          <w:szCs w:val="22"/>
          <w:shd w:val="clear" w:color="auto" w:fill="FFFFFF"/>
        </w:rPr>
        <w:t xml:space="preserve">the purposes of </w:t>
      </w:r>
      <w:r w:rsidR="00014AB9" w:rsidRPr="009E3973">
        <w:rPr>
          <w:color w:val="000000"/>
          <w:szCs w:val="22"/>
          <w:shd w:val="clear" w:color="auto" w:fill="FFFFFF"/>
        </w:rPr>
        <w:t>paragraph</w:t>
      </w:r>
      <w:r w:rsidR="00916F82" w:rsidRPr="009E3973">
        <w:rPr>
          <w:color w:val="000000"/>
          <w:szCs w:val="22"/>
          <w:shd w:val="clear" w:color="auto" w:fill="FFFFFF"/>
        </w:rPr>
        <w:t xml:space="preserve"> 201B(1A)(</w:t>
      </w:r>
      <w:r w:rsidR="005F2B80" w:rsidRPr="009E3973">
        <w:rPr>
          <w:color w:val="000000"/>
          <w:szCs w:val="22"/>
          <w:shd w:val="clear" w:color="auto" w:fill="FFFFFF"/>
        </w:rPr>
        <w:t>a) of the Family Assistance Administration Act</w:t>
      </w:r>
      <w:r w:rsidR="009719D5" w:rsidRPr="009E3973">
        <w:rPr>
          <w:color w:val="000000"/>
          <w:szCs w:val="22"/>
          <w:shd w:val="clear" w:color="auto" w:fill="FFFFFF"/>
        </w:rPr>
        <w:t xml:space="preserve"> and this Part</w:t>
      </w:r>
      <w:r w:rsidR="005F2B80" w:rsidRPr="009E3973">
        <w:rPr>
          <w:color w:val="000000"/>
          <w:szCs w:val="22"/>
          <w:shd w:val="clear" w:color="auto" w:fill="FFFFFF"/>
        </w:rPr>
        <w:t>,</w:t>
      </w:r>
      <w:r w:rsidR="006843BA" w:rsidRPr="009E3973">
        <w:rPr>
          <w:color w:val="000000"/>
          <w:szCs w:val="22"/>
          <w:shd w:val="clear" w:color="auto" w:fill="FFFFFF"/>
        </w:rPr>
        <w:t xml:space="preserve"> </w:t>
      </w:r>
      <w:r w:rsidR="005F2B80" w:rsidRPr="009E3973">
        <w:rPr>
          <w:color w:val="000000"/>
          <w:szCs w:val="22"/>
          <w:shd w:val="clear" w:color="auto" w:fill="FFFFFF"/>
        </w:rPr>
        <w:t>the</w:t>
      </w:r>
      <w:r w:rsidR="006843BA" w:rsidRPr="009E3973">
        <w:rPr>
          <w:color w:val="000000"/>
          <w:szCs w:val="22"/>
          <w:shd w:val="clear" w:color="auto" w:fill="FFFFFF"/>
        </w:rPr>
        <w:t xml:space="preserve"> </w:t>
      </w:r>
      <w:r w:rsidR="006843BA" w:rsidRPr="009E3973">
        <w:rPr>
          <w:color w:val="000000"/>
          <w:szCs w:val="22"/>
        </w:rPr>
        <w:t>particular event or circumstance is the COVID</w:t>
      </w:r>
      <w:r w:rsidR="006843BA" w:rsidRPr="009E3973">
        <w:rPr>
          <w:color w:val="000000"/>
          <w:szCs w:val="22"/>
        </w:rPr>
        <w:noBreakHyphen/>
        <w:t>19 pandemic.</w:t>
      </w:r>
    </w:p>
    <w:p w14:paraId="5978D52C" w14:textId="729720FA" w:rsidR="004858C7" w:rsidRPr="009E3973" w:rsidRDefault="004D4957" w:rsidP="009E3973">
      <w:pPr>
        <w:pStyle w:val="ItemHead"/>
        <w:ind w:left="0" w:firstLine="0"/>
      </w:pPr>
      <w:r w:rsidRPr="009E3973">
        <w:lastRenderedPageBreak/>
        <w:t>1</w:t>
      </w:r>
      <w:r w:rsidR="00CD2EB4" w:rsidRPr="009E3973">
        <w:t>9</w:t>
      </w:r>
      <w:r w:rsidR="0088687F" w:rsidRPr="009E3973">
        <w:t xml:space="preserve">  Schedule 3, at the end of the heading to subclause 2.1</w:t>
      </w:r>
    </w:p>
    <w:p w14:paraId="2CF243A9" w14:textId="387E8B5E" w:rsidR="00EE32E6" w:rsidRPr="009E3973" w:rsidRDefault="0088687F" w:rsidP="009E3973">
      <w:pPr>
        <w:pStyle w:val="Item"/>
      </w:pPr>
      <w:r w:rsidRPr="009E3973">
        <w:t>Add</w:t>
      </w:r>
      <w:r w:rsidR="00943CAF" w:rsidRPr="009E3973">
        <w:t xml:space="preserve"> “</w:t>
      </w:r>
      <w:r w:rsidR="00EE32E6" w:rsidRPr="009E3973">
        <w:t>—general</w:t>
      </w:r>
      <w:r w:rsidR="00943CAF" w:rsidRPr="009E3973">
        <w:t>”.</w:t>
      </w:r>
    </w:p>
    <w:p w14:paraId="5DB52C68" w14:textId="4097D244" w:rsidR="0027036C" w:rsidRPr="009E3973" w:rsidRDefault="00CD2EB4" w:rsidP="009E3973">
      <w:pPr>
        <w:pStyle w:val="ItemHead"/>
        <w:ind w:left="0" w:firstLine="0"/>
      </w:pPr>
      <w:r w:rsidRPr="009E3973">
        <w:t>20</w:t>
      </w:r>
      <w:r w:rsidR="0027036C" w:rsidRPr="009E3973">
        <w:t xml:space="preserve">  Schedule 3, </w:t>
      </w:r>
      <w:r w:rsidR="00787531" w:rsidRPr="009E3973">
        <w:t>subclause 2.1(1)</w:t>
      </w:r>
    </w:p>
    <w:p w14:paraId="38C011D7" w14:textId="61A3B4D4" w:rsidR="00787531" w:rsidRPr="009E3973" w:rsidRDefault="008E735B" w:rsidP="009E3973">
      <w:pPr>
        <w:pStyle w:val="Item"/>
      </w:pPr>
      <w:r w:rsidRPr="009E3973">
        <w:t xml:space="preserve">Repeal </w:t>
      </w:r>
      <w:r w:rsidR="00787531" w:rsidRPr="009E3973">
        <w:t>the subclause.</w:t>
      </w:r>
    </w:p>
    <w:p w14:paraId="4438BC2B" w14:textId="52C98674" w:rsidR="00787531" w:rsidRPr="009E3973" w:rsidRDefault="00CD2EB4" w:rsidP="009E3973">
      <w:pPr>
        <w:pStyle w:val="ItemHead"/>
        <w:ind w:left="0" w:firstLine="0"/>
      </w:pPr>
      <w:r w:rsidRPr="009E3973">
        <w:t>21</w:t>
      </w:r>
      <w:r w:rsidR="00787531" w:rsidRPr="009E3973">
        <w:t xml:space="preserve">  Schedule 3, subclause 2.1(2)</w:t>
      </w:r>
    </w:p>
    <w:p w14:paraId="4F9783AE" w14:textId="605D0E3E" w:rsidR="00787531" w:rsidRPr="009E3973" w:rsidRDefault="00B40805" w:rsidP="009E3973">
      <w:pPr>
        <w:pStyle w:val="Item"/>
      </w:pPr>
      <w:r w:rsidRPr="009E3973">
        <w:t xml:space="preserve">Repeal </w:t>
      </w:r>
      <w:r w:rsidR="00787531" w:rsidRPr="009E3973">
        <w:t>the subclause</w:t>
      </w:r>
      <w:r w:rsidR="000566AF" w:rsidRPr="009E3973">
        <w:t>, including the heading</w:t>
      </w:r>
      <w:r w:rsidR="00787531" w:rsidRPr="009E3973">
        <w:t>.</w:t>
      </w:r>
    </w:p>
    <w:p w14:paraId="019A8E1D" w14:textId="20987E1D" w:rsidR="0088646F" w:rsidRPr="009E3973" w:rsidRDefault="00CD2EB4" w:rsidP="009E3973">
      <w:pPr>
        <w:pStyle w:val="ItemHead"/>
        <w:ind w:left="0" w:firstLine="0"/>
      </w:pPr>
      <w:r w:rsidRPr="009E3973">
        <w:t>22</w:t>
      </w:r>
      <w:r w:rsidR="0088646F" w:rsidRPr="009E3973">
        <w:t xml:space="preserve">  Schedule 3, paragraph 2.1(4)(b)</w:t>
      </w:r>
    </w:p>
    <w:p w14:paraId="214AA529" w14:textId="66D12B89" w:rsidR="0088646F" w:rsidRPr="009E3973" w:rsidRDefault="0028699B" w:rsidP="009E3973">
      <w:pPr>
        <w:pStyle w:val="Item"/>
      </w:pPr>
      <w:r w:rsidRPr="009E3973">
        <w:t xml:space="preserve">Omit </w:t>
      </w:r>
      <w:r w:rsidR="0088646F" w:rsidRPr="009E3973">
        <w:t xml:space="preserve">the paragraph, </w:t>
      </w:r>
      <w:r w:rsidRPr="009E3973">
        <w:t>substitute</w:t>
      </w:r>
      <w:r w:rsidR="0088646F" w:rsidRPr="009E3973">
        <w:t>:</w:t>
      </w:r>
    </w:p>
    <w:p w14:paraId="3EE6BE00" w14:textId="219F38A5" w:rsidR="0088646F" w:rsidRPr="009E3973" w:rsidRDefault="00596C01" w:rsidP="009E3973">
      <w:pPr>
        <w:pStyle w:val="paragraph"/>
        <w:rPr>
          <w:shd w:val="clear" w:color="auto" w:fill="FFFFFF"/>
        </w:rPr>
      </w:pPr>
      <w:r w:rsidRPr="009E3973">
        <w:tab/>
      </w:r>
      <w:r w:rsidR="0088646F" w:rsidRPr="009E3973">
        <w:t>(b)</w:t>
      </w:r>
      <w:r w:rsidR="0088646F" w:rsidRPr="009E3973">
        <w:tab/>
      </w:r>
      <w:r w:rsidR="00733E68" w:rsidRPr="009E3973">
        <w:rPr>
          <w:shd w:val="clear" w:color="auto" w:fill="FFFFFF"/>
        </w:rPr>
        <w:t>subclause</w:t>
      </w:r>
      <w:r w:rsidR="00EF5CBC" w:rsidRPr="009E3973">
        <w:rPr>
          <w:shd w:val="clear" w:color="auto" w:fill="FFFFFF"/>
        </w:rPr>
        <w:t> </w:t>
      </w:r>
      <w:r w:rsidR="00733E68" w:rsidRPr="009E3973">
        <w:rPr>
          <w:shd w:val="clear" w:color="auto" w:fill="FFFFFF"/>
        </w:rPr>
        <w:t>(4A) applies to the session of care;</w:t>
      </w:r>
      <w:r w:rsidR="008E49E1" w:rsidRPr="009E3973">
        <w:rPr>
          <w:shd w:val="clear" w:color="auto" w:fill="FFFFFF"/>
        </w:rPr>
        <w:t xml:space="preserve"> and</w:t>
      </w:r>
    </w:p>
    <w:p w14:paraId="0BCD336C" w14:textId="249266E5" w:rsidR="008E49E1" w:rsidRPr="009E3973" w:rsidRDefault="00CD2EB4" w:rsidP="009E3973">
      <w:pPr>
        <w:pStyle w:val="ItemHead"/>
      </w:pPr>
      <w:r w:rsidRPr="009E3973">
        <w:rPr>
          <w:shd w:val="clear" w:color="auto" w:fill="FFFFFF"/>
        </w:rPr>
        <w:t>23</w:t>
      </w:r>
      <w:r w:rsidR="008E49E1" w:rsidRPr="009E3973">
        <w:rPr>
          <w:shd w:val="clear" w:color="auto" w:fill="FFFFFF"/>
        </w:rPr>
        <w:t xml:space="preserve">  Schedule 3, after subclause 2.1(4)</w:t>
      </w:r>
    </w:p>
    <w:p w14:paraId="43CFD3AA" w14:textId="393E2BD3" w:rsidR="008E49E1" w:rsidRPr="009E3973" w:rsidRDefault="000D2F3C" w:rsidP="009E3973">
      <w:pPr>
        <w:pStyle w:val="Item"/>
      </w:pPr>
      <w:r w:rsidRPr="009E3973">
        <w:t>Insert:</w:t>
      </w:r>
    </w:p>
    <w:p w14:paraId="2123FD45" w14:textId="38E314A2" w:rsidR="000D2F3C" w:rsidRPr="009E3973" w:rsidRDefault="000D2F3C" w:rsidP="009E3973">
      <w:pPr>
        <w:pStyle w:val="subsection"/>
      </w:pPr>
      <w:r w:rsidRPr="009E3973">
        <w:tab/>
        <w:t>(4A)</w:t>
      </w:r>
      <w:r w:rsidRPr="009E3973">
        <w:tab/>
        <w:t>This subclause applies</w:t>
      </w:r>
      <w:r w:rsidR="002B2E86" w:rsidRPr="009E3973">
        <w:t xml:space="preserve"> to a session of care if:</w:t>
      </w:r>
    </w:p>
    <w:p w14:paraId="7A9B59D3" w14:textId="115C6218" w:rsidR="002B2E86" w:rsidRPr="009E3973" w:rsidRDefault="002B2E86" w:rsidP="009E3973">
      <w:pPr>
        <w:pStyle w:val="paragraph"/>
      </w:pPr>
      <w:r w:rsidRPr="009E3973">
        <w:tab/>
        <w:t>(a)</w:t>
      </w:r>
      <w:r w:rsidRPr="009E3973">
        <w:tab/>
      </w:r>
      <w:r w:rsidR="00152CCC" w:rsidRPr="009E3973">
        <w:t xml:space="preserve">the service </w:t>
      </w:r>
      <w:r w:rsidR="005C1D35" w:rsidRPr="009E3973">
        <w:t>is</w:t>
      </w:r>
      <w:r w:rsidR="009C0017" w:rsidRPr="009E3973">
        <w:t xml:space="preserve"> not</w:t>
      </w:r>
      <w:r w:rsidR="00152CCC" w:rsidRPr="009E3973">
        <w:t xml:space="preserve"> closed on the day the session of care was provided; or</w:t>
      </w:r>
    </w:p>
    <w:p w14:paraId="3173E74F" w14:textId="6306A77F" w:rsidR="004609BF" w:rsidRPr="009E3973" w:rsidRDefault="004609BF" w:rsidP="009E3973">
      <w:pPr>
        <w:pStyle w:val="paragraph"/>
      </w:pPr>
      <w:r w:rsidRPr="009E3973">
        <w:tab/>
        <w:t>(b)</w:t>
      </w:r>
      <w:r w:rsidRPr="009E3973">
        <w:tab/>
        <w:t>the service is closed on the day the session of care was provided and one of the following applies to the service:</w:t>
      </w:r>
    </w:p>
    <w:p w14:paraId="0B59D9F3" w14:textId="760A00C5" w:rsidR="004609BF" w:rsidRPr="009E3973" w:rsidRDefault="004609BF" w:rsidP="009E3973">
      <w:pPr>
        <w:pStyle w:val="paragraphsub"/>
      </w:pPr>
      <w:r w:rsidRPr="009E3973">
        <w:tab/>
        <w:t>(</w:t>
      </w:r>
      <w:proofErr w:type="spellStart"/>
      <w:r w:rsidRPr="009E3973">
        <w:t>i</w:t>
      </w:r>
      <w:proofErr w:type="spellEnd"/>
      <w:r w:rsidRPr="009E3973">
        <w:t>)</w:t>
      </w:r>
      <w:r w:rsidRPr="009E3973">
        <w:tab/>
        <w:t>the service predominantly</w:t>
      </w:r>
      <w:r w:rsidRPr="009E3973">
        <w:rPr>
          <w:color w:val="000000"/>
          <w:szCs w:val="22"/>
        </w:rPr>
        <w:t xml:space="preserve"> provides care to Indigenous children</w:t>
      </w:r>
      <w:r w:rsidR="00DD66C7" w:rsidRPr="009E3973">
        <w:rPr>
          <w:color w:val="000000"/>
          <w:szCs w:val="22"/>
        </w:rPr>
        <w:t>;</w:t>
      </w:r>
    </w:p>
    <w:p w14:paraId="29136612" w14:textId="78CC8072" w:rsidR="00DD66C7" w:rsidRPr="009E3973" w:rsidRDefault="00DD66C7" w:rsidP="009E3973">
      <w:pPr>
        <w:pStyle w:val="paragraphsub"/>
      </w:pPr>
      <w:r w:rsidRPr="009E3973">
        <w:tab/>
        <w:t>(ii)</w:t>
      </w:r>
      <w:r w:rsidRPr="009E3973">
        <w:tab/>
        <w:t>if the service is not an outside school hours care service that provides only vacation care—the service has not been closed for a period of more than 14 continuous days since 23 August 2021.</w:t>
      </w:r>
    </w:p>
    <w:p w14:paraId="0477C9AC" w14:textId="2D1B043E" w:rsidR="004B301D" w:rsidRPr="009E3973" w:rsidRDefault="004D4957" w:rsidP="009E3973">
      <w:pPr>
        <w:pStyle w:val="ItemHead"/>
      </w:pPr>
      <w:r w:rsidRPr="009E3973">
        <w:t>2</w:t>
      </w:r>
      <w:r w:rsidR="00CD2EB4" w:rsidRPr="009E3973">
        <w:t>4</w:t>
      </w:r>
      <w:r w:rsidR="004B301D" w:rsidRPr="009E3973">
        <w:t xml:space="preserve">  Schedule 3, </w:t>
      </w:r>
      <w:r w:rsidR="000254C1" w:rsidRPr="009E3973">
        <w:t xml:space="preserve">subclause </w:t>
      </w:r>
      <w:r w:rsidR="0088646F" w:rsidRPr="009E3973">
        <w:t>2.1(6)</w:t>
      </w:r>
    </w:p>
    <w:p w14:paraId="2B5D2B86" w14:textId="7EE87557" w:rsidR="000254C1" w:rsidRPr="009E3973" w:rsidRDefault="000254C1" w:rsidP="009E3973">
      <w:pPr>
        <w:pStyle w:val="Item"/>
      </w:pPr>
      <w:r w:rsidRPr="009E3973">
        <w:t>Omit the subclause, substitute:</w:t>
      </w:r>
    </w:p>
    <w:p w14:paraId="65248603" w14:textId="3E85629B" w:rsidR="0088646F" w:rsidRPr="009E3973" w:rsidRDefault="000254C1" w:rsidP="009E3973">
      <w:pPr>
        <w:pStyle w:val="subsection"/>
        <w:rPr>
          <w:shd w:val="clear" w:color="auto" w:fill="FFFFFF"/>
        </w:rPr>
      </w:pPr>
      <w:r w:rsidRPr="009E3973">
        <w:tab/>
        <w:t>(6)</w:t>
      </w:r>
      <w:r w:rsidRPr="009E3973">
        <w:tab/>
        <w:t xml:space="preserve">This subclause applies to a session of care </w:t>
      </w:r>
      <w:r w:rsidR="000F26B1" w:rsidRPr="009E3973">
        <w:t xml:space="preserve">provided by </w:t>
      </w:r>
      <w:r w:rsidR="002B25CA" w:rsidRPr="009E3973">
        <w:t>a</w:t>
      </w:r>
      <w:r w:rsidR="000F26B1" w:rsidRPr="009E3973">
        <w:t xml:space="preserve"> service on a day the service is in a restricted COVID</w:t>
      </w:r>
      <w:r w:rsidR="000F26B1" w:rsidRPr="009E3973">
        <w:noBreakHyphen/>
        <w:t>19 hotspot.</w:t>
      </w:r>
    </w:p>
    <w:p w14:paraId="19423EAA" w14:textId="5878A838" w:rsidR="00BA7631" w:rsidRPr="009E3973" w:rsidRDefault="004D4957" w:rsidP="009E3973">
      <w:pPr>
        <w:pStyle w:val="ItemHead"/>
      </w:pPr>
      <w:r w:rsidRPr="009E3973">
        <w:t>2</w:t>
      </w:r>
      <w:r w:rsidR="00CD2EB4" w:rsidRPr="009E3973">
        <w:t>5</w:t>
      </w:r>
      <w:r w:rsidR="00BA7631" w:rsidRPr="009E3973">
        <w:t xml:space="preserve">  </w:t>
      </w:r>
      <w:r w:rsidR="000254C1" w:rsidRPr="009E3973">
        <w:t>Schedule 3, s</w:t>
      </w:r>
      <w:r w:rsidR="00BA7631" w:rsidRPr="009E3973">
        <w:t>ubclause 2.1</w:t>
      </w:r>
      <w:r w:rsidR="00F77E31" w:rsidRPr="009E3973">
        <w:t>(7)</w:t>
      </w:r>
    </w:p>
    <w:p w14:paraId="2B9A294E" w14:textId="5868916B" w:rsidR="00F77E31" w:rsidRPr="009E3973" w:rsidRDefault="008E735B" w:rsidP="009E3973">
      <w:pPr>
        <w:pStyle w:val="Item"/>
      </w:pPr>
      <w:r w:rsidRPr="009E3973">
        <w:t xml:space="preserve">Repeal </w:t>
      </w:r>
      <w:r w:rsidR="00F77E31" w:rsidRPr="009E3973">
        <w:t>the subclause.</w:t>
      </w:r>
    </w:p>
    <w:p w14:paraId="57486D0B" w14:textId="698038E5" w:rsidR="005E317F" w:rsidRPr="009E3973" w:rsidRDefault="004D4957" w:rsidP="009E3973">
      <w:pPr>
        <w:pStyle w:val="ItemHead"/>
      </w:pPr>
      <w:r w:rsidRPr="009E3973">
        <w:t>2</w:t>
      </w:r>
      <w:r w:rsidR="00CD2EB4" w:rsidRPr="009E3973">
        <w:t>6</w:t>
      </w:r>
      <w:r w:rsidR="005E317F" w:rsidRPr="009E3973">
        <w:t xml:space="preserve">  </w:t>
      </w:r>
      <w:r w:rsidR="00F85F0D" w:rsidRPr="009E3973">
        <w:t>Schedule 3, after clause 2.1</w:t>
      </w:r>
    </w:p>
    <w:p w14:paraId="108C329D" w14:textId="15DDAAE8" w:rsidR="005E317F" w:rsidRPr="009E3973" w:rsidRDefault="00F85F0D" w:rsidP="009E3973">
      <w:pPr>
        <w:pStyle w:val="Item"/>
      </w:pPr>
      <w:r w:rsidRPr="009E3973">
        <w:t>Insert:</w:t>
      </w:r>
    </w:p>
    <w:p w14:paraId="1A50BC85" w14:textId="3AE24049" w:rsidR="00F85F0D" w:rsidRPr="009E3973" w:rsidRDefault="00F85F0D" w:rsidP="009E3973">
      <w:pPr>
        <w:pStyle w:val="ActHead5"/>
      </w:pPr>
      <w:bookmarkStart w:id="11" w:name="_Toc81227581"/>
      <w:r w:rsidRPr="009E3973">
        <w:t xml:space="preserve">2.2 </w:t>
      </w:r>
      <w:r w:rsidR="00BD31D0" w:rsidRPr="009E3973">
        <w:t xml:space="preserve"> </w:t>
      </w:r>
      <w:r w:rsidRPr="009E3973">
        <w:t>Exemption from enforcing payment of hourly session fees—</w:t>
      </w:r>
      <w:r w:rsidR="004B301D" w:rsidRPr="009E3973">
        <w:t>s</w:t>
      </w:r>
      <w:r w:rsidRPr="009E3973">
        <w:t>ervices advised or required to close</w:t>
      </w:r>
      <w:bookmarkEnd w:id="11"/>
    </w:p>
    <w:p w14:paraId="094569B6" w14:textId="4FEDB2D5" w:rsidR="00F85F0D" w:rsidRPr="009E3973" w:rsidRDefault="00F85F0D" w:rsidP="009E3973">
      <w:pPr>
        <w:pStyle w:val="SubsectionHead"/>
      </w:pPr>
      <w:r w:rsidRPr="009E3973">
        <w:t>Condition</w:t>
      </w:r>
      <w:r w:rsidR="00E65AAC" w:rsidRPr="009E3973">
        <w:t>s</w:t>
      </w:r>
    </w:p>
    <w:p w14:paraId="08629370" w14:textId="488C5D83" w:rsidR="00531781" w:rsidRPr="009E3973" w:rsidRDefault="00165163" w:rsidP="009E3973">
      <w:pPr>
        <w:pStyle w:val="subsection"/>
      </w:pPr>
      <w:r w:rsidRPr="009E3973">
        <w:tab/>
      </w:r>
      <w:r w:rsidR="00F85F0D" w:rsidRPr="009E3973">
        <w:t>(</w:t>
      </w:r>
      <w:r w:rsidRPr="009E3973">
        <w:t>1</w:t>
      </w:r>
      <w:r w:rsidR="00F85F0D" w:rsidRPr="009E3973">
        <w:t>)</w:t>
      </w:r>
      <w:r w:rsidR="004E071B" w:rsidRPr="009E3973">
        <w:tab/>
      </w:r>
      <w:r w:rsidR="007F2FE1" w:rsidRPr="009E3973">
        <w:t>For the purposes of paragraph 201B(1A)(c) of the Family Assistance Administration Act, t</w:t>
      </w:r>
      <w:r w:rsidR="00531781" w:rsidRPr="009E3973">
        <w:t>he conditions are that:</w:t>
      </w:r>
    </w:p>
    <w:p w14:paraId="22E8500C" w14:textId="4BEC4D45" w:rsidR="00F8339C" w:rsidRPr="009E3973" w:rsidRDefault="00531781" w:rsidP="009E3973">
      <w:pPr>
        <w:pStyle w:val="paragraph"/>
      </w:pPr>
      <w:r w:rsidRPr="009E3973">
        <w:tab/>
        <w:t>(a)</w:t>
      </w:r>
      <w:r w:rsidRPr="009E3973">
        <w:tab/>
      </w:r>
      <w:r w:rsidR="00F85F0D" w:rsidRPr="009E3973">
        <w:t xml:space="preserve">the child did not attend </w:t>
      </w:r>
      <w:r w:rsidR="00F8339C" w:rsidRPr="009E3973">
        <w:t xml:space="preserve">any part of </w:t>
      </w:r>
      <w:r w:rsidR="00F85F0D" w:rsidRPr="009E3973">
        <w:t>the session of care</w:t>
      </w:r>
      <w:r w:rsidR="00F8339C" w:rsidRPr="009E3973">
        <w:t>; and</w:t>
      </w:r>
    </w:p>
    <w:p w14:paraId="047A0996" w14:textId="69624C56" w:rsidR="00F8339C" w:rsidRPr="009E3973" w:rsidRDefault="00F8339C" w:rsidP="009E3973">
      <w:pPr>
        <w:pStyle w:val="paragraph"/>
      </w:pPr>
      <w:r w:rsidRPr="009E3973">
        <w:tab/>
        <w:t>(b)</w:t>
      </w:r>
      <w:r w:rsidRPr="009E3973">
        <w:tab/>
      </w:r>
      <w:r w:rsidR="00F85F0D" w:rsidRPr="009E3973">
        <w:t>the service is closed because a health agency has advised or required the service to close as a result of the COVID-19 pandemic</w:t>
      </w:r>
      <w:r w:rsidRPr="009E3973">
        <w:t>; and</w:t>
      </w:r>
    </w:p>
    <w:p w14:paraId="46F525DC" w14:textId="5774E9A4" w:rsidR="00F85F0D" w:rsidRPr="009E3973" w:rsidRDefault="00F8339C" w:rsidP="009E3973">
      <w:pPr>
        <w:pStyle w:val="paragraph"/>
      </w:pPr>
      <w:r w:rsidRPr="009E3973">
        <w:tab/>
        <w:t>(c)</w:t>
      </w:r>
      <w:r w:rsidRPr="009E3973">
        <w:tab/>
      </w:r>
      <w:r w:rsidRPr="009E3973">
        <w:rPr>
          <w:shd w:val="clear" w:color="auto" w:fill="FFFFFF"/>
        </w:rPr>
        <w:t xml:space="preserve">if the service is a FDC </w:t>
      </w:r>
      <w:r w:rsidR="00FB52DA" w:rsidRPr="009E3973">
        <w:rPr>
          <w:shd w:val="clear" w:color="auto" w:fill="FFFFFF"/>
        </w:rPr>
        <w:t xml:space="preserve">service </w:t>
      </w:r>
      <w:r w:rsidRPr="009E3973">
        <w:rPr>
          <w:shd w:val="clear" w:color="auto" w:fill="FFFFFF"/>
        </w:rPr>
        <w:t xml:space="preserve">or an IHC service, the Secretary has not, since 2 July 2018, made a cancellation decision under section 195H or </w:t>
      </w:r>
      <w:r w:rsidRPr="009E3973">
        <w:rPr>
          <w:shd w:val="clear" w:color="auto" w:fill="FFFFFF"/>
        </w:rPr>
        <w:lastRenderedPageBreak/>
        <w:t>Division 4 of Part 8 of the Family Assistance Administration Act (other than a decision under section 197C) in relation to the service or the approved provider of the service</w:t>
      </w:r>
      <w:r w:rsidR="00F85F0D" w:rsidRPr="009E3973">
        <w:t>.</w:t>
      </w:r>
    </w:p>
    <w:p w14:paraId="77FF4EFB" w14:textId="77777777" w:rsidR="00F85F0D" w:rsidRPr="009E3973" w:rsidRDefault="00F85F0D" w:rsidP="009E3973">
      <w:pPr>
        <w:pStyle w:val="SubsectionHead"/>
      </w:pPr>
      <w:r w:rsidRPr="009E3973">
        <w:t>Period</w:t>
      </w:r>
    </w:p>
    <w:p w14:paraId="1885EF6B" w14:textId="726C0D0B" w:rsidR="00F85F0D" w:rsidRPr="009E3973" w:rsidRDefault="00F85F0D" w:rsidP="009E3973">
      <w:pPr>
        <w:spacing w:before="180" w:line="240" w:lineRule="auto"/>
        <w:ind w:left="1134" w:hanging="414"/>
        <w:rPr>
          <w:rFonts w:eastAsia="Times New Roman" w:cs="Times New Roman"/>
          <w:color w:val="000000"/>
          <w:szCs w:val="22"/>
          <w:lang w:eastAsia="en-AU"/>
        </w:rPr>
      </w:pPr>
      <w:r w:rsidRPr="009E3973">
        <w:rPr>
          <w:rFonts w:eastAsia="Times New Roman" w:cs="Times New Roman"/>
          <w:color w:val="000000"/>
          <w:szCs w:val="22"/>
          <w:lang w:eastAsia="en-AU"/>
        </w:rPr>
        <w:t xml:space="preserve"> (</w:t>
      </w:r>
      <w:r w:rsidR="007254A1" w:rsidRPr="009E3973">
        <w:rPr>
          <w:rFonts w:eastAsia="Times New Roman" w:cs="Times New Roman"/>
          <w:color w:val="000000"/>
          <w:szCs w:val="22"/>
          <w:lang w:eastAsia="en-AU"/>
        </w:rPr>
        <w:t>2</w:t>
      </w:r>
      <w:r w:rsidRPr="009E3973">
        <w:rPr>
          <w:rFonts w:eastAsia="Times New Roman" w:cs="Times New Roman"/>
          <w:color w:val="000000"/>
          <w:szCs w:val="22"/>
          <w:lang w:eastAsia="en-AU"/>
        </w:rPr>
        <w:t>)</w:t>
      </w:r>
      <w:r w:rsidR="004E071B" w:rsidRPr="009E3973">
        <w:rPr>
          <w:rFonts w:eastAsia="Times New Roman" w:cs="Times New Roman"/>
          <w:color w:val="000000"/>
          <w:szCs w:val="22"/>
          <w:lang w:eastAsia="en-AU"/>
        </w:rPr>
        <w:tab/>
      </w:r>
      <w:r w:rsidR="007F2FE1" w:rsidRPr="009E3973">
        <w:rPr>
          <w:rFonts w:eastAsia="Times New Roman" w:cs="Times New Roman"/>
          <w:color w:val="000000"/>
          <w:szCs w:val="22"/>
          <w:lang w:eastAsia="en-AU"/>
        </w:rPr>
        <w:t>For the purposes of paragraph 201B(1A)(b) of the Family Assistance Administration Act, t</w:t>
      </w:r>
      <w:r w:rsidRPr="009E3973">
        <w:rPr>
          <w:rFonts w:eastAsia="Times New Roman" w:cs="Times New Roman"/>
          <w:color w:val="000000"/>
          <w:szCs w:val="22"/>
          <w:lang w:eastAsia="en-AU"/>
        </w:rPr>
        <w:t>he period is the period:</w:t>
      </w:r>
    </w:p>
    <w:p w14:paraId="653E95A4" w14:textId="363D4307" w:rsidR="00F85F0D" w:rsidRPr="009E3973" w:rsidRDefault="007254A1" w:rsidP="009E3973">
      <w:pPr>
        <w:pStyle w:val="paragraph"/>
      </w:pPr>
      <w:r w:rsidRPr="009E3973">
        <w:tab/>
        <w:t>(a)</w:t>
      </w:r>
      <w:r w:rsidRPr="009E3973">
        <w:tab/>
      </w:r>
      <w:r w:rsidR="00F85F0D" w:rsidRPr="009E3973">
        <w:t xml:space="preserve">beginning on the day the child care service closes as a result of the advice or requirement referred to in </w:t>
      </w:r>
      <w:r w:rsidR="00E01D22" w:rsidRPr="009E3973">
        <w:t>paragraph (1)(b)</w:t>
      </w:r>
      <w:r w:rsidR="00F85F0D" w:rsidRPr="009E3973">
        <w:t>; and</w:t>
      </w:r>
    </w:p>
    <w:p w14:paraId="38934141" w14:textId="57B49098" w:rsidR="00F85F0D" w:rsidRPr="009E3973" w:rsidRDefault="007254A1" w:rsidP="009E3973">
      <w:pPr>
        <w:pStyle w:val="paragraph"/>
      </w:pPr>
      <w:r w:rsidRPr="009E3973">
        <w:tab/>
        <w:t>(b)</w:t>
      </w:r>
      <w:r w:rsidRPr="009E3973">
        <w:tab/>
      </w:r>
      <w:r w:rsidR="00F85F0D" w:rsidRPr="009E3973">
        <w:t>ending on the earlier of:</w:t>
      </w:r>
    </w:p>
    <w:p w14:paraId="0BE360E2" w14:textId="1E53095E" w:rsidR="004B301D" w:rsidRPr="009E3973" w:rsidRDefault="007254A1" w:rsidP="009E3973">
      <w:pPr>
        <w:pStyle w:val="paragraphsub"/>
      </w:pPr>
      <w:r w:rsidRPr="009E3973">
        <w:tab/>
        <w:t>(</w:t>
      </w:r>
      <w:proofErr w:type="spellStart"/>
      <w:r w:rsidRPr="009E3973">
        <w:t>i</w:t>
      </w:r>
      <w:proofErr w:type="spellEnd"/>
      <w:r w:rsidRPr="009E3973">
        <w:t>)</w:t>
      </w:r>
      <w:r w:rsidRPr="009E3973">
        <w:tab/>
      </w:r>
      <w:r w:rsidR="004B301D" w:rsidRPr="009E3973">
        <w:t>the last day in the period that the health agency advises or requires the child care service to be closed; and</w:t>
      </w:r>
    </w:p>
    <w:p w14:paraId="3E8B2604" w14:textId="65E45CB1" w:rsidR="004B301D" w:rsidRPr="009E3973" w:rsidRDefault="007254A1" w:rsidP="009E3973">
      <w:pPr>
        <w:pStyle w:val="paragraphsub"/>
      </w:pPr>
      <w:r w:rsidRPr="009E3973">
        <w:tab/>
        <w:t>(ii)</w:t>
      </w:r>
      <w:r w:rsidRPr="009E3973">
        <w:tab/>
      </w:r>
      <w:r w:rsidR="004B301D" w:rsidRPr="009E3973">
        <w:t>31 December 2021.</w:t>
      </w:r>
    </w:p>
    <w:p w14:paraId="289E7904" w14:textId="6C8A34DB" w:rsidR="00750F43" w:rsidRPr="009E3973" w:rsidRDefault="00B144F7" w:rsidP="009E3973">
      <w:pPr>
        <w:pStyle w:val="ItemHead"/>
        <w:rPr>
          <w:rStyle w:val="charpartno0"/>
        </w:rPr>
      </w:pPr>
      <w:bookmarkStart w:id="12" w:name="_Toc77000466"/>
      <w:r w:rsidRPr="009E3973">
        <w:rPr>
          <w:rStyle w:val="charpartno0"/>
        </w:rPr>
        <w:t>2</w:t>
      </w:r>
      <w:r w:rsidR="00CD2EB4" w:rsidRPr="009E3973">
        <w:rPr>
          <w:rStyle w:val="charpartno0"/>
        </w:rPr>
        <w:t>7</w:t>
      </w:r>
      <w:r w:rsidR="00750F43" w:rsidRPr="009E3973">
        <w:rPr>
          <w:rStyle w:val="charpartno0"/>
        </w:rPr>
        <w:t xml:space="preserve">  At the end of Schedule 3</w:t>
      </w:r>
    </w:p>
    <w:p w14:paraId="6FFD77E9" w14:textId="1F18BC89" w:rsidR="00750F43" w:rsidRPr="009E3973" w:rsidRDefault="00750F43" w:rsidP="009E3973">
      <w:pPr>
        <w:pStyle w:val="Item"/>
      </w:pPr>
      <w:r w:rsidRPr="009E3973">
        <w:t>Add:</w:t>
      </w:r>
    </w:p>
    <w:p w14:paraId="711086F0" w14:textId="50EB3321" w:rsidR="00E94E82" w:rsidRPr="009E3973" w:rsidRDefault="00E94E82" w:rsidP="009E3973">
      <w:pPr>
        <w:pStyle w:val="ActHead2"/>
      </w:pPr>
      <w:bookmarkStart w:id="13" w:name="_Toc81227582"/>
      <w:r w:rsidRPr="009E3973">
        <w:rPr>
          <w:rStyle w:val="charpartno0"/>
        </w:rPr>
        <w:t>Part 3</w:t>
      </w:r>
      <w:r w:rsidRPr="009E3973">
        <w:t>—</w:t>
      </w:r>
      <w:r w:rsidRPr="009E3973">
        <w:rPr>
          <w:rStyle w:val="charparttext0"/>
        </w:rPr>
        <w:t>Allowable absences for</w:t>
      </w:r>
      <w:r w:rsidR="00247258" w:rsidRPr="009E3973">
        <w:rPr>
          <w:rStyle w:val="charparttext0"/>
        </w:rPr>
        <w:t xml:space="preserve"> services in</w:t>
      </w:r>
      <w:r w:rsidRPr="009E3973">
        <w:rPr>
          <w:rStyle w:val="charparttext0"/>
        </w:rPr>
        <w:t xml:space="preserve"> COVID-19 hotspots</w:t>
      </w:r>
      <w:bookmarkEnd w:id="13"/>
      <w:r w:rsidRPr="009E3973">
        <w:rPr>
          <w:rStyle w:val="charparttext0"/>
        </w:rPr>
        <w:t xml:space="preserve"> </w:t>
      </w:r>
    </w:p>
    <w:p w14:paraId="1701B4A9" w14:textId="7C4D41D2" w:rsidR="00E94E82" w:rsidRPr="009E3973" w:rsidRDefault="00E94E82" w:rsidP="009E3973">
      <w:pPr>
        <w:pStyle w:val="ActHead5"/>
      </w:pPr>
      <w:bookmarkStart w:id="14" w:name="_Toc78810767"/>
      <w:bookmarkStart w:id="15" w:name="_Toc80185817"/>
      <w:bookmarkStart w:id="16" w:name="_Toc80186009"/>
      <w:bookmarkStart w:id="17" w:name="_Toc81227583"/>
      <w:r w:rsidRPr="009E3973">
        <w:t xml:space="preserve">3.1  </w:t>
      </w:r>
      <w:bookmarkEnd w:id="14"/>
      <w:bookmarkEnd w:id="15"/>
      <w:bookmarkEnd w:id="16"/>
      <w:r w:rsidRPr="009E3973">
        <w:t xml:space="preserve">Allowable absences for </w:t>
      </w:r>
      <w:r w:rsidR="00247258" w:rsidRPr="009E3973">
        <w:t xml:space="preserve">services in </w:t>
      </w:r>
      <w:r w:rsidRPr="009E3973">
        <w:t>COVID</w:t>
      </w:r>
      <w:r w:rsidRPr="009E3973">
        <w:noBreakHyphen/>
        <w:t>19 hotspots</w:t>
      </w:r>
      <w:bookmarkEnd w:id="17"/>
    </w:p>
    <w:p w14:paraId="377C7908" w14:textId="11C54531" w:rsidR="00E94E82" w:rsidRPr="009E3973" w:rsidRDefault="00E94E82" w:rsidP="009E3973">
      <w:pPr>
        <w:pStyle w:val="subsection"/>
        <w:numPr>
          <w:ilvl w:val="0"/>
          <w:numId w:val="28"/>
        </w:numPr>
      </w:pPr>
      <w:r w:rsidRPr="009E3973">
        <w:t>This clause sets out, for the purposes of subparagraph 10(2)(c)(ii) and subsection 10(2AA) of the Family Assistance Act, conditions relating to a particular event or circumstance to be met in order for a child care service to be taken to have provided a session of care to a child on a day.</w:t>
      </w:r>
    </w:p>
    <w:p w14:paraId="3D3C063E" w14:textId="77777777" w:rsidR="00E94E82" w:rsidRPr="009E3973" w:rsidRDefault="00E94E82" w:rsidP="009E3973">
      <w:pPr>
        <w:pStyle w:val="subsection"/>
        <w:numPr>
          <w:ilvl w:val="0"/>
          <w:numId w:val="28"/>
        </w:numPr>
      </w:pPr>
      <w:r w:rsidRPr="009E3973">
        <w:t>The particular event or circumstance is the COVID</w:t>
      </w:r>
      <w:r w:rsidRPr="009E3973">
        <w:noBreakHyphen/>
        <w:t>19 pandemic.</w:t>
      </w:r>
    </w:p>
    <w:p w14:paraId="42C8464D" w14:textId="7DADC8C8" w:rsidR="00E94E82" w:rsidRPr="009E3973" w:rsidRDefault="00E94E82" w:rsidP="009E3973">
      <w:pPr>
        <w:pStyle w:val="subsection"/>
        <w:ind w:left="720" w:firstLine="0"/>
        <w:rPr>
          <w:i/>
          <w:iCs/>
        </w:rPr>
      </w:pPr>
      <w:r w:rsidRPr="009E3973">
        <w:rPr>
          <w:i/>
          <w:iCs/>
        </w:rPr>
        <w:t>Condition</w:t>
      </w:r>
    </w:p>
    <w:p w14:paraId="183DC048" w14:textId="1D4E8900" w:rsidR="00E94E82" w:rsidRPr="009E3973" w:rsidRDefault="00E94E82" w:rsidP="009E3973">
      <w:pPr>
        <w:pStyle w:val="subsection"/>
        <w:numPr>
          <w:ilvl w:val="0"/>
          <w:numId w:val="28"/>
        </w:numPr>
      </w:pPr>
      <w:r w:rsidRPr="009E3973">
        <w:t xml:space="preserve">It is a condition that on the day, the child care service </w:t>
      </w:r>
      <w:r w:rsidR="005A218A" w:rsidRPr="009E3973">
        <w:t>is</w:t>
      </w:r>
      <w:r w:rsidRPr="009E3973">
        <w:t xml:space="preserve"> in a </w:t>
      </w:r>
      <w:r w:rsidR="005A218A" w:rsidRPr="009E3973">
        <w:t>COVID</w:t>
      </w:r>
      <w:r w:rsidR="005A218A" w:rsidRPr="009E3973">
        <w:noBreakHyphen/>
        <w:t xml:space="preserve">19 hotspot and has been or will be in that </w:t>
      </w:r>
      <w:r w:rsidR="00247258" w:rsidRPr="009E3973">
        <w:t xml:space="preserve">particular </w:t>
      </w:r>
      <w:r w:rsidRPr="009E3973">
        <w:t>COVID</w:t>
      </w:r>
      <w:r w:rsidRPr="009E3973">
        <w:noBreakHyphen/>
        <w:t>19 hotspot for a period of more than 7</w:t>
      </w:r>
      <w:r w:rsidR="00002C6C" w:rsidRPr="009E3973">
        <w:t> </w:t>
      </w:r>
      <w:r w:rsidR="005A218A" w:rsidRPr="009E3973">
        <w:t xml:space="preserve">continuous </w:t>
      </w:r>
      <w:r w:rsidRPr="009E3973">
        <w:t>days.</w:t>
      </w:r>
    </w:p>
    <w:p w14:paraId="4E8F9F13" w14:textId="6A4F0DC3" w:rsidR="00C113FF" w:rsidRPr="009E3973" w:rsidRDefault="00C113FF" w:rsidP="009E3973">
      <w:pPr>
        <w:pStyle w:val="ActHead2"/>
      </w:pPr>
      <w:bookmarkStart w:id="18" w:name="_Toc81227584"/>
      <w:r w:rsidRPr="009E3973">
        <w:rPr>
          <w:rStyle w:val="charpartno0"/>
        </w:rPr>
        <w:t xml:space="preserve">Part </w:t>
      </w:r>
      <w:r w:rsidR="00E94E82" w:rsidRPr="009E3973">
        <w:rPr>
          <w:rStyle w:val="charpartno0"/>
        </w:rPr>
        <w:t>4</w:t>
      </w:r>
      <w:r w:rsidRPr="009E3973">
        <w:t>—</w:t>
      </w:r>
      <w:r w:rsidRPr="009E3973">
        <w:rPr>
          <w:rStyle w:val="charparttext0"/>
        </w:rPr>
        <w:t>Business continuity payments</w:t>
      </w:r>
      <w:bookmarkEnd w:id="18"/>
      <w:r w:rsidRPr="009E3973">
        <w:rPr>
          <w:rStyle w:val="charparttext0"/>
        </w:rPr>
        <w:t xml:space="preserve"> </w:t>
      </w:r>
    </w:p>
    <w:p w14:paraId="76D67883" w14:textId="13815C4E" w:rsidR="00C113FF" w:rsidRPr="009E3973" w:rsidRDefault="00C113FF" w:rsidP="009E3973">
      <w:pPr>
        <w:pStyle w:val="ActHead3"/>
      </w:pPr>
      <w:bookmarkStart w:id="19" w:name="_Toc81227585"/>
      <w:r w:rsidRPr="009E3973">
        <w:t>Division 1—</w:t>
      </w:r>
      <w:r w:rsidR="00C9085F" w:rsidRPr="009E3973">
        <w:t>COVID</w:t>
      </w:r>
      <w:r w:rsidR="00C9085F" w:rsidRPr="009E3973">
        <w:noBreakHyphen/>
        <w:t>19 e</w:t>
      </w:r>
      <w:r w:rsidRPr="009E3973">
        <w:t>mergency business continuity payment</w:t>
      </w:r>
      <w:r w:rsidR="00C9085F" w:rsidRPr="009E3973">
        <w:t>s</w:t>
      </w:r>
      <w:bookmarkEnd w:id="19"/>
    </w:p>
    <w:p w14:paraId="1CDA26EA" w14:textId="0E6C4AA1" w:rsidR="00C113FF" w:rsidRPr="009E3973" w:rsidRDefault="00E94E82" w:rsidP="009E3973">
      <w:pPr>
        <w:pStyle w:val="ActHead5"/>
      </w:pPr>
      <w:bookmarkStart w:id="20" w:name="_Toc81227586"/>
      <w:r w:rsidRPr="009E3973">
        <w:t>4</w:t>
      </w:r>
      <w:r w:rsidR="00C113FF" w:rsidRPr="009E3973">
        <w:t xml:space="preserve">.1  </w:t>
      </w:r>
      <w:r w:rsidR="00DC6DB2" w:rsidRPr="009E3973">
        <w:t>Purpose</w:t>
      </w:r>
      <w:bookmarkEnd w:id="20"/>
    </w:p>
    <w:p w14:paraId="30D83138" w14:textId="77777777" w:rsidR="00DC6DB2" w:rsidRPr="009E3973" w:rsidRDefault="00DC6DB2" w:rsidP="009E3973">
      <w:pPr>
        <w:pStyle w:val="subsection"/>
      </w:pPr>
      <w:r w:rsidRPr="009E3973">
        <w:tab/>
        <w:t>(1)</w:t>
      </w:r>
      <w:r w:rsidRPr="009E3973">
        <w:tab/>
        <w:t>This Division sets out matters in relation to business continuity payments under section 205C of the Family Assistance Administration Act to approved providers whose services have been adversely affected by the COVID</w:t>
      </w:r>
      <w:r w:rsidRPr="009E3973">
        <w:noBreakHyphen/>
        <w:t xml:space="preserve">19 pandemic. </w:t>
      </w:r>
    </w:p>
    <w:p w14:paraId="70E506FC" w14:textId="77777777" w:rsidR="00DC6DB2" w:rsidRPr="009E3973" w:rsidRDefault="00DC6DB2" w:rsidP="009E3973">
      <w:pPr>
        <w:pStyle w:val="SubsectionHead"/>
      </w:pPr>
      <w:r w:rsidRPr="009E3973">
        <w:t>Emergency or disaster</w:t>
      </w:r>
    </w:p>
    <w:p w14:paraId="1D49E2FE" w14:textId="77777777" w:rsidR="00DC6DB2" w:rsidRPr="009E3973" w:rsidRDefault="00DC6DB2" w:rsidP="009E3973">
      <w:pPr>
        <w:pStyle w:val="subsection"/>
      </w:pPr>
      <w:r w:rsidRPr="009E3973">
        <w:tab/>
        <w:t>(2)</w:t>
      </w:r>
      <w:r w:rsidRPr="009E3973">
        <w:tab/>
        <w:t>For the purposes of paragraph 205C(2)(a) of the Family Assistance Administration Act, the COVID</w:t>
      </w:r>
      <w:r w:rsidRPr="009E3973">
        <w:noBreakHyphen/>
        <w:t>19 pandemic is prescribed.</w:t>
      </w:r>
    </w:p>
    <w:p w14:paraId="390F6B82" w14:textId="56DF00A8" w:rsidR="00C113FF" w:rsidRPr="009E3973" w:rsidRDefault="00E94E82" w:rsidP="009E3973">
      <w:pPr>
        <w:pStyle w:val="ActHead5"/>
      </w:pPr>
      <w:bookmarkStart w:id="21" w:name="_Toc81227587"/>
      <w:r w:rsidRPr="009E3973">
        <w:lastRenderedPageBreak/>
        <w:t>4</w:t>
      </w:r>
      <w:r w:rsidR="00C113FF" w:rsidRPr="009E3973">
        <w:t>.2  Definitions</w:t>
      </w:r>
      <w:bookmarkEnd w:id="21"/>
    </w:p>
    <w:p w14:paraId="70FC69A5" w14:textId="77777777" w:rsidR="00DC6DB2" w:rsidRPr="009E3973" w:rsidRDefault="00C113FF" w:rsidP="009E3973">
      <w:pPr>
        <w:pStyle w:val="subsection"/>
      </w:pPr>
      <w:r w:rsidRPr="009E3973">
        <w:tab/>
        <w:t xml:space="preserve"> </w:t>
      </w:r>
      <w:r w:rsidRPr="009E3973">
        <w:tab/>
        <w:t>In this Division</w:t>
      </w:r>
      <w:r w:rsidR="00DC6DB2" w:rsidRPr="009E3973">
        <w:t>:</w:t>
      </w:r>
    </w:p>
    <w:p w14:paraId="1F9C3963" w14:textId="7C00F19E" w:rsidR="00C113FF" w:rsidRPr="009E3973" w:rsidRDefault="00C113FF" w:rsidP="009E3973">
      <w:pPr>
        <w:pStyle w:val="Definition"/>
      </w:pPr>
      <w:r w:rsidRPr="009E3973">
        <w:rPr>
          <w:b/>
          <w:bCs/>
          <w:i/>
          <w:iCs/>
        </w:rPr>
        <w:t>BCP fortnight</w:t>
      </w:r>
      <w:r w:rsidRPr="009E3973">
        <w:t xml:space="preserve"> means:</w:t>
      </w:r>
    </w:p>
    <w:p w14:paraId="2446C379" w14:textId="3E9FA763" w:rsidR="008C0570" w:rsidRPr="009E3973" w:rsidRDefault="008C0570" w:rsidP="009E3973">
      <w:pPr>
        <w:pStyle w:val="paragraph"/>
      </w:pPr>
      <w:r w:rsidRPr="009E3973">
        <w:tab/>
        <w:t>(a)</w:t>
      </w:r>
      <w:r w:rsidRPr="009E3973">
        <w:tab/>
        <w:t>in relation to an outside school hours care service that provides only vacation care—a period of 14 days that begins on or</w:t>
      </w:r>
      <w:r w:rsidR="00E94E82" w:rsidRPr="009E3973">
        <w:t xml:space="preserve"> after</w:t>
      </w:r>
      <w:r w:rsidRPr="009E3973">
        <w:t xml:space="preserve"> </w:t>
      </w:r>
      <w:r w:rsidR="00E94E82" w:rsidRPr="009E3973">
        <w:t>the beginning of the COVID</w:t>
      </w:r>
      <w:r w:rsidR="00E94E82" w:rsidRPr="009E3973">
        <w:noBreakHyphen/>
        <w:t xml:space="preserve">19 </w:t>
      </w:r>
      <w:r w:rsidR="001F2D81" w:rsidRPr="009E3973">
        <w:t>viability support payment</w:t>
      </w:r>
      <w:r w:rsidR="00E94E82" w:rsidRPr="009E3973">
        <w:t xml:space="preserve"> period</w:t>
      </w:r>
      <w:r w:rsidRPr="009E3973">
        <w:t xml:space="preserve">, </w:t>
      </w:r>
      <w:r w:rsidR="00296C09" w:rsidRPr="009E3973">
        <w:t xml:space="preserve">and each subsequent period of 14 days (if any), </w:t>
      </w:r>
      <w:r w:rsidRPr="009E3973">
        <w:t xml:space="preserve">during which the service usually provides </w:t>
      </w:r>
      <w:r w:rsidR="00977B2D" w:rsidRPr="009E3973">
        <w:t xml:space="preserve">vacation </w:t>
      </w:r>
      <w:r w:rsidRPr="009E3973">
        <w:t>care</w:t>
      </w:r>
      <w:r w:rsidR="00977B2D" w:rsidRPr="009E3973">
        <w:t xml:space="preserve"> (including vacation care for part of the period)</w:t>
      </w:r>
      <w:r w:rsidRPr="009E3973">
        <w:t>; and</w:t>
      </w:r>
    </w:p>
    <w:p w14:paraId="1F49F60A" w14:textId="504DC51E" w:rsidR="008C0570" w:rsidRPr="009E3973" w:rsidRDefault="008C0570" w:rsidP="009E3973">
      <w:pPr>
        <w:pStyle w:val="paragraph"/>
      </w:pPr>
      <w:r w:rsidRPr="009E3973">
        <w:tab/>
        <w:t>(b)</w:t>
      </w:r>
      <w:r w:rsidRPr="009E3973">
        <w:tab/>
        <w:t>in relation to any other kind of service:</w:t>
      </w:r>
    </w:p>
    <w:p w14:paraId="26DC7513" w14:textId="0DE561ED" w:rsidR="00066CB5" w:rsidRPr="009E3973" w:rsidRDefault="00066CB5" w:rsidP="009E3973">
      <w:pPr>
        <w:pStyle w:val="paragraphsub"/>
      </w:pPr>
      <w:r w:rsidRPr="009E3973">
        <w:tab/>
      </w:r>
      <w:r w:rsidR="00C113FF" w:rsidRPr="009E3973">
        <w:t>(</w:t>
      </w:r>
      <w:proofErr w:type="spellStart"/>
      <w:r w:rsidR="008C0570" w:rsidRPr="009E3973">
        <w:t>i</w:t>
      </w:r>
      <w:proofErr w:type="spellEnd"/>
      <w:r w:rsidR="00C113FF" w:rsidRPr="009E3973">
        <w:t>)</w:t>
      </w:r>
      <w:r w:rsidR="00C113FF" w:rsidRPr="009E3973">
        <w:tab/>
      </w:r>
      <w:r w:rsidR="006650FB" w:rsidRPr="009E3973">
        <w:t xml:space="preserve">the period of 14 days </w:t>
      </w:r>
      <w:r w:rsidRPr="009E3973">
        <w:t xml:space="preserve">beginning on the start day </w:t>
      </w:r>
      <w:r w:rsidR="001F2D81" w:rsidRPr="009E3973">
        <w:t>in relation to the</w:t>
      </w:r>
      <w:r w:rsidRPr="009E3973">
        <w:t xml:space="preserve"> service; and</w:t>
      </w:r>
    </w:p>
    <w:p w14:paraId="2B16C6DE" w14:textId="570C91DE" w:rsidR="00066CB5" w:rsidRPr="009E3973" w:rsidRDefault="00066CB5" w:rsidP="009E3973">
      <w:pPr>
        <w:pStyle w:val="paragraphsub"/>
      </w:pPr>
      <w:r w:rsidRPr="009E3973">
        <w:tab/>
        <w:t>(</w:t>
      </w:r>
      <w:r w:rsidR="008C0570" w:rsidRPr="009E3973">
        <w:t>ii</w:t>
      </w:r>
      <w:r w:rsidRPr="009E3973">
        <w:t>)</w:t>
      </w:r>
      <w:r w:rsidRPr="009E3973">
        <w:tab/>
        <w:t>each subsequent period of 14 days.</w:t>
      </w:r>
    </w:p>
    <w:p w14:paraId="7461B91A" w14:textId="33EA7639" w:rsidR="005A218A" w:rsidRPr="009E3973" w:rsidRDefault="005A218A" w:rsidP="009E3973">
      <w:pPr>
        <w:pStyle w:val="Definition"/>
      </w:pPr>
      <w:r w:rsidRPr="009E3973">
        <w:rPr>
          <w:b/>
          <w:bCs/>
          <w:i/>
          <w:iCs/>
        </w:rPr>
        <w:t xml:space="preserve">COVID-19 </w:t>
      </w:r>
      <w:r w:rsidR="001F2D81" w:rsidRPr="009E3973">
        <w:rPr>
          <w:b/>
          <w:bCs/>
          <w:i/>
          <w:iCs/>
        </w:rPr>
        <w:t>viability support payment</w:t>
      </w:r>
      <w:r w:rsidRPr="009E3973">
        <w:t xml:space="preserve"> means a business continuity payment under section 205C of the Family Assistance Administration Act that is payable in accordance with this Division.</w:t>
      </w:r>
    </w:p>
    <w:p w14:paraId="09710208" w14:textId="03B4B4E4" w:rsidR="00904ADA" w:rsidRPr="009E3973" w:rsidRDefault="00904ADA" w:rsidP="009E3973">
      <w:pPr>
        <w:pStyle w:val="Definition"/>
      </w:pPr>
      <w:r w:rsidRPr="009E3973">
        <w:rPr>
          <w:b/>
          <w:bCs/>
          <w:i/>
          <w:iCs/>
        </w:rPr>
        <w:t xml:space="preserve">COVID-19 </w:t>
      </w:r>
      <w:r w:rsidR="001F2D81" w:rsidRPr="009E3973">
        <w:rPr>
          <w:b/>
          <w:bCs/>
          <w:i/>
          <w:iCs/>
        </w:rPr>
        <w:t>viability support payment</w:t>
      </w:r>
      <w:r w:rsidRPr="009E3973">
        <w:rPr>
          <w:b/>
          <w:bCs/>
          <w:i/>
          <w:iCs/>
        </w:rPr>
        <w:t xml:space="preserve"> period</w:t>
      </w:r>
      <w:r w:rsidRPr="009E3973">
        <w:t xml:space="preserve"> means the period prescribed in clause </w:t>
      </w:r>
      <w:r w:rsidR="00E94E82" w:rsidRPr="009E3973">
        <w:t>4</w:t>
      </w:r>
      <w:r w:rsidRPr="009E3973">
        <w:t>.</w:t>
      </w:r>
      <w:r w:rsidR="00F02761" w:rsidRPr="009E3973">
        <w:t>4</w:t>
      </w:r>
      <w:r w:rsidRPr="009E3973">
        <w:t>.</w:t>
      </w:r>
    </w:p>
    <w:p w14:paraId="2254DD45" w14:textId="757C70F8" w:rsidR="008C0570" w:rsidRPr="009E3973" w:rsidRDefault="008C0570" w:rsidP="009E3973">
      <w:pPr>
        <w:pStyle w:val="Definition"/>
      </w:pPr>
      <w:r w:rsidRPr="009E3973">
        <w:rPr>
          <w:b/>
          <w:bCs/>
          <w:i/>
          <w:iCs/>
        </w:rPr>
        <w:t>reference</w:t>
      </w:r>
      <w:r w:rsidR="0036612B" w:rsidRPr="009E3973">
        <w:rPr>
          <w:b/>
          <w:bCs/>
          <w:i/>
          <w:iCs/>
        </w:rPr>
        <w:t xml:space="preserve"> </w:t>
      </w:r>
      <w:r w:rsidRPr="009E3973">
        <w:rPr>
          <w:b/>
          <w:bCs/>
          <w:i/>
          <w:iCs/>
        </w:rPr>
        <w:t>hourly</w:t>
      </w:r>
      <w:r w:rsidR="0036612B" w:rsidRPr="009E3973">
        <w:rPr>
          <w:b/>
          <w:bCs/>
          <w:i/>
          <w:iCs/>
        </w:rPr>
        <w:t xml:space="preserve"> </w:t>
      </w:r>
      <w:r w:rsidRPr="009E3973">
        <w:rPr>
          <w:b/>
          <w:bCs/>
          <w:i/>
          <w:iCs/>
        </w:rPr>
        <w:t>fee</w:t>
      </w:r>
      <w:r w:rsidRPr="009E3973">
        <w:t xml:space="preserve"> for a session of care is the lower of:</w:t>
      </w:r>
    </w:p>
    <w:p w14:paraId="2CB972B7" w14:textId="24FED62A" w:rsidR="008C0570" w:rsidRPr="009E3973" w:rsidRDefault="0036612B" w:rsidP="009E3973">
      <w:pPr>
        <w:pStyle w:val="paragraph"/>
      </w:pPr>
      <w:r w:rsidRPr="009E3973">
        <w:tab/>
      </w:r>
      <w:r w:rsidR="008C0570" w:rsidRPr="009E3973">
        <w:t xml:space="preserve">(a) </w:t>
      </w:r>
      <w:r w:rsidR="008C0570" w:rsidRPr="009E3973">
        <w:tab/>
        <w:t>the hourly session fee for the session; and</w:t>
      </w:r>
    </w:p>
    <w:p w14:paraId="6172975E" w14:textId="761D3FD4" w:rsidR="008C0570" w:rsidRPr="009E3973" w:rsidRDefault="0036612B" w:rsidP="009E3973">
      <w:pPr>
        <w:pStyle w:val="paragraph"/>
        <w:rPr>
          <w:color w:val="000000"/>
          <w:sz w:val="18"/>
          <w:szCs w:val="18"/>
          <w:shd w:val="clear" w:color="auto" w:fill="FFFFFF"/>
        </w:rPr>
      </w:pPr>
      <w:r w:rsidRPr="009E3973">
        <w:tab/>
      </w:r>
      <w:r w:rsidR="008C0570" w:rsidRPr="009E3973">
        <w:t>(b)</w:t>
      </w:r>
      <w:r w:rsidR="008C0570" w:rsidRPr="009E3973">
        <w:tab/>
        <w:t xml:space="preserve">the CCS hourly rate cap for the session. </w:t>
      </w:r>
    </w:p>
    <w:p w14:paraId="0425D688" w14:textId="77777777" w:rsidR="008C0570" w:rsidRPr="009E3973" w:rsidRDefault="008C0570" w:rsidP="009E3973">
      <w:pPr>
        <w:pStyle w:val="notetext"/>
        <w:rPr>
          <w:shd w:val="clear" w:color="auto" w:fill="FFFFFF"/>
        </w:rPr>
      </w:pPr>
      <w:r w:rsidRPr="009E3973">
        <w:rPr>
          <w:shd w:val="clear" w:color="auto" w:fill="FFFFFF"/>
        </w:rPr>
        <w:t xml:space="preserve">Note: </w:t>
      </w:r>
      <w:r w:rsidRPr="009E3973">
        <w:rPr>
          <w:shd w:val="clear" w:color="auto" w:fill="FFFFFF"/>
        </w:rPr>
        <w:tab/>
        <w:t>The </w:t>
      </w:r>
      <w:r w:rsidRPr="009E3973">
        <w:rPr>
          <w:b/>
          <w:bCs/>
          <w:i/>
          <w:iCs/>
          <w:shd w:val="clear" w:color="auto" w:fill="FFFFFF"/>
        </w:rPr>
        <w:t>CCS hourly rate cap</w:t>
      </w:r>
      <w:r w:rsidRPr="009E3973">
        <w:rPr>
          <w:shd w:val="clear" w:color="auto" w:fill="FFFFFF"/>
        </w:rPr>
        <w:t> for a session of care is set out in the table at subitem 2(3) of Schedule 2 to the Family Assistance Act.</w:t>
      </w:r>
    </w:p>
    <w:p w14:paraId="2EC1E9E5" w14:textId="135452F6" w:rsidR="00066CB5" w:rsidRPr="009E3973" w:rsidRDefault="00066CB5" w:rsidP="009E3973">
      <w:pPr>
        <w:pStyle w:val="Definition"/>
      </w:pPr>
      <w:r w:rsidRPr="009E3973">
        <w:rPr>
          <w:b/>
          <w:bCs/>
          <w:i/>
          <w:iCs/>
        </w:rPr>
        <w:t>start day</w:t>
      </w:r>
      <w:r w:rsidRPr="009E3973">
        <w:t>, in relation to a service, means the latest of the following days:</w:t>
      </w:r>
    </w:p>
    <w:p w14:paraId="68BF0F5C" w14:textId="468C3EEF" w:rsidR="00066CB5" w:rsidRPr="009E3973" w:rsidRDefault="00066CB5" w:rsidP="009E3973">
      <w:pPr>
        <w:pStyle w:val="paragraph"/>
      </w:pPr>
      <w:r w:rsidRPr="009E3973">
        <w:tab/>
        <w:t>(a)</w:t>
      </w:r>
      <w:r w:rsidRPr="009E3973">
        <w:tab/>
      </w:r>
      <w:r w:rsidR="00904ADA" w:rsidRPr="009E3973">
        <w:t xml:space="preserve">the first day of the COVID-19 </w:t>
      </w:r>
      <w:r w:rsidR="001F2D81" w:rsidRPr="009E3973">
        <w:t>viability support payment</w:t>
      </w:r>
      <w:r w:rsidR="00904ADA" w:rsidRPr="009E3973">
        <w:t xml:space="preserve"> period</w:t>
      </w:r>
      <w:r w:rsidRPr="009E3973">
        <w:t>;</w:t>
      </w:r>
    </w:p>
    <w:p w14:paraId="1769D93A" w14:textId="0D5721D5" w:rsidR="00066CB5" w:rsidRPr="009E3973" w:rsidRDefault="00066CB5" w:rsidP="009E3973">
      <w:pPr>
        <w:pStyle w:val="paragraph"/>
      </w:pPr>
      <w:r w:rsidRPr="009E3973">
        <w:tab/>
        <w:t>(b)</w:t>
      </w:r>
      <w:r w:rsidRPr="009E3973">
        <w:tab/>
        <w:t xml:space="preserve">if paragraph </w:t>
      </w:r>
      <w:r w:rsidR="00E94E82" w:rsidRPr="009E3973">
        <w:t>4</w:t>
      </w:r>
      <w:r w:rsidRPr="009E3973">
        <w:t>.</w:t>
      </w:r>
      <w:r w:rsidR="00F02761" w:rsidRPr="009E3973">
        <w:t>5</w:t>
      </w:r>
      <w:r w:rsidRPr="009E3973">
        <w:t>(</w:t>
      </w:r>
      <w:r w:rsidR="00FC7680" w:rsidRPr="009E3973">
        <w:t>3</w:t>
      </w:r>
      <w:r w:rsidRPr="009E3973">
        <w:t xml:space="preserve">)(a) applies to the service—the first day the service was in </w:t>
      </w:r>
      <w:r w:rsidR="009923BB" w:rsidRPr="009E3973">
        <w:t>the</w:t>
      </w:r>
      <w:r w:rsidRPr="009E3973">
        <w:t xml:space="preserve"> restricted COVID-19 hotspot;</w:t>
      </w:r>
    </w:p>
    <w:p w14:paraId="5187DD7B" w14:textId="62B99509" w:rsidR="00066CB5" w:rsidRPr="009E3973" w:rsidRDefault="00066CB5" w:rsidP="009E3973">
      <w:pPr>
        <w:pStyle w:val="paragraph"/>
      </w:pPr>
      <w:r w:rsidRPr="009E3973">
        <w:tab/>
        <w:t>(c)</w:t>
      </w:r>
      <w:r w:rsidRPr="009E3973">
        <w:tab/>
        <w:t xml:space="preserve">if paragraph </w:t>
      </w:r>
      <w:r w:rsidR="00E94E82" w:rsidRPr="009E3973">
        <w:t>4</w:t>
      </w:r>
      <w:r w:rsidRPr="009E3973">
        <w:t>.</w:t>
      </w:r>
      <w:r w:rsidR="00F02761" w:rsidRPr="009E3973">
        <w:t>5</w:t>
      </w:r>
      <w:r w:rsidRPr="009E3973">
        <w:t>(</w:t>
      </w:r>
      <w:r w:rsidR="00FC7680" w:rsidRPr="009E3973">
        <w:t>3</w:t>
      </w:r>
      <w:r w:rsidRPr="009E3973">
        <w:t xml:space="preserve">)(b) applies to the service—the </w:t>
      </w:r>
      <w:r w:rsidR="00855063" w:rsidRPr="009E3973">
        <w:t xml:space="preserve">day that is 28 days after the </w:t>
      </w:r>
      <w:r w:rsidRPr="009E3973">
        <w:t xml:space="preserve">first day the service was in </w:t>
      </w:r>
      <w:r w:rsidR="009923BB" w:rsidRPr="009E3973">
        <w:t>the</w:t>
      </w:r>
      <w:r w:rsidRPr="009E3973">
        <w:t xml:space="preserve"> COVID-19 hotspot.</w:t>
      </w:r>
    </w:p>
    <w:p w14:paraId="2A40EEBF" w14:textId="3E5EAC66" w:rsidR="00646D85" w:rsidRPr="009E3973" w:rsidRDefault="00646D85" w:rsidP="009E3973">
      <w:pPr>
        <w:pStyle w:val="ActHead5"/>
      </w:pPr>
      <w:bookmarkStart w:id="22" w:name="_Toc81227588"/>
      <w:r w:rsidRPr="009E3973">
        <w:t>4.</w:t>
      </w:r>
      <w:r w:rsidR="00F02761" w:rsidRPr="009E3973">
        <w:t>3</w:t>
      </w:r>
      <w:r w:rsidRPr="009E3973">
        <w:t xml:space="preserve">  Reference fortnight</w:t>
      </w:r>
    </w:p>
    <w:p w14:paraId="23DAFB27" w14:textId="04975E01" w:rsidR="00646D85" w:rsidRPr="009E3973" w:rsidRDefault="00646D85" w:rsidP="009E3973">
      <w:pPr>
        <w:pStyle w:val="subsection"/>
      </w:pPr>
      <w:r w:rsidRPr="009E3973">
        <w:tab/>
        <w:t>(1)</w:t>
      </w:r>
      <w:r w:rsidRPr="009E3973">
        <w:tab/>
        <w:t xml:space="preserve">In this Division, the </w:t>
      </w:r>
      <w:r w:rsidRPr="009E3973">
        <w:rPr>
          <w:b/>
          <w:bCs/>
          <w:i/>
          <w:iCs/>
        </w:rPr>
        <w:t>reference fortnight</w:t>
      </w:r>
      <w:r w:rsidRPr="009E3973">
        <w:t xml:space="preserve"> of a service is:</w:t>
      </w:r>
    </w:p>
    <w:p w14:paraId="22E1BCBE" w14:textId="52F0DC6D" w:rsidR="00646D85" w:rsidRPr="009E3973" w:rsidRDefault="00646D85" w:rsidP="009E3973">
      <w:pPr>
        <w:pStyle w:val="paragraph"/>
      </w:pPr>
      <w:r w:rsidRPr="009E3973">
        <w:tab/>
        <w:t>(a)</w:t>
      </w:r>
      <w:r w:rsidRPr="009E3973">
        <w:tab/>
        <w:t xml:space="preserve">in relation to an outside school hours care service that provides only vacation care—the </w:t>
      </w:r>
      <w:r w:rsidR="00F8313E" w:rsidRPr="009E3973">
        <w:t>period of 14 days</w:t>
      </w:r>
      <w:r w:rsidRPr="009E3973">
        <w:t xml:space="preserve"> </w:t>
      </w:r>
      <w:r w:rsidR="00F02761" w:rsidRPr="009E3973">
        <w:t>beginning</w:t>
      </w:r>
      <w:r w:rsidRPr="009E3973">
        <w:t xml:space="preserve"> on the first Monday of the most recent school holidays for public schools in the State or Territory in which the service is located, where the service was not in a COVID</w:t>
      </w:r>
      <w:r w:rsidRPr="009E3973">
        <w:noBreakHyphen/>
        <w:t>19 hotspot for any part of those school holidays; and</w:t>
      </w:r>
    </w:p>
    <w:p w14:paraId="491299FE" w14:textId="5F264A43" w:rsidR="00646D85" w:rsidRPr="009E3973" w:rsidRDefault="00646D85" w:rsidP="009E3973">
      <w:pPr>
        <w:pStyle w:val="paragraph"/>
      </w:pPr>
      <w:r w:rsidRPr="009E3973">
        <w:tab/>
        <w:t>(b)</w:t>
      </w:r>
      <w:r w:rsidRPr="009E3973">
        <w:tab/>
        <w:t xml:space="preserve">in relation to any other kind of service located in Victoria—the </w:t>
      </w:r>
      <w:r w:rsidR="00F8313E" w:rsidRPr="009E3973">
        <w:t xml:space="preserve">period of 14 days beginning </w:t>
      </w:r>
      <w:r w:rsidRPr="009E3973">
        <w:t>on 10 May 2021; and</w:t>
      </w:r>
    </w:p>
    <w:p w14:paraId="69AA7E5C" w14:textId="5AFBE2A6" w:rsidR="00646D85" w:rsidRPr="009E3973" w:rsidRDefault="00646D85" w:rsidP="009E3973">
      <w:pPr>
        <w:pStyle w:val="paragraph"/>
      </w:pPr>
      <w:r w:rsidRPr="009E3973">
        <w:tab/>
        <w:t>(c)</w:t>
      </w:r>
      <w:r w:rsidRPr="009E3973">
        <w:tab/>
        <w:t xml:space="preserve">in relation to any other kind of service—the </w:t>
      </w:r>
      <w:r w:rsidR="00F8313E" w:rsidRPr="009E3973">
        <w:t>period of 14 days beginning</w:t>
      </w:r>
      <w:r w:rsidRPr="009E3973">
        <w:t xml:space="preserve"> on 17 May 2021. </w:t>
      </w:r>
    </w:p>
    <w:p w14:paraId="347511DB" w14:textId="1BC9531C" w:rsidR="00646D85" w:rsidRPr="009E3973" w:rsidRDefault="00646D85" w:rsidP="009E3973">
      <w:pPr>
        <w:pStyle w:val="subsection"/>
      </w:pPr>
      <w:r w:rsidRPr="009E3973">
        <w:tab/>
        <w:t>(2)</w:t>
      </w:r>
      <w:r w:rsidRPr="009E3973">
        <w:tab/>
        <w:t>However, if:</w:t>
      </w:r>
    </w:p>
    <w:p w14:paraId="15861ABD" w14:textId="4F1798C9" w:rsidR="00646D85" w:rsidRPr="009E3973" w:rsidRDefault="00646D85" w:rsidP="009E3973">
      <w:pPr>
        <w:pStyle w:val="paragraph"/>
      </w:pPr>
      <w:r w:rsidRPr="009E3973">
        <w:tab/>
        <w:t>(a)</w:t>
      </w:r>
      <w:r w:rsidRPr="009E3973">
        <w:tab/>
      </w:r>
      <w:r w:rsidR="00F02761" w:rsidRPr="009E3973">
        <w:t>the</w:t>
      </w:r>
      <w:r w:rsidRPr="009E3973">
        <w:t xml:space="preserve"> service did not provide any sessions of care during the </w:t>
      </w:r>
      <w:r w:rsidR="00F8313E" w:rsidRPr="009E3973">
        <w:t>14 day</w:t>
      </w:r>
      <w:r w:rsidR="00F8313E" w:rsidRPr="009E3973">
        <w:noBreakHyphen/>
        <w:t>period</w:t>
      </w:r>
      <w:r w:rsidRPr="009E3973">
        <w:t xml:space="preserve"> mentioned in subclause (1); or</w:t>
      </w:r>
    </w:p>
    <w:p w14:paraId="6EC241D7" w14:textId="1A9F52F4" w:rsidR="00646D85" w:rsidRPr="009E3973" w:rsidRDefault="00646D85" w:rsidP="009E3973">
      <w:pPr>
        <w:pStyle w:val="paragraph"/>
      </w:pPr>
      <w:r w:rsidRPr="009E3973">
        <w:lastRenderedPageBreak/>
        <w:tab/>
        <w:t>(b)</w:t>
      </w:r>
      <w:r w:rsidRPr="009E3973">
        <w:tab/>
        <w:t xml:space="preserve">the Secretary is satisfied that the operation of the service in the </w:t>
      </w:r>
      <w:r w:rsidR="00F8313E" w:rsidRPr="009E3973">
        <w:t xml:space="preserve">14 </w:t>
      </w:r>
      <w:proofErr w:type="spellStart"/>
      <w:r w:rsidR="00F8313E" w:rsidRPr="009E3973">
        <w:t>day</w:t>
      </w:r>
      <w:r w:rsidR="00F8313E" w:rsidRPr="009E3973">
        <w:softHyphen/>
        <w:t>period</w:t>
      </w:r>
      <w:proofErr w:type="spellEnd"/>
      <w:r w:rsidRPr="009E3973">
        <w:t xml:space="preserve"> mentioned in subsection (1) is not reasonably representative of the usual operation of the service over a fortnight;</w:t>
      </w:r>
    </w:p>
    <w:p w14:paraId="53EB178A" w14:textId="46E29462" w:rsidR="00646D85" w:rsidRPr="009E3973" w:rsidRDefault="00646D85" w:rsidP="009E3973">
      <w:pPr>
        <w:pStyle w:val="subsection2"/>
      </w:pPr>
      <w:r w:rsidRPr="009E3973">
        <w:t xml:space="preserve">the Secretary may determine another </w:t>
      </w:r>
      <w:r w:rsidR="00F8313E" w:rsidRPr="009E3973">
        <w:t>period of 14 days</w:t>
      </w:r>
      <w:r w:rsidRPr="009E3973">
        <w:t xml:space="preserve"> </w:t>
      </w:r>
      <w:r w:rsidR="00F02761" w:rsidRPr="009E3973">
        <w:t>beginning</w:t>
      </w:r>
      <w:r w:rsidRPr="009E3973">
        <w:t xml:space="preserve"> on a Monday (including a </w:t>
      </w:r>
      <w:r w:rsidR="009F639B" w:rsidRPr="009E3973">
        <w:t>period</w:t>
      </w:r>
      <w:r w:rsidRPr="009E3973">
        <w:t xml:space="preserve"> </w:t>
      </w:r>
      <w:r w:rsidR="00F02761" w:rsidRPr="009E3973">
        <w:t xml:space="preserve">beginning </w:t>
      </w:r>
      <w:r w:rsidRPr="009E3973">
        <w:t>in the COVID</w:t>
      </w:r>
      <w:r w:rsidRPr="009E3973">
        <w:noBreakHyphen/>
        <w:t xml:space="preserve">19 viability support payment period) as the </w:t>
      </w:r>
      <w:r w:rsidR="00F02761" w:rsidRPr="009E3973">
        <w:t>reference fortnight of the service.</w:t>
      </w:r>
    </w:p>
    <w:p w14:paraId="7602706A" w14:textId="19AA4B72" w:rsidR="00485874" w:rsidRPr="009E3973" w:rsidRDefault="00E94E82" w:rsidP="009E3973">
      <w:pPr>
        <w:pStyle w:val="ActHead5"/>
      </w:pPr>
      <w:r w:rsidRPr="009E3973">
        <w:t>4</w:t>
      </w:r>
      <w:r w:rsidR="00485874" w:rsidRPr="009E3973">
        <w:t>.</w:t>
      </w:r>
      <w:r w:rsidR="00F02761" w:rsidRPr="009E3973">
        <w:t>4</w:t>
      </w:r>
      <w:r w:rsidR="00485874" w:rsidRPr="009E3973">
        <w:t xml:space="preserve">  </w:t>
      </w:r>
      <w:r w:rsidR="00904ADA" w:rsidRPr="009E3973">
        <w:t xml:space="preserve">COVID-19 </w:t>
      </w:r>
      <w:r w:rsidR="001F2D81" w:rsidRPr="009E3973">
        <w:t>viability support payment</w:t>
      </w:r>
      <w:r w:rsidR="00904ADA" w:rsidRPr="009E3973">
        <w:t xml:space="preserve"> p</w:t>
      </w:r>
      <w:r w:rsidR="00485874" w:rsidRPr="009E3973">
        <w:t>eriod</w:t>
      </w:r>
      <w:bookmarkEnd w:id="22"/>
    </w:p>
    <w:p w14:paraId="569F7C01" w14:textId="77777777" w:rsidR="00485874" w:rsidRPr="009E3973" w:rsidRDefault="00485874" w:rsidP="009E3973">
      <w:pPr>
        <w:pStyle w:val="subsection"/>
        <w:rPr>
          <w:color w:val="000000"/>
          <w:szCs w:val="22"/>
        </w:rPr>
      </w:pPr>
      <w:r w:rsidRPr="009E3973">
        <w:rPr>
          <w:color w:val="000000"/>
          <w:szCs w:val="22"/>
        </w:rPr>
        <w:tab/>
      </w:r>
      <w:r w:rsidRPr="009E3973">
        <w:rPr>
          <w:color w:val="000000"/>
          <w:szCs w:val="22"/>
        </w:rPr>
        <w:tab/>
        <w:t>For the purposes of paragraph 205C(1)(d) of the Family Assistance Administration Act, the period beginning on 23 August 2021 and ending on 30 November 2021 is prescribed.</w:t>
      </w:r>
    </w:p>
    <w:p w14:paraId="712CD8F6" w14:textId="351D178D" w:rsidR="00C113FF" w:rsidRPr="009E3973" w:rsidRDefault="00E94E82" w:rsidP="009E3973">
      <w:pPr>
        <w:pStyle w:val="ActHead5"/>
      </w:pPr>
      <w:bookmarkStart w:id="23" w:name="_Toc81227589"/>
      <w:r w:rsidRPr="009E3973">
        <w:t>4.</w:t>
      </w:r>
      <w:r w:rsidR="00F02761" w:rsidRPr="009E3973">
        <w:t>5</w:t>
      </w:r>
      <w:r w:rsidR="00C113FF" w:rsidRPr="009E3973">
        <w:t xml:space="preserve"> </w:t>
      </w:r>
      <w:r w:rsidR="00A070B8" w:rsidRPr="009E3973">
        <w:t xml:space="preserve"> </w:t>
      </w:r>
      <w:r w:rsidR="00C113FF" w:rsidRPr="009E3973">
        <w:t>Eligibility criteria</w:t>
      </w:r>
      <w:bookmarkEnd w:id="23"/>
    </w:p>
    <w:p w14:paraId="608C5C33" w14:textId="381D4C79" w:rsidR="00C113FF" w:rsidRPr="009E3973" w:rsidRDefault="00C113FF" w:rsidP="009E3973">
      <w:pPr>
        <w:pStyle w:val="subsection"/>
      </w:pPr>
      <w:r w:rsidRPr="009E3973">
        <w:tab/>
        <w:t>(1)</w:t>
      </w:r>
      <w:r w:rsidRPr="009E3973">
        <w:tab/>
        <w:t xml:space="preserve">For the purposes of paragraph 205C(1)(c) of the Family Assistance Administration Act, a provider is eligible </w:t>
      </w:r>
      <w:r w:rsidR="00C9085F" w:rsidRPr="009E3973">
        <w:t>for</w:t>
      </w:r>
      <w:r w:rsidR="005418D1" w:rsidRPr="009E3973">
        <w:t xml:space="preserve"> </w:t>
      </w:r>
      <w:r w:rsidR="00065986" w:rsidRPr="009E3973">
        <w:t xml:space="preserve">a </w:t>
      </w:r>
      <w:r w:rsidR="005418D1" w:rsidRPr="009E3973">
        <w:t xml:space="preserve">COVID-19 </w:t>
      </w:r>
      <w:r w:rsidR="001F2D81" w:rsidRPr="009E3973">
        <w:t>viability support payment</w:t>
      </w:r>
      <w:r w:rsidRPr="009E3973">
        <w:t xml:space="preserve"> </w:t>
      </w:r>
      <w:r w:rsidR="00A070B8" w:rsidRPr="009E3973">
        <w:t xml:space="preserve">in relation to a service </w:t>
      </w:r>
      <w:r w:rsidRPr="009E3973">
        <w:t xml:space="preserve">for a BCP fortnight if the provider </w:t>
      </w:r>
      <w:r w:rsidR="00A070B8" w:rsidRPr="009E3973">
        <w:t xml:space="preserve">and the service </w:t>
      </w:r>
      <w:r w:rsidRPr="009E3973">
        <w:t>meet the criteria in subclauses (</w:t>
      </w:r>
      <w:r w:rsidR="00FB52DA" w:rsidRPr="009E3973">
        <w:t>2</w:t>
      </w:r>
      <w:r w:rsidRPr="009E3973">
        <w:t>) to (</w:t>
      </w:r>
      <w:r w:rsidR="00FB52DA" w:rsidRPr="009E3973">
        <w:t>6</w:t>
      </w:r>
      <w:r w:rsidRPr="009E3973">
        <w:t>).</w:t>
      </w:r>
    </w:p>
    <w:p w14:paraId="2F9753C2" w14:textId="77777777" w:rsidR="00A070B8" w:rsidRPr="009E3973" w:rsidRDefault="00A070B8" w:rsidP="009E3973">
      <w:pPr>
        <w:pStyle w:val="notetext"/>
      </w:pPr>
      <w:r w:rsidRPr="009E3973">
        <w:t>Note:</w:t>
      </w:r>
      <w:r w:rsidRPr="009E3973">
        <w:tab/>
        <w:t>A business continuity payment made to a provider for which the provider is not eligible is a debt to the Commonwealth: see subsection 71H(1A) of the Family Assistance Administration Act.</w:t>
      </w:r>
    </w:p>
    <w:p w14:paraId="46903F55" w14:textId="570B8609" w:rsidR="009C6B78" w:rsidRPr="009E3973" w:rsidRDefault="009C6B78" w:rsidP="009E3973">
      <w:pPr>
        <w:pStyle w:val="subsection"/>
      </w:pPr>
      <w:r w:rsidRPr="009E3973">
        <w:tab/>
        <w:t>(</w:t>
      </w:r>
      <w:r w:rsidR="00FB52DA" w:rsidRPr="009E3973">
        <w:t>2</w:t>
      </w:r>
      <w:r w:rsidRPr="009E3973">
        <w:t>)</w:t>
      </w:r>
      <w:r w:rsidRPr="009E3973">
        <w:tab/>
        <w:t xml:space="preserve">The provider must </w:t>
      </w:r>
      <w:r w:rsidR="0051447D" w:rsidRPr="009E3973">
        <w:t>make an application</w:t>
      </w:r>
      <w:r w:rsidRPr="009E3973">
        <w:t xml:space="preserve">, in the form and manner determined by the Secretary, for </w:t>
      </w:r>
      <w:r w:rsidR="00F8313E" w:rsidRPr="009E3973">
        <w:t xml:space="preserve">a </w:t>
      </w:r>
      <w:r w:rsidR="005418D1" w:rsidRPr="009E3973">
        <w:t xml:space="preserve">COVID-19 </w:t>
      </w:r>
      <w:r w:rsidR="001F2D81" w:rsidRPr="009E3973">
        <w:t>viability support payment</w:t>
      </w:r>
      <w:r w:rsidRPr="009E3973">
        <w:t>.</w:t>
      </w:r>
    </w:p>
    <w:p w14:paraId="03B9F84F" w14:textId="6473D8C8" w:rsidR="00C113FF" w:rsidRPr="009E3973" w:rsidRDefault="00C113FF" w:rsidP="009E3973">
      <w:pPr>
        <w:pStyle w:val="subsection"/>
      </w:pPr>
      <w:r w:rsidRPr="009E3973">
        <w:tab/>
        <w:t>(</w:t>
      </w:r>
      <w:r w:rsidR="00FB52DA" w:rsidRPr="009E3973">
        <w:t>3</w:t>
      </w:r>
      <w:r w:rsidRPr="009E3973">
        <w:t>)</w:t>
      </w:r>
      <w:r w:rsidRPr="009E3973">
        <w:tab/>
      </w:r>
      <w:r w:rsidR="009923BB" w:rsidRPr="009E3973">
        <w:t>On a day in the BCP fortnight, t</w:t>
      </w:r>
      <w:r w:rsidRPr="009E3973">
        <w:t xml:space="preserve">he service must </w:t>
      </w:r>
      <w:r w:rsidR="009923BB" w:rsidRPr="009E3973">
        <w:t xml:space="preserve">be </w:t>
      </w:r>
      <w:r w:rsidR="00A123AE" w:rsidRPr="009E3973">
        <w:t>in a COVID-19 hotspot and</w:t>
      </w:r>
      <w:r w:rsidRPr="009E3973">
        <w:t>:</w:t>
      </w:r>
    </w:p>
    <w:p w14:paraId="2313CE12" w14:textId="3A22B11B" w:rsidR="009923BB" w:rsidRPr="009E3973" w:rsidRDefault="009923BB" w:rsidP="009E3973">
      <w:pPr>
        <w:pStyle w:val="paragraph"/>
      </w:pPr>
      <w:r w:rsidRPr="009E3973">
        <w:tab/>
        <w:t>(a)</w:t>
      </w:r>
      <w:r w:rsidRPr="009E3973">
        <w:tab/>
        <w:t>if the COVID-19 hotspot is a restricted COVID-19 hotspot—</w:t>
      </w:r>
      <w:r w:rsidR="00BC4620" w:rsidRPr="009E3973">
        <w:t xml:space="preserve">the </w:t>
      </w:r>
      <w:r w:rsidR="00244E18" w:rsidRPr="009E3973">
        <w:t xml:space="preserve">period of time the </w:t>
      </w:r>
      <w:r w:rsidR="00BC4620" w:rsidRPr="009E3973">
        <w:t>service has been or will be in that restricted COVID</w:t>
      </w:r>
      <w:r w:rsidR="00BC4620" w:rsidRPr="009E3973">
        <w:noBreakHyphen/>
        <w:t xml:space="preserve">19 hotspot </w:t>
      </w:r>
      <w:r w:rsidR="00244E18" w:rsidRPr="009E3973">
        <w:t>is</w:t>
      </w:r>
      <w:r w:rsidR="00FA5EBC" w:rsidRPr="009E3973">
        <w:t xml:space="preserve"> </w:t>
      </w:r>
      <w:r w:rsidR="00BC4620" w:rsidRPr="009E3973">
        <w:t>more than 7 continuous days</w:t>
      </w:r>
      <w:r w:rsidRPr="009E3973">
        <w:t>; or</w:t>
      </w:r>
    </w:p>
    <w:p w14:paraId="107791C5" w14:textId="35758AE6" w:rsidR="00C113FF" w:rsidRPr="009E3973" w:rsidRDefault="00A123AE" w:rsidP="009E3973">
      <w:pPr>
        <w:pStyle w:val="paragraph"/>
      </w:pPr>
      <w:r w:rsidRPr="009E3973">
        <w:tab/>
        <w:t>(</w:t>
      </w:r>
      <w:r w:rsidR="009923BB" w:rsidRPr="009E3973">
        <w:t>b</w:t>
      </w:r>
      <w:r w:rsidRPr="009E3973">
        <w:t>)</w:t>
      </w:r>
      <w:r w:rsidRPr="009E3973">
        <w:tab/>
      </w:r>
      <w:r w:rsidR="003C6235" w:rsidRPr="009E3973">
        <w:t>otherwise—</w:t>
      </w:r>
      <w:r w:rsidR="00BC4620" w:rsidRPr="009E3973">
        <w:t xml:space="preserve">the </w:t>
      </w:r>
      <w:r w:rsidR="00244E18" w:rsidRPr="009E3973">
        <w:t xml:space="preserve">period of time the </w:t>
      </w:r>
      <w:r w:rsidR="00BC4620" w:rsidRPr="009E3973">
        <w:t>service has been or will be in that COVID</w:t>
      </w:r>
      <w:r w:rsidR="00BC4620" w:rsidRPr="009E3973">
        <w:noBreakHyphen/>
        <w:t xml:space="preserve">19 hotspot </w:t>
      </w:r>
      <w:r w:rsidR="00244E18" w:rsidRPr="009E3973">
        <w:t>is</w:t>
      </w:r>
      <w:r w:rsidR="00FA5EBC" w:rsidRPr="009E3973">
        <w:t xml:space="preserve"> </w:t>
      </w:r>
      <w:r w:rsidR="00BC4620" w:rsidRPr="009E3973">
        <w:t>more than 28 continuous days</w:t>
      </w:r>
      <w:r w:rsidR="009923BB" w:rsidRPr="009E3973">
        <w:t>.</w:t>
      </w:r>
    </w:p>
    <w:p w14:paraId="559B1BDF" w14:textId="59D7A9C5" w:rsidR="00A070B8" w:rsidRPr="009E3973" w:rsidRDefault="00A070B8" w:rsidP="009E3973">
      <w:pPr>
        <w:pStyle w:val="subsection"/>
      </w:pPr>
      <w:r w:rsidRPr="009E3973">
        <w:tab/>
        <w:t>(</w:t>
      </w:r>
      <w:r w:rsidR="00FB52DA" w:rsidRPr="009E3973">
        <w:t>4</w:t>
      </w:r>
      <w:r w:rsidRPr="009E3973">
        <w:t>)</w:t>
      </w:r>
      <w:r w:rsidRPr="009E3973">
        <w:tab/>
      </w:r>
      <w:r w:rsidR="009923BB" w:rsidRPr="009E3973">
        <w:t>On each day in</w:t>
      </w:r>
      <w:r w:rsidR="00A123AE" w:rsidRPr="009E3973">
        <w:t xml:space="preserve"> the BCP fortnight</w:t>
      </w:r>
      <w:r w:rsidRPr="009E3973">
        <w:t>:</w:t>
      </w:r>
    </w:p>
    <w:p w14:paraId="3A89155A" w14:textId="5BA6CF50" w:rsidR="00A070B8" w:rsidRPr="009E3973" w:rsidRDefault="00A070B8" w:rsidP="009E3973">
      <w:pPr>
        <w:pStyle w:val="paragraph"/>
      </w:pPr>
      <w:r w:rsidRPr="009E3973">
        <w:tab/>
        <w:t>(a)</w:t>
      </w:r>
      <w:r w:rsidRPr="009E3973">
        <w:tab/>
      </w:r>
      <w:r w:rsidR="00C9085F" w:rsidRPr="009E3973">
        <w:t xml:space="preserve">the service must </w:t>
      </w:r>
      <w:r w:rsidR="00A123AE" w:rsidRPr="009E3973">
        <w:t>not be</w:t>
      </w:r>
      <w:r w:rsidRPr="009E3973">
        <w:t xml:space="preserve"> closed; or</w:t>
      </w:r>
    </w:p>
    <w:p w14:paraId="3804E148" w14:textId="7EB999EB" w:rsidR="00A070B8" w:rsidRPr="009E3973" w:rsidRDefault="00A070B8" w:rsidP="009E3973">
      <w:pPr>
        <w:pStyle w:val="paragraph"/>
      </w:pPr>
      <w:r w:rsidRPr="009E3973">
        <w:tab/>
        <w:t>(b)</w:t>
      </w:r>
      <w:r w:rsidRPr="009E3973">
        <w:tab/>
      </w:r>
      <w:r w:rsidR="00C9085F" w:rsidRPr="009E3973">
        <w:t xml:space="preserve">if the service is </w:t>
      </w:r>
      <w:r w:rsidRPr="009E3973">
        <w:t>closed</w:t>
      </w:r>
      <w:r w:rsidR="00C9085F" w:rsidRPr="009E3973">
        <w:t>—</w:t>
      </w:r>
      <w:r w:rsidRPr="009E3973">
        <w:t>one of the following applies to the service:</w:t>
      </w:r>
    </w:p>
    <w:p w14:paraId="2E435ADA" w14:textId="77777777" w:rsidR="00A070B8" w:rsidRPr="009E3973" w:rsidRDefault="00A070B8" w:rsidP="009E3973">
      <w:pPr>
        <w:pStyle w:val="paragraphsub"/>
      </w:pPr>
      <w:r w:rsidRPr="009E3973">
        <w:tab/>
        <w:t>(</w:t>
      </w:r>
      <w:proofErr w:type="spellStart"/>
      <w:r w:rsidRPr="009E3973">
        <w:t>i</w:t>
      </w:r>
      <w:proofErr w:type="spellEnd"/>
      <w:r w:rsidRPr="009E3973">
        <w:t>)</w:t>
      </w:r>
      <w:r w:rsidRPr="009E3973">
        <w:tab/>
        <w:t>a health agency has advised or required the service to close as a result of the COVID-19 pandemic;</w:t>
      </w:r>
    </w:p>
    <w:p w14:paraId="6E0B0D0D" w14:textId="36789051" w:rsidR="00A070B8" w:rsidRPr="009E3973" w:rsidRDefault="00A070B8" w:rsidP="009E3973">
      <w:pPr>
        <w:pStyle w:val="paragraphsub"/>
      </w:pPr>
      <w:r w:rsidRPr="009E3973">
        <w:tab/>
        <w:t>(ii)</w:t>
      </w:r>
      <w:r w:rsidRPr="009E3973">
        <w:tab/>
        <w:t>the service predominantly provides care to Indigenous children</w:t>
      </w:r>
      <w:r w:rsidR="005418D1" w:rsidRPr="009E3973">
        <w:t>;</w:t>
      </w:r>
    </w:p>
    <w:p w14:paraId="68C00A48" w14:textId="7021FD6E" w:rsidR="005418D1" w:rsidRPr="009E3973" w:rsidRDefault="005418D1" w:rsidP="009E3973">
      <w:pPr>
        <w:pStyle w:val="paragraphsub"/>
      </w:pPr>
      <w:r w:rsidRPr="009E3973">
        <w:tab/>
        <w:t>(iii)</w:t>
      </w:r>
      <w:r w:rsidRPr="009E3973">
        <w:tab/>
        <w:t xml:space="preserve">if the service is not an outside school hours service that provides only vacation care—the service has not been closed for a period of more than 14 continuous days since the beginning of the previous BCP fortnight for which the provider was paid a COVID-19 </w:t>
      </w:r>
      <w:r w:rsidR="001F2D81" w:rsidRPr="009E3973">
        <w:t>viability support payment</w:t>
      </w:r>
      <w:r w:rsidRPr="009E3973">
        <w:t xml:space="preserve"> in relation to the service.</w:t>
      </w:r>
    </w:p>
    <w:p w14:paraId="1C8EDCFF" w14:textId="586444C0" w:rsidR="009A2200" w:rsidRPr="009E3973" w:rsidRDefault="009A2200" w:rsidP="009E3973">
      <w:pPr>
        <w:pStyle w:val="subsection"/>
        <w:rPr>
          <w:sz w:val="20"/>
        </w:rPr>
      </w:pPr>
      <w:r w:rsidRPr="009E3973">
        <w:tab/>
        <w:t>(</w:t>
      </w:r>
      <w:r w:rsidR="00FB52DA" w:rsidRPr="009E3973">
        <w:t>5</w:t>
      </w:r>
      <w:r w:rsidRPr="009E3973">
        <w:t>)</w:t>
      </w:r>
      <w:r w:rsidRPr="009E3973">
        <w:tab/>
        <w:t>The number of sessions of care provided by the service and attended by children during the BCP fortnight is reasonably likely to be less than 50 per cent of the number of sessions of care provided by the service during the reference fortnight for the service.</w:t>
      </w:r>
    </w:p>
    <w:p w14:paraId="2FC0E147" w14:textId="4716B9D1" w:rsidR="009A2200" w:rsidRPr="009E3973" w:rsidRDefault="009A2200" w:rsidP="009E3973">
      <w:pPr>
        <w:pStyle w:val="notetext"/>
      </w:pPr>
      <w:r w:rsidRPr="009E3973">
        <w:t xml:space="preserve">Note: </w:t>
      </w:r>
      <w:r w:rsidRPr="009E3973">
        <w:tab/>
        <w:t>The sessions of care provided by the service during the reference fortnight include the sessions of care that the child attended any part of and those that are taken to have been provided under subsections 10(2) or 10(3) of the Family Assistance Act.</w:t>
      </w:r>
    </w:p>
    <w:p w14:paraId="158F34F1" w14:textId="656191F4" w:rsidR="009A2200" w:rsidRPr="009E3973" w:rsidRDefault="009A2200" w:rsidP="009E3973">
      <w:pPr>
        <w:pStyle w:val="notetext"/>
        <w:ind w:firstLine="0"/>
      </w:pPr>
      <w:r w:rsidRPr="009E3973">
        <w:lastRenderedPageBreak/>
        <w:t>However, the sessions of care provided by the service and attended by children only include sessions of care that a child attended any part of under paragraph 10(1)(a) of the Family Assistance Act.</w:t>
      </w:r>
    </w:p>
    <w:p w14:paraId="74FC85B7" w14:textId="1526E6FB" w:rsidR="00FB52DA" w:rsidRPr="009E3973" w:rsidRDefault="00FB52DA" w:rsidP="009E3973">
      <w:pPr>
        <w:pStyle w:val="subsection"/>
        <w:rPr>
          <w:color w:val="000000"/>
          <w:szCs w:val="22"/>
          <w:shd w:val="clear" w:color="auto" w:fill="FFFFFF"/>
        </w:rPr>
      </w:pPr>
      <w:r w:rsidRPr="009E3973">
        <w:tab/>
        <w:t>(6)</w:t>
      </w:r>
      <w:r w:rsidRPr="009E3973">
        <w:tab/>
      </w:r>
      <w:r w:rsidRPr="009E3973">
        <w:rPr>
          <w:color w:val="000000"/>
          <w:szCs w:val="22"/>
          <w:shd w:val="clear" w:color="auto" w:fill="FFFFFF"/>
        </w:rPr>
        <w:t>If the service is a FDC service or an IHC service, the Secretary must not have, since 2 July 2018, made a cancellation decision under section 195H or Division 4 of Part 8 of the Family Assistance Administration Act (other than a decision under section 197C) in relation to the service or the provider.</w:t>
      </w:r>
    </w:p>
    <w:p w14:paraId="4D406845" w14:textId="63044FF5" w:rsidR="00C113FF" w:rsidRPr="009E3973" w:rsidRDefault="00E94E82" w:rsidP="009E3973">
      <w:pPr>
        <w:pStyle w:val="ActHead5"/>
      </w:pPr>
      <w:bookmarkStart w:id="24" w:name="_Toc81227590"/>
      <w:r w:rsidRPr="009E3973">
        <w:t>4</w:t>
      </w:r>
      <w:r w:rsidR="00C113FF" w:rsidRPr="009E3973">
        <w:t>.</w:t>
      </w:r>
      <w:r w:rsidR="00F02761" w:rsidRPr="009E3973">
        <w:t>6</w:t>
      </w:r>
      <w:r w:rsidR="00C113FF" w:rsidRPr="009E3973">
        <w:t>  Method of determining payment</w:t>
      </w:r>
      <w:bookmarkEnd w:id="24"/>
    </w:p>
    <w:p w14:paraId="3AECF649" w14:textId="377C5288" w:rsidR="00C113FF" w:rsidRPr="009E3973" w:rsidRDefault="00C113FF" w:rsidP="009E3973">
      <w:pPr>
        <w:pStyle w:val="subsection"/>
        <w:rPr>
          <w:color w:val="000000"/>
          <w:szCs w:val="22"/>
        </w:rPr>
      </w:pPr>
      <w:r w:rsidRPr="009E3973">
        <w:rPr>
          <w:color w:val="000000"/>
          <w:szCs w:val="22"/>
        </w:rPr>
        <w:tab/>
        <w:t>(1)</w:t>
      </w:r>
      <w:r w:rsidRPr="009E3973">
        <w:rPr>
          <w:color w:val="000000"/>
          <w:szCs w:val="22"/>
        </w:rPr>
        <w:tab/>
        <w:t>For the purposes of paragraph 205C(1)(e) of the Family Assistance Administration Act, this clause prescribes</w:t>
      </w:r>
      <w:r w:rsidR="008E24DF" w:rsidRPr="009E3973">
        <w:rPr>
          <w:color w:val="000000"/>
          <w:szCs w:val="22"/>
        </w:rPr>
        <w:t xml:space="preserve"> the</w:t>
      </w:r>
      <w:r w:rsidRPr="009E3973">
        <w:rPr>
          <w:color w:val="000000"/>
          <w:szCs w:val="22"/>
        </w:rPr>
        <w:t xml:space="preserve"> method of </w:t>
      </w:r>
      <w:r w:rsidR="00904ADA" w:rsidRPr="009E3973">
        <w:rPr>
          <w:color w:val="000000"/>
          <w:szCs w:val="22"/>
        </w:rPr>
        <w:t>determining</w:t>
      </w:r>
      <w:r w:rsidRPr="009E3973">
        <w:rPr>
          <w:color w:val="000000"/>
          <w:szCs w:val="22"/>
        </w:rPr>
        <w:t xml:space="preserve"> the amount of </w:t>
      </w:r>
      <w:r w:rsidR="00FA5EBC" w:rsidRPr="009E3973">
        <w:rPr>
          <w:color w:val="000000"/>
          <w:szCs w:val="22"/>
        </w:rPr>
        <w:t xml:space="preserve">a </w:t>
      </w:r>
      <w:r w:rsidR="009B1042" w:rsidRPr="009E3973">
        <w:rPr>
          <w:color w:val="000000"/>
          <w:szCs w:val="22"/>
        </w:rPr>
        <w:t xml:space="preserve">COVID-19 </w:t>
      </w:r>
      <w:r w:rsidR="001F2D81" w:rsidRPr="009E3973">
        <w:rPr>
          <w:color w:val="000000"/>
          <w:szCs w:val="22"/>
        </w:rPr>
        <w:t>viability support payment</w:t>
      </w:r>
      <w:r w:rsidR="009B1042" w:rsidRPr="009E3973">
        <w:rPr>
          <w:color w:val="000000"/>
          <w:szCs w:val="22"/>
        </w:rPr>
        <w:t xml:space="preserve"> </w:t>
      </w:r>
      <w:r w:rsidR="00904ADA" w:rsidRPr="009E3973">
        <w:rPr>
          <w:color w:val="000000"/>
          <w:szCs w:val="22"/>
        </w:rPr>
        <w:t xml:space="preserve">for a provider in relation to a service </w:t>
      </w:r>
      <w:r w:rsidRPr="009E3973">
        <w:rPr>
          <w:color w:val="000000"/>
          <w:szCs w:val="22"/>
        </w:rPr>
        <w:t>for a BCP fortnight.</w:t>
      </w:r>
    </w:p>
    <w:p w14:paraId="2FB1127B" w14:textId="1210B690" w:rsidR="00C113FF" w:rsidRPr="009E3973" w:rsidRDefault="00C113FF" w:rsidP="009E3973">
      <w:pPr>
        <w:pStyle w:val="subsection"/>
        <w:rPr>
          <w:color w:val="000000"/>
          <w:szCs w:val="22"/>
        </w:rPr>
      </w:pPr>
      <w:r w:rsidRPr="009E3973">
        <w:rPr>
          <w:color w:val="000000"/>
          <w:szCs w:val="22"/>
        </w:rPr>
        <w:tab/>
        <w:t>(2)</w:t>
      </w:r>
      <w:r w:rsidRPr="009E3973">
        <w:rPr>
          <w:color w:val="000000"/>
          <w:szCs w:val="22"/>
        </w:rPr>
        <w:tab/>
        <w:t>If the service is an outside school hours care service</w:t>
      </w:r>
      <w:r w:rsidR="001F2D81" w:rsidRPr="009E3973">
        <w:rPr>
          <w:color w:val="000000"/>
          <w:szCs w:val="22"/>
        </w:rPr>
        <w:t xml:space="preserve"> (including an outside school hours care service that provides vacation care only)</w:t>
      </w:r>
      <w:r w:rsidRPr="009E3973">
        <w:rPr>
          <w:color w:val="000000"/>
          <w:szCs w:val="22"/>
        </w:rPr>
        <w:t xml:space="preserve">, the </w:t>
      </w:r>
      <w:r w:rsidR="00904ADA" w:rsidRPr="009E3973">
        <w:rPr>
          <w:color w:val="000000"/>
          <w:szCs w:val="22"/>
        </w:rPr>
        <w:t xml:space="preserve">amount of </w:t>
      </w:r>
      <w:r w:rsidR="00FA5EBC" w:rsidRPr="009E3973">
        <w:rPr>
          <w:color w:val="000000"/>
          <w:szCs w:val="22"/>
        </w:rPr>
        <w:t xml:space="preserve">a </w:t>
      </w:r>
      <w:r w:rsidR="009B1042" w:rsidRPr="009E3973">
        <w:rPr>
          <w:color w:val="000000"/>
          <w:szCs w:val="22"/>
        </w:rPr>
        <w:t>COVID</w:t>
      </w:r>
      <w:r w:rsidR="009B1042" w:rsidRPr="009E3973">
        <w:rPr>
          <w:color w:val="000000"/>
          <w:szCs w:val="22"/>
        </w:rPr>
        <w:noBreakHyphen/>
        <w:t xml:space="preserve">19 </w:t>
      </w:r>
      <w:r w:rsidR="001F2D81" w:rsidRPr="009E3973">
        <w:rPr>
          <w:color w:val="000000"/>
          <w:szCs w:val="22"/>
        </w:rPr>
        <w:t>viability support payment</w:t>
      </w:r>
      <w:r w:rsidRPr="009E3973">
        <w:rPr>
          <w:color w:val="000000"/>
          <w:szCs w:val="22"/>
        </w:rPr>
        <w:t xml:space="preserve"> </w:t>
      </w:r>
      <w:r w:rsidR="00F82E39" w:rsidRPr="009E3973">
        <w:rPr>
          <w:color w:val="000000"/>
          <w:szCs w:val="22"/>
        </w:rPr>
        <w:t>in relation to</w:t>
      </w:r>
      <w:r w:rsidRPr="009E3973">
        <w:rPr>
          <w:color w:val="000000"/>
          <w:szCs w:val="22"/>
        </w:rPr>
        <w:t xml:space="preserve"> </w:t>
      </w:r>
      <w:r w:rsidR="00904ADA" w:rsidRPr="009E3973">
        <w:rPr>
          <w:color w:val="000000"/>
          <w:szCs w:val="22"/>
        </w:rPr>
        <w:t>the service for the</w:t>
      </w:r>
      <w:r w:rsidRPr="009E3973">
        <w:rPr>
          <w:color w:val="000000"/>
          <w:szCs w:val="22"/>
        </w:rPr>
        <w:t xml:space="preserve"> BCP fortnight is </w:t>
      </w:r>
      <w:r w:rsidR="00904ADA" w:rsidRPr="009E3973">
        <w:rPr>
          <w:color w:val="000000"/>
          <w:szCs w:val="22"/>
        </w:rPr>
        <w:t>40</w:t>
      </w:r>
      <w:r w:rsidR="00F82E39" w:rsidRPr="009E3973">
        <w:rPr>
          <w:color w:val="000000"/>
          <w:szCs w:val="22"/>
        </w:rPr>
        <w:t> </w:t>
      </w:r>
      <w:r w:rsidR="00904ADA" w:rsidRPr="009E3973">
        <w:rPr>
          <w:color w:val="000000"/>
          <w:szCs w:val="22"/>
        </w:rPr>
        <w:t>per</w:t>
      </w:r>
      <w:r w:rsidR="00F82E39" w:rsidRPr="009E3973">
        <w:rPr>
          <w:color w:val="000000"/>
          <w:szCs w:val="22"/>
        </w:rPr>
        <w:t> </w:t>
      </w:r>
      <w:r w:rsidR="00904ADA" w:rsidRPr="009E3973">
        <w:rPr>
          <w:color w:val="000000"/>
          <w:szCs w:val="22"/>
        </w:rPr>
        <w:t>cent</w:t>
      </w:r>
      <w:r w:rsidRPr="009E3973">
        <w:rPr>
          <w:color w:val="000000"/>
          <w:szCs w:val="22"/>
        </w:rPr>
        <w:t xml:space="preserve"> of the sum of reference hourly fees for all sessions of care provided by the service during the reference fortnight</w:t>
      </w:r>
      <w:r w:rsidR="00F8313E" w:rsidRPr="009E3973">
        <w:rPr>
          <w:color w:val="000000"/>
          <w:szCs w:val="22"/>
        </w:rPr>
        <w:t xml:space="preserve"> of the service</w:t>
      </w:r>
      <w:r w:rsidRPr="009E3973">
        <w:rPr>
          <w:color w:val="000000"/>
          <w:szCs w:val="22"/>
        </w:rPr>
        <w:t>.</w:t>
      </w:r>
    </w:p>
    <w:p w14:paraId="371EC8DC" w14:textId="26387E5E" w:rsidR="00C113FF" w:rsidRPr="009E3973" w:rsidRDefault="00C113FF" w:rsidP="009E3973">
      <w:pPr>
        <w:pStyle w:val="subsection"/>
        <w:rPr>
          <w:color w:val="000000"/>
          <w:szCs w:val="22"/>
        </w:rPr>
      </w:pPr>
      <w:r w:rsidRPr="009E3973">
        <w:rPr>
          <w:color w:val="000000"/>
          <w:szCs w:val="22"/>
        </w:rPr>
        <w:tab/>
        <w:t>(3)</w:t>
      </w:r>
      <w:r w:rsidRPr="009E3973">
        <w:rPr>
          <w:color w:val="000000"/>
          <w:szCs w:val="22"/>
        </w:rPr>
        <w:tab/>
      </w:r>
      <w:r w:rsidR="00904ADA" w:rsidRPr="009E3973">
        <w:rPr>
          <w:color w:val="000000"/>
          <w:szCs w:val="22"/>
        </w:rPr>
        <w:t>If the service is not an outside school hours care service</w:t>
      </w:r>
      <w:r w:rsidRPr="009E3973">
        <w:rPr>
          <w:color w:val="000000"/>
          <w:szCs w:val="22"/>
        </w:rPr>
        <w:t xml:space="preserve">, the </w:t>
      </w:r>
      <w:r w:rsidR="00904ADA" w:rsidRPr="009E3973">
        <w:rPr>
          <w:color w:val="000000"/>
          <w:szCs w:val="22"/>
        </w:rPr>
        <w:t xml:space="preserve">amount of the </w:t>
      </w:r>
      <w:r w:rsidR="00FA5EBC" w:rsidRPr="009E3973">
        <w:rPr>
          <w:color w:val="000000"/>
          <w:szCs w:val="22"/>
        </w:rPr>
        <w:t xml:space="preserve">a </w:t>
      </w:r>
      <w:r w:rsidR="009B1042" w:rsidRPr="009E3973">
        <w:rPr>
          <w:color w:val="000000"/>
          <w:szCs w:val="22"/>
        </w:rPr>
        <w:t>COVID</w:t>
      </w:r>
      <w:r w:rsidR="009B1042" w:rsidRPr="009E3973">
        <w:rPr>
          <w:color w:val="000000"/>
          <w:szCs w:val="22"/>
        </w:rPr>
        <w:noBreakHyphen/>
        <w:t xml:space="preserve">19 </w:t>
      </w:r>
      <w:r w:rsidR="001F2D81" w:rsidRPr="009E3973">
        <w:rPr>
          <w:color w:val="000000"/>
          <w:szCs w:val="22"/>
        </w:rPr>
        <w:t>viability support payment</w:t>
      </w:r>
      <w:r w:rsidR="00904ADA" w:rsidRPr="009E3973">
        <w:rPr>
          <w:color w:val="000000"/>
          <w:szCs w:val="22"/>
        </w:rPr>
        <w:t xml:space="preserve"> </w:t>
      </w:r>
      <w:r w:rsidR="00F82E39" w:rsidRPr="009E3973">
        <w:rPr>
          <w:color w:val="000000"/>
          <w:szCs w:val="22"/>
        </w:rPr>
        <w:t>in relation to</w:t>
      </w:r>
      <w:r w:rsidR="00904ADA" w:rsidRPr="009E3973">
        <w:rPr>
          <w:color w:val="000000"/>
          <w:szCs w:val="22"/>
        </w:rPr>
        <w:t xml:space="preserve"> the service for the </w:t>
      </w:r>
      <w:r w:rsidRPr="009E3973">
        <w:rPr>
          <w:color w:val="000000"/>
          <w:szCs w:val="22"/>
        </w:rPr>
        <w:t>BCP fortnight is 25</w:t>
      </w:r>
      <w:r w:rsidR="00904ADA" w:rsidRPr="009E3973">
        <w:rPr>
          <w:color w:val="000000"/>
          <w:szCs w:val="22"/>
        </w:rPr>
        <w:t> per cent</w:t>
      </w:r>
      <w:r w:rsidRPr="009E3973">
        <w:rPr>
          <w:color w:val="000000"/>
          <w:szCs w:val="22"/>
        </w:rPr>
        <w:t xml:space="preserve"> of the sum of reference hourly fees for all sessions of care provided by the service during the reference fortnight</w:t>
      </w:r>
      <w:r w:rsidR="00F8313E" w:rsidRPr="009E3973">
        <w:rPr>
          <w:color w:val="000000"/>
          <w:szCs w:val="22"/>
        </w:rPr>
        <w:t xml:space="preserve"> of the service</w:t>
      </w:r>
      <w:r w:rsidRPr="009E3973">
        <w:rPr>
          <w:color w:val="000000"/>
          <w:szCs w:val="22"/>
        </w:rPr>
        <w:t>.</w:t>
      </w:r>
    </w:p>
    <w:p w14:paraId="7CF36A30" w14:textId="3C1C2636" w:rsidR="00C113FF" w:rsidRPr="009E3973" w:rsidRDefault="00C113FF" w:rsidP="009E3973">
      <w:pPr>
        <w:pStyle w:val="ActHead7"/>
      </w:pPr>
      <w:bookmarkStart w:id="25" w:name="_Toc81227591"/>
      <w:r w:rsidRPr="009E3973">
        <w:rPr>
          <w:rStyle w:val="charampartno0"/>
          <w:rFonts w:cs="Arial"/>
          <w:color w:val="000000"/>
          <w:szCs w:val="28"/>
          <w:shd w:val="clear" w:color="auto" w:fill="FFFFFF"/>
        </w:rPr>
        <w:t>Part 2</w:t>
      </w:r>
      <w:r w:rsidRPr="009E3973">
        <w:rPr>
          <w:rFonts w:cs="Arial"/>
          <w:color w:val="000000"/>
          <w:szCs w:val="28"/>
          <w:shd w:val="clear" w:color="auto" w:fill="FFFFFF"/>
        </w:rPr>
        <w:t>—</w:t>
      </w:r>
      <w:r w:rsidRPr="009E3973">
        <w:rPr>
          <w:rStyle w:val="charamparttext0"/>
          <w:rFonts w:cs="Arial"/>
          <w:color w:val="000000"/>
          <w:szCs w:val="28"/>
          <w:shd w:val="clear" w:color="auto" w:fill="FFFFFF"/>
        </w:rPr>
        <w:t xml:space="preserve">Amendments commencing </w:t>
      </w:r>
      <w:r w:rsidR="00B660D6" w:rsidRPr="009E3973">
        <w:rPr>
          <w:rStyle w:val="charamparttext0"/>
          <w:rFonts w:cs="Arial"/>
          <w:color w:val="000000"/>
          <w:szCs w:val="28"/>
          <w:shd w:val="clear" w:color="auto" w:fill="FFFFFF"/>
        </w:rPr>
        <w:t xml:space="preserve">on the </w:t>
      </w:r>
      <w:r w:rsidRPr="009E3973">
        <w:rPr>
          <w:rStyle w:val="charamparttext0"/>
          <w:rFonts w:cs="Arial"/>
          <w:color w:val="000000"/>
          <w:szCs w:val="28"/>
          <w:shd w:val="clear" w:color="auto" w:fill="FFFFFF"/>
        </w:rPr>
        <w:t>day after registration</w:t>
      </w:r>
      <w:bookmarkEnd w:id="25"/>
    </w:p>
    <w:p w14:paraId="213D9E10" w14:textId="77777777" w:rsidR="00C113FF" w:rsidRPr="009E3973" w:rsidRDefault="00C113FF" w:rsidP="009E3973">
      <w:pPr>
        <w:pStyle w:val="ActHead9"/>
      </w:pPr>
      <w:bookmarkStart w:id="26" w:name="_Toc81227592"/>
      <w:r w:rsidRPr="009E3973">
        <w:t>Child Care Subsidy Minister’s Rules 2017</w:t>
      </w:r>
      <w:bookmarkEnd w:id="26"/>
    </w:p>
    <w:p w14:paraId="4325CAA4" w14:textId="221DD2B4" w:rsidR="009A2200" w:rsidRPr="009E3973" w:rsidRDefault="009A2200" w:rsidP="009E3973">
      <w:pPr>
        <w:pStyle w:val="ItemHead"/>
      </w:pPr>
      <w:r w:rsidRPr="009E3973">
        <w:t>2</w:t>
      </w:r>
      <w:r w:rsidR="00CD2EB4" w:rsidRPr="009E3973">
        <w:t>8</w:t>
      </w:r>
      <w:r w:rsidRPr="009E3973">
        <w:t xml:space="preserve">  Schedule 3, after subclause 4.</w:t>
      </w:r>
      <w:r w:rsidR="00F02761" w:rsidRPr="009E3973">
        <w:t>5</w:t>
      </w:r>
      <w:r w:rsidRPr="009E3973">
        <w:t>(</w:t>
      </w:r>
      <w:r w:rsidR="00C22AFC" w:rsidRPr="009E3973">
        <w:t>5</w:t>
      </w:r>
      <w:r w:rsidRPr="009E3973">
        <w:t>)</w:t>
      </w:r>
    </w:p>
    <w:p w14:paraId="1BDBBCC3" w14:textId="77777777" w:rsidR="009A2200" w:rsidRPr="009E3973" w:rsidRDefault="009A2200" w:rsidP="009E3973">
      <w:pPr>
        <w:pStyle w:val="Item"/>
      </w:pPr>
      <w:r w:rsidRPr="009E3973">
        <w:t>Insert:</w:t>
      </w:r>
    </w:p>
    <w:p w14:paraId="57E54DBE" w14:textId="5C7E7BAD" w:rsidR="009A2200" w:rsidRPr="009E3973" w:rsidRDefault="009A2200" w:rsidP="009E3973">
      <w:pPr>
        <w:pStyle w:val="subsection"/>
      </w:pPr>
      <w:r w:rsidRPr="009E3973">
        <w:tab/>
        <w:t>(</w:t>
      </w:r>
      <w:r w:rsidR="00C22AFC" w:rsidRPr="009E3973">
        <w:t>5</w:t>
      </w:r>
      <w:r w:rsidR="00FB52DA" w:rsidRPr="009E3973">
        <w:t>A</w:t>
      </w:r>
      <w:r w:rsidRPr="009E3973">
        <w:t>)</w:t>
      </w:r>
      <w:r w:rsidRPr="009E3973">
        <w:tab/>
        <w:t>During the BCP fortnight, the provider must comply with clauses 4.</w:t>
      </w:r>
      <w:r w:rsidR="00F02761" w:rsidRPr="009E3973">
        <w:t>7</w:t>
      </w:r>
      <w:r w:rsidRPr="009E3973">
        <w:t xml:space="preserve"> and 4.</w:t>
      </w:r>
      <w:r w:rsidR="00F02761" w:rsidRPr="009E3973">
        <w:t>8</w:t>
      </w:r>
      <w:r w:rsidRPr="009E3973">
        <w:t>.</w:t>
      </w:r>
    </w:p>
    <w:p w14:paraId="53E59192" w14:textId="7C122CD7" w:rsidR="00C113FF" w:rsidRPr="009E3973" w:rsidRDefault="00B144F7" w:rsidP="009E3973">
      <w:pPr>
        <w:pStyle w:val="ItemHead"/>
      </w:pPr>
      <w:r w:rsidRPr="009E3973">
        <w:t>2</w:t>
      </w:r>
      <w:r w:rsidR="00CD2EB4" w:rsidRPr="009E3973">
        <w:t>9</w:t>
      </w:r>
      <w:r w:rsidR="00C113FF" w:rsidRPr="009E3973">
        <w:t xml:space="preserve">  Schedule 3, </w:t>
      </w:r>
      <w:r w:rsidR="008E24DF" w:rsidRPr="009E3973">
        <w:t xml:space="preserve">at the end of Part </w:t>
      </w:r>
      <w:r w:rsidR="00E94E82" w:rsidRPr="009E3973">
        <w:t>4</w:t>
      </w:r>
    </w:p>
    <w:p w14:paraId="290E6C00" w14:textId="2B426B61" w:rsidR="00C113FF" w:rsidRPr="009E3973" w:rsidRDefault="008E24DF" w:rsidP="009E3973">
      <w:pPr>
        <w:pStyle w:val="Item"/>
      </w:pPr>
      <w:r w:rsidRPr="009E3973">
        <w:t>Add</w:t>
      </w:r>
      <w:r w:rsidR="00C113FF" w:rsidRPr="009E3973">
        <w:t>:</w:t>
      </w:r>
    </w:p>
    <w:p w14:paraId="29520D4D" w14:textId="7E62B6BF" w:rsidR="00C113FF" w:rsidRPr="009E3973" w:rsidRDefault="00E94E82" w:rsidP="009E3973">
      <w:pPr>
        <w:pStyle w:val="ActHead5"/>
      </w:pPr>
      <w:bookmarkStart w:id="27" w:name="_Toc81227593"/>
      <w:r w:rsidRPr="009E3973">
        <w:t>4</w:t>
      </w:r>
      <w:r w:rsidR="00C113FF" w:rsidRPr="009E3973">
        <w:t>.</w:t>
      </w:r>
      <w:r w:rsidR="00F02761" w:rsidRPr="009E3973">
        <w:t>7</w:t>
      </w:r>
      <w:r w:rsidR="00C113FF" w:rsidRPr="009E3973">
        <w:t xml:space="preserve">  </w:t>
      </w:r>
      <w:r w:rsidR="00E17BCD" w:rsidRPr="009E3973">
        <w:t xml:space="preserve">Provider in receipt of COVID-19 </w:t>
      </w:r>
      <w:r w:rsidR="001F2D81" w:rsidRPr="009E3973">
        <w:t>viability support payment</w:t>
      </w:r>
      <w:r w:rsidR="00F8313E" w:rsidRPr="009E3973">
        <w:t>s</w:t>
      </w:r>
      <w:r w:rsidR="00E17BCD" w:rsidRPr="009E3973">
        <w:t xml:space="preserve"> to notify </w:t>
      </w:r>
      <w:r w:rsidR="005822AF" w:rsidRPr="009E3973">
        <w:t>Secretary of certain matters</w:t>
      </w:r>
      <w:bookmarkEnd w:id="27"/>
    </w:p>
    <w:p w14:paraId="4BD4F985" w14:textId="2C09A7B6" w:rsidR="00C113FF" w:rsidRPr="009E3973" w:rsidRDefault="00C113FF" w:rsidP="009E3973">
      <w:pPr>
        <w:pStyle w:val="subsection"/>
        <w:rPr>
          <w:color w:val="000000"/>
          <w:szCs w:val="22"/>
        </w:rPr>
      </w:pPr>
      <w:r w:rsidRPr="009E3973">
        <w:rPr>
          <w:color w:val="000000"/>
          <w:szCs w:val="22"/>
        </w:rPr>
        <w:tab/>
        <w:t>(1)</w:t>
      </w:r>
      <w:r w:rsidRPr="009E3973">
        <w:rPr>
          <w:color w:val="000000"/>
          <w:szCs w:val="22"/>
        </w:rPr>
        <w:tab/>
        <w:t xml:space="preserve">This clause applies to a provider </w:t>
      </w:r>
      <w:r w:rsidR="00E17BCD" w:rsidRPr="009E3973">
        <w:rPr>
          <w:color w:val="000000"/>
          <w:szCs w:val="22"/>
        </w:rPr>
        <w:t>that</w:t>
      </w:r>
      <w:r w:rsidRPr="009E3973">
        <w:rPr>
          <w:color w:val="000000"/>
          <w:szCs w:val="22"/>
        </w:rPr>
        <w:t xml:space="preserve"> </w:t>
      </w:r>
      <w:r w:rsidR="00E17BCD" w:rsidRPr="009E3973">
        <w:t>has received a COVID</w:t>
      </w:r>
      <w:r w:rsidR="00E17BCD" w:rsidRPr="009E3973">
        <w:noBreakHyphen/>
        <w:t xml:space="preserve">19 </w:t>
      </w:r>
      <w:r w:rsidR="001F2D81" w:rsidRPr="009E3973">
        <w:t>viability support payment</w:t>
      </w:r>
      <w:r w:rsidRPr="009E3973">
        <w:rPr>
          <w:color w:val="000000"/>
          <w:szCs w:val="22"/>
        </w:rPr>
        <w:t>.</w:t>
      </w:r>
    </w:p>
    <w:p w14:paraId="44754626" w14:textId="5B23C2CE" w:rsidR="00C113FF" w:rsidRPr="009E3973" w:rsidRDefault="00C113FF" w:rsidP="009E3973">
      <w:pPr>
        <w:pStyle w:val="subsection"/>
        <w:rPr>
          <w:color w:val="000000"/>
          <w:szCs w:val="22"/>
        </w:rPr>
      </w:pPr>
      <w:r w:rsidRPr="009E3973">
        <w:rPr>
          <w:color w:val="000000"/>
          <w:szCs w:val="22"/>
        </w:rPr>
        <w:tab/>
        <w:t>(2)</w:t>
      </w:r>
      <w:r w:rsidRPr="009E3973">
        <w:rPr>
          <w:color w:val="000000"/>
          <w:szCs w:val="22"/>
        </w:rPr>
        <w:tab/>
        <w:t xml:space="preserve">For subsection 204F(1) of the Family Assistance Administration Act, </w:t>
      </w:r>
      <w:r w:rsidR="009C6B78" w:rsidRPr="009E3973">
        <w:rPr>
          <w:color w:val="000000"/>
          <w:szCs w:val="22"/>
        </w:rPr>
        <w:t>the</w:t>
      </w:r>
      <w:r w:rsidRPr="009E3973">
        <w:rPr>
          <w:color w:val="000000"/>
          <w:szCs w:val="22"/>
        </w:rPr>
        <w:t xml:space="preserve"> provider must give the Secretary written notice of the matters prescribed in the table below, by the time prescribed in the table.</w:t>
      </w:r>
      <w:r w:rsidRPr="009E3973">
        <w:rPr>
          <w:color w:val="000000"/>
          <w:szCs w:val="22"/>
        </w:rPr>
        <w:br/>
      </w:r>
    </w:p>
    <w:tbl>
      <w:tblPr>
        <w:tblW w:w="0" w:type="auto"/>
        <w:tblInd w:w="113" w:type="dxa"/>
        <w:shd w:val="clear" w:color="auto" w:fill="FFFFFF"/>
        <w:tblCellMar>
          <w:left w:w="0" w:type="dxa"/>
          <w:right w:w="0" w:type="dxa"/>
        </w:tblCellMar>
        <w:tblLook w:val="04A0" w:firstRow="1" w:lastRow="0" w:firstColumn="1" w:lastColumn="0" w:noHBand="0" w:noVBand="1"/>
      </w:tblPr>
      <w:tblGrid>
        <w:gridCol w:w="712"/>
        <w:gridCol w:w="3744"/>
        <w:gridCol w:w="3744"/>
      </w:tblGrid>
      <w:tr w:rsidR="00C113FF" w:rsidRPr="009E3973" w14:paraId="440B48A2" w14:textId="77777777" w:rsidTr="00066CB5">
        <w:trPr>
          <w:tblHeader/>
        </w:trPr>
        <w:tc>
          <w:tcPr>
            <w:tcW w:w="712" w:type="dxa"/>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6210E9AF" w14:textId="77777777" w:rsidR="00C113FF" w:rsidRPr="009E3973" w:rsidRDefault="00C113FF" w:rsidP="009E3973">
            <w:pPr>
              <w:pStyle w:val="TableHeading"/>
            </w:pPr>
            <w:r w:rsidRPr="009E3973">
              <w:lastRenderedPageBreak/>
              <w:t>Item</w:t>
            </w:r>
          </w:p>
        </w:tc>
        <w:tc>
          <w:tcPr>
            <w:tcW w:w="3744" w:type="dxa"/>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3DE1BC29" w14:textId="77777777" w:rsidR="00C113FF" w:rsidRPr="009E3973" w:rsidRDefault="00C113FF" w:rsidP="009E3973">
            <w:pPr>
              <w:pStyle w:val="TableHeading"/>
            </w:pPr>
            <w:r w:rsidRPr="009E3973">
              <w:t>Matter to be notified</w:t>
            </w:r>
          </w:p>
        </w:tc>
        <w:tc>
          <w:tcPr>
            <w:tcW w:w="3744" w:type="dxa"/>
            <w:tcBorders>
              <w:top w:val="single" w:sz="12" w:space="0" w:color="auto"/>
              <w:left w:val="nil"/>
              <w:bottom w:val="single" w:sz="12" w:space="0" w:color="auto"/>
              <w:right w:val="nil"/>
            </w:tcBorders>
            <w:shd w:val="clear" w:color="auto" w:fill="FFFFFF"/>
            <w:tcMar>
              <w:top w:w="0" w:type="dxa"/>
              <w:left w:w="108" w:type="dxa"/>
              <w:bottom w:w="0" w:type="dxa"/>
              <w:right w:w="108" w:type="dxa"/>
            </w:tcMar>
            <w:hideMark/>
          </w:tcPr>
          <w:p w14:paraId="17FC45B7" w14:textId="77777777" w:rsidR="00C113FF" w:rsidRPr="009E3973" w:rsidRDefault="00C113FF" w:rsidP="009E3973">
            <w:pPr>
              <w:pStyle w:val="TableHeading"/>
            </w:pPr>
            <w:r w:rsidRPr="009E3973">
              <w:t>When notification needs to be provided</w:t>
            </w:r>
          </w:p>
        </w:tc>
      </w:tr>
      <w:tr w:rsidR="009C6B78" w:rsidRPr="009E3973" w14:paraId="6D7CD01F" w14:textId="77777777" w:rsidTr="00066CB5">
        <w:tc>
          <w:tcPr>
            <w:tcW w:w="712" w:type="dxa"/>
            <w:tcBorders>
              <w:top w:val="nil"/>
              <w:left w:val="nil"/>
              <w:bottom w:val="single" w:sz="8" w:space="0" w:color="auto"/>
              <w:right w:val="nil"/>
            </w:tcBorders>
            <w:shd w:val="clear" w:color="auto" w:fill="FFFFFF"/>
            <w:tcMar>
              <w:top w:w="0" w:type="dxa"/>
              <w:left w:w="108" w:type="dxa"/>
              <w:bottom w:w="0" w:type="dxa"/>
              <w:right w:w="108" w:type="dxa"/>
            </w:tcMar>
          </w:tcPr>
          <w:p w14:paraId="581286E8" w14:textId="1C19CBC9" w:rsidR="009C6B78" w:rsidRPr="009E3973" w:rsidRDefault="009C6B78" w:rsidP="009E3973">
            <w:pPr>
              <w:pStyle w:val="Tabletext"/>
            </w:pPr>
            <w:r w:rsidRPr="009E3973">
              <w:t>1</w:t>
            </w:r>
          </w:p>
        </w:tc>
        <w:tc>
          <w:tcPr>
            <w:tcW w:w="3744" w:type="dxa"/>
            <w:tcBorders>
              <w:top w:val="nil"/>
              <w:left w:val="nil"/>
              <w:bottom w:val="single" w:sz="8" w:space="0" w:color="auto"/>
              <w:right w:val="nil"/>
            </w:tcBorders>
            <w:shd w:val="clear" w:color="auto" w:fill="FFFFFF"/>
            <w:tcMar>
              <w:top w:w="0" w:type="dxa"/>
              <w:left w:w="108" w:type="dxa"/>
              <w:bottom w:w="0" w:type="dxa"/>
              <w:right w:w="108" w:type="dxa"/>
            </w:tcMar>
          </w:tcPr>
          <w:p w14:paraId="59CE51AA" w14:textId="0973C15E" w:rsidR="009C6B78" w:rsidRPr="009E3973" w:rsidRDefault="009C6B78" w:rsidP="009E3973">
            <w:pPr>
              <w:pStyle w:val="Tabletext"/>
            </w:pPr>
            <w:r w:rsidRPr="009E3973">
              <w:t xml:space="preserve">Change in any information provided by the provider in its application for COVID-19 </w:t>
            </w:r>
            <w:r w:rsidR="001F2D81" w:rsidRPr="009E3973">
              <w:t>viability support payment</w:t>
            </w:r>
            <w:r w:rsidR="00C9085F" w:rsidRPr="009E3973">
              <w:t>s</w:t>
            </w:r>
            <w:r w:rsidRPr="009E3973">
              <w:t>.</w:t>
            </w:r>
          </w:p>
        </w:tc>
        <w:tc>
          <w:tcPr>
            <w:tcW w:w="3744" w:type="dxa"/>
            <w:tcBorders>
              <w:top w:val="nil"/>
              <w:left w:val="nil"/>
              <w:bottom w:val="single" w:sz="8" w:space="0" w:color="auto"/>
              <w:right w:val="nil"/>
            </w:tcBorders>
            <w:shd w:val="clear" w:color="auto" w:fill="FFFFFF"/>
            <w:tcMar>
              <w:top w:w="0" w:type="dxa"/>
              <w:left w:w="108" w:type="dxa"/>
              <w:bottom w:w="0" w:type="dxa"/>
              <w:right w:w="108" w:type="dxa"/>
            </w:tcMar>
          </w:tcPr>
          <w:p w14:paraId="5B1FC95D" w14:textId="19C6806F" w:rsidR="009C6B78" w:rsidRPr="009E3973" w:rsidRDefault="00BE1672" w:rsidP="009E3973">
            <w:pPr>
              <w:pStyle w:val="Tabletext"/>
            </w:pPr>
            <w:r w:rsidRPr="009E3973">
              <w:t xml:space="preserve">Within 7 days of </w:t>
            </w:r>
            <w:r w:rsidR="001F2D81" w:rsidRPr="009E3973">
              <w:t xml:space="preserve">the end of the BCP fortnight in which </w:t>
            </w:r>
            <w:r w:rsidR="00296C09" w:rsidRPr="009E3973">
              <w:t>the change occurs.</w:t>
            </w:r>
          </w:p>
        </w:tc>
      </w:tr>
      <w:tr w:rsidR="00C113FF" w:rsidRPr="009E3973" w14:paraId="6DD69243" w14:textId="77777777" w:rsidTr="00C17F3C">
        <w:tc>
          <w:tcPr>
            <w:tcW w:w="712" w:type="dxa"/>
            <w:tcBorders>
              <w:top w:val="nil"/>
              <w:left w:val="nil"/>
              <w:bottom w:val="single" w:sz="4" w:space="0" w:color="auto"/>
              <w:right w:val="nil"/>
            </w:tcBorders>
            <w:shd w:val="clear" w:color="auto" w:fill="FFFFFF"/>
            <w:tcMar>
              <w:top w:w="0" w:type="dxa"/>
              <w:left w:w="108" w:type="dxa"/>
              <w:bottom w:w="0" w:type="dxa"/>
              <w:right w:w="108" w:type="dxa"/>
            </w:tcMar>
            <w:hideMark/>
          </w:tcPr>
          <w:p w14:paraId="7FEE4FCE" w14:textId="29E5A70A" w:rsidR="00C113FF" w:rsidRPr="009E3973" w:rsidRDefault="009C6B78" w:rsidP="009E3973">
            <w:pPr>
              <w:pStyle w:val="Tabletext"/>
            </w:pPr>
            <w:r w:rsidRPr="009E3973">
              <w:t>2</w:t>
            </w:r>
          </w:p>
        </w:tc>
        <w:tc>
          <w:tcPr>
            <w:tcW w:w="3744" w:type="dxa"/>
            <w:tcBorders>
              <w:top w:val="nil"/>
              <w:left w:val="nil"/>
              <w:bottom w:val="single" w:sz="4" w:space="0" w:color="auto"/>
              <w:right w:val="nil"/>
            </w:tcBorders>
            <w:shd w:val="clear" w:color="auto" w:fill="FFFFFF"/>
            <w:tcMar>
              <w:top w:w="0" w:type="dxa"/>
              <w:left w:w="108" w:type="dxa"/>
              <w:bottom w:w="0" w:type="dxa"/>
              <w:right w:w="108" w:type="dxa"/>
            </w:tcMar>
            <w:hideMark/>
          </w:tcPr>
          <w:p w14:paraId="747893AF" w14:textId="4FF1D68D" w:rsidR="00C113FF" w:rsidRPr="009E3973" w:rsidRDefault="00377E2B" w:rsidP="009E3973">
            <w:pPr>
              <w:pStyle w:val="Tabletext"/>
            </w:pPr>
            <w:r w:rsidRPr="009E3973">
              <w:t xml:space="preserve">The provider has ceased or will cease to meet one or more </w:t>
            </w:r>
            <w:r w:rsidR="00C124C9" w:rsidRPr="009E3973">
              <w:t>eligibili</w:t>
            </w:r>
            <w:r w:rsidR="005D0612" w:rsidRPr="009E3973">
              <w:t>t</w:t>
            </w:r>
            <w:r w:rsidR="00C124C9" w:rsidRPr="009E3973">
              <w:t>y</w:t>
            </w:r>
            <w:r w:rsidRPr="009E3973">
              <w:t xml:space="preserve"> criteria in </w:t>
            </w:r>
            <w:r w:rsidR="00C124C9" w:rsidRPr="009E3973">
              <w:t>clause 4.</w:t>
            </w:r>
            <w:r w:rsidR="00F8313E" w:rsidRPr="009E3973">
              <w:t>5</w:t>
            </w:r>
            <w:r w:rsidR="001F2D81" w:rsidRPr="009E3973">
              <w:t xml:space="preserve"> for a BCP fortnight</w:t>
            </w:r>
            <w:r w:rsidR="00627B1F" w:rsidRPr="009E3973">
              <w:t xml:space="preserve">, or any change in circumstance that </w:t>
            </w:r>
            <w:r w:rsidR="00922D64" w:rsidRPr="009E3973">
              <w:t>may</w:t>
            </w:r>
            <w:r w:rsidR="00627B1F" w:rsidRPr="009E3973">
              <w:t xml:space="preserve"> affect eligibility </w:t>
            </w:r>
            <w:r w:rsidR="001F2D81" w:rsidRPr="009E3973">
              <w:t xml:space="preserve">for a BCP fortnight </w:t>
            </w:r>
            <w:r w:rsidR="00627B1F" w:rsidRPr="009E3973">
              <w:t>under clause</w:t>
            </w:r>
            <w:r w:rsidR="00F8313E" w:rsidRPr="009E3973">
              <w:t> </w:t>
            </w:r>
            <w:r w:rsidR="00627B1F" w:rsidRPr="009E3973">
              <w:t>4.</w:t>
            </w:r>
            <w:r w:rsidR="00F8313E" w:rsidRPr="009E3973">
              <w:t>5</w:t>
            </w:r>
            <w:r w:rsidR="00627B1F" w:rsidRPr="009E3973">
              <w:t>.</w:t>
            </w:r>
          </w:p>
        </w:tc>
        <w:tc>
          <w:tcPr>
            <w:tcW w:w="3744" w:type="dxa"/>
            <w:tcBorders>
              <w:top w:val="nil"/>
              <w:left w:val="nil"/>
              <w:bottom w:val="single" w:sz="4" w:space="0" w:color="auto"/>
              <w:right w:val="nil"/>
            </w:tcBorders>
            <w:shd w:val="clear" w:color="auto" w:fill="FFFFFF"/>
            <w:tcMar>
              <w:top w:w="0" w:type="dxa"/>
              <w:left w:w="108" w:type="dxa"/>
              <w:bottom w:w="0" w:type="dxa"/>
              <w:right w:w="108" w:type="dxa"/>
            </w:tcMar>
            <w:hideMark/>
          </w:tcPr>
          <w:p w14:paraId="50C69889" w14:textId="3ED54647" w:rsidR="00C113FF" w:rsidRPr="009E3973" w:rsidRDefault="00C113FF" w:rsidP="009E3973">
            <w:pPr>
              <w:pStyle w:val="Tabletext"/>
            </w:pPr>
            <w:r w:rsidRPr="009E3973">
              <w:t xml:space="preserve">Within 7 days of the </w:t>
            </w:r>
            <w:r w:rsidR="001F2D81" w:rsidRPr="009E3973">
              <w:t>end of the BCP fortnight.</w:t>
            </w:r>
          </w:p>
        </w:tc>
      </w:tr>
      <w:tr w:rsidR="00EF7008" w:rsidRPr="009E3973" w14:paraId="1FBBDAFC" w14:textId="77777777" w:rsidTr="00C17F3C">
        <w:tc>
          <w:tcPr>
            <w:tcW w:w="712" w:type="dxa"/>
            <w:tcBorders>
              <w:top w:val="single" w:sz="4" w:space="0" w:color="auto"/>
              <w:left w:val="nil"/>
              <w:bottom w:val="single" w:sz="8" w:space="0" w:color="auto"/>
              <w:right w:val="nil"/>
            </w:tcBorders>
            <w:shd w:val="clear" w:color="auto" w:fill="FFFFFF"/>
            <w:tcMar>
              <w:top w:w="0" w:type="dxa"/>
              <w:left w:w="108" w:type="dxa"/>
              <w:bottom w:w="0" w:type="dxa"/>
              <w:right w:w="108" w:type="dxa"/>
            </w:tcMar>
          </w:tcPr>
          <w:p w14:paraId="50A46B7F" w14:textId="47FD7864" w:rsidR="00EF7008" w:rsidRPr="009E3973" w:rsidRDefault="00EF7008" w:rsidP="009E3973">
            <w:pPr>
              <w:pStyle w:val="Tabletext"/>
            </w:pPr>
            <w:r w:rsidRPr="009E3973">
              <w:t>3</w:t>
            </w:r>
          </w:p>
        </w:tc>
        <w:tc>
          <w:tcPr>
            <w:tcW w:w="3744" w:type="dxa"/>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4EBCCC11" w14:textId="5EBE512F" w:rsidR="00EF7008" w:rsidRPr="009E3973" w:rsidDel="00377E2B" w:rsidRDefault="00EF7008" w:rsidP="009E3973">
            <w:pPr>
              <w:pStyle w:val="Tabletext"/>
            </w:pPr>
            <w:r w:rsidRPr="009E3973">
              <w:rPr>
                <w:color w:val="000000"/>
              </w:rPr>
              <w:t>That the number of sessions of care provided by the service and attended by children for a BCP fortnight is greater than 50 per cent of the number of sessions of care provided by the service during the reference fortnight.</w:t>
            </w:r>
          </w:p>
        </w:tc>
        <w:tc>
          <w:tcPr>
            <w:tcW w:w="3744" w:type="dxa"/>
            <w:tcBorders>
              <w:top w:val="single" w:sz="4" w:space="0" w:color="auto"/>
              <w:left w:val="nil"/>
              <w:bottom w:val="single" w:sz="8" w:space="0" w:color="auto"/>
              <w:right w:val="nil"/>
            </w:tcBorders>
            <w:shd w:val="clear" w:color="auto" w:fill="FFFFFF"/>
            <w:tcMar>
              <w:top w:w="0" w:type="dxa"/>
              <w:left w:w="108" w:type="dxa"/>
              <w:bottom w:w="0" w:type="dxa"/>
              <w:right w:w="108" w:type="dxa"/>
            </w:tcMar>
          </w:tcPr>
          <w:p w14:paraId="3BED755A" w14:textId="01445B7C" w:rsidR="00EF7008" w:rsidRPr="009E3973" w:rsidRDefault="00EF7008" w:rsidP="009E3973">
            <w:pPr>
              <w:pStyle w:val="Tabletext"/>
            </w:pPr>
            <w:r w:rsidRPr="009E3973">
              <w:rPr>
                <w:color w:val="000000"/>
              </w:rPr>
              <w:t>Within 7 days of the end of the BCP fortnight.</w:t>
            </w:r>
          </w:p>
        </w:tc>
      </w:tr>
    </w:tbl>
    <w:p w14:paraId="5BB61404" w14:textId="725DA308" w:rsidR="00C113FF" w:rsidRPr="009E3973" w:rsidRDefault="00E94E82" w:rsidP="009E3973">
      <w:pPr>
        <w:pStyle w:val="ActHead5"/>
      </w:pPr>
      <w:bookmarkStart w:id="28" w:name="_Toc81227594"/>
      <w:r w:rsidRPr="009E3973">
        <w:t>4</w:t>
      </w:r>
      <w:r w:rsidR="00C113FF" w:rsidRPr="009E3973">
        <w:t>.</w:t>
      </w:r>
      <w:r w:rsidR="00F02761" w:rsidRPr="009E3973">
        <w:t>8</w:t>
      </w:r>
      <w:r w:rsidR="00C113FF" w:rsidRPr="009E3973">
        <w:t xml:space="preserve">  </w:t>
      </w:r>
      <w:bookmarkEnd w:id="28"/>
      <w:r w:rsidR="00065986" w:rsidRPr="009E3973">
        <w:t>Conditions of continued approval for providers receiving COVID</w:t>
      </w:r>
      <w:r w:rsidR="00065986" w:rsidRPr="009E3973">
        <w:noBreakHyphen/>
        <w:t xml:space="preserve">19 </w:t>
      </w:r>
      <w:r w:rsidR="001F2D81" w:rsidRPr="009E3973">
        <w:t>viability support payment</w:t>
      </w:r>
      <w:r w:rsidR="00F8313E" w:rsidRPr="009E3973">
        <w:t>s</w:t>
      </w:r>
    </w:p>
    <w:p w14:paraId="5C730077" w14:textId="0D4458CE" w:rsidR="009A2200" w:rsidRPr="009E3973" w:rsidRDefault="009A2200" w:rsidP="009E3973">
      <w:pPr>
        <w:pStyle w:val="subsection"/>
      </w:pPr>
      <w:r w:rsidRPr="009E3973">
        <w:tab/>
        <w:t>(1)</w:t>
      </w:r>
      <w:r w:rsidRPr="009E3973">
        <w:tab/>
        <w:t>For section 195E of the Family Assistance Administration Act, this clause sets out conditions of continued approval of a provider that has received a COVID</w:t>
      </w:r>
      <w:r w:rsidRPr="009E3973">
        <w:noBreakHyphen/>
        <w:t xml:space="preserve">19 </w:t>
      </w:r>
      <w:r w:rsidR="001F2D81" w:rsidRPr="009E3973">
        <w:t>viability support payment</w:t>
      </w:r>
      <w:r w:rsidRPr="009E3973">
        <w:t xml:space="preserve"> in relation to a service for a BCP fortnight.</w:t>
      </w:r>
    </w:p>
    <w:p w14:paraId="2CAA777B" w14:textId="3A657D70" w:rsidR="009A2200" w:rsidRPr="009E3973" w:rsidRDefault="009A2200" w:rsidP="009E3973">
      <w:pPr>
        <w:pStyle w:val="subsection"/>
      </w:pPr>
      <w:bookmarkStart w:id="29" w:name="_Hlk81325121"/>
      <w:r w:rsidRPr="009E3973">
        <w:tab/>
        <w:t>(2)</w:t>
      </w:r>
      <w:r w:rsidRPr="009E3973">
        <w:tab/>
        <w:t>If, in accordance with subsection 201B(1A) of the Family Assistance Administration Act and Part 1 or Part 2 of this Schedule, the provider is not required to take reasonable steps to enforce hourly session fees in relation to sessions of care provided by a service during the BCP fortnight, the provider must not enforce payment of the hourly session fees.</w:t>
      </w:r>
    </w:p>
    <w:bookmarkEnd w:id="29"/>
    <w:p w14:paraId="7379070D" w14:textId="2D43A234" w:rsidR="009A2200" w:rsidRPr="009E3973" w:rsidRDefault="009A2200" w:rsidP="009E3973">
      <w:pPr>
        <w:pStyle w:val="subsection"/>
      </w:pPr>
      <w:r w:rsidRPr="009E3973">
        <w:tab/>
        <w:t>(3)</w:t>
      </w:r>
      <w:r w:rsidRPr="009E3973">
        <w:tab/>
        <w:t xml:space="preserve">The provider must not, during a BCP fortnight commencing on or after 6 September 2021, receive any Commonwealth government COVID-19 pandemic-related business support payments in relation to the service, other than COVID-19 </w:t>
      </w:r>
      <w:r w:rsidR="001F2D81" w:rsidRPr="009E3973">
        <w:t>viability support payment</w:t>
      </w:r>
      <w:r w:rsidR="00F8313E" w:rsidRPr="009E3973">
        <w:t>s</w:t>
      </w:r>
      <w:r w:rsidRPr="009E3973">
        <w:t>.</w:t>
      </w:r>
    </w:p>
    <w:p w14:paraId="2E3134D6" w14:textId="7976229D" w:rsidR="009A2200" w:rsidRPr="009E3973" w:rsidRDefault="009A2200" w:rsidP="009E3973">
      <w:pPr>
        <w:pStyle w:val="subsection"/>
      </w:pPr>
      <w:r w:rsidRPr="009E3973">
        <w:tab/>
        <w:t>(4)</w:t>
      </w:r>
      <w:r w:rsidRPr="009E3973">
        <w:tab/>
        <w:t xml:space="preserve">The provider must not intentionally reduce the number of employees employed at the service, or the number of FDC educators engaged by the service, at any time during the BCP fortnight below the </w:t>
      </w:r>
      <w:r w:rsidR="001F2D81" w:rsidRPr="009E3973">
        <w:t xml:space="preserve">average </w:t>
      </w:r>
      <w:r w:rsidRPr="009E3973">
        <w:t xml:space="preserve">staffing levels at the service </w:t>
      </w:r>
      <w:r w:rsidR="001F2D81" w:rsidRPr="009E3973">
        <w:t>in the 14 day period ending before the start day for the service.</w:t>
      </w:r>
      <w:r w:rsidRPr="009E3973">
        <w:t xml:space="preserve"> </w:t>
      </w:r>
    </w:p>
    <w:p w14:paraId="37FB2D3F" w14:textId="150697FA" w:rsidR="003F6F52" w:rsidRPr="00DA182D" w:rsidRDefault="009A2200" w:rsidP="009E3973">
      <w:pPr>
        <w:pStyle w:val="subsection"/>
      </w:pPr>
      <w:r w:rsidRPr="009E3973">
        <w:tab/>
        <w:t>(5)</w:t>
      </w:r>
      <w:r w:rsidRPr="009E3973">
        <w:tab/>
        <w:t>The provider must not charge an hourly session fee for a session of care  provided by the service during the BCP fortnight that is greater than the hourly session fee than it would have charged for that session of care in the 14 day period ending before the start da</w:t>
      </w:r>
      <w:r w:rsidR="00D85272" w:rsidRPr="009E3973">
        <w:t>y</w:t>
      </w:r>
      <w:r w:rsidRPr="009E3973">
        <w:t xml:space="preserve"> for the service.</w:t>
      </w:r>
      <w:bookmarkStart w:id="30" w:name="_Toc80186180"/>
      <w:bookmarkStart w:id="31" w:name="_Toc80185988"/>
      <w:bookmarkStart w:id="32" w:name="_Toc77255649"/>
      <w:bookmarkStart w:id="33" w:name="_Toc80186181"/>
      <w:bookmarkStart w:id="34" w:name="_Toc80185989"/>
      <w:bookmarkStart w:id="35" w:name="_Toc77255650"/>
      <w:bookmarkEnd w:id="12"/>
      <w:bookmarkEnd w:id="30"/>
      <w:bookmarkEnd w:id="31"/>
      <w:bookmarkEnd w:id="32"/>
      <w:bookmarkEnd w:id="33"/>
      <w:bookmarkEnd w:id="34"/>
      <w:bookmarkEnd w:id="35"/>
    </w:p>
    <w:sectPr w:rsidR="003F6F52" w:rsidRPr="00DA182D"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CF9C6" w14:textId="77777777" w:rsidR="00017BCC" w:rsidRDefault="00017BCC" w:rsidP="0048364F">
      <w:pPr>
        <w:spacing w:line="240" w:lineRule="auto"/>
      </w:pPr>
      <w:r>
        <w:separator/>
      </w:r>
    </w:p>
  </w:endnote>
  <w:endnote w:type="continuationSeparator" w:id="0">
    <w:p w14:paraId="242804EA" w14:textId="77777777" w:rsidR="00017BCC" w:rsidRDefault="00017BC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77B2D" w14:paraId="11D8BC15" w14:textId="77777777" w:rsidTr="00F85F0D">
      <w:tc>
        <w:tcPr>
          <w:tcW w:w="5000" w:type="pct"/>
        </w:tcPr>
        <w:p w14:paraId="4F26780F" w14:textId="77777777" w:rsidR="00977B2D" w:rsidRDefault="00977B2D" w:rsidP="00F85F0D">
          <w:pPr>
            <w:rPr>
              <w:sz w:val="18"/>
            </w:rPr>
          </w:pPr>
        </w:p>
      </w:tc>
    </w:tr>
  </w:tbl>
  <w:p w14:paraId="42B422EF" w14:textId="77777777" w:rsidR="00977B2D" w:rsidRPr="005F1388" w:rsidRDefault="00977B2D"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77B2D" w14:paraId="5A4AF73F" w14:textId="77777777" w:rsidTr="00F85F0D">
      <w:tc>
        <w:tcPr>
          <w:tcW w:w="5000" w:type="pct"/>
        </w:tcPr>
        <w:p w14:paraId="6CD59F3E" w14:textId="77777777" w:rsidR="00977B2D" w:rsidRDefault="00977B2D" w:rsidP="00F85F0D">
          <w:pPr>
            <w:rPr>
              <w:sz w:val="18"/>
            </w:rPr>
          </w:pPr>
        </w:p>
      </w:tc>
    </w:tr>
  </w:tbl>
  <w:p w14:paraId="08FC111E" w14:textId="77777777" w:rsidR="00977B2D" w:rsidRPr="006D3667" w:rsidRDefault="00977B2D" w:rsidP="00F85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2B1A3" w14:textId="77777777" w:rsidR="00977B2D" w:rsidRDefault="00977B2D" w:rsidP="00F85F0D">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77B2D" w14:paraId="170ACEE4" w14:textId="77777777" w:rsidTr="00F85F0D">
      <w:tc>
        <w:tcPr>
          <w:tcW w:w="5000" w:type="pct"/>
        </w:tcPr>
        <w:p w14:paraId="5E0593FA" w14:textId="77777777" w:rsidR="00977B2D" w:rsidRDefault="00977B2D" w:rsidP="00F85F0D">
          <w:pPr>
            <w:rPr>
              <w:sz w:val="18"/>
            </w:rPr>
          </w:pPr>
        </w:p>
      </w:tc>
    </w:tr>
  </w:tbl>
  <w:p w14:paraId="14AFB7FA" w14:textId="77777777" w:rsidR="00977B2D" w:rsidRPr="00486382" w:rsidRDefault="00977B2D"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03552" w14:textId="77777777" w:rsidR="00977B2D" w:rsidRPr="00E33C1C" w:rsidRDefault="00977B2D" w:rsidP="00F85F0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977B2D" w14:paraId="6D131249" w14:textId="77777777" w:rsidTr="00F85F0D">
      <w:tc>
        <w:tcPr>
          <w:tcW w:w="365" w:type="pct"/>
          <w:tcBorders>
            <w:top w:val="nil"/>
            <w:left w:val="nil"/>
            <w:bottom w:val="nil"/>
            <w:right w:val="nil"/>
          </w:tcBorders>
        </w:tcPr>
        <w:p w14:paraId="4B4A733D" w14:textId="77777777" w:rsidR="00977B2D" w:rsidRDefault="00977B2D" w:rsidP="00F85F0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233CCF2" w14:textId="00A57503" w:rsidR="00977B2D" w:rsidRDefault="00977B2D" w:rsidP="00F85F0D">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F686B">
            <w:rPr>
              <w:i/>
              <w:noProof/>
              <w:sz w:val="18"/>
            </w:rPr>
            <w:t>Child Care Subsidy Amendment (Coronavirus Response Measures No. 6) Minister’s Rules 2021</w:t>
          </w:r>
          <w:r w:rsidRPr="00B20990">
            <w:rPr>
              <w:i/>
              <w:sz w:val="18"/>
            </w:rPr>
            <w:fldChar w:fldCharType="end"/>
          </w:r>
        </w:p>
      </w:tc>
      <w:tc>
        <w:tcPr>
          <w:tcW w:w="947" w:type="pct"/>
          <w:tcBorders>
            <w:top w:val="nil"/>
            <w:left w:val="nil"/>
            <w:bottom w:val="nil"/>
            <w:right w:val="nil"/>
          </w:tcBorders>
        </w:tcPr>
        <w:p w14:paraId="184A14F7" w14:textId="77777777" w:rsidR="00977B2D" w:rsidRDefault="00977B2D" w:rsidP="00F85F0D">
          <w:pPr>
            <w:spacing w:line="0" w:lineRule="atLeast"/>
            <w:jc w:val="right"/>
            <w:rPr>
              <w:sz w:val="18"/>
            </w:rPr>
          </w:pPr>
        </w:p>
      </w:tc>
    </w:tr>
    <w:tr w:rsidR="00977B2D" w14:paraId="22E6C92F" w14:textId="77777777" w:rsidTr="00F85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FB1611A" w14:textId="77777777" w:rsidR="00977B2D" w:rsidRDefault="00977B2D" w:rsidP="00F85F0D">
          <w:pPr>
            <w:jc w:val="right"/>
            <w:rPr>
              <w:sz w:val="18"/>
            </w:rPr>
          </w:pPr>
        </w:p>
      </w:tc>
    </w:tr>
  </w:tbl>
  <w:p w14:paraId="0AC0E665" w14:textId="77777777" w:rsidR="00977B2D" w:rsidRPr="00ED79B6" w:rsidRDefault="00977B2D" w:rsidP="00F85F0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686BE" w14:textId="77777777" w:rsidR="00977B2D" w:rsidRPr="00E33C1C" w:rsidRDefault="00977B2D" w:rsidP="00F85F0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977B2D" w14:paraId="5C7AB8E9" w14:textId="77777777" w:rsidTr="00F85F0D">
      <w:tc>
        <w:tcPr>
          <w:tcW w:w="947" w:type="pct"/>
          <w:tcBorders>
            <w:top w:val="nil"/>
            <w:left w:val="nil"/>
            <w:bottom w:val="nil"/>
            <w:right w:val="nil"/>
          </w:tcBorders>
        </w:tcPr>
        <w:p w14:paraId="6B8BE3A3" w14:textId="77777777" w:rsidR="00977B2D" w:rsidRDefault="00977B2D" w:rsidP="00F85F0D">
          <w:pPr>
            <w:spacing w:line="0" w:lineRule="atLeast"/>
            <w:rPr>
              <w:sz w:val="18"/>
            </w:rPr>
          </w:pPr>
        </w:p>
      </w:tc>
      <w:tc>
        <w:tcPr>
          <w:tcW w:w="3688" w:type="pct"/>
          <w:tcBorders>
            <w:top w:val="nil"/>
            <w:left w:val="nil"/>
            <w:bottom w:val="nil"/>
            <w:right w:val="nil"/>
          </w:tcBorders>
        </w:tcPr>
        <w:p w14:paraId="70A8E264" w14:textId="7723050D" w:rsidR="00977B2D" w:rsidRPr="00B20990" w:rsidRDefault="00977B2D" w:rsidP="00F85F0D">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E3973">
            <w:rPr>
              <w:i/>
              <w:noProof/>
              <w:sz w:val="18"/>
            </w:rPr>
            <w:t>Child Care Subsidy Amendment (Coronavirus Response Measures No. 6) Minister’s Rules 2021</w:t>
          </w:r>
          <w:r w:rsidRPr="00B20990">
            <w:rPr>
              <w:i/>
              <w:sz w:val="18"/>
            </w:rPr>
            <w:fldChar w:fldCharType="end"/>
          </w:r>
        </w:p>
      </w:tc>
      <w:tc>
        <w:tcPr>
          <w:tcW w:w="365" w:type="pct"/>
          <w:tcBorders>
            <w:top w:val="nil"/>
            <w:left w:val="nil"/>
            <w:bottom w:val="nil"/>
            <w:right w:val="nil"/>
          </w:tcBorders>
        </w:tcPr>
        <w:p w14:paraId="1A02120A" w14:textId="77777777" w:rsidR="00977B2D" w:rsidRDefault="00977B2D" w:rsidP="00F85F0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977B2D" w14:paraId="144D89FC" w14:textId="77777777" w:rsidTr="00F85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B14B415" w14:textId="77777777" w:rsidR="00977B2D" w:rsidRDefault="00977B2D" w:rsidP="00F85F0D">
          <w:pPr>
            <w:rPr>
              <w:sz w:val="18"/>
            </w:rPr>
          </w:pPr>
        </w:p>
      </w:tc>
    </w:tr>
  </w:tbl>
  <w:p w14:paraId="7DB341DD" w14:textId="77777777" w:rsidR="00977B2D" w:rsidRPr="00ED79B6" w:rsidRDefault="00977B2D" w:rsidP="00F85F0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5545" w14:textId="77777777" w:rsidR="00977B2D" w:rsidRPr="00E33C1C" w:rsidRDefault="00977B2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77B2D" w14:paraId="0CC88B6C" w14:textId="77777777" w:rsidTr="007A6863">
      <w:tc>
        <w:tcPr>
          <w:tcW w:w="709" w:type="dxa"/>
          <w:tcBorders>
            <w:top w:val="nil"/>
            <w:left w:val="nil"/>
            <w:bottom w:val="nil"/>
            <w:right w:val="nil"/>
          </w:tcBorders>
        </w:tcPr>
        <w:p w14:paraId="6008143A" w14:textId="77777777" w:rsidR="00977B2D" w:rsidRDefault="00977B2D"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14:paraId="30FCDEF2" w14:textId="53AA6BEC" w:rsidR="00977B2D" w:rsidRDefault="00977B2D"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E3973">
            <w:rPr>
              <w:i/>
              <w:noProof/>
              <w:sz w:val="18"/>
            </w:rPr>
            <w:t>Child Care Subsidy Amendment (Coronavirus Response Measures No. 6) Minister’s Rules 2021</w:t>
          </w:r>
          <w:r w:rsidRPr="00B20990">
            <w:rPr>
              <w:i/>
              <w:sz w:val="18"/>
            </w:rPr>
            <w:fldChar w:fldCharType="end"/>
          </w:r>
        </w:p>
      </w:tc>
      <w:tc>
        <w:tcPr>
          <w:tcW w:w="1383" w:type="dxa"/>
          <w:tcBorders>
            <w:top w:val="nil"/>
            <w:left w:val="nil"/>
            <w:bottom w:val="nil"/>
            <w:right w:val="nil"/>
          </w:tcBorders>
        </w:tcPr>
        <w:p w14:paraId="7001B6A3" w14:textId="77777777" w:rsidR="00977B2D" w:rsidRDefault="00977B2D" w:rsidP="00EE57E8">
          <w:pPr>
            <w:spacing w:line="0" w:lineRule="atLeast"/>
            <w:jc w:val="right"/>
            <w:rPr>
              <w:sz w:val="18"/>
            </w:rPr>
          </w:pPr>
        </w:p>
      </w:tc>
    </w:tr>
    <w:tr w:rsidR="00977B2D" w14:paraId="0A0FE2C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499599F" w14:textId="77777777" w:rsidR="00977B2D" w:rsidRDefault="00977B2D" w:rsidP="00EE57E8">
          <w:pPr>
            <w:jc w:val="right"/>
            <w:rPr>
              <w:sz w:val="18"/>
            </w:rPr>
          </w:pPr>
        </w:p>
      </w:tc>
    </w:tr>
  </w:tbl>
  <w:p w14:paraId="1E7AF695" w14:textId="77777777" w:rsidR="00977B2D" w:rsidRPr="00ED79B6" w:rsidRDefault="00977B2D"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2726E" w14:textId="77777777" w:rsidR="00977B2D" w:rsidRPr="00E33C1C" w:rsidRDefault="00977B2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77B2D" w14:paraId="699A8FD0" w14:textId="77777777" w:rsidTr="00EE57E8">
      <w:tc>
        <w:tcPr>
          <w:tcW w:w="1384" w:type="dxa"/>
          <w:tcBorders>
            <w:top w:val="nil"/>
            <w:left w:val="nil"/>
            <w:bottom w:val="nil"/>
            <w:right w:val="nil"/>
          </w:tcBorders>
        </w:tcPr>
        <w:p w14:paraId="57ACD8AD" w14:textId="77777777" w:rsidR="00977B2D" w:rsidRDefault="00977B2D" w:rsidP="00EE57E8">
          <w:pPr>
            <w:spacing w:line="0" w:lineRule="atLeast"/>
            <w:rPr>
              <w:sz w:val="18"/>
            </w:rPr>
          </w:pPr>
        </w:p>
      </w:tc>
      <w:tc>
        <w:tcPr>
          <w:tcW w:w="6379" w:type="dxa"/>
          <w:tcBorders>
            <w:top w:val="nil"/>
            <w:left w:val="nil"/>
            <w:bottom w:val="nil"/>
            <w:right w:val="nil"/>
          </w:tcBorders>
        </w:tcPr>
        <w:p w14:paraId="1D014249" w14:textId="5919F205" w:rsidR="00977B2D" w:rsidRDefault="00977B2D"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9E3973">
            <w:rPr>
              <w:i/>
              <w:noProof/>
              <w:sz w:val="18"/>
            </w:rPr>
            <w:t>Child Care Subsidy Amendment (Coronavirus Response Measures No. 6) Minister’s Rules 2021</w:t>
          </w:r>
          <w:r w:rsidRPr="00B20990">
            <w:rPr>
              <w:i/>
              <w:sz w:val="18"/>
            </w:rPr>
            <w:fldChar w:fldCharType="end"/>
          </w:r>
        </w:p>
      </w:tc>
      <w:tc>
        <w:tcPr>
          <w:tcW w:w="709" w:type="dxa"/>
          <w:tcBorders>
            <w:top w:val="nil"/>
            <w:left w:val="nil"/>
            <w:bottom w:val="nil"/>
            <w:right w:val="nil"/>
          </w:tcBorders>
        </w:tcPr>
        <w:p w14:paraId="5458B167" w14:textId="77777777" w:rsidR="00977B2D" w:rsidRDefault="00977B2D"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977B2D" w14:paraId="3AB9AE19"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8BFEC5" w14:textId="77777777" w:rsidR="00977B2D" w:rsidRDefault="00977B2D" w:rsidP="00EE57E8">
          <w:pPr>
            <w:rPr>
              <w:sz w:val="18"/>
            </w:rPr>
          </w:pPr>
        </w:p>
      </w:tc>
    </w:tr>
  </w:tbl>
  <w:p w14:paraId="0058C975" w14:textId="77777777" w:rsidR="00977B2D" w:rsidRPr="00ED79B6" w:rsidRDefault="00977B2D"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30E28" w14:textId="77777777" w:rsidR="00977B2D" w:rsidRPr="00E33C1C" w:rsidRDefault="00977B2D"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77B2D" w14:paraId="4D8C58F3" w14:textId="77777777" w:rsidTr="007A6863">
      <w:tc>
        <w:tcPr>
          <w:tcW w:w="1384" w:type="dxa"/>
          <w:tcBorders>
            <w:top w:val="nil"/>
            <w:left w:val="nil"/>
            <w:bottom w:val="nil"/>
            <w:right w:val="nil"/>
          </w:tcBorders>
        </w:tcPr>
        <w:p w14:paraId="6552D5CB" w14:textId="77777777" w:rsidR="00977B2D" w:rsidRDefault="00977B2D" w:rsidP="00EE57E8">
          <w:pPr>
            <w:spacing w:line="0" w:lineRule="atLeast"/>
            <w:rPr>
              <w:sz w:val="18"/>
            </w:rPr>
          </w:pPr>
        </w:p>
      </w:tc>
      <w:tc>
        <w:tcPr>
          <w:tcW w:w="6379" w:type="dxa"/>
          <w:tcBorders>
            <w:top w:val="nil"/>
            <w:left w:val="nil"/>
            <w:bottom w:val="nil"/>
            <w:right w:val="nil"/>
          </w:tcBorders>
        </w:tcPr>
        <w:p w14:paraId="35E0AE9A" w14:textId="0214BA81" w:rsidR="00977B2D" w:rsidRDefault="00977B2D"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F686B">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7972C54" w14:textId="77777777" w:rsidR="00977B2D" w:rsidRDefault="00977B2D"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977B2D" w14:paraId="72BCADA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C3D323A" w14:textId="0A4B129F" w:rsidR="00977B2D" w:rsidRDefault="00977B2D"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F686B">
            <w:rPr>
              <w:i/>
              <w:noProof/>
              <w:sz w:val="18"/>
            </w:rPr>
            <w:t>O:\DESE Legislation\LIs\2021\Childcare instruments\CCS (Coronavirus Measures No. 6) Rules 2021\CCS Amendment (Coronavirus Response Measures No. 6) Minister's Rules 2021 - Draft 18 (clean).docx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9E3973">
            <w:rPr>
              <w:i/>
              <w:noProof/>
              <w:sz w:val="18"/>
            </w:rPr>
            <w:t>2/9/2021 4:29 PM</w:t>
          </w:r>
          <w:r w:rsidRPr="00ED79B6">
            <w:rPr>
              <w:i/>
              <w:sz w:val="18"/>
            </w:rPr>
            <w:fldChar w:fldCharType="end"/>
          </w:r>
        </w:p>
      </w:tc>
    </w:tr>
  </w:tbl>
  <w:p w14:paraId="4B5E4CDC" w14:textId="77777777" w:rsidR="00977B2D" w:rsidRPr="00ED79B6" w:rsidRDefault="00977B2D"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4118A" w14:textId="77777777" w:rsidR="00017BCC" w:rsidRDefault="00017BCC" w:rsidP="0048364F">
      <w:pPr>
        <w:spacing w:line="240" w:lineRule="auto"/>
      </w:pPr>
      <w:r>
        <w:separator/>
      </w:r>
    </w:p>
  </w:footnote>
  <w:footnote w:type="continuationSeparator" w:id="0">
    <w:p w14:paraId="64A9E675" w14:textId="77777777" w:rsidR="00017BCC" w:rsidRDefault="00017BC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AA848" w14:textId="77777777" w:rsidR="00977B2D" w:rsidRPr="005F1388" w:rsidRDefault="00977B2D"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3B64F" w14:textId="77777777" w:rsidR="00977B2D" w:rsidRPr="005F1388" w:rsidRDefault="00977B2D"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3D4B" w14:textId="77777777" w:rsidR="00977B2D" w:rsidRPr="005F1388" w:rsidRDefault="00977B2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2F8C1" w14:textId="77777777" w:rsidR="00977B2D" w:rsidRPr="00ED79B6" w:rsidRDefault="00977B2D" w:rsidP="00F85F0D">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B1D88" w14:textId="77777777" w:rsidR="00977B2D" w:rsidRPr="00ED79B6" w:rsidRDefault="00977B2D" w:rsidP="00F85F0D">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D5F0E" w14:textId="77777777" w:rsidR="00977B2D" w:rsidRPr="00ED79B6" w:rsidRDefault="00977B2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05860" w14:textId="77777777" w:rsidR="00977B2D" w:rsidRPr="00A961C4" w:rsidRDefault="00977B2D" w:rsidP="0048364F">
    <w:pPr>
      <w:rPr>
        <w:b/>
        <w:sz w:val="20"/>
      </w:rPr>
    </w:pPr>
  </w:p>
  <w:p w14:paraId="3D9B5143" w14:textId="77777777" w:rsidR="00977B2D" w:rsidRPr="00A961C4" w:rsidRDefault="00977B2D" w:rsidP="0048364F">
    <w:pPr>
      <w:rPr>
        <w:b/>
        <w:sz w:val="20"/>
      </w:rPr>
    </w:pPr>
  </w:p>
  <w:p w14:paraId="0A8950E2" w14:textId="77777777" w:rsidR="00977B2D" w:rsidRPr="00A961C4" w:rsidRDefault="00977B2D"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C986E" w14:textId="77777777" w:rsidR="00977B2D" w:rsidRPr="00A961C4" w:rsidRDefault="00977B2D" w:rsidP="0048364F">
    <w:pPr>
      <w:jc w:val="right"/>
      <w:rPr>
        <w:sz w:val="20"/>
      </w:rPr>
    </w:pPr>
  </w:p>
  <w:p w14:paraId="560080B0" w14:textId="77777777" w:rsidR="00977B2D" w:rsidRPr="00A961C4" w:rsidRDefault="00977B2D" w:rsidP="0048364F">
    <w:pPr>
      <w:jc w:val="right"/>
      <w:rPr>
        <w:b/>
        <w:sz w:val="20"/>
      </w:rPr>
    </w:pPr>
  </w:p>
  <w:p w14:paraId="6C55B9C6" w14:textId="77777777" w:rsidR="00977B2D" w:rsidRPr="00A961C4" w:rsidRDefault="00977B2D"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FE0E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C471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26F7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EC05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22F3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305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C0EF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0C1A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02CE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1AD6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3F4C28"/>
    <w:multiLevelType w:val="hybridMultilevel"/>
    <w:tmpl w:val="A1002A1E"/>
    <w:lvl w:ilvl="0" w:tplc="D540B3C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732712"/>
    <w:multiLevelType w:val="hybridMultilevel"/>
    <w:tmpl w:val="1E14592C"/>
    <w:lvl w:ilvl="0" w:tplc="D540B3C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3230C6"/>
    <w:multiLevelType w:val="hybridMultilevel"/>
    <w:tmpl w:val="01BAAA6C"/>
    <w:lvl w:ilvl="0" w:tplc="52C4888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1B17104"/>
    <w:multiLevelType w:val="hybridMultilevel"/>
    <w:tmpl w:val="15D861AE"/>
    <w:lvl w:ilvl="0" w:tplc="CD98E968">
      <w:start w:val="1"/>
      <w:numFmt w:val="lowerLetter"/>
      <w:lvlText w:val="(%1)"/>
      <w:lvlJc w:val="left"/>
      <w:pPr>
        <w:ind w:left="1520" w:hanging="360"/>
      </w:pPr>
      <w:rPr>
        <w:rFonts w:hint="default"/>
      </w:rPr>
    </w:lvl>
    <w:lvl w:ilvl="1" w:tplc="9F32B0B8">
      <w:start w:val="1"/>
      <w:numFmt w:val="lowerRoman"/>
      <w:lvlText w:val="(%2)"/>
      <w:lvlJc w:val="right"/>
      <w:pPr>
        <w:ind w:left="2240" w:hanging="360"/>
      </w:pPr>
      <w:rPr>
        <w:rFonts w:hint="default"/>
      </w:r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116100"/>
    <w:multiLevelType w:val="hybridMultilevel"/>
    <w:tmpl w:val="F80ED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5B7D85"/>
    <w:multiLevelType w:val="hybridMultilevel"/>
    <w:tmpl w:val="F79A931C"/>
    <w:lvl w:ilvl="0" w:tplc="6EE6EBC2">
      <w:start w:val="1"/>
      <w:numFmt w:val="upperRoman"/>
      <w:lvlText w:val="(%1)"/>
      <w:lvlJc w:val="left"/>
      <w:pPr>
        <w:ind w:left="2884" w:hanging="720"/>
      </w:pPr>
      <w:rPr>
        <w:rFonts w:hint="default"/>
      </w:rPr>
    </w:lvl>
    <w:lvl w:ilvl="1" w:tplc="0C090019" w:tentative="1">
      <w:start w:val="1"/>
      <w:numFmt w:val="lowerLetter"/>
      <w:lvlText w:val="%2."/>
      <w:lvlJc w:val="left"/>
      <w:pPr>
        <w:ind w:left="3244" w:hanging="360"/>
      </w:pPr>
    </w:lvl>
    <w:lvl w:ilvl="2" w:tplc="0C09001B" w:tentative="1">
      <w:start w:val="1"/>
      <w:numFmt w:val="lowerRoman"/>
      <w:lvlText w:val="%3."/>
      <w:lvlJc w:val="right"/>
      <w:pPr>
        <w:ind w:left="3964" w:hanging="180"/>
      </w:pPr>
    </w:lvl>
    <w:lvl w:ilvl="3" w:tplc="0C09000F" w:tentative="1">
      <w:start w:val="1"/>
      <w:numFmt w:val="decimal"/>
      <w:lvlText w:val="%4."/>
      <w:lvlJc w:val="left"/>
      <w:pPr>
        <w:ind w:left="4684" w:hanging="360"/>
      </w:pPr>
    </w:lvl>
    <w:lvl w:ilvl="4" w:tplc="0C090019" w:tentative="1">
      <w:start w:val="1"/>
      <w:numFmt w:val="lowerLetter"/>
      <w:lvlText w:val="%5."/>
      <w:lvlJc w:val="left"/>
      <w:pPr>
        <w:ind w:left="5404" w:hanging="360"/>
      </w:pPr>
    </w:lvl>
    <w:lvl w:ilvl="5" w:tplc="0C09001B" w:tentative="1">
      <w:start w:val="1"/>
      <w:numFmt w:val="lowerRoman"/>
      <w:lvlText w:val="%6."/>
      <w:lvlJc w:val="right"/>
      <w:pPr>
        <w:ind w:left="6124" w:hanging="180"/>
      </w:pPr>
    </w:lvl>
    <w:lvl w:ilvl="6" w:tplc="0C09000F" w:tentative="1">
      <w:start w:val="1"/>
      <w:numFmt w:val="decimal"/>
      <w:lvlText w:val="%7."/>
      <w:lvlJc w:val="left"/>
      <w:pPr>
        <w:ind w:left="6844" w:hanging="360"/>
      </w:pPr>
    </w:lvl>
    <w:lvl w:ilvl="7" w:tplc="0C090019" w:tentative="1">
      <w:start w:val="1"/>
      <w:numFmt w:val="lowerLetter"/>
      <w:lvlText w:val="%8."/>
      <w:lvlJc w:val="left"/>
      <w:pPr>
        <w:ind w:left="7564" w:hanging="360"/>
      </w:pPr>
    </w:lvl>
    <w:lvl w:ilvl="8" w:tplc="0C09001B" w:tentative="1">
      <w:start w:val="1"/>
      <w:numFmt w:val="lowerRoman"/>
      <w:lvlText w:val="%9."/>
      <w:lvlJc w:val="right"/>
      <w:pPr>
        <w:ind w:left="8284"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8E267D"/>
    <w:multiLevelType w:val="hybridMultilevel"/>
    <w:tmpl w:val="D952D146"/>
    <w:lvl w:ilvl="0" w:tplc="A7ACF9A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E103332"/>
    <w:multiLevelType w:val="hybridMultilevel"/>
    <w:tmpl w:val="7972A1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40FB13B5"/>
    <w:multiLevelType w:val="hybridMultilevel"/>
    <w:tmpl w:val="07CA2D3E"/>
    <w:lvl w:ilvl="0" w:tplc="CF3CD6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E06DBD"/>
    <w:multiLevelType w:val="hybridMultilevel"/>
    <w:tmpl w:val="15D861AE"/>
    <w:lvl w:ilvl="0" w:tplc="CD98E968">
      <w:start w:val="1"/>
      <w:numFmt w:val="lowerLetter"/>
      <w:lvlText w:val="(%1)"/>
      <w:lvlJc w:val="left"/>
      <w:pPr>
        <w:ind w:left="1520" w:hanging="360"/>
      </w:pPr>
      <w:rPr>
        <w:rFonts w:hint="default"/>
      </w:rPr>
    </w:lvl>
    <w:lvl w:ilvl="1" w:tplc="9F32B0B8">
      <w:start w:val="1"/>
      <w:numFmt w:val="lowerRoman"/>
      <w:lvlText w:val="(%2)"/>
      <w:lvlJc w:val="right"/>
      <w:pPr>
        <w:ind w:left="2240" w:hanging="360"/>
      </w:pPr>
      <w:rPr>
        <w:rFonts w:hint="default"/>
      </w:r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23" w15:restartNumberingAfterBreak="0">
    <w:nsid w:val="51B31919"/>
    <w:multiLevelType w:val="hybridMultilevel"/>
    <w:tmpl w:val="EC341002"/>
    <w:lvl w:ilvl="0" w:tplc="A926A80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7C41653"/>
    <w:multiLevelType w:val="hybridMultilevel"/>
    <w:tmpl w:val="8A9E6AF6"/>
    <w:lvl w:ilvl="0" w:tplc="332C76C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556BFA"/>
    <w:multiLevelType w:val="hybridMultilevel"/>
    <w:tmpl w:val="15D861AE"/>
    <w:lvl w:ilvl="0" w:tplc="CD98E968">
      <w:start w:val="1"/>
      <w:numFmt w:val="lowerLetter"/>
      <w:lvlText w:val="(%1)"/>
      <w:lvlJc w:val="left"/>
      <w:pPr>
        <w:ind w:left="1520" w:hanging="360"/>
      </w:pPr>
      <w:rPr>
        <w:rFonts w:hint="default"/>
      </w:rPr>
    </w:lvl>
    <w:lvl w:ilvl="1" w:tplc="9F32B0B8">
      <w:start w:val="1"/>
      <w:numFmt w:val="lowerRoman"/>
      <w:lvlText w:val="(%2)"/>
      <w:lvlJc w:val="right"/>
      <w:pPr>
        <w:ind w:left="2240" w:hanging="360"/>
      </w:pPr>
      <w:rPr>
        <w:rFonts w:hint="default"/>
      </w:r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26" w15:restartNumberingAfterBreak="0">
    <w:nsid w:val="70A24D52"/>
    <w:multiLevelType w:val="hybridMultilevel"/>
    <w:tmpl w:val="15D861AE"/>
    <w:lvl w:ilvl="0" w:tplc="CD98E968">
      <w:start w:val="1"/>
      <w:numFmt w:val="lowerLetter"/>
      <w:lvlText w:val="(%1)"/>
      <w:lvlJc w:val="left"/>
      <w:pPr>
        <w:ind w:left="1520" w:hanging="360"/>
      </w:pPr>
      <w:rPr>
        <w:rFonts w:hint="default"/>
      </w:rPr>
    </w:lvl>
    <w:lvl w:ilvl="1" w:tplc="9F32B0B8">
      <w:start w:val="1"/>
      <w:numFmt w:val="lowerRoman"/>
      <w:lvlText w:val="(%2)"/>
      <w:lvlJc w:val="right"/>
      <w:pPr>
        <w:ind w:left="2240" w:hanging="360"/>
      </w:pPr>
      <w:rPr>
        <w:rFonts w:hint="default"/>
      </w:r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27" w15:restartNumberingAfterBreak="0">
    <w:nsid w:val="730566CC"/>
    <w:multiLevelType w:val="hybridMultilevel"/>
    <w:tmpl w:val="15D861AE"/>
    <w:lvl w:ilvl="0" w:tplc="CD98E968">
      <w:start w:val="1"/>
      <w:numFmt w:val="lowerLetter"/>
      <w:lvlText w:val="(%1)"/>
      <w:lvlJc w:val="left"/>
      <w:pPr>
        <w:ind w:left="1520" w:hanging="360"/>
      </w:pPr>
      <w:rPr>
        <w:rFonts w:hint="default"/>
      </w:rPr>
    </w:lvl>
    <w:lvl w:ilvl="1" w:tplc="9F32B0B8">
      <w:start w:val="1"/>
      <w:numFmt w:val="lowerRoman"/>
      <w:lvlText w:val="(%2)"/>
      <w:lvlJc w:val="right"/>
      <w:pPr>
        <w:ind w:left="2240" w:hanging="360"/>
      </w:pPr>
      <w:rPr>
        <w:rFonts w:hint="default"/>
      </w:rPr>
    </w:lvl>
    <w:lvl w:ilvl="2" w:tplc="0C09001B">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28" w15:restartNumberingAfterBreak="0">
    <w:nsid w:val="749F35C6"/>
    <w:multiLevelType w:val="hybridMultilevel"/>
    <w:tmpl w:val="59D46EFC"/>
    <w:lvl w:ilvl="0" w:tplc="D540B3C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AB15E5"/>
    <w:multiLevelType w:val="hybridMultilevel"/>
    <w:tmpl w:val="15D861AE"/>
    <w:lvl w:ilvl="0" w:tplc="CD98E968">
      <w:start w:val="1"/>
      <w:numFmt w:val="lowerLetter"/>
      <w:lvlText w:val="(%1)"/>
      <w:lvlJc w:val="left"/>
      <w:pPr>
        <w:ind w:left="1520" w:hanging="360"/>
      </w:pPr>
      <w:rPr>
        <w:rFonts w:hint="default"/>
      </w:rPr>
    </w:lvl>
    <w:lvl w:ilvl="1" w:tplc="9F32B0B8">
      <w:start w:val="1"/>
      <w:numFmt w:val="lowerRoman"/>
      <w:lvlText w:val="(%2)"/>
      <w:lvlJc w:val="right"/>
      <w:pPr>
        <w:ind w:left="2240" w:hanging="360"/>
      </w:pPr>
      <w:rPr>
        <w:rFonts w:hint="default"/>
      </w:r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30" w15:restartNumberingAfterBreak="0">
    <w:nsid w:val="7EEC71FC"/>
    <w:multiLevelType w:val="hybridMultilevel"/>
    <w:tmpl w:val="15D861AE"/>
    <w:lvl w:ilvl="0" w:tplc="CD98E968">
      <w:start w:val="1"/>
      <w:numFmt w:val="lowerLetter"/>
      <w:lvlText w:val="(%1)"/>
      <w:lvlJc w:val="left"/>
      <w:pPr>
        <w:ind w:left="1520" w:hanging="360"/>
      </w:pPr>
      <w:rPr>
        <w:rFonts w:hint="default"/>
      </w:rPr>
    </w:lvl>
    <w:lvl w:ilvl="1" w:tplc="9F32B0B8">
      <w:start w:val="1"/>
      <w:numFmt w:val="lowerRoman"/>
      <w:lvlText w:val="(%2)"/>
      <w:lvlJc w:val="right"/>
      <w:pPr>
        <w:ind w:left="2240" w:hanging="360"/>
      </w:pPr>
      <w:rPr>
        <w:rFonts w:hint="default"/>
      </w:r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31" w15:restartNumberingAfterBreak="0">
    <w:nsid w:val="7FAE1B7E"/>
    <w:multiLevelType w:val="hybridMultilevel"/>
    <w:tmpl w:val="5CC8FB50"/>
    <w:lvl w:ilvl="0" w:tplc="9DD0CC00">
      <w:start w:val="1"/>
      <w:numFmt w:val="decimal"/>
      <w:lvlText w:val="(%1)"/>
      <w:lvlJc w:val="left"/>
      <w:pPr>
        <w:ind w:left="720" w:hanging="360"/>
      </w:pPr>
    </w:lvl>
    <w:lvl w:ilvl="1" w:tplc="56AECAD0">
      <w:start w:val="1"/>
      <w:numFmt w:val="lowerLetter"/>
      <w:lvlText w:val="(%2)"/>
      <w:lvlJc w:val="left"/>
      <w:pPr>
        <w:ind w:left="1440" w:hanging="360"/>
      </w:pPr>
    </w:lvl>
    <w:lvl w:ilvl="2" w:tplc="9F32B0B8">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5"/>
  </w:num>
  <w:num w:numId="14">
    <w:abstractNumId w:val="14"/>
  </w:num>
  <w:num w:numId="15">
    <w:abstractNumId w:val="27"/>
  </w:num>
  <w:num w:numId="16">
    <w:abstractNumId w:val="19"/>
  </w:num>
  <w:num w:numId="17">
    <w:abstractNumId w:val="29"/>
  </w:num>
  <w:num w:numId="18">
    <w:abstractNumId w:val="26"/>
  </w:num>
  <w:num w:numId="19">
    <w:abstractNumId w:val="20"/>
  </w:num>
  <w:num w:numId="20">
    <w:abstractNumId w:val="22"/>
  </w:num>
  <w:num w:numId="21">
    <w:abstractNumId w:val="30"/>
  </w:num>
  <w:num w:numId="22">
    <w:abstractNumId w:val="23"/>
  </w:num>
  <w:num w:numId="23">
    <w:abstractNumId w:val="16"/>
  </w:num>
  <w:num w:numId="24">
    <w:abstractNumId w:val="24"/>
  </w:num>
  <w:num w:numId="25">
    <w:abstractNumId w:val="13"/>
  </w:num>
  <w:num w:numId="26">
    <w:abstractNumId w:val="17"/>
  </w:num>
  <w:num w:numId="27">
    <w:abstractNumId w:val="25"/>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2"/>
  </w:num>
  <w:num w:numId="31">
    <w:abstractNumId w:val="1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16"/>
    <w:rsid w:val="00000263"/>
    <w:rsid w:val="00002BCC"/>
    <w:rsid w:val="00002C6C"/>
    <w:rsid w:val="000061E3"/>
    <w:rsid w:val="0000632E"/>
    <w:rsid w:val="000113BC"/>
    <w:rsid w:val="00011E2B"/>
    <w:rsid w:val="00013083"/>
    <w:rsid w:val="000136AF"/>
    <w:rsid w:val="00014AB9"/>
    <w:rsid w:val="00017BCC"/>
    <w:rsid w:val="000254C1"/>
    <w:rsid w:val="00026DE3"/>
    <w:rsid w:val="00032C32"/>
    <w:rsid w:val="000355F3"/>
    <w:rsid w:val="0004044E"/>
    <w:rsid w:val="00042681"/>
    <w:rsid w:val="0004748E"/>
    <w:rsid w:val="0005120E"/>
    <w:rsid w:val="00052A7B"/>
    <w:rsid w:val="00054577"/>
    <w:rsid w:val="000566AF"/>
    <w:rsid w:val="000614BF"/>
    <w:rsid w:val="00062308"/>
    <w:rsid w:val="00064824"/>
    <w:rsid w:val="00065986"/>
    <w:rsid w:val="00066CB5"/>
    <w:rsid w:val="0007169C"/>
    <w:rsid w:val="00074C55"/>
    <w:rsid w:val="00077593"/>
    <w:rsid w:val="00083F48"/>
    <w:rsid w:val="00091F4E"/>
    <w:rsid w:val="000940BC"/>
    <w:rsid w:val="0009793F"/>
    <w:rsid w:val="000A0CC4"/>
    <w:rsid w:val="000A3A85"/>
    <w:rsid w:val="000A4556"/>
    <w:rsid w:val="000A479A"/>
    <w:rsid w:val="000A6570"/>
    <w:rsid w:val="000A7DF9"/>
    <w:rsid w:val="000B03DC"/>
    <w:rsid w:val="000B1797"/>
    <w:rsid w:val="000B309E"/>
    <w:rsid w:val="000B77E5"/>
    <w:rsid w:val="000C0F05"/>
    <w:rsid w:val="000C2443"/>
    <w:rsid w:val="000C3B55"/>
    <w:rsid w:val="000D05EF"/>
    <w:rsid w:val="000D080C"/>
    <w:rsid w:val="000D2F3C"/>
    <w:rsid w:val="000D3FB9"/>
    <w:rsid w:val="000D526E"/>
    <w:rsid w:val="000D5485"/>
    <w:rsid w:val="000E598E"/>
    <w:rsid w:val="000E5A3D"/>
    <w:rsid w:val="000E769B"/>
    <w:rsid w:val="000E7F38"/>
    <w:rsid w:val="000F0ADA"/>
    <w:rsid w:val="000F1A4F"/>
    <w:rsid w:val="000F21C1"/>
    <w:rsid w:val="000F26B1"/>
    <w:rsid w:val="000F5721"/>
    <w:rsid w:val="0010745C"/>
    <w:rsid w:val="00111D78"/>
    <w:rsid w:val="001122FF"/>
    <w:rsid w:val="00116F6C"/>
    <w:rsid w:val="00117C3D"/>
    <w:rsid w:val="00120912"/>
    <w:rsid w:val="001217F0"/>
    <w:rsid w:val="001222BF"/>
    <w:rsid w:val="001231EB"/>
    <w:rsid w:val="0012340E"/>
    <w:rsid w:val="001238CE"/>
    <w:rsid w:val="00141329"/>
    <w:rsid w:val="00144F75"/>
    <w:rsid w:val="001454E6"/>
    <w:rsid w:val="0014550B"/>
    <w:rsid w:val="001509C6"/>
    <w:rsid w:val="00150BC1"/>
    <w:rsid w:val="00150F55"/>
    <w:rsid w:val="00152CCC"/>
    <w:rsid w:val="00155C2C"/>
    <w:rsid w:val="00160BD7"/>
    <w:rsid w:val="00163776"/>
    <w:rsid w:val="001640D0"/>
    <w:rsid w:val="001643C9"/>
    <w:rsid w:val="00165163"/>
    <w:rsid w:val="00165568"/>
    <w:rsid w:val="00166082"/>
    <w:rsid w:val="00166C2F"/>
    <w:rsid w:val="001716C9"/>
    <w:rsid w:val="00174687"/>
    <w:rsid w:val="00174A35"/>
    <w:rsid w:val="00175C18"/>
    <w:rsid w:val="00184261"/>
    <w:rsid w:val="001932C9"/>
    <w:rsid w:val="00193461"/>
    <w:rsid w:val="001939E1"/>
    <w:rsid w:val="0019452E"/>
    <w:rsid w:val="0019485D"/>
    <w:rsid w:val="00195382"/>
    <w:rsid w:val="001A18D3"/>
    <w:rsid w:val="001A290F"/>
    <w:rsid w:val="001A3B9F"/>
    <w:rsid w:val="001A5520"/>
    <w:rsid w:val="001A65C0"/>
    <w:rsid w:val="001B0410"/>
    <w:rsid w:val="001B1D2D"/>
    <w:rsid w:val="001B43E9"/>
    <w:rsid w:val="001B78A9"/>
    <w:rsid w:val="001B7A5D"/>
    <w:rsid w:val="001C583D"/>
    <w:rsid w:val="001C69C4"/>
    <w:rsid w:val="001D483B"/>
    <w:rsid w:val="001D4F9B"/>
    <w:rsid w:val="001E0A8D"/>
    <w:rsid w:val="001E3590"/>
    <w:rsid w:val="001E7407"/>
    <w:rsid w:val="001F1A46"/>
    <w:rsid w:val="001F2D81"/>
    <w:rsid w:val="001F340F"/>
    <w:rsid w:val="001F3E09"/>
    <w:rsid w:val="001F41C3"/>
    <w:rsid w:val="00201D27"/>
    <w:rsid w:val="0020438B"/>
    <w:rsid w:val="0021153A"/>
    <w:rsid w:val="00213007"/>
    <w:rsid w:val="002134C9"/>
    <w:rsid w:val="002167F0"/>
    <w:rsid w:val="002171AE"/>
    <w:rsid w:val="00217B40"/>
    <w:rsid w:val="00223068"/>
    <w:rsid w:val="002245A6"/>
    <w:rsid w:val="002302EA"/>
    <w:rsid w:val="00230E38"/>
    <w:rsid w:val="00232992"/>
    <w:rsid w:val="0023392E"/>
    <w:rsid w:val="0023606E"/>
    <w:rsid w:val="00237614"/>
    <w:rsid w:val="00240749"/>
    <w:rsid w:val="00244E18"/>
    <w:rsid w:val="00246813"/>
    <w:rsid w:val="002468D7"/>
    <w:rsid w:val="00247258"/>
    <w:rsid w:val="00247E97"/>
    <w:rsid w:val="002519B1"/>
    <w:rsid w:val="002540A9"/>
    <w:rsid w:val="0025658D"/>
    <w:rsid w:val="00256C81"/>
    <w:rsid w:val="002573D8"/>
    <w:rsid w:val="0027036C"/>
    <w:rsid w:val="0027414C"/>
    <w:rsid w:val="00284263"/>
    <w:rsid w:val="00285CDD"/>
    <w:rsid w:val="0028699B"/>
    <w:rsid w:val="00291167"/>
    <w:rsid w:val="002941CB"/>
    <w:rsid w:val="002945F6"/>
    <w:rsid w:val="0029489E"/>
    <w:rsid w:val="00296C09"/>
    <w:rsid w:val="00297ECB"/>
    <w:rsid w:val="002A35E9"/>
    <w:rsid w:val="002B25CA"/>
    <w:rsid w:val="002B27F8"/>
    <w:rsid w:val="002B2E86"/>
    <w:rsid w:val="002B6279"/>
    <w:rsid w:val="002C152A"/>
    <w:rsid w:val="002C4E03"/>
    <w:rsid w:val="002C6C4A"/>
    <w:rsid w:val="002D043A"/>
    <w:rsid w:val="002D5078"/>
    <w:rsid w:val="002D56F1"/>
    <w:rsid w:val="002D792E"/>
    <w:rsid w:val="002E09C1"/>
    <w:rsid w:val="002E0C73"/>
    <w:rsid w:val="002F01F1"/>
    <w:rsid w:val="002F139C"/>
    <w:rsid w:val="002F4BE4"/>
    <w:rsid w:val="003048FC"/>
    <w:rsid w:val="00304B0B"/>
    <w:rsid w:val="00307B89"/>
    <w:rsid w:val="0031713F"/>
    <w:rsid w:val="00317DD3"/>
    <w:rsid w:val="00320902"/>
    <w:rsid w:val="003222D1"/>
    <w:rsid w:val="00325EB8"/>
    <w:rsid w:val="0032750F"/>
    <w:rsid w:val="00331E39"/>
    <w:rsid w:val="00332B4D"/>
    <w:rsid w:val="003401FE"/>
    <w:rsid w:val="003415D3"/>
    <w:rsid w:val="003442F6"/>
    <w:rsid w:val="0034621D"/>
    <w:rsid w:val="00346335"/>
    <w:rsid w:val="00352B0F"/>
    <w:rsid w:val="003561B0"/>
    <w:rsid w:val="003629AB"/>
    <w:rsid w:val="0036612B"/>
    <w:rsid w:val="0037527E"/>
    <w:rsid w:val="00375829"/>
    <w:rsid w:val="00377E2B"/>
    <w:rsid w:val="00381283"/>
    <w:rsid w:val="00383EF6"/>
    <w:rsid w:val="00384270"/>
    <w:rsid w:val="00391C46"/>
    <w:rsid w:val="003935CC"/>
    <w:rsid w:val="00394F85"/>
    <w:rsid w:val="00396FFD"/>
    <w:rsid w:val="00397893"/>
    <w:rsid w:val="0039793D"/>
    <w:rsid w:val="003A15AC"/>
    <w:rsid w:val="003A2D4A"/>
    <w:rsid w:val="003B0627"/>
    <w:rsid w:val="003B278B"/>
    <w:rsid w:val="003B5F7D"/>
    <w:rsid w:val="003B7F9F"/>
    <w:rsid w:val="003C5F2B"/>
    <w:rsid w:val="003C6235"/>
    <w:rsid w:val="003C7D35"/>
    <w:rsid w:val="003D0A36"/>
    <w:rsid w:val="003D0BFE"/>
    <w:rsid w:val="003D18F5"/>
    <w:rsid w:val="003D5700"/>
    <w:rsid w:val="003E137F"/>
    <w:rsid w:val="003E41C7"/>
    <w:rsid w:val="003E540C"/>
    <w:rsid w:val="003F1267"/>
    <w:rsid w:val="003F202E"/>
    <w:rsid w:val="003F2CB1"/>
    <w:rsid w:val="003F6F52"/>
    <w:rsid w:val="00400968"/>
    <w:rsid w:val="0040181E"/>
    <w:rsid w:val="004022CA"/>
    <w:rsid w:val="004107B4"/>
    <w:rsid w:val="004116CD"/>
    <w:rsid w:val="004148AD"/>
    <w:rsid w:val="00414ADE"/>
    <w:rsid w:val="00415652"/>
    <w:rsid w:val="00417BC1"/>
    <w:rsid w:val="004207A8"/>
    <w:rsid w:val="00422851"/>
    <w:rsid w:val="00424CA9"/>
    <w:rsid w:val="0042535E"/>
    <w:rsid w:val="0042545A"/>
    <w:rsid w:val="004257BB"/>
    <w:rsid w:val="00432EE3"/>
    <w:rsid w:val="0044291A"/>
    <w:rsid w:val="00447D7B"/>
    <w:rsid w:val="004600B0"/>
    <w:rsid w:val="00460499"/>
    <w:rsid w:val="004609BF"/>
    <w:rsid w:val="00460FBA"/>
    <w:rsid w:val="0046633D"/>
    <w:rsid w:val="00472815"/>
    <w:rsid w:val="004734AE"/>
    <w:rsid w:val="00474835"/>
    <w:rsid w:val="004819C7"/>
    <w:rsid w:val="00481FBA"/>
    <w:rsid w:val="00482725"/>
    <w:rsid w:val="0048364F"/>
    <w:rsid w:val="00485874"/>
    <w:rsid w:val="004858C7"/>
    <w:rsid w:val="00485C9A"/>
    <w:rsid w:val="004877FC"/>
    <w:rsid w:val="00490F2E"/>
    <w:rsid w:val="00496F97"/>
    <w:rsid w:val="00497363"/>
    <w:rsid w:val="004A53EA"/>
    <w:rsid w:val="004B301D"/>
    <w:rsid w:val="004B35E7"/>
    <w:rsid w:val="004C0F48"/>
    <w:rsid w:val="004C4FAE"/>
    <w:rsid w:val="004D1729"/>
    <w:rsid w:val="004D1DEC"/>
    <w:rsid w:val="004D2CB8"/>
    <w:rsid w:val="004D4957"/>
    <w:rsid w:val="004E071B"/>
    <w:rsid w:val="004F1FAC"/>
    <w:rsid w:val="004F4EF9"/>
    <w:rsid w:val="004F676E"/>
    <w:rsid w:val="004F71C0"/>
    <w:rsid w:val="005008E1"/>
    <w:rsid w:val="0051447D"/>
    <w:rsid w:val="00516B8D"/>
    <w:rsid w:val="00525CBB"/>
    <w:rsid w:val="00527355"/>
    <w:rsid w:val="0052756C"/>
    <w:rsid w:val="00530230"/>
    <w:rsid w:val="00530CC9"/>
    <w:rsid w:val="00531781"/>
    <w:rsid w:val="00531B46"/>
    <w:rsid w:val="00537B9C"/>
    <w:rsid w:val="00537FBC"/>
    <w:rsid w:val="005418D1"/>
    <w:rsid w:val="00541D73"/>
    <w:rsid w:val="00543469"/>
    <w:rsid w:val="00546FA3"/>
    <w:rsid w:val="00552E57"/>
    <w:rsid w:val="00554329"/>
    <w:rsid w:val="005557E3"/>
    <w:rsid w:val="00557C7A"/>
    <w:rsid w:val="00561D1E"/>
    <w:rsid w:val="00562A58"/>
    <w:rsid w:val="0056541A"/>
    <w:rsid w:val="005661AC"/>
    <w:rsid w:val="00574739"/>
    <w:rsid w:val="00575D77"/>
    <w:rsid w:val="00581211"/>
    <w:rsid w:val="005822AF"/>
    <w:rsid w:val="005847B3"/>
    <w:rsid w:val="00584811"/>
    <w:rsid w:val="00585708"/>
    <w:rsid w:val="00593AA6"/>
    <w:rsid w:val="00594161"/>
    <w:rsid w:val="00594749"/>
    <w:rsid w:val="00594956"/>
    <w:rsid w:val="005954AF"/>
    <w:rsid w:val="00596C01"/>
    <w:rsid w:val="00596FBC"/>
    <w:rsid w:val="005A05FA"/>
    <w:rsid w:val="005A1227"/>
    <w:rsid w:val="005A218A"/>
    <w:rsid w:val="005A7D81"/>
    <w:rsid w:val="005B1555"/>
    <w:rsid w:val="005B4067"/>
    <w:rsid w:val="005B54DD"/>
    <w:rsid w:val="005C1D35"/>
    <w:rsid w:val="005C3F41"/>
    <w:rsid w:val="005C4EF0"/>
    <w:rsid w:val="005D0612"/>
    <w:rsid w:val="005D5EA1"/>
    <w:rsid w:val="005D7E7F"/>
    <w:rsid w:val="005E098C"/>
    <w:rsid w:val="005E0E2A"/>
    <w:rsid w:val="005E1F8D"/>
    <w:rsid w:val="005E317F"/>
    <w:rsid w:val="005E61D3"/>
    <w:rsid w:val="005F2093"/>
    <w:rsid w:val="005F228D"/>
    <w:rsid w:val="005F2B80"/>
    <w:rsid w:val="00600219"/>
    <w:rsid w:val="0060553B"/>
    <w:rsid w:val="006065DA"/>
    <w:rsid w:val="00606AA4"/>
    <w:rsid w:val="00607DE3"/>
    <w:rsid w:val="00607F8D"/>
    <w:rsid w:val="00611F56"/>
    <w:rsid w:val="00613E98"/>
    <w:rsid w:val="00622F11"/>
    <w:rsid w:val="00625BB3"/>
    <w:rsid w:val="00627B1F"/>
    <w:rsid w:val="0063578E"/>
    <w:rsid w:val="00636C81"/>
    <w:rsid w:val="00637992"/>
    <w:rsid w:val="00640402"/>
    <w:rsid w:val="00640F78"/>
    <w:rsid w:val="00646D85"/>
    <w:rsid w:val="00652B38"/>
    <w:rsid w:val="00653BAA"/>
    <w:rsid w:val="006540EA"/>
    <w:rsid w:val="0065565D"/>
    <w:rsid w:val="00655D6A"/>
    <w:rsid w:val="00656DE9"/>
    <w:rsid w:val="006600F0"/>
    <w:rsid w:val="006650FB"/>
    <w:rsid w:val="00665B02"/>
    <w:rsid w:val="00671FC4"/>
    <w:rsid w:val="006726B8"/>
    <w:rsid w:val="00672876"/>
    <w:rsid w:val="00672E9C"/>
    <w:rsid w:val="00677CC2"/>
    <w:rsid w:val="006843BA"/>
    <w:rsid w:val="00685F42"/>
    <w:rsid w:val="00690B3F"/>
    <w:rsid w:val="0069207B"/>
    <w:rsid w:val="0069530A"/>
    <w:rsid w:val="006A304E"/>
    <w:rsid w:val="006B043E"/>
    <w:rsid w:val="006B143B"/>
    <w:rsid w:val="006B5CFB"/>
    <w:rsid w:val="006B7006"/>
    <w:rsid w:val="006C7B4C"/>
    <w:rsid w:val="006C7CBA"/>
    <w:rsid w:val="006C7F8C"/>
    <w:rsid w:val="006D1909"/>
    <w:rsid w:val="006D6C27"/>
    <w:rsid w:val="006D7AB9"/>
    <w:rsid w:val="006E171B"/>
    <w:rsid w:val="006E27F9"/>
    <w:rsid w:val="006E7AB6"/>
    <w:rsid w:val="006F25B1"/>
    <w:rsid w:val="006F396B"/>
    <w:rsid w:val="00700B2C"/>
    <w:rsid w:val="00711F27"/>
    <w:rsid w:val="00713084"/>
    <w:rsid w:val="007148C7"/>
    <w:rsid w:val="00715B6B"/>
    <w:rsid w:val="00717463"/>
    <w:rsid w:val="00720FC2"/>
    <w:rsid w:val="00721499"/>
    <w:rsid w:val="00722E89"/>
    <w:rsid w:val="007254A1"/>
    <w:rsid w:val="00731E00"/>
    <w:rsid w:val="007339C7"/>
    <w:rsid w:val="00733E68"/>
    <w:rsid w:val="007440B7"/>
    <w:rsid w:val="00744833"/>
    <w:rsid w:val="00747993"/>
    <w:rsid w:val="00750F43"/>
    <w:rsid w:val="007522F0"/>
    <w:rsid w:val="007555FB"/>
    <w:rsid w:val="007634AD"/>
    <w:rsid w:val="00763940"/>
    <w:rsid w:val="00764AC4"/>
    <w:rsid w:val="00765E88"/>
    <w:rsid w:val="007715C9"/>
    <w:rsid w:val="007718E5"/>
    <w:rsid w:val="00774EDD"/>
    <w:rsid w:val="007757EC"/>
    <w:rsid w:val="00777761"/>
    <w:rsid w:val="00787531"/>
    <w:rsid w:val="007954C5"/>
    <w:rsid w:val="007962D2"/>
    <w:rsid w:val="00796EEA"/>
    <w:rsid w:val="007A5283"/>
    <w:rsid w:val="007A6863"/>
    <w:rsid w:val="007A7224"/>
    <w:rsid w:val="007B1599"/>
    <w:rsid w:val="007C350E"/>
    <w:rsid w:val="007C4918"/>
    <w:rsid w:val="007C78B4"/>
    <w:rsid w:val="007D519B"/>
    <w:rsid w:val="007D6E4E"/>
    <w:rsid w:val="007D787B"/>
    <w:rsid w:val="007E039F"/>
    <w:rsid w:val="007E32B6"/>
    <w:rsid w:val="007E486B"/>
    <w:rsid w:val="007E71DA"/>
    <w:rsid w:val="007E7D4A"/>
    <w:rsid w:val="007E7FD2"/>
    <w:rsid w:val="007F1A4C"/>
    <w:rsid w:val="007F2FE1"/>
    <w:rsid w:val="007F48ED"/>
    <w:rsid w:val="007F5E3F"/>
    <w:rsid w:val="007F781C"/>
    <w:rsid w:val="00804007"/>
    <w:rsid w:val="00807BED"/>
    <w:rsid w:val="00812F45"/>
    <w:rsid w:val="00814A21"/>
    <w:rsid w:val="008178A9"/>
    <w:rsid w:val="00820205"/>
    <w:rsid w:val="00827C32"/>
    <w:rsid w:val="00830855"/>
    <w:rsid w:val="00836FE9"/>
    <w:rsid w:val="00837759"/>
    <w:rsid w:val="008410FE"/>
    <w:rsid w:val="0084172C"/>
    <w:rsid w:val="00842A99"/>
    <w:rsid w:val="0085174A"/>
    <w:rsid w:val="0085175E"/>
    <w:rsid w:val="0085382C"/>
    <w:rsid w:val="00854DC2"/>
    <w:rsid w:val="00855063"/>
    <w:rsid w:val="00856A31"/>
    <w:rsid w:val="0086401C"/>
    <w:rsid w:val="00865F41"/>
    <w:rsid w:val="0087107F"/>
    <w:rsid w:val="008754D0"/>
    <w:rsid w:val="00877A63"/>
    <w:rsid w:val="00877C69"/>
    <w:rsid w:val="00877D48"/>
    <w:rsid w:val="008809B5"/>
    <w:rsid w:val="0088345B"/>
    <w:rsid w:val="0088418D"/>
    <w:rsid w:val="00885FC7"/>
    <w:rsid w:val="0088646F"/>
    <w:rsid w:val="0088687F"/>
    <w:rsid w:val="008A16A5"/>
    <w:rsid w:val="008A25D0"/>
    <w:rsid w:val="008A38EF"/>
    <w:rsid w:val="008A5C57"/>
    <w:rsid w:val="008B32B0"/>
    <w:rsid w:val="008B5E8A"/>
    <w:rsid w:val="008C0570"/>
    <w:rsid w:val="008C0629"/>
    <w:rsid w:val="008C1CC7"/>
    <w:rsid w:val="008C524A"/>
    <w:rsid w:val="008D0EE0"/>
    <w:rsid w:val="008D1C57"/>
    <w:rsid w:val="008D475E"/>
    <w:rsid w:val="008D7A27"/>
    <w:rsid w:val="008D7B45"/>
    <w:rsid w:val="008E176C"/>
    <w:rsid w:val="008E24DF"/>
    <w:rsid w:val="008E4702"/>
    <w:rsid w:val="008E49E1"/>
    <w:rsid w:val="008E69AA"/>
    <w:rsid w:val="008E735B"/>
    <w:rsid w:val="008E73A3"/>
    <w:rsid w:val="008F4F1C"/>
    <w:rsid w:val="00900EF9"/>
    <w:rsid w:val="00901AEC"/>
    <w:rsid w:val="00902BAF"/>
    <w:rsid w:val="00904ADA"/>
    <w:rsid w:val="00905060"/>
    <w:rsid w:val="009069AD"/>
    <w:rsid w:val="0090741C"/>
    <w:rsid w:val="009108A5"/>
    <w:rsid w:val="00910E64"/>
    <w:rsid w:val="00910F8A"/>
    <w:rsid w:val="009135A7"/>
    <w:rsid w:val="00916F82"/>
    <w:rsid w:val="00917447"/>
    <w:rsid w:val="00922764"/>
    <w:rsid w:val="00922D64"/>
    <w:rsid w:val="00923396"/>
    <w:rsid w:val="009267DB"/>
    <w:rsid w:val="00926BE0"/>
    <w:rsid w:val="009278C1"/>
    <w:rsid w:val="00932377"/>
    <w:rsid w:val="009333EF"/>
    <w:rsid w:val="00933AFC"/>
    <w:rsid w:val="00934253"/>
    <w:rsid w:val="009345BA"/>
    <w:rsid w:val="009346E3"/>
    <w:rsid w:val="00943CAF"/>
    <w:rsid w:val="0094523D"/>
    <w:rsid w:val="00946941"/>
    <w:rsid w:val="009533FD"/>
    <w:rsid w:val="00955719"/>
    <w:rsid w:val="00956226"/>
    <w:rsid w:val="00956E4B"/>
    <w:rsid w:val="00960D7E"/>
    <w:rsid w:val="00962B65"/>
    <w:rsid w:val="00963636"/>
    <w:rsid w:val="00963C46"/>
    <w:rsid w:val="00966D88"/>
    <w:rsid w:val="00967DE4"/>
    <w:rsid w:val="009719D5"/>
    <w:rsid w:val="0097495B"/>
    <w:rsid w:val="00976A63"/>
    <w:rsid w:val="00977370"/>
    <w:rsid w:val="00977B2D"/>
    <w:rsid w:val="009923BB"/>
    <w:rsid w:val="00993C8D"/>
    <w:rsid w:val="00997BE8"/>
    <w:rsid w:val="009A2200"/>
    <w:rsid w:val="009A2466"/>
    <w:rsid w:val="009B1042"/>
    <w:rsid w:val="009B2490"/>
    <w:rsid w:val="009B419D"/>
    <w:rsid w:val="009B46FB"/>
    <w:rsid w:val="009B50E5"/>
    <w:rsid w:val="009B610E"/>
    <w:rsid w:val="009C0017"/>
    <w:rsid w:val="009C3431"/>
    <w:rsid w:val="009C38FF"/>
    <w:rsid w:val="009C5989"/>
    <w:rsid w:val="009C6170"/>
    <w:rsid w:val="009C639D"/>
    <w:rsid w:val="009C6A32"/>
    <w:rsid w:val="009C6B78"/>
    <w:rsid w:val="009D08DA"/>
    <w:rsid w:val="009D5D55"/>
    <w:rsid w:val="009E0D8F"/>
    <w:rsid w:val="009E27D7"/>
    <w:rsid w:val="009E3973"/>
    <w:rsid w:val="009F639B"/>
    <w:rsid w:val="00A0077B"/>
    <w:rsid w:val="00A012C2"/>
    <w:rsid w:val="00A06860"/>
    <w:rsid w:val="00A070B8"/>
    <w:rsid w:val="00A07FF1"/>
    <w:rsid w:val="00A123AE"/>
    <w:rsid w:val="00A136F5"/>
    <w:rsid w:val="00A139F0"/>
    <w:rsid w:val="00A231E2"/>
    <w:rsid w:val="00A236CD"/>
    <w:rsid w:val="00A2550D"/>
    <w:rsid w:val="00A25926"/>
    <w:rsid w:val="00A379BB"/>
    <w:rsid w:val="00A4169B"/>
    <w:rsid w:val="00A41DAD"/>
    <w:rsid w:val="00A42EFA"/>
    <w:rsid w:val="00A50D55"/>
    <w:rsid w:val="00A52FDA"/>
    <w:rsid w:val="00A53E14"/>
    <w:rsid w:val="00A64912"/>
    <w:rsid w:val="00A64923"/>
    <w:rsid w:val="00A70A74"/>
    <w:rsid w:val="00A812F9"/>
    <w:rsid w:val="00A86D54"/>
    <w:rsid w:val="00A9231A"/>
    <w:rsid w:val="00A946FB"/>
    <w:rsid w:val="00A95BC7"/>
    <w:rsid w:val="00A973C4"/>
    <w:rsid w:val="00A97728"/>
    <w:rsid w:val="00AA0343"/>
    <w:rsid w:val="00AA1094"/>
    <w:rsid w:val="00AA1E18"/>
    <w:rsid w:val="00AA1F22"/>
    <w:rsid w:val="00AA6F14"/>
    <w:rsid w:val="00AA78CE"/>
    <w:rsid w:val="00AA7B26"/>
    <w:rsid w:val="00AB1199"/>
    <w:rsid w:val="00AB7319"/>
    <w:rsid w:val="00AC0A42"/>
    <w:rsid w:val="00AC247A"/>
    <w:rsid w:val="00AC767C"/>
    <w:rsid w:val="00AC7F38"/>
    <w:rsid w:val="00AD1524"/>
    <w:rsid w:val="00AD2D5A"/>
    <w:rsid w:val="00AD3467"/>
    <w:rsid w:val="00AD5641"/>
    <w:rsid w:val="00AE26F8"/>
    <w:rsid w:val="00AE27AD"/>
    <w:rsid w:val="00AE2BD9"/>
    <w:rsid w:val="00AE694E"/>
    <w:rsid w:val="00AE69ED"/>
    <w:rsid w:val="00AF09BA"/>
    <w:rsid w:val="00AF33DB"/>
    <w:rsid w:val="00AF355B"/>
    <w:rsid w:val="00AF402C"/>
    <w:rsid w:val="00B01D3B"/>
    <w:rsid w:val="00B032D8"/>
    <w:rsid w:val="00B05D72"/>
    <w:rsid w:val="00B11CD5"/>
    <w:rsid w:val="00B1232E"/>
    <w:rsid w:val="00B144F7"/>
    <w:rsid w:val="00B20990"/>
    <w:rsid w:val="00B23FAF"/>
    <w:rsid w:val="00B33B3C"/>
    <w:rsid w:val="00B34720"/>
    <w:rsid w:val="00B36468"/>
    <w:rsid w:val="00B40805"/>
    <w:rsid w:val="00B40D74"/>
    <w:rsid w:val="00B415D8"/>
    <w:rsid w:val="00B42649"/>
    <w:rsid w:val="00B447C9"/>
    <w:rsid w:val="00B4497E"/>
    <w:rsid w:val="00B46467"/>
    <w:rsid w:val="00B50F54"/>
    <w:rsid w:val="00B52663"/>
    <w:rsid w:val="00B53D13"/>
    <w:rsid w:val="00B55EED"/>
    <w:rsid w:val="00B56DCB"/>
    <w:rsid w:val="00B61728"/>
    <w:rsid w:val="00B660D6"/>
    <w:rsid w:val="00B67299"/>
    <w:rsid w:val="00B770D2"/>
    <w:rsid w:val="00B77CB4"/>
    <w:rsid w:val="00B83752"/>
    <w:rsid w:val="00B92D51"/>
    <w:rsid w:val="00B93285"/>
    <w:rsid w:val="00B93516"/>
    <w:rsid w:val="00B96776"/>
    <w:rsid w:val="00B973E5"/>
    <w:rsid w:val="00BA2B10"/>
    <w:rsid w:val="00BA47A3"/>
    <w:rsid w:val="00BA5026"/>
    <w:rsid w:val="00BA5B85"/>
    <w:rsid w:val="00BA7631"/>
    <w:rsid w:val="00BA7B5B"/>
    <w:rsid w:val="00BB1254"/>
    <w:rsid w:val="00BB6E79"/>
    <w:rsid w:val="00BC24E8"/>
    <w:rsid w:val="00BC26FA"/>
    <w:rsid w:val="00BC3307"/>
    <w:rsid w:val="00BC4620"/>
    <w:rsid w:val="00BC465F"/>
    <w:rsid w:val="00BD0E7B"/>
    <w:rsid w:val="00BD1590"/>
    <w:rsid w:val="00BD2518"/>
    <w:rsid w:val="00BD279C"/>
    <w:rsid w:val="00BD31D0"/>
    <w:rsid w:val="00BE1672"/>
    <w:rsid w:val="00BE26FD"/>
    <w:rsid w:val="00BE42C5"/>
    <w:rsid w:val="00BE6CF8"/>
    <w:rsid w:val="00BE719A"/>
    <w:rsid w:val="00BE720A"/>
    <w:rsid w:val="00BF0723"/>
    <w:rsid w:val="00BF6650"/>
    <w:rsid w:val="00BF78B7"/>
    <w:rsid w:val="00C003F1"/>
    <w:rsid w:val="00C02A45"/>
    <w:rsid w:val="00C03D95"/>
    <w:rsid w:val="00C04002"/>
    <w:rsid w:val="00C0531D"/>
    <w:rsid w:val="00C067E5"/>
    <w:rsid w:val="00C113FF"/>
    <w:rsid w:val="00C124C9"/>
    <w:rsid w:val="00C13C42"/>
    <w:rsid w:val="00C164CA"/>
    <w:rsid w:val="00C17F3C"/>
    <w:rsid w:val="00C20628"/>
    <w:rsid w:val="00C22AFC"/>
    <w:rsid w:val="00C242B3"/>
    <w:rsid w:val="00C25078"/>
    <w:rsid w:val="00C26051"/>
    <w:rsid w:val="00C268D2"/>
    <w:rsid w:val="00C32F16"/>
    <w:rsid w:val="00C36735"/>
    <w:rsid w:val="00C41059"/>
    <w:rsid w:val="00C42BF8"/>
    <w:rsid w:val="00C460AE"/>
    <w:rsid w:val="00C50043"/>
    <w:rsid w:val="00C5015F"/>
    <w:rsid w:val="00C50A0F"/>
    <w:rsid w:val="00C50F4A"/>
    <w:rsid w:val="00C51ACF"/>
    <w:rsid w:val="00C65787"/>
    <w:rsid w:val="00C6614E"/>
    <w:rsid w:val="00C67295"/>
    <w:rsid w:val="00C72D10"/>
    <w:rsid w:val="00C7573B"/>
    <w:rsid w:val="00C76CF3"/>
    <w:rsid w:val="00C851E8"/>
    <w:rsid w:val="00C859EC"/>
    <w:rsid w:val="00C9085F"/>
    <w:rsid w:val="00C92099"/>
    <w:rsid w:val="00C93205"/>
    <w:rsid w:val="00C945DC"/>
    <w:rsid w:val="00C95391"/>
    <w:rsid w:val="00C95B3F"/>
    <w:rsid w:val="00C97859"/>
    <w:rsid w:val="00CA23A9"/>
    <w:rsid w:val="00CA40CD"/>
    <w:rsid w:val="00CA4F0C"/>
    <w:rsid w:val="00CA6523"/>
    <w:rsid w:val="00CA7844"/>
    <w:rsid w:val="00CA7B99"/>
    <w:rsid w:val="00CA7D56"/>
    <w:rsid w:val="00CB1D32"/>
    <w:rsid w:val="00CB3BE3"/>
    <w:rsid w:val="00CB58EF"/>
    <w:rsid w:val="00CB609E"/>
    <w:rsid w:val="00CB68DD"/>
    <w:rsid w:val="00CC02A2"/>
    <w:rsid w:val="00CC4B22"/>
    <w:rsid w:val="00CC605F"/>
    <w:rsid w:val="00CD02B7"/>
    <w:rsid w:val="00CD29BC"/>
    <w:rsid w:val="00CD2EB4"/>
    <w:rsid w:val="00CD555D"/>
    <w:rsid w:val="00CD5B86"/>
    <w:rsid w:val="00CD64A9"/>
    <w:rsid w:val="00CE0A93"/>
    <w:rsid w:val="00CE3D44"/>
    <w:rsid w:val="00CF0BB2"/>
    <w:rsid w:val="00CF2A4E"/>
    <w:rsid w:val="00D04980"/>
    <w:rsid w:val="00D103DF"/>
    <w:rsid w:val="00D12B0D"/>
    <w:rsid w:val="00D13441"/>
    <w:rsid w:val="00D227D1"/>
    <w:rsid w:val="00D243A3"/>
    <w:rsid w:val="00D26B19"/>
    <w:rsid w:val="00D27857"/>
    <w:rsid w:val="00D300B8"/>
    <w:rsid w:val="00D33440"/>
    <w:rsid w:val="00D3557F"/>
    <w:rsid w:val="00D4120E"/>
    <w:rsid w:val="00D42862"/>
    <w:rsid w:val="00D46720"/>
    <w:rsid w:val="00D47B50"/>
    <w:rsid w:val="00D52619"/>
    <w:rsid w:val="00D52B29"/>
    <w:rsid w:val="00D52EFE"/>
    <w:rsid w:val="00D537A5"/>
    <w:rsid w:val="00D56A0D"/>
    <w:rsid w:val="00D63EF6"/>
    <w:rsid w:val="00D66518"/>
    <w:rsid w:val="00D67E07"/>
    <w:rsid w:val="00D70DFB"/>
    <w:rsid w:val="00D71EEA"/>
    <w:rsid w:val="00D735CD"/>
    <w:rsid w:val="00D73FF2"/>
    <w:rsid w:val="00D766DF"/>
    <w:rsid w:val="00D83263"/>
    <w:rsid w:val="00D834BE"/>
    <w:rsid w:val="00D84828"/>
    <w:rsid w:val="00D85272"/>
    <w:rsid w:val="00D87DA5"/>
    <w:rsid w:val="00D90841"/>
    <w:rsid w:val="00DA2439"/>
    <w:rsid w:val="00DA6F05"/>
    <w:rsid w:val="00DB08EC"/>
    <w:rsid w:val="00DB380F"/>
    <w:rsid w:val="00DB64FC"/>
    <w:rsid w:val="00DC3DBB"/>
    <w:rsid w:val="00DC6DB2"/>
    <w:rsid w:val="00DD45AE"/>
    <w:rsid w:val="00DD5229"/>
    <w:rsid w:val="00DD66C7"/>
    <w:rsid w:val="00DE06C0"/>
    <w:rsid w:val="00DE0910"/>
    <w:rsid w:val="00DE149E"/>
    <w:rsid w:val="00DF73B7"/>
    <w:rsid w:val="00E01D22"/>
    <w:rsid w:val="00E034DB"/>
    <w:rsid w:val="00E05704"/>
    <w:rsid w:val="00E11A14"/>
    <w:rsid w:val="00E12F1A"/>
    <w:rsid w:val="00E17BCD"/>
    <w:rsid w:val="00E22935"/>
    <w:rsid w:val="00E27653"/>
    <w:rsid w:val="00E33263"/>
    <w:rsid w:val="00E41A5D"/>
    <w:rsid w:val="00E51395"/>
    <w:rsid w:val="00E54292"/>
    <w:rsid w:val="00E60046"/>
    <w:rsid w:val="00E60191"/>
    <w:rsid w:val="00E62A81"/>
    <w:rsid w:val="00E65A74"/>
    <w:rsid w:val="00E65AAC"/>
    <w:rsid w:val="00E70FB1"/>
    <w:rsid w:val="00E7159B"/>
    <w:rsid w:val="00E74DC7"/>
    <w:rsid w:val="00E87699"/>
    <w:rsid w:val="00E90F5C"/>
    <w:rsid w:val="00E92E27"/>
    <w:rsid w:val="00E94E82"/>
    <w:rsid w:val="00E9586B"/>
    <w:rsid w:val="00E97334"/>
    <w:rsid w:val="00EA2B23"/>
    <w:rsid w:val="00EB1F6D"/>
    <w:rsid w:val="00EB3A99"/>
    <w:rsid w:val="00EB5E70"/>
    <w:rsid w:val="00EB65F8"/>
    <w:rsid w:val="00EC2179"/>
    <w:rsid w:val="00EC3072"/>
    <w:rsid w:val="00ED4928"/>
    <w:rsid w:val="00EE2D5B"/>
    <w:rsid w:val="00EE32E6"/>
    <w:rsid w:val="00EE3FFE"/>
    <w:rsid w:val="00EE57E8"/>
    <w:rsid w:val="00EE6190"/>
    <w:rsid w:val="00EF2E3A"/>
    <w:rsid w:val="00EF5CBC"/>
    <w:rsid w:val="00EF6402"/>
    <w:rsid w:val="00EF6D03"/>
    <w:rsid w:val="00EF7008"/>
    <w:rsid w:val="00F01305"/>
    <w:rsid w:val="00F01AB3"/>
    <w:rsid w:val="00F02761"/>
    <w:rsid w:val="00F02C4C"/>
    <w:rsid w:val="00F047E2"/>
    <w:rsid w:val="00F04D57"/>
    <w:rsid w:val="00F078DC"/>
    <w:rsid w:val="00F100DD"/>
    <w:rsid w:val="00F13E86"/>
    <w:rsid w:val="00F20B52"/>
    <w:rsid w:val="00F27217"/>
    <w:rsid w:val="00F27316"/>
    <w:rsid w:val="00F300CF"/>
    <w:rsid w:val="00F32FCB"/>
    <w:rsid w:val="00F33523"/>
    <w:rsid w:val="00F518A7"/>
    <w:rsid w:val="00F6200B"/>
    <w:rsid w:val="00F66DCD"/>
    <w:rsid w:val="00F677A9"/>
    <w:rsid w:val="00F701DF"/>
    <w:rsid w:val="00F7432C"/>
    <w:rsid w:val="00F7734C"/>
    <w:rsid w:val="00F77E31"/>
    <w:rsid w:val="00F8121C"/>
    <w:rsid w:val="00F827F6"/>
    <w:rsid w:val="00F82E39"/>
    <w:rsid w:val="00F8313E"/>
    <w:rsid w:val="00F8339C"/>
    <w:rsid w:val="00F84CF5"/>
    <w:rsid w:val="00F85AEA"/>
    <w:rsid w:val="00F85F0D"/>
    <w:rsid w:val="00F8612E"/>
    <w:rsid w:val="00F9061A"/>
    <w:rsid w:val="00F91F94"/>
    <w:rsid w:val="00F930E5"/>
    <w:rsid w:val="00F94583"/>
    <w:rsid w:val="00FA420B"/>
    <w:rsid w:val="00FA5EBC"/>
    <w:rsid w:val="00FA6A97"/>
    <w:rsid w:val="00FB078C"/>
    <w:rsid w:val="00FB52DA"/>
    <w:rsid w:val="00FB6AEE"/>
    <w:rsid w:val="00FC0D36"/>
    <w:rsid w:val="00FC3EAC"/>
    <w:rsid w:val="00FC6A2C"/>
    <w:rsid w:val="00FC7680"/>
    <w:rsid w:val="00FD1251"/>
    <w:rsid w:val="00FD25FE"/>
    <w:rsid w:val="00FD563F"/>
    <w:rsid w:val="00FD671D"/>
    <w:rsid w:val="00FD6DEE"/>
    <w:rsid w:val="00FE39E5"/>
    <w:rsid w:val="00FE3B15"/>
    <w:rsid w:val="00FE5C27"/>
    <w:rsid w:val="00FE7B51"/>
    <w:rsid w:val="00FF2197"/>
    <w:rsid w:val="00FF25B6"/>
    <w:rsid w:val="00FF3182"/>
    <w:rsid w:val="00FF39DE"/>
    <w:rsid w:val="00FF3A38"/>
    <w:rsid w:val="00FF6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D582FD"/>
  <w15:docId w15:val="{58BF29BE-1DDC-4F93-8C71-D9111C78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subsectionhead0">
    <w:name w:val="subsectionhead"/>
    <w:basedOn w:val="Normal"/>
    <w:rsid w:val="00F85F0D"/>
    <w:pPr>
      <w:spacing w:before="100" w:beforeAutospacing="1" w:after="100" w:afterAutospacing="1" w:line="240" w:lineRule="auto"/>
    </w:pPr>
    <w:rPr>
      <w:rFonts w:eastAsia="Times New Roman" w:cs="Times New Roman"/>
      <w:sz w:val="24"/>
      <w:szCs w:val="24"/>
      <w:lang w:eastAsia="en-AU"/>
    </w:rPr>
  </w:style>
  <w:style w:type="paragraph" w:styleId="ListParagraph">
    <w:name w:val="List Paragraph"/>
    <w:basedOn w:val="Normal"/>
    <w:uiPriority w:val="34"/>
    <w:qFormat/>
    <w:rsid w:val="00F85F0D"/>
    <w:pPr>
      <w:ind w:left="720"/>
      <w:contextualSpacing/>
    </w:pPr>
  </w:style>
  <w:style w:type="paragraph" w:customStyle="1" w:styleId="definition0">
    <w:name w:val="definition"/>
    <w:basedOn w:val="Normal"/>
    <w:rsid w:val="004B301D"/>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4B301D"/>
    <w:rPr>
      <w:sz w:val="16"/>
      <w:szCs w:val="16"/>
    </w:rPr>
  </w:style>
  <w:style w:type="paragraph" w:styleId="CommentText">
    <w:name w:val="annotation text"/>
    <w:basedOn w:val="Normal"/>
    <w:link w:val="CommentTextChar"/>
    <w:uiPriority w:val="99"/>
    <w:unhideWhenUsed/>
    <w:rsid w:val="004B301D"/>
    <w:pPr>
      <w:spacing w:line="240" w:lineRule="auto"/>
    </w:pPr>
    <w:rPr>
      <w:sz w:val="20"/>
    </w:rPr>
  </w:style>
  <w:style w:type="character" w:customStyle="1" w:styleId="CommentTextChar">
    <w:name w:val="Comment Text Char"/>
    <w:basedOn w:val="DefaultParagraphFont"/>
    <w:link w:val="CommentText"/>
    <w:uiPriority w:val="99"/>
    <w:rsid w:val="004B301D"/>
  </w:style>
  <w:style w:type="paragraph" w:styleId="CommentSubject">
    <w:name w:val="annotation subject"/>
    <w:basedOn w:val="CommentText"/>
    <w:next w:val="CommentText"/>
    <w:link w:val="CommentSubjectChar"/>
    <w:uiPriority w:val="99"/>
    <w:semiHidden/>
    <w:unhideWhenUsed/>
    <w:rsid w:val="004B301D"/>
    <w:rPr>
      <w:b/>
      <w:bCs/>
    </w:rPr>
  </w:style>
  <w:style w:type="character" w:customStyle="1" w:styleId="CommentSubjectChar">
    <w:name w:val="Comment Subject Char"/>
    <w:basedOn w:val="CommentTextChar"/>
    <w:link w:val="CommentSubject"/>
    <w:uiPriority w:val="99"/>
    <w:semiHidden/>
    <w:rsid w:val="004B301D"/>
    <w:rPr>
      <w:b/>
      <w:bCs/>
    </w:rPr>
  </w:style>
  <w:style w:type="paragraph" w:customStyle="1" w:styleId="acthead20">
    <w:name w:val="acthead2"/>
    <w:basedOn w:val="Normal"/>
    <w:rsid w:val="00AA1094"/>
    <w:pPr>
      <w:spacing w:before="100" w:beforeAutospacing="1" w:after="100" w:afterAutospacing="1" w:line="240" w:lineRule="auto"/>
    </w:pPr>
    <w:rPr>
      <w:rFonts w:eastAsia="Times New Roman" w:cs="Times New Roman"/>
      <w:sz w:val="24"/>
      <w:szCs w:val="24"/>
      <w:lang w:eastAsia="en-AU"/>
    </w:rPr>
  </w:style>
  <w:style w:type="character" w:customStyle="1" w:styleId="charpartno0">
    <w:name w:val="charpartno"/>
    <w:basedOn w:val="DefaultParagraphFont"/>
    <w:rsid w:val="00AA1094"/>
  </w:style>
  <w:style w:type="character" w:customStyle="1" w:styleId="charparttext0">
    <w:name w:val="charparttext"/>
    <w:basedOn w:val="DefaultParagraphFont"/>
    <w:rsid w:val="00AA1094"/>
  </w:style>
  <w:style w:type="paragraph" w:customStyle="1" w:styleId="acthead30">
    <w:name w:val="acthead3"/>
    <w:basedOn w:val="Normal"/>
    <w:rsid w:val="00AA1094"/>
    <w:pPr>
      <w:spacing w:before="100" w:beforeAutospacing="1" w:after="100" w:afterAutospacing="1" w:line="240" w:lineRule="auto"/>
    </w:pPr>
    <w:rPr>
      <w:rFonts w:eastAsia="Times New Roman" w:cs="Times New Roman"/>
      <w:sz w:val="24"/>
      <w:szCs w:val="24"/>
      <w:lang w:eastAsia="en-AU"/>
    </w:rPr>
  </w:style>
  <w:style w:type="character" w:customStyle="1" w:styleId="chardivno0">
    <w:name w:val="chardivno"/>
    <w:basedOn w:val="DefaultParagraphFont"/>
    <w:rsid w:val="00AA1094"/>
  </w:style>
  <w:style w:type="character" w:customStyle="1" w:styleId="chardivtext0">
    <w:name w:val="chardivtext"/>
    <w:basedOn w:val="DefaultParagraphFont"/>
    <w:rsid w:val="00AA1094"/>
  </w:style>
  <w:style w:type="paragraph" w:customStyle="1" w:styleId="acthead50">
    <w:name w:val="acthead5"/>
    <w:basedOn w:val="Normal"/>
    <w:rsid w:val="00AA1094"/>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C242B3"/>
    <w:pPr>
      <w:spacing w:before="100" w:beforeAutospacing="1" w:after="100" w:afterAutospacing="1" w:line="240" w:lineRule="auto"/>
    </w:pPr>
    <w:rPr>
      <w:rFonts w:eastAsia="Times New Roman" w:cs="Times New Roman"/>
      <w:sz w:val="24"/>
      <w:szCs w:val="24"/>
      <w:lang w:eastAsia="en-AU"/>
    </w:rPr>
  </w:style>
  <w:style w:type="paragraph" w:customStyle="1" w:styleId="tableheading0">
    <w:name w:val="tableheading"/>
    <w:basedOn w:val="Normal"/>
    <w:rsid w:val="009345BA"/>
    <w:pPr>
      <w:spacing w:before="100" w:beforeAutospacing="1" w:after="100" w:afterAutospacing="1" w:line="240" w:lineRule="auto"/>
    </w:pPr>
    <w:rPr>
      <w:rFonts w:eastAsia="Times New Roman" w:cs="Times New Roman"/>
      <w:sz w:val="24"/>
      <w:szCs w:val="24"/>
      <w:lang w:eastAsia="en-AU"/>
    </w:rPr>
  </w:style>
  <w:style w:type="paragraph" w:customStyle="1" w:styleId="tabletext0">
    <w:name w:val="tabletext"/>
    <w:basedOn w:val="Normal"/>
    <w:rsid w:val="009345BA"/>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9345BA"/>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1A18D3"/>
  </w:style>
  <w:style w:type="character" w:customStyle="1" w:styleId="charampartno0">
    <w:name w:val="charampartno"/>
    <w:basedOn w:val="DefaultParagraphFont"/>
    <w:rsid w:val="00C113FF"/>
  </w:style>
  <w:style w:type="character" w:customStyle="1" w:styleId="charamparttext0">
    <w:name w:val="charamparttext"/>
    <w:basedOn w:val="DefaultParagraphFont"/>
    <w:rsid w:val="00C113FF"/>
  </w:style>
  <w:style w:type="character" w:styleId="FollowedHyperlink">
    <w:name w:val="FollowedHyperlink"/>
    <w:basedOn w:val="DefaultParagraphFont"/>
    <w:uiPriority w:val="99"/>
    <w:unhideWhenUsed/>
    <w:rsid w:val="00066CB5"/>
    <w:rPr>
      <w:color w:val="800080" w:themeColor="followedHyperlink"/>
      <w:u w:val="single"/>
    </w:rPr>
  </w:style>
  <w:style w:type="paragraph" w:styleId="MessageHeader">
    <w:name w:val="Message Header"/>
    <w:basedOn w:val="Normal"/>
    <w:link w:val="MessageHeaderChar"/>
    <w:uiPriority w:val="99"/>
    <w:unhideWhenUsed/>
    <w:rsid w:val="00A123A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A123AE"/>
    <w:rPr>
      <w:rFonts w:asciiTheme="majorHAnsi" w:eastAsiaTheme="majorEastAsia" w:hAnsiTheme="majorHAnsi" w:cstheme="majorBidi"/>
      <w:sz w:val="24"/>
      <w:szCs w:val="24"/>
      <w:shd w:val="pct20" w:color="auto" w:fill="auto"/>
    </w:rPr>
  </w:style>
  <w:style w:type="character" w:customStyle="1" w:styleId="ActHead5Char">
    <w:name w:val="ActHead 5 Char"/>
    <w:aliases w:val="s Char"/>
    <w:link w:val="ActHead5"/>
    <w:rsid w:val="00E94E82"/>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87504">
      <w:bodyDiv w:val="1"/>
      <w:marLeft w:val="0"/>
      <w:marRight w:val="0"/>
      <w:marTop w:val="0"/>
      <w:marBottom w:val="0"/>
      <w:divBdr>
        <w:top w:val="none" w:sz="0" w:space="0" w:color="auto"/>
        <w:left w:val="none" w:sz="0" w:space="0" w:color="auto"/>
        <w:bottom w:val="none" w:sz="0" w:space="0" w:color="auto"/>
        <w:right w:val="none" w:sz="0" w:space="0" w:color="auto"/>
      </w:divBdr>
    </w:div>
    <w:div w:id="110125133">
      <w:bodyDiv w:val="1"/>
      <w:marLeft w:val="0"/>
      <w:marRight w:val="0"/>
      <w:marTop w:val="0"/>
      <w:marBottom w:val="0"/>
      <w:divBdr>
        <w:top w:val="none" w:sz="0" w:space="0" w:color="auto"/>
        <w:left w:val="none" w:sz="0" w:space="0" w:color="auto"/>
        <w:bottom w:val="none" w:sz="0" w:space="0" w:color="auto"/>
        <w:right w:val="none" w:sz="0" w:space="0" w:color="auto"/>
      </w:divBdr>
    </w:div>
    <w:div w:id="181944947">
      <w:bodyDiv w:val="1"/>
      <w:marLeft w:val="0"/>
      <w:marRight w:val="0"/>
      <w:marTop w:val="0"/>
      <w:marBottom w:val="0"/>
      <w:divBdr>
        <w:top w:val="none" w:sz="0" w:space="0" w:color="auto"/>
        <w:left w:val="none" w:sz="0" w:space="0" w:color="auto"/>
        <w:bottom w:val="none" w:sz="0" w:space="0" w:color="auto"/>
        <w:right w:val="none" w:sz="0" w:space="0" w:color="auto"/>
      </w:divBdr>
    </w:div>
    <w:div w:id="469370784">
      <w:bodyDiv w:val="1"/>
      <w:marLeft w:val="0"/>
      <w:marRight w:val="0"/>
      <w:marTop w:val="0"/>
      <w:marBottom w:val="0"/>
      <w:divBdr>
        <w:top w:val="none" w:sz="0" w:space="0" w:color="auto"/>
        <w:left w:val="none" w:sz="0" w:space="0" w:color="auto"/>
        <w:bottom w:val="none" w:sz="0" w:space="0" w:color="auto"/>
        <w:right w:val="none" w:sz="0" w:space="0" w:color="auto"/>
      </w:divBdr>
    </w:div>
    <w:div w:id="624698389">
      <w:bodyDiv w:val="1"/>
      <w:marLeft w:val="0"/>
      <w:marRight w:val="0"/>
      <w:marTop w:val="0"/>
      <w:marBottom w:val="0"/>
      <w:divBdr>
        <w:top w:val="none" w:sz="0" w:space="0" w:color="auto"/>
        <w:left w:val="none" w:sz="0" w:space="0" w:color="auto"/>
        <w:bottom w:val="none" w:sz="0" w:space="0" w:color="auto"/>
        <w:right w:val="none" w:sz="0" w:space="0" w:color="auto"/>
      </w:divBdr>
    </w:div>
    <w:div w:id="637690168">
      <w:bodyDiv w:val="1"/>
      <w:marLeft w:val="0"/>
      <w:marRight w:val="0"/>
      <w:marTop w:val="0"/>
      <w:marBottom w:val="0"/>
      <w:divBdr>
        <w:top w:val="none" w:sz="0" w:space="0" w:color="auto"/>
        <w:left w:val="none" w:sz="0" w:space="0" w:color="auto"/>
        <w:bottom w:val="none" w:sz="0" w:space="0" w:color="auto"/>
        <w:right w:val="none" w:sz="0" w:space="0" w:color="auto"/>
      </w:divBdr>
    </w:div>
    <w:div w:id="697858095">
      <w:bodyDiv w:val="1"/>
      <w:marLeft w:val="0"/>
      <w:marRight w:val="0"/>
      <w:marTop w:val="0"/>
      <w:marBottom w:val="0"/>
      <w:divBdr>
        <w:top w:val="none" w:sz="0" w:space="0" w:color="auto"/>
        <w:left w:val="none" w:sz="0" w:space="0" w:color="auto"/>
        <w:bottom w:val="none" w:sz="0" w:space="0" w:color="auto"/>
        <w:right w:val="none" w:sz="0" w:space="0" w:color="auto"/>
      </w:divBdr>
    </w:div>
    <w:div w:id="738597178">
      <w:bodyDiv w:val="1"/>
      <w:marLeft w:val="0"/>
      <w:marRight w:val="0"/>
      <w:marTop w:val="0"/>
      <w:marBottom w:val="0"/>
      <w:divBdr>
        <w:top w:val="none" w:sz="0" w:space="0" w:color="auto"/>
        <w:left w:val="none" w:sz="0" w:space="0" w:color="auto"/>
        <w:bottom w:val="none" w:sz="0" w:space="0" w:color="auto"/>
        <w:right w:val="none" w:sz="0" w:space="0" w:color="auto"/>
      </w:divBdr>
    </w:div>
    <w:div w:id="1059790200">
      <w:bodyDiv w:val="1"/>
      <w:marLeft w:val="0"/>
      <w:marRight w:val="0"/>
      <w:marTop w:val="0"/>
      <w:marBottom w:val="0"/>
      <w:divBdr>
        <w:top w:val="none" w:sz="0" w:space="0" w:color="auto"/>
        <w:left w:val="none" w:sz="0" w:space="0" w:color="auto"/>
        <w:bottom w:val="none" w:sz="0" w:space="0" w:color="auto"/>
        <w:right w:val="none" w:sz="0" w:space="0" w:color="auto"/>
      </w:divBdr>
    </w:div>
    <w:div w:id="1168640707">
      <w:bodyDiv w:val="1"/>
      <w:marLeft w:val="0"/>
      <w:marRight w:val="0"/>
      <w:marTop w:val="0"/>
      <w:marBottom w:val="0"/>
      <w:divBdr>
        <w:top w:val="none" w:sz="0" w:space="0" w:color="auto"/>
        <w:left w:val="none" w:sz="0" w:space="0" w:color="auto"/>
        <w:bottom w:val="none" w:sz="0" w:space="0" w:color="auto"/>
        <w:right w:val="none" w:sz="0" w:space="0" w:color="auto"/>
      </w:divBdr>
    </w:div>
    <w:div w:id="1228879003">
      <w:bodyDiv w:val="1"/>
      <w:marLeft w:val="0"/>
      <w:marRight w:val="0"/>
      <w:marTop w:val="0"/>
      <w:marBottom w:val="0"/>
      <w:divBdr>
        <w:top w:val="none" w:sz="0" w:space="0" w:color="auto"/>
        <w:left w:val="none" w:sz="0" w:space="0" w:color="auto"/>
        <w:bottom w:val="none" w:sz="0" w:space="0" w:color="auto"/>
        <w:right w:val="none" w:sz="0" w:space="0" w:color="auto"/>
      </w:divBdr>
    </w:div>
    <w:div w:id="1814440478">
      <w:bodyDiv w:val="1"/>
      <w:marLeft w:val="0"/>
      <w:marRight w:val="0"/>
      <w:marTop w:val="0"/>
      <w:marBottom w:val="0"/>
      <w:divBdr>
        <w:top w:val="none" w:sz="0" w:space="0" w:color="auto"/>
        <w:left w:val="none" w:sz="0" w:space="0" w:color="auto"/>
        <w:bottom w:val="none" w:sz="0" w:space="0" w:color="auto"/>
        <w:right w:val="none" w:sz="0" w:space="0" w:color="auto"/>
      </w:divBdr>
    </w:div>
    <w:div w:id="2000185349">
      <w:bodyDiv w:val="1"/>
      <w:marLeft w:val="0"/>
      <w:marRight w:val="0"/>
      <w:marTop w:val="0"/>
      <w:marBottom w:val="0"/>
      <w:divBdr>
        <w:top w:val="none" w:sz="0" w:space="0" w:color="auto"/>
        <w:left w:val="none" w:sz="0" w:space="0" w:color="auto"/>
        <w:bottom w:val="none" w:sz="0" w:space="0" w:color="auto"/>
        <w:right w:val="none" w:sz="0" w:space="0" w:color="auto"/>
      </w:divBdr>
    </w:div>
    <w:div w:id="21295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2531\Downloads\template_-_amending_instrument_0%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352C-5C6F-4075-85B3-BBC93BA1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 (7).dotx</Template>
  <TotalTime>4</TotalTime>
  <Pages>13</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ILIC,Genevieve</dc:creator>
  <cp:lastModifiedBy>BAKER,Fiona</cp:lastModifiedBy>
  <cp:revision>3</cp:revision>
  <cp:lastPrinted>2021-09-01T03:12:00Z</cp:lastPrinted>
  <dcterms:created xsi:type="dcterms:W3CDTF">2021-09-02T00:41:00Z</dcterms:created>
  <dcterms:modified xsi:type="dcterms:W3CDTF">2021-09-02T06:29:00Z</dcterms:modified>
</cp:coreProperties>
</file>