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8641" w14:textId="6BF68FE6" w:rsidR="00A67D51" w:rsidRPr="00CD24EC" w:rsidRDefault="00600611" w:rsidP="007F275F">
      <w:pPr>
        <w:jc w:val="center"/>
        <w:rPr>
          <w:b/>
        </w:rPr>
      </w:pPr>
      <w:r w:rsidRPr="00CD24EC">
        <w:rPr>
          <w:b/>
        </w:rPr>
        <w:t xml:space="preserve">SUPPLEMENTARY </w:t>
      </w:r>
      <w:r w:rsidR="00A67D51" w:rsidRPr="00CD24EC">
        <w:rPr>
          <w:b/>
        </w:rPr>
        <w:t>EXPLANATORY STATEMENT</w:t>
      </w:r>
    </w:p>
    <w:p w14:paraId="5C00E295" w14:textId="77777777" w:rsidR="00A67D51" w:rsidRPr="00CD24EC" w:rsidRDefault="00A67D51" w:rsidP="007F275F">
      <w:pPr>
        <w:rPr>
          <w:b/>
        </w:rPr>
      </w:pPr>
    </w:p>
    <w:p w14:paraId="290160D9" w14:textId="77777777" w:rsidR="00A67D51" w:rsidRPr="00CD24EC" w:rsidRDefault="00A67D51" w:rsidP="007F275F">
      <w:pPr>
        <w:jc w:val="center"/>
        <w:rPr>
          <w:b/>
          <w:i/>
        </w:rPr>
      </w:pPr>
      <w:r w:rsidRPr="00CD24EC">
        <w:rPr>
          <w:b/>
          <w:i/>
        </w:rPr>
        <w:t>NATIONAL HEALTH ACT 1953</w:t>
      </w:r>
    </w:p>
    <w:p w14:paraId="34ED1BD5" w14:textId="3CCFD8B2" w:rsidR="006D7C15" w:rsidRPr="00CD24EC" w:rsidRDefault="006D7C15" w:rsidP="006D7C15">
      <w:pPr>
        <w:spacing w:before="120" w:after="120"/>
        <w:jc w:val="center"/>
        <w:rPr>
          <w:b/>
          <w:i/>
        </w:rPr>
      </w:pPr>
      <w:r w:rsidRPr="00CD24EC">
        <w:rPr>
          <w:b/>
          <w:i/>
        </w:rPr>
        <w:t xml:space="preserve">National Health (Pharmaceutical Benefits Scheme-Exempt items - Section 84AH) </w:t>
      </w:r>
      <w:r w:rsidR="000842CE" w:rsidRPr="00CD24EC">
        <w:rPr>
          <w:b/>
          <w:i/>
        </w:rPr>
        <w:t xml:space="preserve">Amendment </w:t>
      </w:r>
      <w:r w:rsidRPr="00CD24EC">
        <w:rPr>
          <w:b/>
          <w:i/>
        </w:rPr>
        <w:t>Determination 20</w:t>
      </w:r>
      <w:r w:rsidR="002C0D84" w:rsidRPr="00CD24EC">
        <w:rPr>
          <w:b/>
          <w:i/>
        </w:rPr>
        <w:t>2</w:t>
      </w:r>
      <w:r w:rsidR="003372E8" w:rsidRPr="00CD24EC">
        <w:rPr>
          <w:b/>
          <w:i/>
        </w:rPr>
        <w:t>1</w:t>
      </w:r>
      <w:r w:rsidR="000842CE" w:rsidRPr="00CD24EC">
        <w:rPr>
          <w:b/>
          <w:i/>
        </w:rPr>
        <w:t xml:space="preserve"> (No. </w:t>
      </w:r>
      <w:r w:rsidR="008B7B4C" w:rsidRPr="00CD24EC">
        <w:rPr>
          <w:b/>
          <w:i/>
        </w:rPr>
        <w:t>3</w:t>
      </w:r>
      <w:r w:rsidR="000842CE" w:rsidRPr="00CD24EC">
        <w:rPr>
          <w:b/>
          <w:i/>
        </w:rPr>
        <w:t>)</w:t>
      </w:r>
    </w:p>
    <w:p w14:paraId="63758188" w14:textId="1990CC79" w:rsidR="00600611" w:rsidRDefault="00600611" w:rsidP="006D7C15">
      <w:pPr>
        <w:spacing w:before="120" w:after="120"/>
        <w:jc w:val="center"/>
        <w:rPr>
          <w:b/>
          <w:iCs/>
        </w:rPr>
      </w:pPr>
      <w:r w:rsidRPr="00CD24EC">
        <w:rPr>
          <w:b/>
          <w:iCs/>
        </w:rPr>
        <w:t>PB 96 of 2021</w:t>
      </w:r>
    </w:p>
    <w:p w14:paraId="6300FBEC" w14:textId="77777777" w:rsidR="00CD24EC" w:rsidRPr="00CD24EC" w:rsidRDefault="00CD24EC" w:rsidP="006D7C15">
      <w:pPr>
        <w:spacing w:before="120" w:after="120"/>
        <w:jc w:val="center"/>
        <w:rPr>
          <w:b/>
          <w:iCs/>
        </w:rPr>
      </w:pPr>
    </w:p>
    <w:p w14:paraId="5BCD66C3" w14:textId="17A5C65B" w:rsidR="000842CE" w:rsidRPr="00CD24EC" w:rsidRDefault="000842CE" w:rsidP="000842CE">
      <w:pPr>
        <w:rPr>
          <w:rFonts w:eastAsia="Times New Roman"/>
          <w:b/>
          <w:szCs w:val="24"/>
        </w:rPr>
      </w:pPr>
      <w:r w:rsidRPr="00CD24EC">
        <w:rPr>
          <w:rFonts w:eastAsia="Times New Roman"/>
          <w:b/>
          <w:szCs w:val="24"/>
        </w:rPr>
        <w:t xml:space="preserve">Purpose </w:t>
      </w:r>
      <w:r w:rsidR="00600611" w:rsidRPr="00CD24EC">
        <w:rPr>
          <w:rFonts w:eastAsia="Times New Roman"/>
          <w:b/>
          <w:szCs w:val="24"/>
        </w:rPr>
        <w:t>of Supplementary Explanatory Statement</w:t>
      </w:r>
    </w:p>
    <w:p w14:paraId="080CFBE0" w14:textId="7843C4CD" w:rsidR="00600611" w:rsidRPr="00CD24EC" w:rsidRDefault="00600611" w:rsidP="000842CE">
      <w:pPr>
        <w:rPr>
          <w:rFonts w:eastAsia="Times New Roman"/>
          <w:szCs w:val="24"/>
        </w:rPr>
      </w:pPr>
      <w:r w:rsidRPr="00CD24EC">
        <w:rPr>
          <w:rFonts w:eastAsia="Times New Roman"/>
          <w:szCs w:val="24"/>
        </w:rPr>
        <w:t xml:space="preserve">This </w:t>
      </w:r>
      <w:r w:rsidR="009B507F" w:rsidRPr="00CD24EC">
        <w:rPr>
          <w:rFonts w:eastAsia="Times New Roman"/>
          <w:szCs w:val="24"/>
        </w:rPr>
        <w:t xml:space="preserve">supplementary </w:t>
      </w:r>
      <w:r w:rsidRPr="00CD24EC">
        <w:rPr>
          <w:rFonts w:eastAsia="Times New Roman"/>
          <w:szCs w:val="24"/>
        </w:rPr>
        <w:t xml:space="preserve">explanatory statement clarifies how the amendments made in the </w:t>
      </w:r>
      <w:r w:rsidRPr="00CD24EC">
        <w:rPr>
          <w:rFonts w:eastAsia="Times New Roman"/>
          <w:i/>
          <w:iCs/>
          <w:szCs w:val="24"/>
        </w:rPr>
        <w:t>National Health (Pharmaceutical Benefits Scheme-Exempt items - Section 84AH) Amendment Determination 2021 (No. 3)</w:t>
      </w:r>
      <w:r w:rsidRPr="00CD24EC">
        <w:rPr>
          <w:rFonts w:eastAsia="Times New Roman"/>
          <w:szCs w:val="24"/>
        </w:rPr>
        <w:t xml:space="preserve"> </w:t>
      </w:r>
      <w:r w:rsidRPr="00CD24EC">
        <w:rPr>
          <w:color w:val="000000"/>
        </w:rPr>
        <w:t xml:space="preserve">(the Amendment </w:t>
      </w:r>
      <w:r w:rsidR="00C86D00" w:rsidRPr="00CD24EC">
        <w:rPr>
          <w:color w:val="000000"/>
        </w:rPr>
        <w:t>Determination</w:t>
      </w:r>
      <w:r w:rsidRPr="00CD24EC">
        <w:rPr>
          <w:color w:val="000000"/>
        </w:rPr>
        <w:t xml:space="preserve">) </w:t>
      </w:r>
      <w:r w:rsidRPr="00CD24EC">
        <w:rPr>
          <w:rFonts w:eastAsia="Times New Roman"/>
          <w:szCs w:val="24"/>
        </w:rPr>
        <w:t xml:space="preserve">satisfies the legislative preconditions explained in </w:t>
      </w:r>
      <w:r w:rsidR="00A011AC" w:rsidRPr="00CD24EC">
        <w:rPr>
          <w:rFonts w:eastAsia="Times New Roman"/>
          <w:szCs w:val="24"/>
        </w:rPr>
        <w:t>s</w:t>
      </w:r>
      <w:r w:rsidRPr="00CD24EC">
        <w:rPr>
          <w:rFonts w:eastAsia="Times New Roman"/>
          <w:szCs w:val="24"/>
        </w:rPr>
        <w:t xml:space="preserve">ection 84AH of the </w:t>
      </w:r>
      <w:r w:rsidRPr="00CD24EC">
        <w:rPr>
          <w:rFonts w:eastAsia="Times New Roman"/>
          <w:i/>
          <w:szCs w:val="24"/>
        </w:rPr>
        <w:t>National Health Act 1953</w:t>
      </w:r>
      <w:r w:rsidRPr="00CD24EC">
        <w:rPr>
          <w:rFonts w:eastAsia="Times New Roman"/>
          <w:szCs w:val="24"/>
        </w:rPr>
        <w:t xml:space="preserve"> (the Act). </w:t>
      </w:r>
      <w:r w:rsidRPr="00CD24EC">
        <w:rPr>
          <w:color w:val="000000"/>
        </w:rPr>
        <w:t xml:space="preserve">The Amendment </w:t>
      </w:r>
      <w:r w:rsidR="00C86D00" w:rsidRPr="00CD24EC">
        <w:rPr>
          <w:color w:val="000000"/>
        </w:rPr>
        <w:t>Determination</w:t>
      </w:r>
      <w:r w:rsidRPr="00CD24EC">
        <w:rPr>
          <w:color w:val="000000"/>
        </w:rPr>
        <w:t xml:space="preserve"> amends the </w:t>
      </w:r>
      <w:r w:rsidRPr="00CD24EC">
        <w:rPr>
          <w:rFonts w:eastAsia="Times New Roman"/>
          <w:i/>
          <w:iCs/>
          <w:szCs w:val="24"/>
        </w:rPr>
        <w:t xml:space="preserve">National Health (Pharmaceutical Benefits Scheme‑Exempt items ‑ Section 84AH) Determination 2017 </w:t>
      </w:r>
      <w:r w:rsidRPr="00CD24EC">
        <w:rPr>
          <w:color w:val="000000"/>
          <w:szCs w:val="24"/>
        </w:rPr>
        <w:t>(the Principal Determination).</w:t>
      </w:r>
    </w:p>
    <w:p w14:paraId="0B947A8A" w14:textId="77777777" w:rsidR="00B214D5" w:rsidRPr="00CD24EC" w:rsidRDefault="00B214D5" w:rsidP="000842CE">
      <w:pPr>
        <w:rPr>
          <w:rFonts w:eastAsia="Times New Roman"/>
          <w:szCs w:val="24"/>
        </w:rPr>
      </w:pPr>
    </w:p>
    <w:p w14:paraId="5A2DC2E5" w14:textId="22FE3BE2" w:rsidR="00B214D5" w:rsidRPr="00CD24EC" w:rsidRDefault="000D32DB" w:rsidP="00B214D5">
      <w:pPr>
        <w:rPr>
          <w:rFonts w:eastAsia="Times New Roman"/>
          <w:b/>
          <w:szCs w:val="24"/>
        </w:rPr>
      </w:pPr>
      <w:r w:rsidRPr="00CD24EC">
        <w:rPr>
          <w:rFonts w:eastAsia="Times New Roman"/>
          <w:b/>
          <w:szCs w:val="24"/>
        </w:rPr>
        <w:t>Additional notes</w:t>
      </w:r>
    </w:p>
    <w:p w14:paraId="36F9E4A6" w14:textId="77777777" w:rsidR="00F83537" w:rsidRPr="00CD24EC" w:rsidRDefault="00C86D00" w:rsidP="00F83537">
      <w:pPr>
        <w:rPr>
          <w:rFonts w:eastAsia="Times New Roman"/>
          <w:b/>
          <w:i/>
          <w:iCs/>
          <w:szCs w:val="24"/>
        </w:rPr>
      </w:pPr>
      <w:r w:rsidRPr="00CD24EC">
        <w:rPr>
          <w:rFonts w:eastAsia="Times New Roman"/>
          <w:b/>
          <w:i/>
          <w:iCs/>
          <w:szCs w:val="24"/>
        </w:rPr>
        <w:t>Legislative preconditions</w:t>
      </w:r>
    </w:p>
    <w:p w14:paraId="767099E6" w14:textId="53567601" w:rsidR="00C451F2" w:rsidRPr="00CD24EC" w:rsidRDefault="00C451F2" w:rsidP="00F83537">
      <w:pPr>
        <w:rPr>
          <w:rFonts w:eastAsia="Times New Roman"/>
          <w:b/>
          <w:i/>
          <w:iCs/>
          <w:szCs w:val="24"/>
        </w:rPr>
      </w:pPr>
      <w:bookmarkStart w:id="0" w:name="_Hlk85029597"/>
      <w:r w:rsidRPr="00CD24EC">
        <w:rPr>
          <w:rFonts w:eastAsia="Times New Roman"/>
          <w:szCs w:val="24"/>
        </w:rPr>
        <w:t xml:space="preserve">At its </w:t>
      </w:r>
      <w:r w:rsidR="00421719" w:rsidRPr="00CD24EC">
        <w:rPr>
          <w:rFonts w:eastAsia="Times New Roman"/>
          <w:szCs w:val="24"/>
        </w:rPr>
        <w:t>July</w:t>
      </w:r>
      <w:r w:rsidRPr="00CD24EC">
        <w:rPr>
          <w:rFonts w:eastAsia="Times New Roman"/>
          <w:szCs w:val="24"/>
        </w:rPr>
        <w:t xml:space="preserve"> 2013 meeting, the Pharmaceutical Benefits Advisory Committee advised the Minister, in accordance with section 101(4AB) of the Act, that it </w:t>
      </w:r>
      <w:proofErr w:type="gramStart"/>
      <w:r w:rsidRPr="00CD24EC">
        <w:rPr>
          <w:rFonts w:eastAsia="Times New Roman"/>
          <w:szCs w:val="24"/>
        </w:rPr>
        <w:t>was of the opinion that</w:t>
      </w:r>
      <w:proofErr w:type="gramEnd"/>
      <w:r w:rsidRPr="00CD24EC">
        <w:rPr>
          <w:rFonts w:eastAsia="Times New Roman"/>
          <w:szCs w:val="24"/>
        </w:rPr>
        <w:t xml:space="preserve"> the following circumstances exist in relation to diazepam oral liquid:</w:t>
      </w:r>
    </w:p>
    <w:p w14:paraId="4AFC9C6B" w14:textId="253824CB" w:rsidR="00C451F2" w:rsidRPr="00CD24EC" w:rsidRDefault="00421719" w:rsidP="00421719">
      <w:pPr>
        <w:spacing w:before="240"/>
        <w:ind w:left="1134"/>
        <w:contextualSpacing/>
        <w:rPr>
          <w:rFonts w:eastAsia="Times New Roman"/>
          <w:szCs w:val="24"/>
        </w:rPr>
      </w:pPr>
      <w:r w:rsidRPr="00CD24EC">
        <w:rPr>
          <w:rFonts w:eastAsia="Times New Roman"/>
          <w:szCs w:val="24"/>
        </w:rPr>
        <w:t>(i</w:t>
      </w:r>
      <w:r w:rsidR="00C451F2" w:rsidRPr="00CD24EC">
        <w:rPr>
          <w:rFonts w:eastAsia="Times New Roman"/>
          <w:szCs w:val="24"/>
        </w:rPr>
        <w:t xml:space="preserve">) It represents suitable therapy for patients with chronic </w:t>
      </w:r>
      <w:proofErr w:type="gramStart"/>
      <w:r w:rsidR="00C451F2" w:rsidRPr="00CD24EC">
        <w:rPr>
          <w:rFonts w:eastAsia="Times New Roman"/>
          <w:szCs w:val="24"/>
        </w:rPr>
        <w:t>spasticity;</w:t>
      </w:r>
      <w:proofErr w:type="gramEnd"/>
    </w:p>
    <w:p w14:paraId="7F562913" w14:textId="13E358D6" w:rsidR="00C451F2" w:rsidRPr="00CD24EC" w:rsidRDefault="00421719" w:rsidP="00421719">
      <w:pPr>
        <w:spacing w:before="240"/>
        <w:ind w:left="1134"/>
        <w:contextualSpacing/>
        <w:rPr>
          <w:rFonts w:eastAsia="Times New Roman"/>
          <w:szCs w:val="24"/>
        </w:rPr>
      </w:pPr>
      <w:r w:rsidRPr="00CD24EC">
        <w:rPr>
          <w:rFonts w:eastAsia="Times New Roman"/>
          <w:szCs w:val="24"/>
        </w:rPr>
        <w:t>(ii</w:t>
      </w:r>
      <w:r w:rsidR="00C451F2" w:rsidRPr="00CD24EC">
        <w:rPr>
          <w:rFonts w:eastAsia="Times New Roman"/>
          <w:szCs w:val="24"/>
        </w:rPr>
        <w:t>) It is suitable for use by a particular subgroup of these patients who are paediatric and dysphagic because of their inability to swallow a solid dose form; and</w:t>
      </w:r>
    </w:p>
    <w:p w14:paraId="372FBFC7" w14:textId="1DEFCEF5" w:rsidR="00C451F2" w:rsidRPr="00CD24EC" w:rsidRDefault="00421719" w:rsidP="00421719">
      <w:pPr>
        <w:spacing w:before="240"/>
        <w:ind w:left="1134"/>
        <w:contextualSpacing/>
        <w:rPr>
          <w:rFonts w:eastAsia="Times New Roman"/>
          <w:szCs w:val="24"/>
        </w:rPr>
      </w:pPr>
      <w:r w:rsidRPr="00CD24EC">
        <w:rPr>
          <w:rFonts w:eastAsia="Times New Roman"/>
          <w:szCs w:val="24"/>
        </w:rPr>
        <w:t>(iii</w:t>
      </w:r>
      <w:r w:rsidR="00C451F2" w:rsidRPr="00CD24EC">
        <w:rPr>
          <w:rFonts w:eastAsia="Times New Roman"/>
          <w:szCs w:val="24"/>
        </w:rPr>
        <w:t>) No other pharmaceutical item that has diazepam is suitable for this subgroup</w:t>
      </w:r>
      <w:bookmarkEnd w:id="0"/>
      <w:r w:rsidR="00C451F2" w:rsidRPr="00CD24EC">
        <w:rPr>
          <w:rFonts w:eastAsia="Times New Roman"/>
          <w:szCs w:val="24"/>
        </w:rPr>
        <w:t>.</w:t>
      </w:r>
    </w:p>
    <w:p w14:paraId="289A9EF7" w14:textId="03D1D894" w:rsidR="00B214D5" w:rsidRPr="00CD24EC" w:rsidRDefault="00B214D5" w:rsidP="00B214D5">
      <w:pPr>
        <w:rPr>
          <w:rFonts w:eastAsia="Times New Roman"/>
          <w:szCs w:val="24"/>
        </w:rPr>
      </w:pPr>
    </w:p>
    <w:p w14:paraId="79138DD3" w14:textId="5AE1F5F7" w:rsidR="00E16A0C" w:rsidRPr="00CD24EC" w:rsidRDefault="0014336E" w:rsidP="00A45B0D">
      <w:pPr>
        <w:rPr>
          <w:rFonts w:eastAsia="Times New Roman"/>
          <w:szCs w:val="24"/>
        </w:rPr>
      </w:pPr>
      <w:r w:rsidRPr="00CD24EC">
        <w:rPr>
          <w:rFonts w:eastAsia="Times New Roman"/>
          <w:szCs w:val="24"/>
        </w:rPr>
        <w:t xml:space="preserve">Diazepam Elixir continues to be the only brand of diazepam </w:t>
      </w:r>
      <w:bookmarkStart w:id="1" w:name="_Hlk85028696"/>
      <w:r w:rsidRPr="00CD24EC">
        <w:rPr>
          <w:rFonts w:eastAsia="Times New Roman"/>
          <w:szCs w:val="24"/>
        </w:rPr>
        <w:t>oral liquid listed on the Pharmaceutical Benefits Scheme (PBS</w:t>
      </w:r>
      <w:bookmarkEnd w:id="1"/>
      <w:r w:rsidRPr="00CD24EC">
        <w:rPr>
          <w:rFonts w:eastAsia="Times New Roman"/>
          <w:szCs w:val="24"/>
        </w:rPr>
        <w:t xml:space="preserve">). While </w:t>
      </w:r>
      <w:bookmarkStart w:id="2" w:name="_Hlk85029102"/>
      <w:r w:rsidRPr="00CD24EC">
        <w:rPr>
          <w:rFonts w:eastAsia="Times New Roman"/>
          <w:szCs w:val="24"/>
        </w:rPr>
        <w:t>there are brands of other pharmaceutical items listed on the PBS with the same drug, diazepam</w:t>
      </w:r>
      <w:bookmarkEnd w:id="2"/>
      <w:r w:rsidRPr="00CD24EC">
        <w:rPr>
          <w:rFonts w:eastAsia="Times New Roman"/>
          <w:szCs w:val="24"/>
        </w:rPr>
        <w:t xml:space="preserve">, </w:t>
      </w:r>
      <w:bookmarkStart w:id="3" w:name="_Hlk85029045"/>
      <w:r w:rsidRPr="00CD24EC">
        <w:rPr>
          <w:rFonts w:eastAsia="Times New Roman"/>
          <w:bCs/>
          <w:szCs w:val="24"/>
        </w:rPr>
        <w:t>no listed brands are bioequivalent or biosimilar to Diazepam Elixir</w:t>
      </w:r>
      <w:bookmarkEnd w:id="3"/>
      <w:r w:rsidRPr="00CD24EC">
        <w:rPr>
          <w:rFonts w:eastAsia="Times New Roman"/>
          <w:szCs w:val="24"/>
        </w:rPr>
        <w:t xml:space="preserve">. </w:t>
      </w:r>
      <w:r w:rsidR="00E16A0C" w:rsidRPr="00CD24EC">
        <w:rPr>
          <w:rFonts w:eastAsia="Times New Roman"/>
          <w:szCs w:val="24"/>
        </w:rPr>
        <w:t xml:space="preserve">Diazepam </w:t>
      </w:r>
      <w:r w:rsidR="00137871" w:rsidRPr="00CD24EC">
        <w:rPr>
          <w:rFonts w:eastAsia="Times New Roman"/>
          <w:szCs w:val="24"/>
        </w:rPr>
        <w:t>oral liquid</w:t>
      </w:r>
      <w:r w:rsidR="00E16A0C" w:rsidRPr="00CD24EC">
        <w:rPr>
          <w:rFonts w:eastAsia="Times New Roman"/>
          <w:szCs w:val="24"/>
        </w:rPr>
        <w:t xml:space="preserve"> therefore meets the legislative preconditions explained in </w:t>
      </w:r>
      <w:r w:rsidR="00A011AC" w:rsidRPr="00CD24EC">
        <w:rPr>
          <w:rFonts w:eastAsia="Times New Roman"/>
          <w:szCs w:val="24"/>
        </w:rPr>
        <w:t>s</w:t>
      </w:r>
      <w:r w:rsidR="00E16A0C" w:rsidRPr="00CD24EC">
        <w:rPr>
          <w:rFonts w:eastAsia="Times New Roman"/>
          <w:szCs w:val="24"/>
        </w:rPr>
        <w:t xml:space="preserve">ection 84AH of the </w:t>
      </w:r>
      <w:r w:rsidR="00E16A0C" w:rsidRPr="00CD24EC">
        <w:rPr>
          <w:rFonts w:eastAsia="Times New Roman"/>
          <w:iCs/>
          <w:szCs w:val="24"/>
        </w:rPr>
        <w:t>Act.</w:t>
      </w:r>
    </w:p>
    <w:p w14:paraId="5183FA4C" w14:textId="77777777" w:rsidR="00F83537" w:rsidRPr="00CD24EC" w:rsidRDefault="00F83537" w:rsidP="00A45B0D">
      <w:pPr>
        <w:rPr>
          <w:rFonts w:eastAsia="Times New Roman"/>
          <w:b/>
          <w:bCs/>
          <w:i/>
          <w:iCs/>
          <w:szCs w:val="24"/>
        </w:rPr>
      </w:pPr>
    </w:p>
    <w:p w14:paraId="7C46B3D4" w14:textId="2BC57771" w:rsidR="00C86D00" w:rsidRPr="00CD24EC" w:rsidRDefault="00C86D00" w:rsidP="00A45B0D">
      <w:pPr>
        <w:rPr>
          <w:rFonts w:eastAsia="Times New Roman"/>
          <w:b/>
          <w:bCs/>
          <w:i/>
          <w:iCs/>
          <w:szCs w:val="24"/>
        </w:rPr>
      </w:pPr>
      <w:r w:rsidRPr="00CD24EC">
        <w:rPr>
          <w:rFonts w:eastAsia="Times New Roman"/>
          <w:b/>
          <w:bCs/>
          <w:i/>
          <w:iCs/>
          <w:szCs w:val="24"/>
        </w:rPr>
        <w:t>Changes made in the Amendment Determination</w:t>
      </w:r>
    </w:p>
    <w:p w14:paraId="0C40284D" w14:textId="640BE749" w:rsidR="004C7871" w:rsidRPr="00CD24EC" w:rsidRDefault="00C86D00" w:rsidP="004C7871">
      <w:pPr>
        <w:spacing w:after="240"/>
        <w:rPr>
          <w:rFonts w:eastAsia="Times New Roman"/>
          <w:szCs w:val="24"/>
        </w:rPr>
      </w:pPr>
      <w:r w:rsidRPr="00CD24EC">
        <w:rPr>
          <w:rFonts w:eastAsia="Times New Roman"/>
          <w:szCs w:val="24"/>
        </w:rPr>
        <w:t>The Amendment Determination included an editorial update to the form description of a medicine already listed on the Principal Determination – diazepam oral liquid.</w:t>
      </w:r>
    </w:p>
    <w:p w14:paraId="508CC56A" w14:textId="64D8C6F4" w:rsidR="008275CB" w:rsidRPr="00CD24EC" w:rsidRDefault="00A45B0D" w:rsidP="004C7871">
      <w:pPr>
        <w:spacing w:after="240"/>
        <w:rPr>
          <w:rFonts w:eastAsia="Times New Roman"/>
          <w:szCs w:val="24"/>
        </w:rPr>
      </w:pPr>
      <w:r w:rsidRPr="00CD24EC">
        <w:rPr>
          <w:rFonts w:eastAsia="Times New Roman"/>
          <w:szCs w:val="24"/>
        </w:rPr>
        <w:t>Diazepam</w:t>
      </w:r>
      <w:r w:rsidR="008275CB" w:rsidRPr="00CD24EC">
        <w:rPr>
          <w:rFonts w:eastAsia="Times New Roman"/>
          <w:szCs w:val="24"/>
        </w:rPr>
        <w:t xml:space="preserve"> </w:t>
      </w:r>
      <w:r w:rsidRPr="00CD24EC">
        <w:rPr>
          <w:rFonts w:eastAsia="Times New Roman"/>
          <w:szCs w:val="24"/>
        </w:rPr>
        <w:t xml:space="preserve">oral liquid was listed on the PBS on 1 August 2013. </w:t>
      </w:r>
      <w:r w:rsidR="007F43EB" w:rsidRPr="00CD24EC">
        <w:rPr>
          <w:rFonts w:eastAsia="Times New Roman"/>
          <w:szCs w:val="24"/>
        </w:rPr>
        <w:t>T</w:t>
      </w:r>
      <w:r w:rsidRPr="00CD24EC">
        <w:rPr>
          <w:rFonts w:eastAsia="Times New Roman"/>
          <w:szCs w:val="24"/>
        </w:rPr>
        <w:t xml:space="preserve">he </w:t>
      </w:r>
      <w:r w:rsidR="00B96A80" w:rsidRPr="00CD24EC">
        <w:rPr>
          <w:rFonts w:eastAsia="Times New Roman"/>
          <w:szCs w:val="24"/>
        </w:rPr>
        <w:t>form description for the product</w:t>
      </w:r>
      <w:r w:rsidRPr="00CD24EC">
        <w:rPr>
          <w:rFonts w:eastAsia="Times New Roman"/>
          <w:szCs w:val="24"/>
        </w:rPr>
        <w:t xml:space="preserve"> was </w:t>
      </w:r>
      <w:r w:rsidR="007F43EB" w:rsidRPr="00CD24EC">
        <w:rPr>
          <w:rFonts w:eastAsia="Times New Roman"/>
          <w:szCs w:val="24"/>
        </w:rPr>
        <w:t xml:space="preserve">included as </w:t>
      </w:r>
      <w:r w:rsidRPr="00CD24EC">
        <w:rPr>
          <w:rFonts w:eastAsia="Times New Roman"/>
          <w:i/>
          <w:iCs/>
          <w:szCs w:val="24"/>
        </w:rPr>
        <w:t>“</w:t>
      </w:r>
      <w:r w:rsidR="00B96A80" w:rsidRPr="00CD24EC">
        <w:rPr>
          <w:rFonts w:eastAsia="Times New Roman"/>
          <w:i/>
          <w:iCs/>
          <w:szCs w:val="24"/>
        </w:rPr>
        <w:t>Oral liquid 1 mg in 1 mL, 100 mL</w:t>
      </w:r>
      <w:r w:rsidRPr="00CD24EC">
        <w:rPr>
          <w:rFonts w:eastAsia="Times New Roman"/>
          <w:szCs w:val="24"/>
        </w:rPr>
        <w:t>”</w:t>
      </w:r>
      <w:r w:rsidR="008275CB" w:rsidRPr="00CD24EC">
        <w:rPr>
          <w:rFonts w:eastAsia="Times New Roman"/>
          <w:szCs w:val="24"/>
        </w:rPr>
        <w:t xml:space="preserve"> on the PBS Schedule.</w:t>
      </w:r>
      <w:r w:rsidR="007F43EB" w:rsidRPr="00CD24EC">
        <w:rPr>
          <w:rFonts w:eastAsia="Times New Roman"/>
          <w:szCs w:val="24"/>
        </w:rPr>
        <w:t xml:space="preserve"> T</w:t>
      </w:r>
      <w:r w:rsidR="00137871" w:rsidRPr="00CD24EC">
        <w:rPr>
          <w:rFonts w:eastAsia="Times New Roman"/>
          <w:szCs w:val="24"/>
        </w:rPr>
        <w:t>his</w:t>
      </w:r>
      <w:r w:rsidR="007F43EB" w:rsidRPr="00CD24EC">
        <w:rPr>
          <w:rFonts w:eastAsia="Times New Roman"/>
          <w:szCs w:val="24"/>
        </w:rPr>
        <w:t xml:space="preserve"> </w:t>
      </w:r>
      <w:r w:rsidR="00137871" w:rsidRPr="00CD24EC">
        <w:rPr>
          <w:rFonts w:eastAsia="Times New Roman"/>
          <w:szCs w:val="24"/>
        </w:rPr>
        <w:t>form description</w:t>
      </w:r>
      <w:r w:rsidR="008275CB" w:rsidRPr="00CD24EC">
        <w:rPr>
          <w:rFonts w:eastAsia="Times New Roman"/>
          <w:szCs w:val="24"/>
        </w:rPr>
        <w:t xml:space="preserve"> was</w:t>
      </w:r>
      <w:r w:rsidR="00B506EB" w:rsidRPr="00CD24EC">
        <w:rPr>
          <w:rFonts w:eastAsia="Times New Roman"/>
          <w:szCs w:val="24"/>
        </w:rPr>
        <w:t xml:space="preserve"> subsequently</w:t>
      </w:r>
      <w:r w:rsidR="008275CB" w:rsidRPr="00CD24EC">
        <w:rPr>
          <w:rFonts w:eastAsia="Times New Roman"/>
          <w:szCs w:val="24"/>
        </w:rPr>
        <w:t xml:space="preserve"> included in the amendments to the Principal Determination.</w:t>
      </w:r>
    </w:p>
    <w:p w14:paraId="4C13F355" w14:textId="6516E866" w:rsidR="004F5C11" w:rsidRPr="00CD24EC" w:rsidRDefault="008275CB" w:rsidP="004C7871">
      <w:pPr>
        <w:spacing w:before="120" w:after="240"/>
      </w:pPr>
      <w:r w:rsidRPr="00CD24EC">
        <w:rPr>
          <w:rFonts w:eastAsia="Times New Roman"/>
          <w:szCs w:val="24"/>
        </w:rPr>
        <w:t xml:space="preserve">In 2021, the Australian Digital Health Agency (ADHA) changed the </w:t>
      </w:r>
      <w:r w:rsidR="007F43EB" w:rsidRPr="00CD24EC">
        <w:rPr>
          <w:rFonts w:eastAsia="Times New Roman"/>
          <w:szCs w:val="24"/>
        </w:rPr>
        <w:t xml:space="preserve">Australian Medicines Terminology (AMT) </w:t>
      </w:r>
      <w:r w:rsidRPr="00CD24EC">
        <w:rPr>
          <w:rFonts w:eastAsia="Times New Roman"/>
          <w:szCs w:val="24"/>
        </w:rPr>
        <w:t xml:space="preserve">descriptors for diazepam oral liquid to describe </w:t>
      </w:r>
      <w:r w:rsidR="007F43EB" w:rsidRPr="00CD24EC">
        <w:rPr>
          <w:rFonts w:eastAsia="Times New Roman"/>
          <w:szCs w:val="24"/>
        </w:rPr>
        <w:t>its</w:t>
      </w:r>
      <w:r w:rsidRPr="00CD24EC">
        <w:rPr>
          <w:rFonts w:eastAsia="Times New Roman"/>
          <w:szCs w:val="24"/>
        </w:rPr>
        <w:t xml:space="preserve"> strength as “10 mg/10 mL”. </w:t>
      </w:r>
      <w:r w:rsidR="00B506EB" w:rsidRPr="00CD24EC">
        <w:t>O</w:t>
      </w:r>
      <w:r w:rsidRPr="00CD24EC">
        <w:rPr>
          <w:rFonts w:eastAsia="Times New Roman"/>
          <w:szCs w:val="24"/>
        </w:rPr>
        <w:t>n 1 September 2021, a</w:t>
      </w:r>
      <w:r w:rsidR="00BF4590" w:rsidRPr="00CD24EC">
        <w:rPr>
          <w:rFonts w:eastAsia="Times New Roman"/>
          <w:szCs w:val="24"/>
        </w:rPr>
        <w:t> modification</w:t>
      </w:r>
      <w:r w:rsidRPr="00CD24EC">
        <w:rPr>
          <w:rFonts w:eastAsia="Times New Roman"/>
          <w:szCs w:val="24"/>
        </w:rPr>
        <w:t xml:space="preserve"> </w:t>
      </w:r>
      <w:r w:rsidR="00B506EB" w:rsidRPr="00CD24EC">
        <w:rPr>
          <w:rFonts w:eastAsia="Times New Roman"/>
          <w:szCs w:val="24"/>
        </w:rPr>
        <w:t>to</w:t>
      </w:r>
      <w:r w:rsidRPr="00CD24EC">
        <w:rPr>
          <w:rFonts w:eastAsia="Times New Roman"/>
          <w:szCs w:val="24"/>
        </w:rPr>
        <w:t xml:space="preserve"> the form description</w:t>
      </w:r>
      <w:r w:rsidR="00B506EB" w:rsidRPr="00CD24EC">
        <w:rPr>
          <w:rFonts w:eastAsia="Times New Roman"/>
          <w:szCs w:val="24"/>
        </w:rPr>
        <w:t xml:space="preserve"> on the PBS Schedule</w:t>
      </w:r>
      <w:r w:rsidRPr="00CD24EC">
        <w:rPr>
          <w:rFonts w:eastAsia="Times New Roman"/>
          <w:szCs w:val="24"/>
        </w:rPr>
        <w:t xml:space="preserve"> to </w:t>
      </w:r>
      <w:r w:rsidRPr="00CD24EC">
        <w:rPr>
          <w:rFonts w:eastAsia="Times New Roman"/>
          <w:i/>
          <w:iCs/>
          <w:szCs w:val="24"/>
        </w:rPr>
        <w:t>“Oral liquid 10 mg per 10 mL, 100 mL”</w:t>
      </w:r>
      <w:r w:rsidRPr="00CD24EC">
        <w:rPr>
          <w:rFonts w:eastAsia="Times New Roman"/>
          <w:szCs w:val="24"/>
        </w:rPr>
        <w:t xml:space="preserve"> </w:t>
      </w:r>
      <w:r w:rsidR="00B506EB" w:rsidRPr="00CD24EC">
        <w:rPr>
          <w:rFonts w:eastAsia="Times New Roman"/>
          <w:szCs w:val="24"/>
        </w:rPr>
        <w:t>was implemented to reflect the new AMT descriptor.</w:t>
      </w:r>
    </w:p>
    <w:p w14:paraId="2BD838A3" w14:textId="37B4C5C5" w:rsidR="00B506EB" w:rsidRPr="00CD24EC" w:rsidRDefault="00B506EB" w:rsidP="004C7871">
      <w:pPr>
        <w:spacing w:after="240"/>
        <w:rPr>
          <w:rFonts w:eastAsia="Times New Roman"/>
          <w:szCs w:val="24"/>
        </w:rPr>
      </w:pPr>
      <w:r w:rsidRPr="00CD24EC">
        <w:rPr>
          <w:rFonts w:eastAsia="Times New Roman"/>
          <w:szCs w:val="24"/>
        </w:rPr>
        <w:t>As a result, e</w:t>
      </w:r>
      <w:r w:rsidR="008275CB" w:rsidRPr="00CD24EC">
        <w:rPr>
          <w:rFonts w:eastAsia="Times New Roman"/>
          <w:szCs w:val="24"/>
        </w:rPr>
        <w:t>ditorial changes to the Principal Determination</w:t>
      </w:r>
      <w:r w:rsidRPr="00CD24EC">
        <w:rPr>
          <w:rFonts w:eastAsia="Times New Roman"/>
          <w:szCs w:val="24"/>
        </w:rPr>
        <w:t xml:space="preserve"> to reflect the new AMT descriptor</w:t>
      </w:r>
      <w:r w:rsidR="004C7871" w:rsidRPr="00CD24EC">
        <w:rPr>
          <w:rFonts w:eastAsia="Times New Roman"/>
          <w:szCs w:val="24"/>
        </w:rPr>
        <w:t>,</w:t>
      </w:r>
      <w:r w:rsidRPr="00CD24EC">
        <w:rPr>
          <w:rFonts w:eastAsia="Times New Roman"/>
          <w:szCs w:val="24"/>
        </w:rPr>
        <w:t xml:space="preserve"> </w:t>
      </w:r>
      <w:r w:rsidRPr="00CD24EC">
        <w:rPr>
          <w:rFonts w:eastAsia="Times New Roman"/>
          <w:i/>
          <w:iCs/>
          <w:szCs w:val="24"/>
        </w:rPr>
        <w:t>“Oral liquid 10 mg per 10 mL, 100 mL”</w:t>
      </w:r>
      <w:r w:rsidR="004C7871" w:rsidRPr="00CD24EC">
        <w:rPr>
          <w:rFonts w:eastAsia="Times New Roman"/>
          <w:i/>
          <w:iCs/>
          <w:szCs w:val="24"/>
        </w:rPr>
        <w:t>,</w:t>
      </w:r>
      <w:r w:rsidRPr="00CD24EC">
        <w:rPr>
          <w:rFonts w:eastAsia="Times New Roman"/>
          <w:szCs w:val="24"/>
        </w:rPr>
        <w:t xml:space="preserve"> </w:t>
      </w:r>
      <w:r w:rsidR="008275CB" w:rsidRPr="00CD24EC">
        <w:rPr>
          <w:rFonts w:eastAsia="Times New Roman"/>
          <w:szCs w:val="24"/>
        </w:rPr>
        <w:t>were made via the Amend</w:t>
      </w:r>
      <w:r w:rsidR="00C86D00" w:rsidRPr="00CD24EC">
        <w:rPr>
          <w:rFonts w:eastAsia="Times New Roman"/>
          <w:szCs w:val="24"/>
        </w:rPr>
        <w:t xml:space="preserve">ment Determination </w:t>
      </w:r>
      <w:r w:rsidR="008275CB" w:rsidRPr="00CD24EC">
        <w:rPr>
          <w:rFonts w:eastAsia="Times New Roman"/>
          <w:szCs w:val="24"/>
        </w:rPr>
        <w:t>for consistency with the PBS Schedule.</w:t>
      </w:r>
    </w:p>
    <w:p w14:paraId="74B3DC41" w14:textId="29A5EA8F" w:rsidR="00B506EB" w:rsidRDefault="00B506EB" w:rsidP="00B506EB">
      <w:pPr>
        <w:rPr>
          <w:rFonts w:eastAsia="Times New Roman"/>
          <w:szCs w:val="24"/>
        </w:rPr>
      </w:pPr>
      <w:r w:rsidRPr="00CD24EC">
        <w:rPr>
          <w:rFonts w:eastAsia="Times New Roman"/>
          <w:szCs w:val="24"/>
        </w:rPr>
        <w:lastRenderedPageBreak/>
        <w:t xml:space="preserve">This change does not affect the exempt status of diazepam oral liquid, as the circumstances of the listing have not changed, and the item continues to meet the legislative preconditions outlined in </w:t>
      </w:r>
      <w:r w:rsidR="00A011AC" w:rsidRPr="00CD24EC">
        <w:rPr>
          <w:rFonts w:eastAsia="Times New Roman"/>
          <w:szCs w:val="24"/>
        </w:rPr>
        <w:t>s</w:t>
      </w:r>
      <w:r w:rsidRPr="00CD24EC">
        <w:rPr>
          <w:rFonts w:eastAsia="Times New Roman"/>
          <w:szCs w:val="24"/>
        </w:rPr>
        <w:t>ection 84AH of the Act.</w:t>
      </w:r>
      <w:r>
        <w:rPr>
          <w:rFonts w:eastAsia="Times New Roman"/>
          <w:szCs w:val="24"/>
        </w:rPr>
        <w:t xml:space="preserve"> </w:t>
      </w:r>
    </w:p>
    <w:p w14:paraId="007D8A46" w14:textId="17763231" w:rsidR="009B7B48" w:rsidRPr="0000482A" w:rsidRDefault="009B7B48" w:rsidP="0000482A">
      <w:pPr>
        <w:spacing w:before="120" w:after="120"/>
      </w:pPr>
    </w:p>
    <w:sectPr w:rsidR="009B7B48" w:rsidRPr="0000482A" w:rsidSect="00545FD5">
      <w:footerReference w:type="even" r:id="rId8"/>
      <w:footerReference w:type="default" r:id="rId9"/>
      <w:footerReference w:type="first" r:id="rId10"/>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A2CA9" w14:textId="77777777" w:rsidR="006768B6" w:rsidRDefault="006768B6">
      <w:r>
        <w:separator/>
      </w:r>
    </w:p>
  </w:endnote>
  <w:endnote w:type="continuationSeparator" w:id="0">
    <w:p w14:paraId="74F99473" w14:textId="77777777" w:rsidR="006768B6" w:rsidRDefault="0067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0D579" w14:textId="77777777"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A6DF4" w14:textId="77777777" w:rsidR="009D3B4C" w:rsidRDefault="009D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308002"/>
      <w:docPartObj>
        <w:docPartGallery w:val="Page Numbers (Bottom of Page)"/>
        <w:docPartUnique/>
      </w:docPartObj>
    </w:sdtPr>
    <w:sdtEndPr>
      <w:rPr>
        <w:noProof/>
      </w:rPr>
    </w:sdtEndPr>
    <w:sdtContent>
      <w:p w14:paraId="0EEABE03" w14:textId="56E318FF" w:rsidR="00857EF3" w:rsidRDefault="00857EF3">
        <w:pPr>
          <w:pStyle w:val="Footer"/>
          <w:jc w:val="right"/>
        </w:pPr>
        <w:r>
          <w:fldChar w:fldCharType="begin"/>
        </w:r>
        <w:r>
          <w:instrText xml:space="preserve"> PAGE   \* MERGEFORMAT </w:instrText>
        </w:r>
        <w:r>
          <w:fldChar w:fldCharType="separate"/>
        </w:r>
        <w:r w:rsidR="00BF1C0F">
          <w:rPr>
            <w:noProof/>
          </w:rPr>
          <w:t>3</w:t>
        </w:r>
        <w:r>
          <w:rPr>
            <w:noProof/>
          </w:rPr>
          <w:fldChar w:fldCharType="end"/>
        </w:r>
      </w:p>
    </w:sdtContent>
  </w:sdt>
  <w:p w14:paraId="5E882A04" w14:textId="77777777" w:rsidR="009D3B4C" w:rsidRDefault="009D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B8771" w14:textId="77777777" w:rsidR="009D3B4C" w:rsidRDefault="009D3B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E8736" w14:textId="77777777" w:rsidR="006768B6" w:rsidRDefault="006768B6">
      <w:r>
        <w:separator/>
      </w:r>
    </w:p>
  </w:footnote>
  <w:footnote w:type="continuationSeparator" w:id="0">
    <w:p w14:paraId="6FD11E58" w14:textId="77777777" w:rsidR="006768B6" w:rsidRDefault="0067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15:restartNumberingAfterBreak="0">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B34CE1"/>
    <w:multiLevelType w:val="hybridMultilevel"/>
    <w:tmpl w:val="25800666"/>
    <w:lvl w:ilvl="0" w:tplc="D02EEE90">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D84510"/>
    <w:multiLevelType w:val="hybridMultilevel"/>
    <w:tmpl w:val="08B0830A"/>
    <w:lvl w:ilvl="0" w:tplc="C152F310">
      <w:start w:val="1"/>
      <w:numFmt w:val="lowerLetter"/>
      <w:lvlText w:val="(%1)"/>
      <w:lvlJc w:val="left"/>
      <w:pPr>
        <w:tabs>
          <w:tab w:val="num" w:pos="720"/>
        </w:tabs>
        <w:ind w:left="720" w:hanging="360"/>
      </w:pPr>
      <w:rPr>
        <w:rFonts w:hint="default"/>
      </w:rPr>
    </w:lvl>
    <w:lvl w:ilvl="1" w:tplc="0C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6"/>
  </w:num>
  <w:num w:numId="5">
    <w:abstractNumId w:val="3"/>
  </w:num>
  <w:num w:numId="6">
    <w:abstractNumId w:val="1"/>
  </w:num>
  <w:num w:numId="7">
    <w:abstractNumId w:val="3"/>
  </w:num>
  <w:num w:numId="8">
    <w:abstractNumId w:val="2"/>
  </w:num>
  <w:num w:numId="9">
    <w:abstractNumId w:val="7"/>
  </w:num>
  <w:num w:numId="10">
    <w:abstractNumId w:val="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51"/>
    <w:rsid w:val="0000196B"/>
    <w:rsid w:val="0000291D"/>
    <w:rsid w:val="00002F6E"/>
    <w:rsid w:val="0000482A"/>
    <w:rsid w:val="00006F85"/>
    <w:rsid w:val="0000759D"/>
    <w:rsid w:val="00007CC9"/>
    <w:rsid w:val="00010AA3"/>
    <w:rsid w:val="0001397F"/>
    <w:rsid w:val="00014219"/>
    <w:rsid w:val="00017E2D"/>
    <w:rsid w:val="0002109D"/>
    <w:rsid w:val="000215EC"/>
    <w:rsid w:val="00022A6F"/>
    <w:rsid w:val="0002352A"/>
    <w:rsid w:val="00030A8F"/>
    <w:rsid w:val="0003409B"/>
    <w:rsid w:val="000347BD"/>
    <w:rsid w:val="00037D77"/>
    <w:rsid w:val="000444B8"/>
    <w:rsid w:val="00045B6B"/>
    <w:rsid w:val="00045FCB"/>
    <w:rsid w:val="00046B26"/>
    <w:rsid w:val="000502CB"/>
    <w:rsid w:val="00053ED9"/>
    <w:rsid w:val="00054277"/>
    <w:rsid w:val="00055C41"/>
    <w:rsid w:val="0005652C"/>
    <w:rsid w:val="00064241"/>
    <w:rsid w:val="0006619C"/>
    <w:rsid w:val="000662DC"/>
    <w:rsid w:val="000674F6"/>
    <w:rsid w:val="0006752E"/>
    <w:rsid w:val="000710B8"/>
    <w:rsid w:val="00072C11"/>
    <w:rsid w:val="00074047"/>
    <w:rsid w:val="00076874"/>
    <w:rsid w:val="00076BF0"/>
    <w:rsid w:val="000770CD"/>
    <w:rsid w:val="000841A2"/>
    <w:rsid w:val="000842CE"/>
    <w:rsid w:val="00085562"/>
    <w:rsid w:val="000855A6"/>
    <w:rsid w:val="00085BCB"/>
    <w:rsid w:val="000900B6"/>
    <w:rsid w:val="0009045D"/>
    <w:rsid w:val="000950CA"/>
    <w:rsid w:val="00095F63"/>
    <w:rsid w:val="000A1BD6"/>
    <w:rsid w:val="000A2C44"/>
    <w:rsid w:val="000A5036"/>
    <w:rsid w:val="000A71C2"/>
    <w:rsid w:val="000A77FA"/>
    <w:rsid w:val="000B53F4"/>
    <w:rsid w:val="000B66AC"/>
    <w:rsid w:val="000B6904"/>
    <w:rsid w:val="000C0DE7"/>
    <w:rsid w:val="000C1588"/>
    <w:rsid w:val="000C1CB5"/>
    <w:rsid w:val="000C3185"/>
    <w:rsid w:val="000C403C"/>
    <w:rsid w:val="000C7081"/>
    <w:rsid w:val="000C7982"/>
    <w:rsid w:val="000D1C21"/>
    <w:rsid w:val="000D2975"/>
    <w:rsid w:val="000D32DB"/>
    <w:rsid w:val="000D4A64"/>
    <w:rsid w:val="000D61BA"/>
    <w:rsid w:val="000D7518"/>
    <w:rsid w:val="000E0DDD"/>
    <w:rsid w:val="000E1FA6"/>
    <w:rsid w:val="000E58EF"/>
    <w:rsid w:val="000E77CA"/>
    <w:rsid w:val="000E7ECF"/>
    <w:rsid w:val="000F0AAE"/>
    <w:rsid w:val="000F2BEB"/>
    <w:rsid w:val="000F318E"/>
    <w:rsid w:val="000F32DF"/>
    <w:rsid w:val="000F4F4D"/>
    <w:rsid w:val="000F695B"/>
    <w:rsid w:val="00100DB2"/>
    <w:rsid w:val="001055A9"/>
    <w:rsid w:val="001059E4"/>
    <w:rsid w:val="001109AF"/>
    <w:rsid w:val="00112C74"/>
    <w:rsid w:val="00113168"/>
    <w:rsid w:val="00114969"/>
    <w:rsid w:val="00117054"/>
    <w:rsid w:val="001170AB"/>
    <w:rsid w:val="00117F23"/>
    <w:rsid w:val="0012120D"/>
    <w:rsid w:val="001213EF"/>
    <w:rsid w:val="00124E41"/>
    <w:rsid w:val="00125A22"/>
    <w:rsid w:val="00126829"/>
    <w:rsid w:val="0013060B"/>
    <w:rsid w:val="00131E4E"/>
    <w:rsid w:val="00137812"/>
    <w:rsid w:val="00137871"/>
    <w:rsid w:val="0014336E"/>
    <w:rsid w:val="00143F8F"/>
    <w:rsid w:val="00146FB8"/>
    <w:rsid w:val="00151492"/>
    <w:rsid w:val="00154671"/>
    <w:rsid w:val="00157F51"/>
    <w:rsid w:val="0016280F"/>
    <w:rsid w:val="0016524E"/>
    <w:rsid w:val="0016619D"/>
    <w:rsid w:val="00171F6F"/>
    <w:rsid w:val="0017212D"/>
    <w:rsid w:val="001735C4"/>
    <w:rsid w:val="00174C04"/>
    <w:rsid w:val="0017698D"/>
    <w:rsid w:val="00177BBC"/>
    <w:rsid w:val="00184579"/>
    <w:rsid w:val="00184700"/>
    <w:rsid w:val="001847A8"/>
    <w:rsid w:val="00185BF1"/>
    <w:rsid w:val="0018639D"/>
    <w:rsid w:val="0018656C"/>
    <w:rsid w:val="001868C0"/>
    <w:rsid w:val="00187D47"/>
    <w:rsid w:val="00190459"/>
    <w:rsid w:val="00190CE8"/>
    <w:rsid w:val="00191F6F"/>
    <w:rsid w:val="0019246A"/>
    <w:rsid w:val="00192618"/>
    <w:rsid w:val="0019272C"/>
    <w:rsid w:val="00192E40"/>
    <w:rsid w:val="00193B12"/>
    <w:rsid w:val="001967CE"/>
    <w:rsid w:val="00196850"/>
    <w:rsid w:val="00197F3B"/>
    <w:rsid w:val="001A0848"/>
    <w:rsid w:val="001A108E"/>
    <w:rsid w:val="001A10B0"/>
    <w:rsid w:val="001A31CE"/>
    <w:rsid w:val="001A3D5A"/>
    <w:rsid w:val="001A7978"/>
    <w:rsid w:val="001B0492"/>
    <w:rsid w:val="001B2734"/>
    <w:rsid w:val="001B3E19"/>
    <w:rsid w:val="001B4088"/>
    <w:rsid w:val="001B45A6"/>
    <w:rsid w:val="001B58A4"/>
    <w:rsid w:val="001C173D"/>
    <w:rsid w:val="001C32BE"/>
    <w:rsid w:val="001C36E3"/>
    <w:rsid w:val="001C41B3"/>
    <w:rsid w:val="001C4C18"/>
    <w:rsid w:val="001C56CB"/>
    <w:rsid w:val="001C5E73"/>
    <w:rsid w:val="001C70B5"/>
    <w:rsid w:val="001D0BCA"/>
    <w:rsid w:val="001D20AF"/>
    <w:rsid w:val="001D431A"/>
    <w:rsid w:val="001D560B"/>
    <w:rsid w:val="001D6872"/>
    <w:rsid w:val="001E07AD"/>
    <w:rsid w:val="001E0886"/>
    <w:rsid w:val="001E244C"/>
    <w:rsid w:val="001E2C22"/>
    <w:rsid w:val="001E614C"/>
    <w:rsid w:val="001F3B08"/>
    <w:rsid w:val="001F4913"/>
    <w:rsid w:val="001F4CCB"/>
    <w:rsid w:val="001F6CE7"/>
    <w:rsid w:val="001F7119"/>
    <w:rsid w:val="001F7F36"/>
    <w:rsid w:val="00204472"/>
    <w:rsid w:val="0020494A"/>
    <w:rsid w:val="002077BC"/>
    <w:rsid w:val="002106A7"/>
    <w:rsid w:val="00211983"/>
    <w:rsid w:val="00213E7A"/>
    <w:rsid w:val="00214F2C"/>
    <w:rsid w:val="00215DE0"/>
    <w:rsid w:val="002167E6"/>
    <w:rsid w:val="00217099"/>
    <w:rsid w:val="00223098"/>
    <w:rsid w:val="00224702"/>
    <w:rsid w:val="0022746D"/>
    <w:rsid w:val="0023061E"/>
    <w:rsid w:val="002338C9"/>
    <w:rsid w:val="00233EE7"/>
    <w:rsid w:val="0023725F"/>
    <w:rsid w:val="002377E1"/>
    <w:rsid w:val="00237ACB"/>
    <w:rsid w:val="00237BC5"/>
    <w:rsid w:val="00241840"/>
    <w:rsid w:val="00242045"/>
    <w:rsid w:val="0024213B"/>
    <w:rsid w:val="002445CA"/>
    <w:rsid w:val="00246E3E"/>
    <w:rsid w:val="0025102E"/>
    <w:rsid w:val="002525B9"/>
    <w:rsid w:val="00253452"/>
    <w:rsid w:val="00254ABD"/>
    <w:rsid w:val="00254F2A"/>
    <w:rsid w:val="0025597A"/>
    <w:rsid w:val="00260379"/>
    <w:rsid w:val="002607CF"/>
    <w:rsid w:val="00263246"/>
    <w:rsid w:val="00263850"/>
    <w:rsid w:val="00264B37"/>
    <w:rsid w:val="00264F93"/>
    <w:rsid w:val="00265D24"/>
    <w:rsid w:val="00265EBA"/>
    <w:rsid w:val="0027129B"/>
    <w:rsid w:val="00271593"/>
    <w:rsid w:val="002715A8"/>
    <w:rsid w:val="002774CC"/>
    <w:rsid w:val="0028068D"/>
    <w:rsid w:val="00280E9C"/>
    <w:rsid w:val="00281ECA"/>
    <w:rsid w:val="002841FF"/>
    <w:rsid w:val="0028602A"/>
    <w:rsid w:val="00286B1C"/>
    <w:rsid w:val="00291C4C"/>
    <w:rsid w:val="002932D0"/>
    <w:rsid w:val="0029379A"/>
    <w:rsid w:val="002937D3"/>
    <w:rsid w:val="00297880"/>
    <w:rsid w:val="00297D37"/>
    <w:rsid w:val="002A3381"/>
    <w:rsid w:val="002B0AAE"/>
    <w:rsid w:val="002B1607"/>
    <w:rsid w:val="002B1F78"/>
    <w:rsid w:val="002B30FE"/>
    <w:rsid w:val="002B3768"/>
    <w:rsid w:val="002B72E4"/>
    <w:rsid w:val="002B7D10"/>
    <w:rsid w:val="002C0D84"/>
    <w:rsid w:val="002C1BC5"/>
    <w:rsid w:val="002C4953"/>
    <w:rsid w:val="002C4A68"/>
    <w:rsid w:val="002C4E19"/>
    <w:rsid w:val="002C58DC"/>
    <w:rsid w:val="002C5AC5"/>
    <w:rsid w:val="002C6601"/>
    <w:rsid w:val="002C76E6"/>
    <w:rsid w:val="002D02FA"/>
    <w:rsid w:val="002D1BC3"/>
    <w:rsid w:val="002D1E66"/>
    <w:rsid w:val="002D2139"/>
    <w:rsid w:val="002D2F03"/>
    <w:rsid w:val="002D3909"/>
    <w:rsid w:val="002D4C3E"/>
    <w:rsid w:val="002E00F6"/>
    <w:rsid w:val="002E0179"/>
    <w:rsid w:val="002E09BE"/>
    <w:rsid w:val="002E1251"/>
    <w:rsid w:val="002E661B"/>
    <w:rsid w:val="002F599B"/>
    <w:rsid w:val="002F7398"/>
    <w:rsid w:val="002F7A9D"/>
    <w:rsid w:val="0030718D"/>
    <w:rsid w:val="00307973"/>
    <w:rsid w:val="0031165B"/>
    <w:rsid w:val="00314FB4"/>
    <w:rsid w:val="00316007"/>
    <w:rsid w:val="00316DE5"/>
    <w:rsid w:val="00317D0E"/>
    <w:rsid w:val="00320F17"/>
    <w:rsid w:val="00321F83"/>
    <w:rsid w:val="00322244"/>
    <w:rsid w:val="0032235F"/>
    <w:rsid w:val="00323C78"/>
    <w:rsid w:val="00330080"/>
    <w:rsid w:val="0033175F"/>
    <w:rsid w:val="0033258F"/>
    <w:rsid w:val="003372E8"/>
    <w:rsid w:val="003413F6"/>
    <w:rsid w:val="00341CC1"/>
    <w:rsid w:val="00343596"/>
    <w:rsid w:val="00343C63"/>
    <w:rsid w:val="00344112"/>
    <w:rsid w:val="00344B38"/>
    <w:rsid w:val="0035370F"/>
    <w:rsid w:val="00354EEA"/>
    <w:rsid w:val="00355194"/>
    <w:rsid w:val="003555C5"/>
    <w:rsid w:val="003558E8"/>
    <w:rsid w:val="00355A90"/>
    <w:rsid w:val="00356562"/>
    <w:rsid w:val="00356FEB"/>
    <w:rsid w:val="00360424"/>
    <w:rsid w:val="003615FF"/>
    <w:rsid w:val="00361D4E"/>
    <w:rsid w:val="00361F47"/>
    <w:rsid w:val="00363A16"/>
    <w:rsid w:val="0036528E"/>
    <w:rsid w:val="00365D31"/>
    <w:rsid w:val="0037058C"/>
    <w:rsid w:val="00370821"/>
    <w:rsid w:val="00371AC1"/>
    <w:rsid w:val="00371C9F"/>
    <w:rsid w:val="0037202D"/>
    <w:rsid w:val="003720F0"/>
    <w:rsid w:val="003759F9"/>
    <w:rsid w:val="00376230"/>
    <w:rsid w:val="003771EA"/>
    <w:rsid w:val="003801E8"/>
    <w:rsid w:val="00381BE7"/>
    <w:rsid w:val="00382123"/>
    <w:rsid w:val="003821CD"/>
    <w:rsid w:val="00383326"/>
    <w:rsid w:val="00387DCB"/>
    <w:rsid w:val="00391FA2"/>
    <w:rsid w:val="0039510D"/>
    <w:rsid w:val="003A098E"/>
    <w:rsid w:val="003A50B8"/>
    <w:rsid w:val="003A53D3"/>
    <w:rsid w:val="003A56B8"/>
    <w:rsid w:val="003A57DF"/>
    <w:rsid w:val="003A5AC4"/>
    <w:rsid w:val="003B12E9"/>
    <w:rsid w:val="003B1F82"/>
    <w:rsid w:val="003B208B"/>
    <w:rsid w:val="003B2282"/>
    <w:rsid w:val="003B3A99"/>
    <w:rsid w:val="003B3CE7"/>
    <w:rsid w:val="003B46B3"/>
    <w:rsid w:val="003B4B04"/>
    <w:rsid w:val="003B4FF5"/>
    <w:rsid w:val="003B68F3"/>
    <w:rsid w:val="003C0852"/>
    <w:rsid w:val="003C1CC3"/>
    <w:rsid w:val="003C27F2"/>
    <w:rsid w:val="003C359B"/>
    <w:rsid w:val="003C70A8"/>
    <w:rsid w:val="003C7D91"/>
    <w:rsid w:val="003C7F4F"/>
    <w:rsid w:val="003D038E"/>
    <w:rsid w:val="003D26DD"/>
    <w:rsid w:val="003D2D5B"/>
    <w:rsid w:val="003D7A54"/>
    <w:rsid w:val="003E156A"/>
    <w:rsid w:val="003E2B1F"/>
    <w:rsid w:val="003E360A"/>
    <w:rsid w:val="003E37BE"/>
    <w:rsid w:val="003E3BE5"/>
    <w:rsid w:val="003E5E35"/>
    <w:rsid w:val="003E74BC"/>
    <w:rsid w:val="003F11C4"/>
    <w:rsid w:val="003F67B6"/>
    <w:rsid w:val="003F70CA"/>
    <w:rsid w:val="00400544"/>
    <w:rsid w:val="00402D41"/>
    <w:rsid w:val="00404B93"/>
    <w:rsid w:val="0040727B"/>
    <w:rsid w:val="004073F1"/>
    <w:rsid w:val="00407476"/>
    <w:rsid w:val="004167F4"/>
    <w:rsid w:val="00416E05"/>
    <w:rsid w:val="00417435"/>
    <w:rsid w:val="00420F6C"/>
    <w:rsid w:val="00421719"/>
    <w:rsid w:val="0042225F"/>
    <w:rsid w:val="00422C70"/>
    <w:rsid w:val="0043162F"/>
    <w:rsid w:val="00432F89"/>
    <w:rsid w:val="00433BDD"/>
    <w:rsid w:val="004369CF"/>
    <w:rsid w:val="00436D92"/>
    <w:rsid w:val="004410E3"/>
    <w:rsid w:val="00445768"/>
    <w:rsid w:val="004457BE"/>
    <w:rsid w:val="00447AE1"/>
    <w:rsid w:val="00450918"/>
    <w:rsid w:val="00450A9F"/>
    <w:rsid w:val="004517A7"/>
    <w:rsid w:val="00455199"/>
    <w:rsid w:val="00461D70"/>
    <w:rsid w:val="00462D4C"/>
    <w:rsid w:val="00466422"/>
    <w:rsid w:val="00467181"/>
    <w:rsid w:val="00470C37"/>
    <w:rsid w:val="00476451"/>
    <w:rsid w:val="004775A8"/>
    <w:rsid w:val="004815C1"/>
    <w:rsid w:val="004821BE"/>
    <w:rsid w:val="004835AF"/>
    <w:rsid w:val="0048501C"/>
    <w:rsid w:val="004858B5"/>
    <w:rsid w:val="00485FA5"/>
    <w:rsid w:val="00486AEB"/>
    <w:rsid w:val="00486C97"/>
    <w:rsid w:val="00487FA7"/>
    <w:rsid w:val="004928F1"/>
    <w:rsid w:val="00493345"/>
    <w:rsid w:val="004937C8"/>
    <w:rsid w:val="00493E6F"/>
    <w:rsid w:val="004944D1"/>
    <w:rsid w:val="0049635F"/>
    <w:rsid w:val="004967FC"/>
    <w:rsid w:val="00497141"/>
    <w:rsid w:val="00497D0D"/>
    <w:rsid w:val="004A1221"/>
    <w:rsid w:val="004A1A83"/>
    <w:rsid w:val="004A23FF"/>
    <w:rsid w:val="004A29A3"/>
    <w:rsid w:val="004A35D6"/>
    <w:rsid w:val="004A5077"/>
    <w:rsid w:val="004A772F"/>
    <w:rsid w:val="004B60A6"/>
    <w:rsid w:val="004B7AFE"/>
    <w:rsid w:val="004C5329"/>
    <w:rsid w:val="004C604F"/>
    <w:rsid w:val="004C6130"/>
    <w:rsid w:val="004C71D3"/>
    <w:rsid w:val="004C7871"/>
    <w:rsid w:val="004D1452"/>
    <w:rsid w:val="004D2931"/>
    <w:rsid w:val="004D2E8F"/>
    <w:rsid w:val="004D517B"/>
    <w:rsid w:val="004D7518"/>
    <w:rsid w:val="004D7823"/>
    <w:rsid w:val="004E13B2"/>
    <w:rsid w:val="004E3C14"/>
    <w:rsid w:val="004E543B"/>
    <w:rsid w:val="004F3290"/>
    <w:rsid w:val="004F4A37"/>
    <w:rsid w:val="004F4E91"/>
    <w:rsid w:val="004F5C11"/>
    <w:rsid w:val="004F7A22"/>
    <w:rsid w:val="004F7E62"/>
    <w:rsid w:val="00501FF3"/>
    <w:rsid w:val="00502428"/>
    <w:rsid w:val="00502B85"/>
    <w:rsid w:val="00504027"/>
    <w:rsid w:val="00510B6B"/>
    <w:rsid w:val="0051150B"/>
    <w:rsid w:val="005117B5"/>
    <w:rsid w:val="005133AC"/>
    <w:rsid w:val="00514971"/>
    <w:rsid w:val="00514E1F"/>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47A14"/>
    <w:rsid w:val="0055118D"/>
    <w:rsid w:val="00551425"/>
    <w:rsid w:val="00551970"/>
    <w:rsid w:val="005519F5"/>
    <w:rsid w:val="00552412"/>
    <w:rsid w:val="00552B53"/>
    <w:rsid w:val="00557216"/>
    <w:rsid w:val="00557CB1"/>
    <w:rsid w:val="005631A5"/>
    <w:rsid w:val="00563952"/>
    <w:rsid w:val="005639EC"/>
    <w:rsid w:val="00563A33"/>
    <w:rsid w:val="00564289"/>
    <w:rsid w:val="00566827"/>
    <w:rsid w:val="00566F77"/>
    <w:rsid w:val="00570562"/>
    <w:rsid w:val="00570AF5"/>
    <w:rsid w:val="00573402"/>
    <w:rsid w:val="0057722C"/>
    <w:rsid w:val="00577A98"/>
    <w:rsid w:val="00580346"/>
    <w:rsid w:val="0058399B"/>
    <w:rsid w:val="00584687"/>
    <w:rsid w:val="005846DC"/>
    <w:rsid w:val="00585162"/>
    <w:rsid w:val="00585580"/>
    <w:rsid w:val="005865A8"/>
    <w:rsid w:val="005911EB"/>
    <w:rsid w:val="005934E9"/>
    <w:rsid w:val="005A1883"/>
    <w:rsid w:val="005A3E8E"/>
    <w:rsid w:val="005B0755"/>
    <w:rsid w:val="005B26BB"/>
    <w:rsid w:val="005B291E"/>
    <w:rsid w:val="005B356B"/>
    <w:rsid w:val="005B3D51"/>
    <w:rsid w:val="005B5C28"/>
    <w:rsid w:val="005B60B8"/>
    <w:rsid w:val="005B70AE"/>
    <w:rsid w:val="005B7E10"/>
    <w:rsid w:val="005C0214"/>
    <w:rsid w:val="005C1408"/>
    <w:rsid w:val="005C238A"/>
    <w:rsid w:val="005C37CD"/>
    <w:rsid w:val="005C515C"/>
    <w:rsid w:val="005C708C"/>
    <w:rsid w:val="005D211F"/>
    <w:rsid w:val="005D2DF8"/>
    <w:rsid w:val="005D36ED"/>
    <w:rsid w:val="005D6078"/>
    <w:rsid w:val="005D6D1C"/>
    <w:rsid w:val="005E03C9"/>
    <w:rsid w:val="005E0D15"/>
    <w:rsid w:val="005E1427"/>
    <w:rsid w:val="005E1924"/>
    <w:rsid w:val="005E1DA2"/>
    <w:rsid w:val="005E1F72"/>
    <w:rsid w:val="005E3026"/>
    <w:rsid w:val="005E362F"/>
    <w:rsid w:val="005E4433"/>
    <w:rsid w:val="005E7059"/>
    <w:rsid w:val="005E70F7"/>
    <w:rsid w:val="005F0280"/>
    <w:rsid w:val="005F03E3"/>
    <w:rsid w:val="005F1591"/>
    <w:rsid w:val="005F3065"/>
    <w:rsid w:val="005F3B4E"/>
    <w:rsid w:val="005F3F55"/>
    <w:rsid w:val="005F52E0"/>
    <w:rsid w:val="005F551B"/>
    <w:rsid w:val="005F59F2"/>
    <w:rsid w:val="005F6DF0"/>
    <w:rsid w:val="00600611"/>
    <w:rsid w:val="00603008"/>
    <w:rsid w:val="00604758"/>
    <w:rsid w:val="0060620F"/>
    <w:rsid w:val="00612830"/>
    <w:rsid w:val="00616D24"/>
    <w:rsid w:val="006227CB"/>
    <w:rsid w:val="00624FB6"/>
    <w:rsid w:val="006255EB"/>
    <w:rsid w:val="00627CEF"/>
    <w:rsid w:val="0063047E"/>
    <w:rsid w:val="0063363F"/>
    <w:rsid w:val="0063481B"/>
    <w:rsid w:val="00635B55"/>
    <w:rsid w:val="00635F73"/>
    <w:rsid w:val="006417FE"/>
    <w:rsid w:val="0064191F"/>
    <w:rsid w:val="00641D3B"/>
    <w:rsid w:val="0064481A"/>
    <w:rsid w:val="0064584C"/>
    <w:rsid w:val="006463AB"/>
    <w:rsid w:val="006529C4"/>
    <w:rsid w:val="00654308"/>
    <w:rsid w:val="0066172D"/>
    <w:rsid w:val="00661E9D"/>
    <w:rsid w:val="00661EA1"/>
    <w:rsid w:val="00664506"/>
    <w:rsid w:val="00665F3B"/>
    <w:rsid w:val="00671978"/>
    <w:rsid w:val="00672496"/>
    <w:rsid w:val="00673753"/>
    <w:rsid w:val="00674429"/>
    <w:rsid w:val="00674FD1"/>
    <w:rsid w:val="00675B76"/>
    <w:rsid w:val="006768B6"/>
    <w:rsid w:val="006769AA"/>
    <w:rsid w:val="00681111"/>
    <w:rsid w:val="00681677"/>
    <w:rsid w:val="00684208"/>
    <w:rsid w:val="0068424B"/>
    <w:rsid w:val="006907E5"/>
    <w:rsid w:val="00690B48"/>
    <w:rsid w:val="006929A0"/>
    <w:rsid w:val="00692A00"/>
    <w:rsid w:val="006939B9"/>
    <w:rsid w:val="0069586A"/>
    <w:rsid w:val="00695DC9"/>
    <w:rsid w:val="006966E6"/>
    <w:rsid w:val="00696C68"/>
    <w:rsid w:val="00696EB0"/>
    <w:rsid w:val="006A1D2F"/>
    <w:rsid w:val="006A44E9"/>
    <w:rsid w:val="006A64A5"/>
    <w:rsid w:val="006A6F67"/>
    <w:rsid w:val="006A71D3"/>
    <w:rsid w:val="006A730D"/>
    <w:rsid w:val="006A76B7"/>
    <w:rsid w:val="006B021D"/>
    <w:rsid w:val="006B06FB"/>
    <w:rsid w:val="006B3CEF"/>
    <w:rsid w:val="006B4605"/>
    <w:rsid w:val="006C0612"/>
    <w:rsid w:val="006C09D1"/>
    <w:rsid w:val="006C1726"/>
    <w:rsid w:val="006C3639"/>
    <w:rsid w:val="006C3CEF"/>
    <w:rsid w:val="006C3D3B"/>
    <w:rsid w:val="006C5EFF"/>
    <w:rsid w:val="006C6175"/>
    <w:rsid w:val="006D0A45"/>
    <w:rsid w:val="006D0D71"/>
    <w:rsid w:val="006D1D99"/>
    <w:rsid w:val="006D3606"/>
    <w:rsid w:val="006D596A"/>
    <w:rsid w:val="006D7995"/>
    <w:rsid w:val="006D7C15"/>
    <w:rsid w:val="006E002A"/>
    <w:rsid w:val="006E0215"/>
    <w:rsid w:val="006E0ED3"/>
    <w:rsid w:val="006E241E"/>
    <w:rsid w:val="006E48CF"/>
    <w:rsid w:val="006E6200"/>
    <w:rsid w:val="006E736A"/>
    <w:rsid w:val="006E7DAF"/>
    <w:rsid w:val="006E7DF3"/>
    <w:rsid w:val="006F0BC9"/>
    <w:rsid w:val="006F1BD2"/>
    <w:rsid w:val="006F24EF"/>
    <w:rsid w:val="006F29C9"/>
    <w:rsid w:val="006F2C20"/>
    <w:rsid w:val="006F44C7"/>
    <w:rsid w:val="006F53DF"/>
    <w:rsid w:val="006F7497"/>
    <w:rsid w:val="007005DD"/>
    <w:rsid w:val="00706819"/>
    <w:rsid w:val="00706B47"/>
    <w:rsid w:val="007075D0"/>
    <w:rsid w:val="007100AB"/>
    <w:rsid w:val="00711F7E"/>
    <w:rsid w:val="00712305"/>
    <w:rsid w:val="007134C4"/>
    <w:rsid w:val="00716773"/>
    <w:rsid w:val="00717172"/>
    <w:rsid w:val="0071790E"/>
    <w:rsid w:val="00720177"/>
    <w:rsid w:val="00720269"/>
    <w:rsid w:val="007215AC"/>
    <w:rsid w:val="00722501"/>
    <w:rsid w:val="00724BFA"/>
    <w:rsid w:val="00725096"/>
    <w:rsid w:val="00725E7C"/>
    <w:rsid w:val="00735264"/>
    <w:rsid w:val="00737215"/>
    <w:rsid w:val="00737765"/>
    <w:rsid w:val="0074309F"/>
    <w:rsid w:val="00743D62"/>
    <w:rsid w:val="00746973"/>
    <w:rsid w:val="00746D27"/>
    <w:rsid w:val="00747A81"/>
    <w:rsid w:val="0075012E"/>
    <w:rsid w:val="007503F6"/>
    <w:rsid w:val="00752D0B"/>
    <w:rsid w:val="00753CDB"/>
    <w:rsid w:val="007554E1"/>
    <w:rsid w:val="00755718"/>
    <w:rsid w:val="00756B4F"/>
    <w:rsid w:val="007615F4"/>
    <w:rsid w:val="007634D5"/>
    <w:rsid w:val="00767EE4"/>
    <w:rsid w:val="007709F5"/>
    <w:rsid w:val="00770AD1"/>
    <w:rsid w:val="00770B61"/>
    <w:rsid w:val="007753FA"/>
    <w:rsid w:val="00776C01"/>
    <w:rsid w:val="007775EE"/>
    <w:rsid w:val="0078151D"/>
    <w:rsid w:val="00783E92"/>
    <w:rsid w:val="00784633"/>
    <w:rsid w:val="007873EF"/>
    <w:rsid w:val="00787702"/>
    <w:rsid w:val="00787A82"/>
    <w:rsid w:val="00791976"/>
    <w:rsid w:val="0079228D"/>
    <w:rsid w:val="007926B3"/>
    <w:rsid w:val="0079301E"/>
    <w:rsid w:val="0079788F"/>
    <w:rsid w:val="007A0448"/>
    <w:rsid w:val="007A0EB9"/>
    <w:rsid w:val="007A46CD"/>
    <w:rsid w:val="007A78F4"/>
    <w:rsid w:val="007B12BE"/>
    <w:rsid w:val="007B1E98"/>
    <w:rsid w:val="007B2894"/>
    <w:rsid w:val="007B439E"/>
    <w:rsid w:val="007B4E55"/>
    <w:rsid w:val="007B6546"/>
    <w:rsid w:val="007C01D3"/>
    <w:rsid w:val="007C162F"/>
    <w:rsid w:val="007C2B50"/>
    <w:rsid w:val="007C3F8A"/>
    <w:rsid w:val="007C4DED"/>
    <w:rsid w:val="007D0EE4"/>
    <w:rsid w:val="007D21A1"/>
    <w:rsid w:val="007D616F"/>
    <w:rsid w:val="007D6C2D"/>
    <w:rsid w:val="007D77C4"/>
    <w:rsid w:val="007E046E"/>
    <w:rsid w:val="007E08FC"/>
    <w:rsid w:val="007E1D3F"/>
    <w:rsid w:val="007E2CDE"/>
    <w:rsid w:val="007E53C2"/>
    <w:rsid w:val="007F15F5"/>
    <w:rsid w:val="007F1D42"/>
    <w:rsid w:val="007F211F"/>
    <w:rsid w:val="007F23E5"/>
    <w:rsid w:val="007F275F"/>
    <w:rsid w:val="007F43EB"/>
    <w:rsid w:val="007F4D93"/>
    <w:rsid w:val="007F5200"/>
    <w:rsid w:val="007F621D"/>
    <w:rsid w:val="007F72FA"/>
    <w:rsid w:val="007F7BA0"/>
    <w:rsid w:val="008013CB"/>
    <w:rsid w:val="00801F6F"/>
    <w:rsid w:val="0080495B"/>
    <w:rsid w:val="0080791E"/>
    <w:rsid w:val="00813246"/>
    <w:rsid w:val="008132E2"/>
    <w:rsid w:val="00813E8B"/>
    <w:rsid w:val="0081470C"/>
    <w:rsid w:val="00815DFE"/>
    <w:rsid w:val="00817CE6"/>
    <w:rsid w:val="0082098E"/>
    <w:rsid w:val="00825F42"/>
    <w:rsid w:val="008275CB"/>
    <w:rsid w:val="00830D58"/>
    <w:rsid w:val="00832B66"/>
    <w:rsid w:val="008342D3"/>
    <w:rsid w:val="00841701"/>
    <w:rsid w:val="00841E89"/>
    <w:rsid w:val="00842D8D"/>
    <w:rsid w:val="008436F8"/>
    <w:rsid w:val="008468B9"/>
    <w:rsid w:val="00847A2B"/>
    <w:rsid w:val="00850960"/>
    <w:rsid w:val="00850C77"/>
    <w:rsid w:val="00851687"/>
    <w:rsid w:val="00851E8F"/>
    <w:rsid w:val="0085268C"/>
    <w:rsid w:val="0085295A"/>
    <w:rsid w:val="00852D10"/>
    <w:rsid w:val="00852D22"/>
    <w:rsid w:val="008531B0"/>
    <w:rsid w:val="00854746"/>
    <w:rsid w:val="00855313"/>
    <w:rsid w:val="008568DC"/>
    <w:rsid w:val="008572C2"/>
    <w:rsid w:val="00857EF3"/>
    <w:rsid w:val="00860CBC"/>
    <w:rsid w:val="008614DB"/>
    <w:rsid w:val="00864AB5"/>
    <w:rsid w:val="00866177"/>
    <w:rsid w:val="00866A0F"/>
    <w:rsid w:val="008735F0"/>
    <w:rsid w:val="00873CC5"/>
    <w:rsid w:val="00874764"/>
    <w:rsid w:val="00875743"/>
    <w:rsid w:val="00877252"/>
    <w:rsid w:val="00880AB6"/>
    <w:rsid w:val="00882905"/>
    <w:rsid w:val="00884331"/>
    <w:rsid w:val="00885334"/>
    <w:rsid w:val="00886D56"/>
    <w:rsid w:val="00887808"/>
    <w:rsid w:val="0089155A"/>
    <w:rsid w:val="008925DA"/>
    <w:rsid w:val="008928E3"/>
    <w:rsid w:val="00894665"/>
    <w:rsid w:val="0089691F"/>
    <w:rsid w:val="00896B6D"/>
    <w:rsid w:val="008A112C"/>
    <w:rsid w:val="008A1380"/>
    <w:rsid w:val="008A22AD"/>
    <w:rsid w:val="008A3782"/>
    <w:rsid w:val="008A4605"/>
    <w:rsid w:val="008A4ED9"/>
    <w:rsid w:val="008A4F96"/>
    <w:rsid w:val="008A7BAD"/>
    <w:rsid w:val="008B1F14"/>
    <w:rsid w:val="008B54F9"/>
    <w:rsid w:val="008B6A79"/>
    <w:rsid w:val="008B6BDD"/>
    <w:rsid w:val="008B72BB"/>
    <w:rsid w:val="008B7B4C"/>
    <w:rsid w:val="008C0042"/>
    <w:rsid w:val="008C14F2"/>
    <w:rsid w:val="008C259E"/>
    <w:rsid w:val="008C326D"/>
    <w:rsid w:val="008C4083"/>
    <w:rsid w:val="008C47AB"/>
    <w:rsid w:val="008C70F9"/>
    <w:rsid w:val="008C79CF"/>
    <w:rsid w:val="008D1E48"/>
    <w:rsid w:val="008D27AD"/>
    <w:rsid w:val="008D4156"/>
    <w:rsid w:val="008D4282"/>
    <w:rsid w:val="008D45C0"/>
    <w:rsid w:val="008D4672"/>
    <w:rsid w:val="008D4D96"/>
    <w:rsid w:val="008D5A87"/>
    <w:rsid w:val="008E3641"/>
    <w:rsid w:val="008E3D0D"/>
    <w:rsid w:val="008E4142"/>
    <w:rsid w:val="008E55F9"/>
    <w:rsid w:val="008E74DD"/>
    <w:rsid w:val="008E7E90"/>
    <w:rsid w:val="008F02CE"/>
    <w:rsid w:val="008F1093"/>
    <w:rsid w:val="008F1711"/>
    <w:rsid w:val="008F1F7E"/>
    <w:rsid w:val="008F6E10"/>
    <w:rsid w:val="0090175F"/>
    <w:rsid w:val="00901F92"/>
    <w:rsid w:val="00907D1B"/>
    <w:rsid w:val="009104B4"/>
    <w:rsid w:val="00911E56"/>
    <w:rsid w:val="00912AAA"/>
    <w:rsid w:val="00915A9A"/>
    <w:rsid w:val="00923B09"/>
    <w:rsid w:val="00926313"/>
    <w:rsid w:val="009276DB"/>
    <w:rsid w:val="00927EE7"/>
    <w:rsid w:val="00930BF8"/>
    <w:rsid w:val="0093307D"/>
    <w:rsid w:val="00933408"/>
    <w:rsid w:val="0093362A"/>
    <w:rsid w:val="00936731"/>
    <w:rsid w:val="00937909"/>
    <w:rsid w:val="00937CEB"/>
    <w:rsid w:val="00944086"/>
    <w:rsid w:val="00944957"/>
    <w:rsid w:val="009449F6"/>
    <w:rsid w:val="0095306A"/>
    <w:rsid w:val="00953EC8"/>
    <w:rsid w:val="00954194"/>
    <w:rsid w:val="0095439D"/>
    <w:rsid w:val="00954F50"/>
    <w:rsid w:val="00961A99"/>
    <w:rsid w:val="00961C0B"/>
    <w:rsid w:val="00965F59"/>
    <w:rsid w:val="00965FCD"/>
    <w:rsid w:val="009667A6"/>
    <w:rsid w:val="00967D45"/>
    <w:rsid w:val="00970490"/>
    <w:rsid w:val="0097052B"/>
    <w:rsid w:val="00973A6E"/>
    <w:rsid w:val="00974B39"/>
    <w:rsid w:val="009760CB"/>
    <w:rsid w:val="00976259"/>
    <w:rsid w:val="00977FB0"/>
    <w:rsid w:val="0098159E"/>
    <w:rsid w:val="00983670"/>
    <w:rsid w:val="00987896"/>
    <w:rsid w:val="009909D9"/>
    <w:rsid w:val="00991020"/>
    <w:rsid w:val="009910A5"/>
    <w:rsid w:val="00991940"/>
    <w:rsid w:val="00991B1C"/>
    <w:rsid w:val="00992DAD"/>
    <w:rsid w:val="00992DEC"/>
    <w:rsid w:val="00992E7F"/>
    <w:rsid w:val="00995D7C"/>
    <w:rsid w:val="009A193D"/>
    <w:rsid w:val="009A605A"/>
    <w:rsid w:val="009A66CA"/>
    <w:rsid w:val="009B1648"/>
    <w:rsid w:val="009B294A"/>
    <w:rsid w:val="009B507F"/>
    <w:rsid w:val="009B683B"/>
    <w:rsid w:val="009B78FD"/>
    <w:rsid w:val="009B7B48"/>
    <w:rsid w:val="009C0136"/>
    <w:rsid w:val="009C43CA"/>
    <w:rsid w:val="009C7A4C"/>
    <w:rsid w:val="009D09F3"/>
    <w:rsid w:val="009D35F8"/>
    <w:rsid w:val="009D3B4C"/>
    <w:rsid w:val="009D462C"/>
    <w:rsid w:val="009D5ABC"/>
    <w:rsid w:val="009D6C6A"/>
    <w:rsid w:val="009E3457"/>
    <w:rsid w:val="009E5058"/>
    <w:rsid w:val="009E5F72"/>
    <w:rsid w:val="009F00F9"/>
    <w:rsid w:val="009F35FC"/>
    <w:rsid w:val="009F3FB9"/>
    <w:rsid w:val="009F4399"/>
    <w:rsid w:val="009F48EE"/>
    <w:rsid w:val="009F4933"/>
    <w:rsid w:val="009F5222"/>
    <w:rsid w:val="009F5521"/>
    <w:rsid w:val="009F6031"/>
    <w:rsid w:val="009F67CC"/>
    <w:rsid w:val="009F79AB"/>
    <w:rsid w:val="00A0045F"/>
    <w:rsid w:val="00A011AC"/>
    <w:rsid w:val="00A015DD"/>
    <w:rsid w:val="00A042AA"/>
    <w:rsid w:val="00A06343"/>
    <w:rsid w:val="00A075C3"/>
    <w:rsid w:val="00A10F6C"/>
    <w:rsid w:val="00A128D1"/>
    <w:rsid w:val="00A13A6D"/>
    <w:rsid w:val="00A15420"/>
    <w:rsid w:val="00A20973"/>
    <w:rsid w:val="00A20B62"/>
    <w:rsid w:val="00A215FC"/>
    <w:rsid w:val="00A23360"/>
    <w:rsid w:val="00A23511"/>
    <w:rsid w:val="00A23FE0"/>
    <w:rsid w:val="00A24C98"/>
    <w:rsid w:val="00A258B8"/>
    <w:rsid w:val="00A26EDC"/>
    <w:rsid w:val="00A30786"/>
    <w:rsid w:val="00A30AFF"/>
    <w:rsid w:val="00A32457"/>
    <w:rsid w:val="00A32880"/>
    <w:rsid w:val="00A3357E"/>
    <w:rsid w:val="00A365E2"/>
    <w:rsid w:val="00A37C62"/>
    <w:rsid w:val="00A4596D"/>
    <w:rsid w:val="00A45B0D"/>
    <w:rsid w:val="00A46F35"/>
    <w:rsid w:val="00A50C62"/>
    <w:rsid w:val="00A52532"/>
    <w:rsid w:val="00A532FF"/>
    <w:rsid w:val="00A53FAB"/>
    <w:rsid w:val="00A563FB"/>
    <w:rsid w:val="00A607FF"/>
    <w:rsid w:val="00A62CD1"/>
    <w:rsid w:val="00A63A1F"/>
    <w:rsid w:val="00A64559"/>
    <w:rsid w:val="00A64A4F"/>
    <w:rsid w:val="00A67045"/>
    <w:rsid w:val="00A67D51"/>
    <w:rsid w:val="00A70B78"/>
    <w:rsid w:val="00A74C98"/>
    <w:rsid w:val="00A75559"/>
    <w:rsid w:val="00A76EAB"/>
    <w:rsid w:val="00A77A30"/>
    <w:rsid w:val="00A77CA7"/>
    <w:rsid w:val="00A8048B"/>
    <w:rsid w:val="00A80522"/>
    <w:rsid w:val="00A80F80"/>
    <w:rsid w:val="00A83542"/>
    <w:rsid w:val="00A83BC9"/>
    <w:rsid w:val="00A840CD"/>
    <w:rsid w:val="00A84752"/>
    <w:rsid w:val="00A86446"/>
    <w:rsid w:val="00A865F7"/>
    <w:rsid w:val="00A86D76"/>
    <w:rsid w:val="00A86E44"/>
    <w:rsid w:val="00A900BA"/>
    <w:rsid w:val="00A96EBF"/>
    <w:rsid w:val="00A97B37"/>
    <w:rsid w:val="00AA0019"/>
    <w:rsid w:val="00AA12D0"/>
    <w:rsid w:val="00AA2159"/>
    <w:rsid w:val="00AA30A8"/>
    <w:rsid w:val="00AA5DF7"/>
    <w:rsid w:val="00AA6462"/>
    <w:rsid w:val="00AA684A"/>
    <w:rsid w:val="00AA7FF1"/>
    <w:rsid w:val="00AB1A2A"/>
    <w:rsid w:val="00AB260C"/>
    <w:rsid w:val="00AB442E"/>
    <w:rsid w:val="00AB7898"/>
    <w:rsid w:val="00AB79F3"/>
    <w:rsid w:val="00AC120B"/>
    <w:rsid w:val="00AC4756"/>
    <w:rsid w:val="00AC4BFF"/>
    <w:rsid w:val="00AC5017"/>
    <w:rsid w:val="00AC728C"/>
    <w:rsid w:val="00AC76AC"/>
    <w:rsid w:val="00AD18C8"/>
    <w:rsid w:val="00AD2BB8"/>
    <w:rsid w:val="00AD3594"/>
    <w:rsid w:val="00AD4EF9"/>
    <w:rsid w:val="00AD58B2"/>
    <w:rsid w:val="00AD76D0"/>
    <w:rsid w:val="00AD7CD7"/>
    <w:rsid w:val="00AE1702"/>
    <w:rsid w:val="00AE3740"/>
    <w:rsid w:val="00AE784E"/>
    <w:rsid w:val="00AF049D"/>
    <w:rsid w:val="00AF28F3"/>
    <w:rsid w:val="00AF2ADC"/>
    <w:rsid w:val="00AF36B1"/>
    <w:rsid w:val="00AF3808"/>
    <w:rsid w:val="00AF736B"/>
    <w:rsid w:val="00B015C5"/>
    <w:rsid w:val="00B02750"/>
    <w:rsid w:val="00B0329B"/>
    <w:rsid w:val="00B04683"/>
    <w:rsid w:val="00B0511B"/>
    <w:rsid w:val="00B06776"/>
    <w:rsid w:val="00B1060D"/>
    <w:rsid w:val="00B12A20"/>
    <w:rsid w:val="00B135F0"/>
    <w:rsid w:val="00B173E6"/>
    <w:rsid w:val="00B179D5"/>
    <w:rsid w:val="00B20631"/>
    <w:rsid w:val="00B213B5"/>
    <w:rsid w:val="00B214D5"/>
    <w:rsid w:val="00B25AEC"/>
    <w:rsid w:val="00B25DDC"/>
    <w:rsid w:val="00B27B62"/>
    <w:rsid w:val="00B328EE"/>
    <w:rsid w:val="00B3350E"/>
    <w:rsid w:val="00B423BE"/>
    <w:rsid w:val="00B42D83"/>
    <w:rsid w:val="00B43FCC"/>
    <w:rsid w:val="00B448AB"/>
    <w:rsid w:val="00B44B4E"/>
    <w:rsid w:val="00B44D38"/>
    <w:rsid w:val="00B45120"/>
    <w:rsid w:val="00B46C7B"/>
    <w:rsid w:val="00B46CF2"/>
    <w:rsid w:val="00B46EA6"/>
    <w:rsid w:val="00B506EB"/>
    <w:rsid w:val="00B51168"/>
    <w:rsid w:val="00B51DF0"/>
    <w:rsid w:val="00B55944"/>
    <w:rsid w:val="00B56D30"/>
    <w:rsid w:val="00B607F9"/>
    <w:rsid w:val="00B618BC"/>
    <w:rsid w:val="00B62A03"/>
    <w:rsid w:val="00B677D2"/>
    <w:rsid w:val="00B712F5"/>
    <w:rsid w:val="00B720E8"/>
    <w:rsid w:val="00B724AB"/>
    <w:rsid w:val="00B753A8"/>
    <w:rsid w:val="00B75856"/>
    <w:rsid w:val="00B773D3"/>
    <w:rsid w:val="00B8028C"/>
    <w:rsid w:val="00B80FB7"/>
    <w:rsid w:val="00B81591"/>
    <w:rsid w:val="00B8754C"/>
    <w:rsid w:val="00B87A9B"/>
    <w:rsid w:val="00B87F63"/>
    <w:rsid w:val="00B91C19"/>
    <w:rsid w:val="00B94F99"/>
    <w:rsid w:val="00B953D5"/>
    <w:rsid w:val="00B9643E"/>
    <w:rsid w:val="00B96A80"/>
    <w:rsid w:val="00B96FE8"/>
    <w:rsid w:val="00BA1546"/>
    <w:rsid w:val="00BA4498"/>
    <w:rsid w:val="00BA5088"/>
    <w:rsid w:val="00BB09BA"/>
    <w:rsid w:val="00BB2078"/>
    <w:rsid w:val="00BB2884"/>
    <w:rsid w:val="00BB28E2"/>
    <w:rsid w:val="00BB3DCB"/>
    <w:rsid w:val="00BB522C"/>
    <w:rsid w:val="00BB5AA7"/>
    <w:rsid w:val="00BC3298"/>
    <w:rsid w:val="00BC3E29"/>
    <w:rsid w:val="00BC677B"/>
    <w:rsid w:val="00BC7D05"/>
    <w:rsid w:val="00BD1510"/>
    <w:rsid w:val="00BD4AF3"/>
    <w:rsid w:val="00BD58F6"/>
    <w:rsid w:val="00BD5D76"/>
    <w:rsid w:val="00BE052A"/>
    <w:rsid w:val="00BE1A98"/>
    <w:rsid w:val="00BE2F95"/>
    <w:rsid w:val="00BE341B"/>
    <w:rsid w:val="00BE5E02"/>
    <w:rsid w:val="00BE7EC5"/>
    <w:rsid w:val="00BF0728"/>
    <w:rsid w:val="00BF1C0F"/>
    <w:rsid w:val="00BF42AA"/>
    <w:rsid w:val="00BF4590"/>
    <w:rsid w:val="00BF6398"/>
    <w:rsid w:val="00BF798B"/>
    <w:rsid w:val="00C01A81"/>
    <w:rsid w:val="00C02FBD"/>
    <w:rsid w:val="00C0300B"/>
    <w:rsid w:val="00C03BB0"/>
    <w:rsid w:val="00C05C73"/>
    <w:rsid w:val="00C067E0"/>
    <w:rsid w:val="00C06BCF"/>
    <w:rsid w:val="00C105C1"/>
    <w:rsid w:val="00C10773"/>
    <w:rsid w:val="00C11268"/>
    <w:rsid w:val="00C115B3"/>
    <w:rsid w:val="00C11ADC"/>
    <w:rsid w:val="00C11F69"/>
    <w:rsid w:val="00C14319"/>
    <w:rsid w:val="00C14BAE"/>
    <w:rsid w:val="00C164AB"/>
    <w:rsid w:val="00C16A3A"/>
    <w:rsid w:val="00C1756A"/>
    <w:rsid w:val="00C206C8"/>
    <w:rsid w:val="00C21866"/>
    <w:rsid w:val="00C21909"/>
    <w:rsid w:val="00C22FA0"/>
    <w:rsid w:val="00C25036"/>
    <w:rsid w:val="00C25840"/>
    <w:rsid w:val="00C25862"/>
    <w:rsid w:val="00C300D8"/>
    <w:rsid w:val="00C305BA"/>
    <w:rsid w:val="00C32A45"/>
    <w:rsid w:val="00C35A9A"/>
    <w:rsid w:val="00C35DF2"/>
    <w:rsid w:val="00C37411"/>
    <w:rsid w:val="00C376B8"/>
    <w:rsid w:val="00C37B13"/>
    <w:rsid w:val="00C41346"/>
    <w:rsid w:val="00C4283D"/>
    <w:rsid w:val="00C43EC9"/>
    <w:rsid w:val="00C451F2"/>
    <w:rsid w:val="00C45673"/>
    <w:rsid w:val="00C45CC0"/>
    <w:rsid w:val="00C47D18"/>
    <w:rsid w:val="00C50951"/>
    <w:rsid w:val="00C51F91"/>
    <w:rsid w:val="00C52E55"/>
    <w:rsid w:val="00C53A13"/>
    <w:rsid w:val="00C53C94"/>
    <w:rsid w:val="00C5488A"/>
    <w:rsid w:val="00C576FC"/>
    <w:rsid w:val="00C57C31"/>
    <w:rsid w:val="00C6071C"/>
    <w:rsid w:val="00C60C13"/>
    <w:rsid w:val="00C65CAA"/>
    <w:rsid w:val="00C703A7"/>
    <w:rsid w:val="00C70660"/>
    <w:rsid w:val="00C719E6"/>
    <w:rsid w:val="00C72170"/>
    <w:rsid w:val="00C736C5"/>
    <w:rsid w:val="00C73D20"/>
    <w:rsid w:val="00C748AB"/>
    <w:rsid w:val="00C770D3"/>
    <w:rsid w:val="00C77CB8"/>
    <w:rsid w:val="00C80057"/>
    <w:rsid w:val="00C81A08"/>
    <w:rsid w:val="00C81F60"/>
    <w:rsid w:val="00C83FA9"/>
    <w:rsid w:val="00C851E8"/>
    <w:rsid w:val="00C86D00"/>
    <w:rsid w:val="00C96ADD"/>
    <w:rsid w:val="00CA2445"/>
    <w:rsid w:val="00CA366F"/>
    <w:rsid w:val="00CA3B5E"/>
    <w:rsid w:val="00CA50ED"/>
    <w:rsid w:val="00CA66DC"/>
    <w:rsid w:val="00CB137C"/>
    <w:rsid w:val="00CB15EB"/>
    <w:rsid w:val="00CB1D4A"/>
    <w:rsid w:val="00CB3E2A"/>
    <w:rsid w:val="00CB564C"/>
    <w:rsid w:val="00CB7318"/>
    <w:rsid w:val="00CC1204"/>
    <w:rsid w:val="00CC2265"/>
    <w:rsid w:val="00CC63AD"/>
    <w:rsid w:val="00CD0142"/>
    <w:rsid w:val="00CD0B26"/>
    <w:rsid w:val="00CD24EC"/>
    <w:rsid w:val="00CD2650"/>
    <w:rsid w:val="00CD7DE5"/>
    <w:rsid w:val="00CE152C"/>
    <w:rsid w:val="00CE184F"/>
    <w:rsid w:val="00CE4499"/>
    <w:rsid w:val="00CE77F4"/>
    <w:rsid w:val="00CF07CF"/>
    <w:rsid w:val="00CF2768"/>
    <w:rsid w:val="00CF2A6A"/>
    <w:rsid w:val="00CF38D8"/>
    <w:rsid w:val="00CF642E"/>
    <w:rsid w:val="00CF7C0F"/>
    <w:rsid w:val="00D003A5"/>
    <w:rsid w:val="00D00B31"/>
    <w:rsid w:val="00D0154C"/>
    <w:rsid w:val="00D01E88"/>
    <w:rsid w:val="00D02C13"/>
    <w:rsid w:val="00D04F57"/>
    <w:rsid w:val="00D05288"/>
    <w:rsid w:val="00D1095B"/>
    <w:rsid w:val="00D11D2F"/>
    <w:rsid w:val="00D22955"/>
    <w:rsid w:val="00D22DDA"/>
    <w:rsid w:val="00D23604"/>
    <w:rsid w:val="00D2681D"/>
    <w:rsid w:val="00D3057C"/>
    <w:rsid w:val="00D31757"/>
    <w:rsid w:val="00D334FB"/>
    <w:rsid w:val="00D36031"/>
    <w:rsid w:val="00D3711B"/>
    <w:rsid w:val="00D373CF"/>
    <w:rsid w:val="00D3765A"/>
    <w:rsid w:val="00D37755"/>
    <w:rsid w:val="00D37E55"/>
    <w:rsid w:val="00D42AF3"/>
    <w:rsid w:val="00D43E33"/>
    <w:rsid w:val="00D4585D"/>
    <w:rsid w:val="00D4627E"/>
    <w:rsid w:val="00D46DFC"/>
    <w:rsid w:val="00D507E2"/>
    <w:rsid w:val="00D5242A"/>
    <w:rsid w:val="00D53385"/>
    <w:rsid w:val="00D543B0"/>
    <w:rsid w:val="00D55AC9"/>
    <w:rsid w:val="00D57360"/>
    <w:rsid w:val="00D5753D"/>
    <w:rsid w:val="00D71DA4"/>
    <w:rsid w:val="00D73536"/>
    <w:rsid w:val="00D76F3F"/>
    <w:rsid w:val="00D775C8"/>
    <w:rsid w:val="00D775F2"/>
    <w:rsid w:val="00D800FB"/>
    <w:rsid w:val="00D8019F"/>
    <w:rsid w:val="00D8207F"/>
    <w:rsid w:val="00D83252"/>
    <w:rsid w:val="00D90450"/>
    <w:rsid w:val="00D9173F"/>
    <w:rsid w:val="00D92AD4"/>
    <w:rsid w:val="00D949EF"/>
    <w:rsid w:val="00D96317"/>
    <w:rsid w:val="00DA1CF4"/>
    <w:rsid w:val="00DA2301"/>
    <w:rsid w:val="00DA50A4"/>
    <w:rsid w:val="00DA5FC6"/>
    <w:rsid w:val="00DB140F"/>
    <w:rsid w:val="00DB2739"/>
    <w:rsid w:val="00DB2CDF"/>
    <w:rsid w:val="00DB323D"/>
    <w:rsid w:val="00DB6645"/>
    <w:rsid w:val="00DC1867"/>
    <w:rsid w:val="00DC1DBD"/>
    <w:rsid w:val="00DC1EA6"/>
    <w:rsid w:val="00DC2D5A"/>
    <w:rsid w:val="00DC716E"/>
    <w:rsid w:val="00DD06D3"/>
    <w:rsid w:val="00DD16D5"/>
    <w:rsid w:val="00DD4549"/>
    <w:rsid w:val="00DD77F2"/>
    <w:rsid w:val="00DE0530"/>
    <w:rsid w:val="00DE5644"/>
    <w:rsid w:val="00DE60B7"/>
    <w:rsid w:val="00DE6379"/>
    <w:rsid w:val="00DE721D"/>
    <w:rsid w:val="00DF43B8"/>
    <w:rsid w:val="00DF716C"/>
    <w:rsid w:val="00DF785F"/>
    <w:rsid w:val="00DF7D5B"/>
    <w:rsid w:val="00E00AF8"/>
    <w:rsid w:val="00E0224B"/>
    <w:rsid w:val="00E023B1"/>
    <w:rsid w:val="00E047FF"/>
    <w:rsid w:val="00E111B3"/>
    <w:rsid w:val="00E1182B"/>
    <w:rsid w:val="00E11E86"/>
    <w:rsid w:val="00E12AC5"/>
    <w:rsid w:val="00E12C9B"/>
    <w:rsid w:val="00E1307D"/>
    <w:rsid w:val="00E15EBD"/>
    <w:rsid w:val="00E16A0C"/>
    <w:rsid w:val="00E2038B"/>
    <w:rsid w:val="00E2149F"/>
    <w:rsid w:val="00E25E8A"/>
    <w:rsid w:val="00E27B87"/>
    <w:rsid w:val="00E328A9"/>
    <w:rsid w:val="00E33DCF"/>
    <w:rsid w:val="00E345B0"/>
    <w:rsid w:val="00E367F4"/>
    <w:rsid w:val="00E401FD"/>
    <w:rsid w:val="00E406AE"/>
    <w:rsid w:val="00E43AE3"/>
    <w:rsid w:val="00E44A06"/>
    <w:rsid w:val="00E47A8E"/>
    <w:rsid w:val="00E5044D"/>
    <w:rsid w:val="00E50503"/>
    <w:rsid w:val="00E55ABB"/>
    <w:rsid w:val="00E63FC8"/>
    <w:rsid w:val="00E65094"/>
    <w:rsid w:val="00E70B41"/>
    <w:rsid w:val="00E7146E"/>
    <w:rsid w:val="00E733BA"/>
    <w:rsid w:val="00E7559A"/>
    <w:rsid w:val="00E7634F"/>
    <w:rsid w:val="00E76EEC"/>
    <w:rsid w:val="00E82427"/>
    <w:rsid w:val="00E835C9"/>
    <w:rsid w:val="00E838D7"/>
    <w:rsid w:val="00E83FBB"/>
    <w:rsid w:val="00E85061"/>
    <w:rsid w:val="00E8666C"/>
    <w:rsid w:val="00E86EA2"/>
    <w:rsid w:val="00E91F5F"/>
    <w:rsid w:val="00EA095F"/>
    <w:rsid w:val="00EA4D0A"/>
    <w:rsid w:val="00EB08CC"/>
    <w:rsid w:val="00EB26C2"/>
    <w:rsid w:val="00EB33FB"/>
    <w:rsid w:val="00EB3CDD"/>
    <w:rsid w:val="00EB5595"/>
    <w:rsid w:val="00EB683A"/>
    <w:rsid w:val="00EB787B"/>
    <w:rsid w:val="00EC04C1"/>
    <w:rsid w:val="00EC18D7"/>
    <w:rsid w:val="00EC2E03"/>
    <w:rsid w:val="00EC40D3"/>
    <w:rsid w:val="00EC5578"/>
    <w:rsid w:val="00EC6858"/>
    <w:rsid w:val="00EC747F"/>
    <w:rsid w:val="00EC7684"/>
    <w:rsid w:val="00ED2D8B"/>
    <w:rsid w:val="00ED4AA3"/>
    <w:rsid w:val="00ED5F4E"/>
    <w:rsid w:val="00EE0FA5"/>
    <w:rsid w:val="00EE1EB6"/>
    <w:rsid w:val="00EE2344"/>
    <w:rsid w:val="00EE4D2C"/>
    <w:rsid w:val="00EE503A"/>
    <w:rsid w:val="00EE55C0"/>
    <w:rsid w:val="00EE6575"/>
    <w:rsid w:val="00EE7D2C"/>
    <w:rsid w:val="00EF0278"/>
    <w:rsid w:val="00EF49AE"/>
    <w:rsid w:val="00EF7D59"/>
    <w:rsid w:val="00F03B1E"/>
    <w:rsid w:val="00F03DAD"/>
    <w:rsid w:val="00F06A67"/>
    <w:rsid w:val="00F078F8"/>
    <w:rsid w:val="00F10A4D"/>
    <w:rsid w:val="00F11D4F"/>
    <w:rsid w:val="00F12089"/>
    <w:rsid w:val="00F127AB"/>
    <w:rsid w:val="00F12833"/>
    <w:rsid w:val="00F12BE1"/>
    <w:rsid w:val="00F12F82"/>
    <w:rsid w:val="00F13F29"/>
    <w:rsid w:val="00F146CB"/>
    <w:rsid w:val="00F148CF"/>
    <w:rsid w:val="00F15C72"/>
    <w:rsid w:val="00F170A2"/>
    <w:rsid w:val="00F177B6"/>
    <w:rsid w:val="00F217E4"/>
    <w:rsid w:val="00F25831"/>
    <w:rsid w:val="00F27FE9"/>
    <w:rsid w:val="00F40093"/>
    <w:rsid w:val="00F42028"/>
    <w:rsid w:val="00F42B5E"/>
    <w:rsid w:val="00F435C6"/>
    <w:rsid w:val="00F4750C"/>
    <w:rsid w:val="00F5279A"/>
    <w:rsid w:val="00F55DC1"/>
    <w:rsid w:val="00F606FE"/>
    <w:rsid w:val="00F619F3"/>
    <w:rsid w:val="00F62428"/>
    <w:rsid w:val="00F62682"/>
    <w:rsid w:val="00F63535"/>
    <w:rsid w:val="00F6468C"/>
    <w:rsid w:val="00F66024"/>
    <w:rsid w:val="00F663AB"/>
    <w:rsid w:val="00F6706C"/>
    <w:rsid w:val="00F679A7"/>
    <w:rsid w:val="00F71374"/>
    <w:rsid w:val="00F77178"/>
    <w:rsid w:val="00F83537"/>
    <w:rsid w:val="00F873E6"/>
    <w:rsid w:val="00F90F13"/>
    <w:rsid w:val="00F90F2F"/>
    <w:rsid w:val="00F9503A"/>
    <w:rsid w:val="00F9539D"/>
    <w:rsid w:val="00F96044"/>
    <w:rsid w:val="00F96BCB"/>
    <w:rsid w:val="00FA0E73"/>
    <w:rsid w:val="00FA1C0B"/>
    <w:rsid w:val="00FA328B"/>
    <w:rsid w:val="00FA3354"/>
    <w:rsid w:val="00FA3459"/>
    <w:rsid w:val="00FA3AB0"/>
    <w:rsid w:val="00FA64A9"/>
    <w:rsid w:val="00FA6A7E"/>
    <w:rsid w:val="00FA7174"/>
    <w:rsid w:val="00FA7CA3"/>
    <w:rsid w:val="00FB09FA"/>
    <w:rsid w:val="00FB0CF9"/>
    <w:rsid w:val="00FB2101"/>
    <w:rsid w:val="00FB2453"/>
    <w:rsid w:val="00FB3525"/>
    <w:rsid w:val="00FB3E77"/>
    <w:rsid w:val="00FB51CF"/>
    <w:rsid w:val="00FB7E6D"/>
    <w:rsid w:val="00FC0A88"/>
    <w:rsid w:val="00FC3B8C"/>
    <w:rsid w:val="00FC7B37"/>
    <w:rsid w:val="00FD0E3D"/>
    <w:rsid w:val="00FD1413"/>
    <w:rsid w:val="00FD1C13"/>
    <w:rsid w:val="00FD1F0B"/>
    <w:rsid w:val="00FD2E3F"/>
    <w:rsid w:val="00FD4839"/>
    <w:rsid w:val="00FD7CBE"/>
    <w:rsid w:val="00FE3B80"/>
    <w:rsid w:val="00FE601F"/>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E91E24"/>
  <w15:docId w15:val="{9D534F7D-32D5-4CD8-A866-395EC3C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3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 w:type="character" w:customStyle="1" w:styleId="subsectionChar">
    <w:name w:val="subsection Char"/>
    <w:aliases w:val="ss Char"/>
    <w:basedOn w:val="DefaultParagraphFont"/>
    <w:link w:val="subsection"/>
    <w:locked/>
    <w:rsid w:val="00563A33"/>
  </w:style>
  <w:style w:type="paragraph" w:customStyle="1" w:styleId="subsection">
    <w:name w:val="subsection"/>
    <w:aliases w:val="ss"/>
    <w:basedOn w:val="Normal"/>
    <w:link w:val="subsectionChar"/>
    <w:rsid w:val="00563A33"/>
    <w:pPr>
      <w:spacing w:before="180"/>
      <w:ind w:left="1134" w:hanging="1134"/>
    </w:pPr>
    <w:rPr>
      <w:sz w:val="20"/>
    </w:rPr>
  </w:style>
  <w:style w:type="character" w:customStyle="1" w:styleId="paragraphChar">
    <w:name w:val="paragraph Char"/>
    <w:aliases w:val="a Char"/>
    <w:basedOn w:val="DefaultParagraphFont"/>
    <w:link w:val="paragraph"/>
    <w:locked/>
    <w:rsid w:val="00563A33"/>
  </w:style>
  <w:style w:type="paragraph" w:customStyle="1" w:styleId="paragraph">
    <w:name w:val="paragraph"/>
    <w:aliases w:val="a"/>
    <w:basedOn w:val="Normal"/>
    <w:link w:val="paragraphChar"/>
    <w:rsid w:val="00563A33"/>
    <w:pPr>
      <w:spacing w:before="40"/>
      <w:ind w:left="1644" w:hanging="1644"/>
    </w:pPr>
    <w:rPr>
      <w:sz w:val="20"/>
    </w:rPr>
  </w:style>
  <w:style w:type="paragraph" w:customStyle="1" w:styleId="paragraphsub">
    <w:name w:val="paragraph(sub)"/>
    <w:aliases w:val="aa"/>
    <w:basedOn w:val="Normal"/>
    <w:rsid w:val="00563A33"/>
    <w:pPr>
      <w:spacing w:before="40"/>
      <w:ind w:left="2098" w:hanging="2098"/>
    </w:pPr>
    <w:rPr>
      <w:rFonts w:eastAsiaTheme="minorHAnsi"/>
      <w:sz w:val="22"/>
      <w:szCs w:val="22"/>
    </w:rPr>
  </w:style>
  <w:style w:type="paragraph" w:customStyle="1" w:styleId="ItemHead">
    <w:name w:val="ItemHead"/>
    <w:aliases w:val="ih"/>
    <w:basedOn w:val="Normal"/>
    <w:next w:val="Normal"/>
    <w:rsid w:val="008275CB"/>
    <w:pPr>
      <w:keepNext/>
      <w:keepLines/>
      <w:spacing w:before="220"/>
      <w:ind w:left="709" w:hanging="709"/>
    </w:pPr>
    <w:rPr>
      <w:rFonts w:ascii="Arial" w:eastAsia="Times New Roman" w:hAnsi="Arial"/>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7131">
      <w:bodyDiv w:val="1"/>
      <w:marLeft w:val="0"/>
      <w:marRight w:val="0"/>
      <w:marTop w:val="0"/>
      <w:marBottom w:val="0"/>
      <w:divBdr>
        <w:top w:val="none" w:sz="0" w:space="0" w:color="auto"/>
        <w:left w:val="none" w:sz="0" w:space="0" w:color="auto"/>
        <w:bottom w:val="none" w:sz="0" w:space="0" w:color="auto"/>
        <w:right w:val="none" w:sz="0" w:space="0" w:color="auto"/>
      </w:divBdr>
    </w:div>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1316069">
      <w:bodyDiv w:val="1"/>
      <w:marLeft w:val="0"/>
      <w:marRight w:val="0"/>
      <w:marTop w:val="0"/>
      <w:marBottom w:val="0"/>
      <w:divBdr>
        <w:top w:val="none" w:sz="0" w:space="0" w:color="auto"/>
        <w:left w:val="none" w:sz="0" w:space="0" w:color="auto"/>
        <w:bottom w:val="none" w:sz="0" w:space="0" w:color="auto"/>
        <w:right w:val="none" w:sz="0" w:space="0" w:color="auto"/>
      </w:divBdr>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6F01-8C4B-48F8-9BE9-7D698468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ROCHE, Casey</cp:lastModifiedBy>
  <cp:revision>2</cp:revision>
  <cp:lastPrinted>2019-05-23T23:54:00Z</cp:lastPrinted>
  <dcterms:created xsi:type="dcterms:W3CDTF">2021-10-21T04:52:00Z</dcterms:created>
  <dcterms:modified xsi:type="dcterms:W3CDTF">2021-10-21T04:52:00Z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