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D1162">
      <w:pPr>
        <w:spacing w:line="260" w:lineRule="atLeast"/>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19360143">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D1162">
      <w:pPr>
        <w:spacing w:line="260" w:lineRule="atLeast"/>
        <w:rPr>
          <w:rFonts w:ascii="Times New Roman" w:hAnsi="Times New Roman" w:cs="Times New Roman"/>
          <w:sz w:val="19"/>
        </w:rPr>
      </w:pPr>
    </w:p>
    <w:p w14:paraId="44546B6E" w14:textId="4A3610C6" w:rsidR="00086BF0" w:rsidRDefault="0039732A" w:rsidP="000D1162">
      <w:pPr>
        <w:pStyle w:val="ShortT"/>
        <w:spacing w:line="260" w:lineRule="atLeast"/>
      </w:pPr>
      <w:r>
        <w:t xml:space="preserve">Telecommunications </w:t>
      </w:r>
      <w:r w:rsidR="00BC3192">
        <w:t>(</w:t>
      </w:r>
      <w:r w:rsidR="006A1556">
        <w:t>Fax Marketing</w:t>
      </w:r>
      <w:r w:rsidR="00BC3192">
        <w:t>)</w:t>
      </w:r>
      <w:r w:rsidR="006A1556">
        <w:t xml:space="preserve"> Industry Standard 2021</w:t>
      </w:r>
    </w:p>
    <w:p w14:paraId="75AA3C11" w14:textId="77777777" w:rsidR="00086BF0" w:rsidRDefault="00086BF0" w:rsidP="000D1162">
      <w:pPr>
        <w:pStyle w:val="SignCoverPageStart"/>
        <w:spacing w:before="0"/>
        <w:rPr>
          <w:szCs w:val="22"/>
        </w:rPr>
      </w:pPr>
    </w:p>
    <w:p w14:paraId="1ECF4D11" w14:textId="796B50DD" w:rsidR="00086BF0" w:rsidRDefault="00086BF0" w:rsidP="000D1162">
      <w:pPr>
        <w:pStyle w:val="SignCoverPageStart"/>
        <w:spacing w:before="0"/>
        <w:rPr>
          <w:szCs w:val="22"/>
        </w:rPr>
      </w:pPr>
      <w:r>
        <w:rPr>
          <w:szCs w:val="22"/>
        </w:rPr>
        <w:t xml:space="preserve">The Australian Communications and Media Authority makes the following </w:t>
      </w:r>
      <w:r w:rsidR="005E58F0">
        <w:rPr>
          <w:szCs w:val="22"/>
        </w:rPr>
        <w:t xml:space="preserve">industry standard </w:t>
      </w:r>
      <w:r>
        <w:rPr>
          <w:szCs w:val="22"/>
        </w:rPr>
        <w:t xml:space="preserve">under </w:t>
      </w:r>
      <w:r w:rsidR="0077046D" w:rsidRPr="00E37FE0">
        <w:rPr>
          <w:szCs w:val="22"/>
        </w:rPr>
        <w:t xml:space="preserve">subsection 125B(1) of the </w:t>
      </w:r>
      <w:r w:rsidR="0077046D" w:rsidRPr="00E37FE0">
        <w:rPr>
          <w:i/>
          <w:szCs w:val="22"/>
        </w:rPr>
        <w:t>Telecommunications Act 1997</w:t>
      </w:r>
      <w:r>
        <w:t>.</w:t>
      </w:r>
    </w:p>
    <w:p w14:paraId="11CC4671" w14:textId="187EBC0B" w:rsidR="00086BF0" w:rsidRDefault="00086BF0" w:rsidP="000D1162">
      <w:pPr>
        <w:keepNext/>
        <w:spacing w:before="300" w:line="26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A24E4E">
        <w:rPr>
          <w:rFonts w:ascii="Times New Roman" w:hAnsi="Times New Roman" w:cs="Times New Roman"/>
        </w:rPr>
        <w:t xml:space="preserve"> 26 August 2021</w:t>
      </w:r>
    </w:p>
    <w:p w14:paraId="7195EC61" w14:textId="7E3210E8" w:rsidR="00A24E4E" w:rsidRDefault="00A24E4E"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Nerida O’Loughlin</w:t>
      </w:r>
    </w:p>
    <w:p w14:paraId="7C66D1CB" w14:textId="5D099E52" w:rsidR="00A24E4E" w:rsidRDefault="00A24E4E"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[signed]</w:t>
      </w:r>
    </w:p>
    <w:p w14:paraId="64B7188B" w14:textId="550B9132" w:rsidR="00086BF0" w:rsidRDefault="00086BF0"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37CE0A19" w14:textId="23E18276" w:rsidR="00A24E4E" w:rsidRDefault="00A24E4E" w:rsidP="00A24E4E">
      <w:pPr>
        <w:tabs>
          <w:tab w:val="left" w:pos="3119"/>
        </w:tabs>
        <w:spacing w:after="0" w:line="260" w:lineRule="atLeast"/>
        <w:ind w:right="375"/>
        <w:jc w:val="right"/>
        <w:rPr>
          <w:rFonts w:ascii="Times New Roman" w:hAnsi="Times New Roman" w:cs="Times New Roman"/>
        </w:rPr>
      </w:pPr>
    </w:p>
    <w:p w14:paraId="1D56B00D" w14:textId="08AA0FE5" w:rsidR="00A24E4E" w:rsidRDefault="00A24E4E"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Chris Jose</w:t>
      </w:r>
    </w:p>
    <w:p w14:paraId="332E9CAA" w14:textId="552262E4" w:rsidR="00A24E4E" w:rsidRDefault="00A24E4E"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Default="00086BF0" w:rsidP="00A24E4E">
      <w:pPr>
        <w:tabs>
          <w:tab w:val="left" w:pos="3119"/>
        </w:tabs>
        <w:spacing w:after="0" w:line="260" w:lineRule="atLeast"/>
        <w:ind w:right="375"/>
        <w:jc w:val="right"/>
        <w:rPr>
          <w:rFonts w:ascii="Times New Roman" w:hAnsi="Times New Roman" w:cs="Times New Roman"/>
        </w:rPr>
      </w:pPr>
      <w:r>
        <w:rPr>
          <w:rFonts w:ascii="Times New Roman" w:hAnsi="Times New Roman" w:cs="Times New Roman"/>
        </w:rPr>
        <w:t>Member/General Manager</w:t>
      </w:r>
      <w:bookmarkEnd w:id="1"/>
    </w:p>
    <w:p w14:paraId="1FEB742C" w14:textId="77777777" w:rsidR="00086BF0" w:rsidRDefault="00086BF0" w:rsidP="000D1162">
      <w:pPr>
        <w:pStyle w:val="SignCoverPageEnd"/>
        <w:spacing w:line="260" w:lineRule="atLeast"/>
        <w:ind w:right="794"/>
        <w:rPr>
          <w:szCs w:val="22"/>
        </w:rPr>
      </w:pPr>
    </w:p>
    <w:p w14:paraId="26D48BEF" w14:textId="77777777" w:rsidR="00086BF0" w:rsidRDefault="00086BF0" w:rsidP="000D1162">
      <w:pPr>
        <w:pStyle w:val="SignCoverPageEnd"/>
        <w:spacing w:line="260" w:lineRule="atLeast"/>
        <w:ind w:right="794"/>
        <w:rPr>
          <w:szCs w:val="22"/>
        </w:rPr>
      </w:pPr>
      <w:r>
        <w:rPr>
          <w:szCs w:val="22"/>
        </w:rPr>
        <w:t>Australian Communications and Media Authority</w:t>
      </w:r>
    </w:p>
    <w:p w14:paraId="43092265" w14:textId="77777777" w:rsidR="00086BF0" w:rsidRDefault="00086BF0" w:rsidP="000D1162">
      <w:pPr>
        <w:spacing w:line="260" w:lineRule="atLeast"/>
        <w:rPr>
          <w:rFonts w:ascii="Times New Roman" w:hAnsi="Times New Roman" w:cs="Times New Roman"/>
        </w:rPr>
      </w:pPr>
    </w:p>
    <w:p w14:paraId="50795CF9" w14:textId="77777777" w:rsidR="00086BF0" w:rsidRDefault="00086BF0" w:rsidP="000D1162">
      <w:pPr>
        <w:spacing w:line="260" w:lineRule="atLeast"/>
        <w:rPr>
          <w:rFonts w:ascii="Times New Roman" w:hAnsi="Times New Roman" w:cs="Times New Roman"/>
        </w:rPr>
      </w:pPr>
    </w:p>
    <w:p w14:paraId="5AF0A5F4" w14:textId="77777777" w:rsidR="00086BF0" w:rsidRDefault="00086BF0" w:rsidP="000D1162">
      <w:pPr>
        <w:spacing w:line="260" w:lineRule="atLeast"/>
        <w:rPr>
          <w:rFonts w:ascii="Times New Roman" w:hAnsi="Times New Roman" w:cs="Times New Roman"/>
        </w:rPr>
      </w:pPr>
    </w:p>
    <w:p w14:paraId="5D1B7840" w14:textId="77777777" w:rsidR="00086BF0" w:rsidRDefault="00086BF0" w:rsidP="000D1162">
      <w:pPr>
        <w:spacing w:after="0" w:line="260" w:lineRule="atLeast"/>
        <w:rPr>
          <w:rFonts w:ascii="Times New Roman" w:hAnsi="Times New Roman" w:cs="Times New Roman"/>
        </w:rPr>
        <w:sectPr w:rsidR="00086BF0">
          <w:pgSz w:w="11906" w:h="16838"/>
          <w:pgMar w:top="1440" w:right="1440" w:bottom="1440" w:left="1440" w:header="708" w:footer="708" w:gutter="0"/>
          <w:pgNumType w:start="1"/>
          <w:cols w:space="720"/>
        </w:sectPr>
      </w:pPr>
    </w:p>
    <w:p w14:paraId="09F6E4BD" w14:textId="77777777" w:rsidR="00A41E42" w:rsidRPr="0088197F" w:rsidRDefault="00A41E42" w:rsidP="000D1162">
      <w:pPr>
        <w:tabs>
          <w:tab w:val="left" w:pos="2268"/>
        </w:tabs>
        <w:spacing w:line="260" w:lineRule="atLeast"/>
        <w:rPr>
          <w:rFonts w:ascii="Times New Roman" w:hAnsi="Times New Roman" w:cs="Times New Roman"/>
          <w:b/>
          <w:sz w:val="24"/>
          <w:szCs w:val="24"/>
        </w:rPr>
      </w:pPr>
      <w:r w:rsidRPr="0088197F">
        <w:rPr>
          <w:rFonts w:ascii="Times New Roman" w:hAnsi="Times New Roman" w:cs="Times New Roman"/>
          <w:b/>
          <w:sz w:val="24"/>
          <w:szCs w:val="24"/>
        </w:rPr>
        <w:lastRenderedPageBreak/>
        <w:t>Contents</w:t>
      </w:r>
    </w:p>
    <w:p w14:paraId="220AC471" w14:textId="62A0D27C"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b/>
          <w:sz w:val="24"/>
          <w:szCs w:val="24"/>
        </w:rPr>
        <w:fldChar w:fldCharType="begin"/>
      </w:r>
      <w:r w:rsidRPr="0088197F">
        <w:rPr>
          <w:rFonts w:ascii="Times New Roman" w:hAnsi="Times New Roman" w:cs="Times New Roman"/>
          <w:b/>
          <w:sz w:val="24"/>
          <w:szCs w:val="24"/>
        </w:rPr>
        <w:instrText xml:space="preserve"> TOC \o "1-1" \u </w:instrText>
      </w:r>
      <w:r w:rsidRPr="0088197F">
        <w:rPr>
          <w:rFonts w:ascii="Times New Roman" w:hAnsi="Times New Roman" w:cs="Times New Roman"/>
          <w:b/>
          <w:sz w:val="24"/>
          <w:szCs w:val="24"/>
        </w:rPr>
        <w:fldChar w:fldCharType="separate"/>
      </w:r>
      <w:r w:rsidRPr="0088197F">
        <w:rPr>
          <w:rFonts w:ascii="Times New Roman" w:hAnsi="Times New Roman" w:cs="Times New Roman"/>
          <w:noProof/>
          <w:sz w:val="24"/>
          <w:szCs w:val="24"/>
        </w:rPr>
        <w:t>1  Name</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_Toc74305913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3</w:t>
      </w:r>
      <w:r w:rsidRPr="0088197F">
        <w:rPr>
          <w:rFonts w:ascii="Times New Roman" w:hAnsi="Times New Roman" w:cs="Times New Roman"/>
          <w:noProof/>
          <w:sz w:val="24"/>
          <w:szCs w:val="24"/>
        </w:rPr>
        <w:fldChar w:fldCharType="end"/>
      </w:r>
    </w:p>
    <w:p w14:paraId="121EE2E5" w14:textId="4AEA0D63"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2  Commencement</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_Toc74305914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3</w:t>
      </w:r>
      <w:r w:rsidRPr="0088197F">
        <w:rPr>
          <w:rFonts w:ascii="Times New Roman" w:hAnsi="Times New Roman" w:cs="Times New Roman"/>
          <w:noProof/>
          <w:sz w:val="24"/>
          <w:szCs w:val="24"/>
        </w:rPr>
        <w:fldChar w:fldCharType="end"/>
      </w:r>
    </w:p>
    <w:p w14:paraId="45F31560" w14:textId="4C13292C"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3  Authority</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_Toc74305915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3</w:t>
      </w:r>
      <w:r w:rsidRPr="0088197F">
        <w:rPr>
          <w:rFonts w:ascii="Times New Roman" w:hAnsi="Times New Roman" w:cs="Times New Roman"/>
          <w:noProof/>
          <w:sz w:val="24"/>
          <w:szCs w:val="24"/>
        </w:rPr>
        <w:fldChar w:fldCharType="end"/>
      </w:r>
    </w:p>
    <w:p w14:paraId="1987E7D5" w14:textId="286F214E"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4  Repeal of the Fax Marketing Industry Standard 2011</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_Toc74305916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3</w:t>
      </w:r>
      <w:r w:rsidRPr="0088197F">
        <w:rPr>
          <w:rFonts w:ascii="Times New Roman" w:hAnsi="Times New Roman" w:cs="Times New Roman"/>
          <w:noProof/>
          <w:sz w:val="24"/>
          <w:szCs w:val="24"/>
        </w:rPr>
        <w:fldChar w:fldCharType="end"/>
      </w:r>
    </w:p>
    <w:p w14:paraId="0DD595B2" w14:textId="5E2FBBFC"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5  Definitions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_Toc74305917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3</w:t>
      </w:r>
      <w:r w:rsidRPr="0088197F">
        <w:rPr>
          <w:rFonts w:ascii="Times New Roman" w:hAnsi="Times New Roman" w:cs="Times New Roman"/>
          <w:noProof/>
          <w:sz w:val="24"/>
          <w:szCs w:val="24"/>
        </w:rPr>
        <w:fldChar w:fldCharType="end"/>
      </w:r>
    </w:p>
    <w:p w14:paraId="55DC93CC" w14:textId="455177B1"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6  References to other instruments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_Toc74305918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4</w:t>
      </w:r>
      <w:r w:rsidRPr="0088197F">
        <w:rPr>
          <w:rFonts w:ascii="Times New Roman" w:hAnsi="Times New Roman" w:cs="Times New Roman"/>
          <w:noProof/>
          <w:sz w:val="24"/>
          <w:szCs w:val="24"/>
        </w:rPr>
        <w:fldChar w:fldCharType="end"/>
      </w:r>
    </w:p>
    <w:p w14:paraId="0A1ED38D" w14:textId="356A42C7"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7  Persons to whom this industry standard applies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_Toc74305919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5</w:t>
      </w:r>
      <w:r w:rsidRPr="0088197F">
        <w:rPr>
          <w:rFonts w:ascii="Times New Roman" w:hAnsi="Times New Roman" w:cs="Times New Roman"/>
          <w:noProof/>
          <w:sz w:val="24"/>
          <w:szCs w:val="24"/>
        </w:rPr>
        <w:fldChar w:fldCharType="end"/>
      </w:r>
    </w:p>
    <w:p w14:paraId="5BA684EA" w14:textId="58F85FB9"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8  Prohibited times for the sending of faxes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_Toc74305920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5</w:t>
      </w:r>
      <w:r w:rsidRPr="0088197F">
        <w:rPr>
          <w:rFonts w:ascii="Times New Roman" w:hAnsi="Times New Roman" w:cs="Times New Roman"/>
          <w:noProof/>
          <w:sz w:val="24"/>
          <w:szCs w:val="24"/>
        </w:rPr>
        <w:fldChar w:fldCharType="end"/>
      </w:r>
    </w:p>
    <w:p w14:paraId="1E45E3CB" w14:textId="017B35EE"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bCs/>
          <w:noProof/>
          <w:sz w:val="24"/>
          <w:szCs w:val="24"/>
        </w:rPr>
        <w:t>9</w:t>
      </w:r>
      <w:r w:rsidRPr="0088197F">
        <w:rPr>
          <w:rFonts w:ascii="Times New Roman" w:hAnsi="Times New Roman" w:cs="Times New Roman"/>
          <w:noProof/>
          <w:sz w:val="24"/>
          <w:szCs w:val="24"/>
        </w:rPr>
        <w:t xml:space="preserve">  Provision of information within a fax</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_Toc74305921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5</w:t>
      </w:r>
      <w:r w:rsidRPr="0088197F">
        <w:rPr>
          <w:rFonts w:ascii="Times New Roman" w:hAnsi="Times New Roman" w:cs="Times New Roman"/>
          <w:noProof/>
          <w:sz w:val="24"/>
          <w:szCs w:val="24"/>
        </w:rPr>
        <w:fldChar w:fldCharType="end"/>
      </w:r>
    </w:p>
    <w:p w14:paraId="7A40B3F7" w14:textId="0BD66665" w:rsidR="0088197F" w:rsidRPr="0088197F" w:rsidRDefault="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 xml:space="preserve">10  </w:t>
      </w:r>
      <w:r w:rsidR="00010B2A">
        <w:rPr>
          <w:rFonts w:ascii="Times New Roman" w:hAnsi="Times New Roman" w:cs="Times New Roman"/>
          <w:noProof/>
          <w:sz w:val="24"/>
          <w:szCs w:val="24"/>
        </w:rPr>
        <w:t>P</w:t>
      </w:r>
      <w:r w:rsidRPr="0088197F">
        <w:rPr>
          <w:rFonts w:ascii="Times New Roman" w:hAnsi="Times New Roman" w:cs="Times New Roman"/>
          <w:noProof/>
          <w:sz w:val="24"/>
          <w:szCs w:val="24"/>
        </w:rPr>
        <w:t>roviding fax recipient</w:t>
      </w:r>
      <w:r w:rsidR="00010B2A">
        <w:rPr>
          <w:rFonts w:ascii="Times New Roman" w:hAnsi="Times New Roman" w:cs="Times New Roman"/>
          <w:noProof/>
          <w:sz w:val="24"/>
          <w:szCs w:val="24"/>
        </w:rPr>
        <w:t>s</w:t>
      </w:r>
      <w:r w:rsidRPr="0088197F">
        <w:rPr>
          <w:rFonts w:ascii="Times New Roman" w:hAnsi="Times New Roman" w:cs="Times New Roman"/>
          <w:noProof/>
          <w:sz w:val="24"/>
          <w:szCs w:val="24"/>
        </w:rPr>
        <w:t xml:space="preserve"> with facility to opt out from receiving further faxes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_Toc74305922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6</w:t>
      </w:r>
      <w:r w:rsidRPr="0088197F">
        <w:rPr>
          <w:rFonts w:ascii="Times New Roman" w:hAnsi="Times New Roman" w:cs="Times New Roman"/>
          <w:noProof/>
          <w:sz w:val="24"/>
          <w:szCs w:val="24"/>
        </w:rPr>
        <w:fldChar w:fldCharType="end"/>
      </w:r>
    </w:p>
    <w:p w14:paraId="1F45070A" w14:textId="0CA71F83"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11  Limit on number of faxes to be sent to a recipient in a period</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_Toc74305923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6</w:t>
      </w:r>
      <w:r w:rsidRPr="0088197F">
        <w:rPr>
          <w:rFonts w:ascii="Times New Roman" w:hAnsi="Times New Roman" w:cs="Times New Roman"/>
          <w:noProof/>
          <w:sz w:val="24"/>
          <w:szCs w:val="24"/>
        </w:rPr>
        <w:fldChar w:fldCharType="end"/>
      </w:r>
    </w:p>
    <w:p w14:paraId="362BCB4C" w14:textId="766D2C87" w:rsidR="0088197F" w:rsidRPr="0088197F" w:rsidRDefault="0088197F" w:rsidP="0088197F">
      <w:pPr>
        <w:pStyle w:val="TOC1"/>
        <w:tabs>
          <w:tab w:val="right" w:leader="dot" w:pos="9016"/>
        </w:tabs>
        <w:ind w:left="426"/>
        <w:rPr>
          <w:rFonts w:ascii="Times New Roman" w:eastAsiaTheme="minorEastAsia" w:hAnsi="Times New Roman" w:cs="Times New Roman"/>
          <w:noProof/>
          <w:sz w:val="24"/>
          <w:szCs w:val="24"/>
          <w:lang w:eastAsia="en-AU"/>
        </w:rPr>
      </w:pPr>
      <w:r w:rsidRPr="0088197F">
        <w:rPr>
          <w:rFonts w:ascii="Times New Roman" w:hAnsi="Times New Roman" w:cs="Times New Roman"/>
          <w:noProof/>
          <w:sz w:val="24"/>
          <w:szCs w:val="24"/>
        </w:rPr>
        <w:t>12  Operation of State and Territory laws</w:t>
      </w:r>
      <w:r w:rsidRPr="0088197F">
        <w:rPr>
          <w:rFonts w:ascii="Times New Roman" w:hAnsi="Times New Roman" w:cs="Times New Roman"/>
          <w:noProof/>
          <w:sz w:val="24"/>
          <w:szCs w:val="24"/>
        </w:rPr>
        <w:tab/>
      </w:r>
      <w:r w:rsidRPr="0088197F">
        <w:rPr>
          <w:rFonts w:ascii="Times New Roman" w:hAnsi="Times New Roman" w:cs="Times New Roman"/>
          <w:noProof/>
          <w:sz w:val="24"/>
          <w:szCs w:val="24"/>
        </w:rPr>
        <w:fldChar w:fldCharType="begin"/>
      </w:r>
      <w:r w:rsidRPr="0088197F">
        <w:rPr>
          <w:rFonts w:ascii="Times New Roman" w:hAnsi="Times New Roman" w:cs="Times New Roman"/>
          <w:noProof/>
          <w:sz w:val="24"/>
          <w:szCs w:val="24"/>
        </w:rPr>
        <w:instrText xml:space="preserve"> PAGEREF _Toc74305924 \h </w:instrText>
      </w:r>
      <w:r w:rsidRPr="0088197F">
        <w:rPr>
          <w:rFonts w:ascii="Times New Roman" w:hAnsi="Times New Roman" w:cs="Times New Roman"/>
          <w:noProof/>
          <w:sz w:val="24"/>
          <w:szCs w:val="24"/>
        </w:rPr>
      </w:r>
      <w:r w:rsidRPr="0088197F">
        <w:rPr>
          <w:rFonts w:ascii="Times New Roman" w:hAnsi="Times New Roman" w:cs="Times New Roman"/>
          <w:noProof/>
          <w:sz w:val="24"/>
          <w:szCs w:val="24"/>
        </w:rPr>
        <w:fldChar w:fldCharType="separate"/>
      </w:r>
      <w:r w:rsidRPr="0088197F">
        <w:rPr>
          <w:rFonts w:ascii="Times New Roman" w:hAnsi="Times New Roman" w:cs="Times New Roman"/>
          <w:noProof/>
          <w:sz w:val="24"/>
          <w:szCs w:val="24"/>
        </w:rPr>
        <w:t>6</w:t>
      </w:r>
      <w:r w:rsidRPr="0088197F">
        <w:rPr>
          <w:rFonts w:ascii="Times New Roman" w:hAnsi="Times New Roman" w:cs="Times New Roman"/>
          <w:noProof/>
          <w:sz w:val="24"/>
          <w:szCs w:val="24"/>
        </w:rPr>
        <w:fldChar w:fldCharType="end"/>
      </w:r>
    </w:p>
    <w:p w14:paraId="5FB1EA18" w14:textId="4922F315" w:rsidR="00A41E42" w:rsidRPr="00A41E42" w:rsidRDefault="0088197F" w:rsidP="0088197F">
      <w:pPr>
        <w:tabs>
          <w:tab w:val="left" w:pos="2268"/>
        </w:tabs>
        <w:spacing w:line="260" w:lineRule="atLeast"/>
        <w:ind w:left="426"/>
        <w:rPr>
          <w:rFonts w:ascii="Times New Roman" w:hAnsi="Times New Roman" w:cs="Times New Roman"/>
          <w:b/>
          <w:sz w:val="28"/>
          <w:szCs w:val="28"/>
        </w:rPr>
      </w:pPr>
      <w:r w:rsidRPr="0088197F">
        <w:rPr>
          <w:rFonts w:ascii="Times New Roman" w:hAnsi="Times New Roman" w:cs="Times New Roman"/>
          <w:b/>
          <w:sz w:val="24"/>
          <w:szCs w:val="24"/>
        </w:rPr>
        <w:fldChar w:fldCharType="end"/>
      </w:r>
    </w:p>
    <w:p w14:paraId="14871ADC" w14:textId="77777777" w:rsidR="00A41E42" w:rsidRDefault="00A41E42" w:rsidP="000D1162">
      <w:pPr>
        <w:spacing w:line="260" w:lineRule="atLeast"/>
        <w:rPr>
          <w:rFonts w:ascii="Arial" w:hAnsi="Arial" w:cs="Arial"/>
          <w:b/>
          <w:sz w:val="28"/>
          <w:szCs w:val="28"/>
        </w:rPr>
      </w:pPr>
      <w:r>
        <w:rPr>
          <w:rFonts w:ascii="Arial" w:hAnsi="Arial" w:cs="Arial"/>
          <w:b/>
          <w:sz w:val="28"/>
          <w:szCs w:val="28"/>
        </w:rPr>
        <w:br w:type="page"/>
      </w:r>
    </w:p>
    <w:p w14:paraId="6603E212" w14:textId="77777777" w:rsidR="00086BF0" w:rsidRDefault="00086BF0" w:rsidP="000D1162">
      <w:pPr>
        <w:spacing w:after="0" w:line="260" w:lineRule="atLeast"/>
        <w:rPr>
          <w:rFonts w:ascii="Times New Roman" w:hAnsi="Times New Roman" w:cs="Times New Roman"/>
        </w:rPr>
        <w:sectPr w:rsidR="00086BF0">
          <w:footerReference w:type="default" r:id="rId13"/>
          <w:pgSz w:w="11906" w:h="16838"/>
          <w:pgMar w:top="1440" w:right="1440" w:bottom="1440" w:left="1440" w:header="708" w:footer="708" w:gutter="0"/>
          <w:cols w:space="720"/>
        </w:sectPr>
      </w:pPr>
    </w:p>
    <w:p w14:paraId="1EFDD9FA" w14:textId="77777777" w:rsidR="00086BF0" w:rsidRPr="0088197F" w:rsidRDefault="00086BF0" w:rsidP="0088197F">
      <w:pPr>
        <w:pStyle w:val="Heading1"/>
      </w:pPr>
      <w:bookmarkStart w:id="2" w:name="_Toc74305913"/>
      <w:bookmarkStart w:id="3" w:name="_Toc444596031"/>
      <w:r w:rsidRPr="0088197F">
        <w:rPr>
          <w:rStyle w:val="CharSectno"/>
        </w:rPr>
        <w:lastRenderedPageBreak/>
        <w:t>1</w:t>
      </w:r>
      <w:r w:rsidRPr="0088197F">
        <w:t xml:space="preserve">  Name</w:t>
      </w:r>
      <w:bookmarkEnd w:id="2"/>
    </w:p>
    <w:p w14:paraId="0BA01627" w14:textId="668FAD6D" w:rsidR="00086BF0" w:rsidRDefault="00086BF0" w:rsidP="000D1162">
      <w:pPr>
        <w:pStyle w:val="subsection"/>
        <w:spacing w:line="260" w:lineRule="atLeast"/>
      </w:pPr>
      <w:r>
        <w:tab/>
      </w:r>
      <w:r>
        <w:tab/>
        <w:t xml:space="preserve">This is the </w:t>
      </w:r>
      <w:bookmarkStart w:id="4" w:name="BKCheck15B_3"/>
      <w:bookmarkEnd w:id="4"/>
      <w:r w:rsidR="009531A0" w:rsidRPr="00513F9B">
        <w:rPr>
          <w:i/>
          <w:iCs/>
        </w:rPr>
        <w:t xml:space="preserve">Telecommunications </w:t>
      </w:r>
      <w:r w:rsidR="009018B7">
        <w:rPr>
          <w:i/>
          <w:iCs/>
        </w:rPr>
        <w:t>(</w:t>
      </w:r>
      <w:r w:rsidR="00A4563D" w:rsidRPr="00A4563D">
        <w:rPr>
          <w:i/>
          <w:iCs/>
        </w:rPr>
        <w:t>Fax Marketing</w:t>
      </w:r>
      <w:r w:rsidR="009018B7">
        <w:rPr>
          <w:i/>
          <w:iCs/>
        </w:rPr>
        <w:t>)</w:t>
      </w:r>
      <w:r w:rsidR="00A4563D" w:rsidRPr="00A4563D">
        <w:rPr>
          <w:i/>
          <w:iCs/>
        </w:rPr>
        <w:t xml:space="preserve"> Industry Standard 2021</w:t>
      </w:r>
      <w:r>
        <w:t>.</w:t>
      </w:r>
    </w:p>
    <w:p w14:paraId="177E90D7" w14:textId="77777777" w:rsidR="00086BF0" w:rsidRDefault="00086BF0" w:rsidP="0088197F">
      <w:pPr>
        <w:pStyle w:val="Heading1"/>
      </w:pPr>
      <w:bookmarkStart w:id="5" w:name="_Toc444596032"/>
      <w:bookmarkStart w:id="6" w:name="_Toc74305914"/>
      <w:r>
        <w:rPr>
          <w:rStyle w:val="CharSectno"/>
        </w:rPr>
        <w:t>2</w:t>
      </w:r>
      <w:r>
        <w:t xml:space="preserve">  Commencement</w:t>
      </w:r>
      <w:bookmarkEnd w:id="5"/>
      <w:bookmarkEnd w:id="6"/>
    </w:p>
    <w:p w14:paraId="6D874432" w14:textId="77777777" w:rsidR="00086BF0" w:rsidRDefault="00086BF0" w:rsidP="000D1162">
      <w:pPr>
        <w:pStyle w:val="subsection"/>
        <w:spacing w:line="260" w:lineRule="atLeast"/>
      </w:pPr>
      <w:r>
        <w:tab/>
      </w:r>
      <w:r>
        <w:tab/>
        <w:t xml:space="preserve">This instrument commences at the start of the day after the day it is registered on the Federal Register of Legislation. </w:t>
      </w:r>
    </w:p>
    <w:p w14:paraId="795025ED" w14:textId="77777777" w:rsidR="00086BF0" w:rsidRDefault="00086BF0" w:rsidP="000D1162">
      <w:pPr>
        <w:pStyle w:val="LI-BodyTextNote"/>
        <w:spacing w:before="122" w:line="260" w:lineRule="atLeast"/>
      </w:pPr>
      <w:r>
        <w:t>Note:</w:t>
      </w:r>
      <w:r>
        <w:tab/>
        <w:t xml:space="preserve">The Federal Register of Legislation may be accessed free of charge at </w:t>
      </w:r>
      <w:hyperlink r:id="rId14" w:history="1">
        <w:r>
          <w:rPr>
            <w:rStyle w:val="Hyperlink"/>
            <w:rFonts w:eastAsiaTheme="majorEastAsia"/>
          </w:rPr>
          <w:t>www.legislation.gov.au</w:t>
        </w:r>
      </w:hyperlink>
      <w:r>
        <w:t>.</w:t>
      </w:r>
    </w:p>
    <w:p w14:paraId="12CBE75E" w14:textId="77777777" w:rsidR="00086BF0" w:rsidRDefault="00086BF0" w:rsidP="0088197F">
      <w:pPr>
        <w:pStyle w:val="Heading1"/>
      </w:pPr>
      <w:bookmarkStart w:id="7" w:name="_Toc444596033"/>
      <w:bookmarkStart w:id="8" w:name="_Toc74305915"/>
      <w:r>
        <w:rPr>
          <w:rStyle w:val="CharSectno"/>
        </w:rPr>
        <w:t>3</w:t>
      </w:r>
      <w:r>
        <w:t xml:space="preserve">  Authority</w:t>
      </w:r>
      <w:bookmarkEnd w:id="7"/>
      <w:bookmarkEnd w:id="8"/>
    </w:p>
    <w:p w14:paraId="3377B4C6" w14:textId="03CAF6F1" w:rsidR="00086BF0" w:rsidRDefault="00086BF0" w:rsidP="000D1162">
      <w:pPr>
        <w:pStyle w:val="subsection"/>
        <w:spacing w:line="260" w:lineRule="atLeast"/>
      </w:pPr>
      <w:r>
        <w:tab/>
      </w:r>
      <w:r>
        <w:tab/>
        <w:t xml:space="preserve">This instrument is made under </w:t>
      </w:r>
      <w:r w:rsidR="00A4563D" w:rsidRPr="00E37FE0">
        <w:rPr>
          <w:szCs w:val="22"/>
        </w:rPr>
        <w:t xml:space="preserve">subsection 125B(1) of the </w:t>
      </w:r>
      <w:r w:rsidR="00A4563D" w:rsidRPr="00E37FE0">
        <w:rPr>
          <w:i/>
          <w:szCs w:val="22"/>
        </w:rPr>
        <w:t>Telecommunications Act 1997</w:t>
      </w:r>
      <w:r w:rsidR="00A4563D">
        <w:rPr>
          <w:i/>
          <w:szCs w:val="22"/>
        </w:rPr>
        <w:t>.</w:t>
      </w:r>
    </w:p>
    <w:p w14:paraId="125EEF8B" w14:textId="66B8566C" w:rsidR="00086BF0" w:rsidRDefault="00086BF0" w:rsidP="0088197F">
      <w:pPr>
        <w:pStyle w:val="Heading1"/>
      </w:pPr>
      <w:bookmarkStart w:id="9" w:name="_Toc74305916"/>
      <w:bookmarkStart w:id="10" w:name="_Toc444596034"/>
      <w:r>
        <w:t xml:space="preserve">4  Repeal of the </w:t>
      </w:r>
      <w:r w:rsidR="009F34D9">
        <w:t>Fax Marketing Industry Standard 2011</w:t>
      </w:r>
      <w:bookmarkEnd w:id="9"/>
    </w:p>
    <w:p w14:paraId="5F185247" w14:textId="640E58F5" w:rsidR="00086BF0" w:rsidRDefault="00086BF0" w:rsidP="000D1162">
      <w:pPr>
        <w:pStyle w:val="subsection"/>
        <w:spacing w:line="260" w:lineRule="atLeast"/>
        <w:rPr>
          <w:rStyle w:val="CharSectno"/>
        </w:rPr>
      </w:pPr>
      <w:r>
        <w:tab/>
      </w:r>
      <w:r>
        <w:tab/>
        <w:t xml:space="preserve">The </w:t>
      </w:r>
      <w:r w:rsidR="00517BED">
        <w:rPr>
          <w:i/>
        </w:rPr>
        <w:t>Fax Marketing Industry Standard 2011</w:t>
      </w:r>
      <w:r>
        <w:rPr>
          <w:i/>
        </w:rPr>
        <w:t xml:space="preserve"> </w:t>
      </w:r>
      <w:r w:rsidR="008A2C61">
        <w:t>(</w:t>
      </w:r>
      <w:r w:rsidR="00517BED" w:rsidRPr="00517BED">
        <w:t>F2011L00668</w:t>
      </w:r>
      <w:r w:rsidR="008A2C61">
        <w:t>)</w:t>
      </w:r>
      <w:r>
        <w:t xml:space="preserve"> is repealed. </w:t>
      </w:r>
    </w:p>
    <w:p w14:paraId="616032F1" w14:textId="52985376" w:rsidR="00086BF0" w:rsidRDefault="00223624" w:rsidP="0088197F">
      <w:pPr>
        <w:pStyle w:val="Heading1"/>
      </w:pPr>
      <w:bookmarkStart w:id="11" w:name="_Toc74305917"/>
      <w:r>
        <w:rPr>
          <w:rStyle w:val="CharSectno"/>
        </w:rPr>
        <w:t>5</w:t>
      </w:r>
      <w:r w:rsidR="00086BF0">
        <w:t xml:space="preserve">  Definitions</w:t>
      </w:r>
      <w:bookmarkEnd w:id="10"/>
      <w:bookmarkEnd w:id="11"/>
    </w:p>
    <w:p w14:paraId="428F2C2E" w14:textId="5B076624" w:rsidR="00086BF0" w:rsidRDefault="00086BF0" w:rsidP="000D1162">
      <w:pPr>
        <w:pStyle w:val="subsection"/>
        <w:tabs>
          <w:tab w:val="clear" w:pos="1021"/>
        </w:tabs>
        <w:spacing w:line="260" w:lineRule="atLeast"/>
        <w:ind w:firstLine="0"/>
      </w:pPr>
      <w:r>
        <w:t>In this instrument:</w:t>
      </w:r>
    </w:p>
    <w:p w14:paraId="1CD0CEBB" w14:textId="23897FBB" w:rsidR="00D55AC2" w:rsidRPr="00D55AC2" w:rsidRDefault="00D55AC2" w:rsidP="000D1162">
      <w:pPr>
        <w:pStyle w:val="subsection"/>
        <w:tabs>
          <w:tab w:val="clear" w:pos="1021"/>
        </w:tabs>
        <w:spacing w:line="260" w:lineRule="atLeast"/>
        <w:ind w:firstLine="0"/>
      </w:pPr>
      <w:r w:rsidRPr="00C82A6B">
        <w:rPr>
          <w:b/>
          <w:bCs/>
          <w:i/>
          <w:iCs/>
        </w:rPr>
        <w:t>ACMA</w:t>
      </w:r>
      <w:r w:rsidRPr="006816D5">
        <w:t xml:space="preserve"> means the Australian Communications and Media Authority.</w:t>
      </w:r>
    </w:p>
    <w:p w14:paraId="029163C1" w14:textId="10B501DD" w:rsidR="00C82A6B" w:rsidRPr="00E71DC9" w:rsidRDefault="00C82A6B" w:rsidP="00513F9B">
      <w:pPr>
        <w:tabs>
          <w:tab w:val="left" w:pos="993"/>
          <w:tab w:val="left" w:pos="1134"/>
          <w:tab w:val="left" w:pos="2268"/>
        </w:tabs>
        <w:spacing w:before="120" w:after="120" w:line="260" w:lineRule="atLeast"/>
        <w:ind w:left="1134"/>
        <w:rPr>
          <w:rFonts w:ascii="Times New Roman" w:hAnsi="Times New Roman" w:cs="Times New Roman"/>
          <w:b/>
          <w:i/>
        </w:rPr>
      </w:pPr>
      <w:r w:rsidRPr="001C76B4">
        <w:rPr>
          <w:rFonts w:ascii="Times New Roman" w:hAnsi="Times New Roman" w:cs="Times New Roman"/>
          <w:b/>
          <w:bCs/>
          <w:i/>
          <w:iCs/>
        </w:rPr>
        <w:t>Act</w:t>
      </w:r>
      <w:r w:rsidRPr="00E71DC9">
        <w:rPr>
          <w:rFonts w:ascii="Times New Roman" w:hAnsi="Times New Roman" w:cs="Times New Roman"/>
        </w:rPr>
        <w:t xml:space="preserve"> means the </w:t>
      </w:r>
      <w:r w:rsidRPr="00E71DC9">
        <w:rPr>
          <w:rFonts w:ascii="Times New Roman" w:hAnsi="Times New Roman" w:cs="Times New Roman"/>
          <w:i/>
          <w:iCs/>
        </w:rPr>
        <w:t>Telecommunications Act 1997</w:t>
      </w:r>
      <w:r w:rsidRPr="00E71DC9">
        <w:rPr>
          <w:rFonts w:ascii="Times New Roman" w:hAnsi="Times New Roman" w:cs="Times New Roman"/>
        </w:rPr>
        <w:t>.</w:t>
      </w:r>
    </w:p>
    <w:p w14:paraId="730E118D" w14:textId="2F342621" w:rsidR="006816D5" w:rsidRPr="006C7885" w:rsidRDefault="006816D5" w:rsidP="00513F9B">
      <w:pPr>
        <w:tabs>
          <w:tab w:val="left" w:pos="993"/>
          <w:tab w:val="left" w:pos="1134"/>
          <w:tab w:val="left" w:pos="2268"/>
        </w:tabs>
        <w:spacing w:after="120" w:line="260" w:lineRule="atLeast"/>
        <w:ind w:left="1134"/>
        <w:rPr>
          <w:rFonts w:ascii="Times New Roman" w:hAnsi="Times New Roman"/>
          <w:bCs/>
          <w:iCs/>
        </w:rPr>
      </w:pPr>
      <w:r w:rsidRPr="0072776B">
        <w:rPr>
          <w:rFonts w:ascii="Times New Roman" w:hAnsi="Times New Roman"/>
          <w:b/>
          <w:i/>
        </w:rPr>
        <w:t xml:space="preserve">Australian number </w:t>
      </w:r>
      <w:r w:rsidRPr="00C355C2">
        <w:rPr>
          <w:rFonts w:ascii="Times New Roman" w:hAnsi="Times New Roman"/>
          <w:bCs/>
          <w:iCs/>
        </w:rPr>
        <w:t>has</w:t>
      </w:r>
      <w:r w:rsidRPr="006C7885">
        <w:rPr>
          <w:rFonts w:ascii="Times New Roman" w:hAnsi="Times New Roman"/>
          <w:bCs/>
          <w:iCs/>
        </w:rPr>
        <w:t xml:space="preserve"> the meaning given by section 4 of the </w:t>
      </w:r>
      <w:r w:rsidRPr="006C7885">
        <w:rPr>
          <w:rFonts w:ascii="Times New Roman" w:hAnsi="Times New Roman"/>
          <w:bCs/>
          <w:i/>
        </w:rPr>
        <w:t>Do Not Call Register Act 2006.</w:t>
      </w:r>
    </w:p>
    <w:p w14:paraId="7DC448CD" w14:textId="77F14997" w:rsidR="006816D5" w:rsidRPr="006816D5" w:rsidRDefault="006816D5" w:rsidP="00513F9B">
      <w:pPr>
        <w:tabs>
          <w:tab w:val="left" w:pos="993"/>
          <w:tab w:val="left" w:pos="1134"/>
          <w:tab w:val="left" w:pos="2268"/>
        </w:tabs>
        <w:spacing w:before="120" w:after="120" w:line="260" w:lineRule="atLeast"/>
        <w:ind w:left="1134"/>
        <w:rPr>
          <w:rFonts w:ascii="Times New Roman" w:hAnsi="Times New Roman"/>
        </w:rPr>
      </w:pPr>
      <w:r w:rsidRPr="006816D5">
        <w:rPr>
          <w:rFonts w:ascii="Times New Roman" w:hAnsi="Times New Roman"/>
          <w:b/>
          <w:i/>
        </w:rPr>
        <w:t>consent</w:t>
      </w:r>
      <w:r w:rsidRPr="006816D5">
        <w:rPr>
          <w:rFonts w:ascii="Times New Roman" w:hAnsi="Times New Roman"/>
        </w:rPr>
        <w:t xml:space="preserve"> has the same meaning as in Schedule 2 to the </w:t>
      </w:r>
      <w:r w:rsidRPr="006816D5">
        <w:rPr>
          <w:rFonts w:ascii="Times New Roman" w:hAnsi="Times New Roman"/>
          <w:i/>
        </w:rPr>
        <w:t>Do Not Call Register Act 2006</w:t>
      </w:r>
      <w:r w:rsidRPr="006816D5">
        <w:rPr>
          <w:rFonts w:ascii="Times New Roman" w:hAnsi="Times New Roman"/>
        </w:rPr>
        <w:t>.</w:t>
      </w:r>
    </w:p>
    <w:p w14:paraId="6E29E6F7" w14:textId="636D6FF2" w:rsidR="006816D5" w:rsidRPr="006816D5" w:rsidRDefault="006816D5" w:rsidP="000D1162">
      <w:pPr>
        <w:tabs>
          <w:tab w:val="left" w:pos="993"/>
          <w:tab w:val="left" w:pos="1134"/>
          <w:tab w:val="left" w:pos="2268"/>
        </w:tabs>
        <w:spacing w:line="260" w:lineRule="atLeast"/>
        <w:ind w:left="1134"/>
        <w:rPr>
          <w:rFonts w:ascii="Times New Roman" w:hAnsi="Times New Roman"/>
        </w:rPr>
      </w:pPr>
      <w:r w:rsidRPr="006816D5">
        <w:rPr>
          <w:rFonts w:ascii="Times New Roman" w:hAnsi="Times New Roman"/>
          <w:b/>
          <w:i/>
        </w:rPr>
        <w:t>fax</w:t>
      </w:r>
      <w:r w:rsidRPr="006816D5">
        <w:rPr>
          <w:rFonts w:ascii="Times New Roman" w:hAnsi="Times New Roman"/>
        </w:rPr>
        <w:t xml:space="preserve"> means a marketing fax.</w:t>
      </w:r>
    </w:p>
    <w:p w14:paraId="588E93BB" w14:textId="77777777" w:rsidR="006816D5" w:rsidRPr="006816D5" w:rsidRDefault="006816D5" w:rsidP="000D1162">
      <w:pPr>
        <w:spacing w:line="260" w:lineRule="atLeast"/>
        <w:ind w:left="1134"/>
        <w:rPr>
          <w:rFonts w:ascii="Times New Roman" w:hAnsi="Times New Roman"/>
        </w:rPr>
      </w:pPr>
      <w:r w:rsidRPr="006816D5">
        <w:rPr>
          <w:rFonts w:ascii="Times New Roman" w:hAnsi="Times New Roman"/>
          <w:b/>
          <w:i/>
        </w:rPr>
        <w:t>fax advertiser</w:t>
      </w:r>
      <w:r w:rsidRPr="006816D5">
        <w:rPr>
          <w:rFonts w:ascii="Times New Roman" w:hAnsi="Times New Roman"/>
        </w:rPr>
        <w:t xml:space="preserve"> means a participant in a section of the fax marketing industry that authorises the sending of a marketing fax for at least one of the following purposes:</w:t>
      </w:r>
    </w:p>
    <w:p w14:paraId="70C64C77"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marketing, advertising or promoting goods or services, where the participant</w:t>
      </w:r>
      <w:r w:rsidRPr="006816D5" w:rsidDel="00367B54">
        <w:rPr>
          <w:rFonts w:ascii="Times New Roman" w:hAnsi="Times New Roman"/>
        </w:rPr>
        <w:t xml:space="preserve"> </w:t>
      </w:r>
      <w:r w:rsidRPr="006816D5">
        <w:rPr>
          <w:rFonts w:ascii="Times New Roman" w:hAnsi="Times New Roman"/>
        </w:rPr>
        <w:t>is the supplier or prospective supplier of the goods or services;</w:t>
      </w:r>
    </w:p>
    <w:p w14:paraId="027061C7"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advertising or promoting a supplier or prospective supplier of goods or services, where the participant is the supplier or prospective supplier of the goods or services;</w:t>
      </w:r>
    </w:p>
    <w:p w14:paraId="2C63BC2D" w14:textId="4BBD7246"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marketing, advertising</w:t>
      </w:r>
      <w:r w:rsidR="00AA69D5">
        <w:rPr>
          <w:rFonts w:ascii="Times New Roman" w:hAnsi="Times New Roman"/>
        </w:rPr>
        <w:t>,</w:t>
      </w:r>
      <w:r w:rsidRPr="006816D5">
        <w:rPr>
          <w:rFonts w:ascii="Times New Roman" w:hAnsi="Times New Roman"/>
        </w:rPr>
        <w:t xml:space="preserve"> or promoting land or interests in land, where the participant</w:t>
      </w:r>
      <w:r w:rsidRPr="006816D5" w:rsidDel="00367B54">
        <w:rPr>
          <w:rFonts w:ascii="Times New Roman" w:hAnsi="Times New Roman"/>
        </w:rPr>
        <w:t xml:space="preserve"> </w:t>
      </w:r>
      <w:r w:rsidRPr="006816D5">
        <w:rPr>
          <w:rFonts w:ascii="Times New Roman" w:hAnsi="Times New Roman"/>
        </w:rPr>
        <w:t>is the supplier or prospective supplier of the land or interests in land;</w:t>
      </w:r>
    </w:p>
    <w:p w14:paraId="0936DCA0" w14:textId="6877EB72"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advertising or promoting a supplier or prospective supplier of land or interests in land, where the participant is the supplier or prospective supplier of the land or interests in land;</w:t>
      </w:r>
    </w:p>
    <w:p w14:paraId="18BA9B2D" w14:textId="5B905944"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marketing, advertising</w:t>
      </w:r>
      <w:r w:rsidR="00AA69D5">
        <w:rPr>
          <w:rFonts w:ascii="Times New Roman" w:hAnsi="Times New Roman"/>
        </w:rPr>
        <w:t>,</w:t>
      </w:r>
      <w:r w:rsidRPr="006816D5">
        <w:rPr>
          <w:rFonts w:ascii="Times New Roman" w:hAnsi="Times New Roman"/>
        </w:rPr>
        <w:t xml:space="preserve"> or promoting business opportunities or investment opportunities, where the participant is the provider, or prospective provider, of the business opportunities or investment opportunities;</w:t>
      </w:r>
    </w:p>
    <w:p w14:paraId="49DFD7E7"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advertising or promoting a provider, or prospective provider, of business opportunities or investment opportunities, where the participant is the provider or prospective provider of the business opportunities or investment opportunities;</w:t>
      </w:r>
    </w:p>
    <w:p w14:paraId="2B6A887E"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soliciting donations;</w:t>
      </w:r>
    </w:p>
    <w:p w14:paraId="31031FDE"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conducting opinion polling; or</w:t>
      </w:r>
    </w:p>
    <w:p w14:paraId="5FEA562C" w14:textId="77777777" w:rsidR="006816D5" w:rsidRPr="006816D5" w:rsidRDefault="006816D5" w:rsidP="000D1162">
      <w:pPr>
        <w:pStyle w:val="ListParagraph"/>
        <w:numPr>
          <w:ilvl w:val="0"/>
          <w:numId w:val="11"/>
        </w:numPr>
        <w:tabs>
          <w:tab w:val="left" w:pos="2268"/>
        </w:tabs>
        <w:spacing w:after="60" w:line="260" w:lineRule="atLeast"/>
        <w:ind w:left="1559" w:hanging="425"/>
        <w:contextualSpacing w:val="0"/>
        <w:rPr>
          <w:rFonts w:ascii="Times New Roman" w:hAnsi="Times New Roman"/>
        </w:rPr>
      </w:pPr>
      <w:r w:rsidRPr="006816D5">
        <w:rPr>
          <w:rFonts w:ascii="Times New Roman" w:hAnsi="Times New Roman"/>
        </w:rPr>
        <w:t>carrying out standard questionnaire-based research.</w:t>
      </w:r>
    </w:p>
    <w:p w14:paraId="3BF8BD9C" w14:textId="0CDD4130" w:rsidR="006816D5" w:rsidRPr="00513F9B" w:rsidRDefault="006816D5" w:rsidP="000D1162">
      <w:pPr>
        <w:tabs>
          <w:tab w:val="left" w:pos="2268"/>
        </w:tabs>
        <w:spacing w:after="120" w:line="260" w:lineRule="atLeast"/>
        <w:ind w:left="1701" w:hanging="567"/>
        <w:rPr>
          <w:rFonts w:ascii="Times New Roman" w:hAnsi="Times New Roman"/>
          <w:sz w:val="20"/>
          <w:szCs w:val="20"/>
        </w:rPr>
      </w:pPr>
      <w:r w:rsidRPr="00513F9B">
        <w:rPr>
          <w:rFonts w:ascii="Times New Roman" w:hAnsi="Times New Roman"/>
          <w:i/>
          <w:sz w:val="20"/>
          <w:szCs w:val="20"/>
        </w:rPr>
        <w:lastRenderedPageBreak/>
        <w:t>Note</w:t>
      </w:r>
      <w:r w:rsidRPr="00513F9B">
        <w:rPr>
          <w:rFonts w:ascii="Times New Roman" w:hAnsi="Times New Roman"/>
          <w:i/>
          <w:sz w:val="20"/>
          <w:szCs w:val="20"/>
        </w:rPr>
        <w:tab/>
      </w:r>
      <w:r w:rsidRPr="00513F9B">
        <w:rPr>
          <w:rFonts w:ascii="Times New Roman" w:hAnsi="Times New Roman"/>
          <w:sz w:val="20"/>
          <w:szCs w:val="20"/>
        </w:rPr>
        <w:t xml:space="preserve"> For example, if an entity seeks to promote a new product it has created and authorises another entity to send, or cause to be sent, marketing faxes promoting its new product, the first entity will be the fax advertiser.  If an entity seeks to promote a new product it has created and sends a marketing fax promoting its own new product, the entity will be taken to be both the sender and the fax advertiser for the relevant marketing fax.</w:t>
      </w:r>
    </w:p>
    <w:p w14:paraId="508EEB87" w14:textId="77777777" w:rsidR="006816D5" w:rsidRPr="006816D5" w:rsidRDefault="006816D5" w:rsidP="000D1162">
      <w:pPr>
        <w:spacing w:line="260" w:lineRule="atLeast"/>
        <w:ind w:left="1134"/>
        <w:rPr>
          <w:rFonts w:ascii="Times New Roman" w:hAnsi="Times New Roman"/>
          <w:color w:val="000000" w:themeColor="text1"/>
        </w:rPr>
      </w:pPr>
      <w:r w:rsidRPr="006816D5">
        <w:rPr>
          <w:rFonts w:ascii="Times New Roman" w:hAnsi="Times New Roman"/>
          <w:b/>
          <w:i/>
        </w:rPr>
        <w:t>fax recipient</w:t>
      </w:r>
      <w:r w:rsidRPr="006816D5">
        <w:rPr>
          <w:rFonts w:ascii="Times New Roman" w:hAnsi="Times New Roman"/>
        </w:rPr>
        <w:t xml:space="preserve"> means a person who receives a fax from a sender, whether or not the </w:t>
      </w:r>
      <w:r w:rsidRPr="006816D5">
        <w:rPr>
          <w:rFonts w:ascii="Times New Roman" w:hAnsi="Times New Roman"/>
          <w:color w:val="000000" w:themeColor="text1"/>
        </w:rPr>
        <w:t>fax recipient is a relevant account holder.</w:t>
      </w:r>
    </w:p>
    <w:p w14:paraId="15EE7C6D" w14:textId="77777777" w:rsidR="006816D5" w:rsidRPr="006816D5" w:rsidRDefault="006816D5" w:rsidP="000D1162">
      <w:pPr>
        <w:spacing w:line="260" w:lineRule="atLeast"/>
        <w:ind w:left="1134"/>
        <w:rPr>
          <w:rFonts w:ascii="Times New Roman" w:hAnsi="Times New Roman"/>
        </w:rPr>
      </w:pPr>
      <w:r w:rsidRPr="006816D5">
        <w:rPr>
          <w:rFonts w:ascii="Times New Roman" w:hAnsi="Times New Roman"/>
          <w:b/>
          <w:i/>
        </w:rPr>
        <w:t>foreign company</w:t>
      </w:r>
      <w:r w:rsidRPr="006816D5">
        <w:rPr>
          <w:rFonts w:ascii="Times New Roman" w:hAnsi="Times New Roman"/>
          <w:i/>
        </w:rPr>
        <w:t xml:space="preserve"> </w:t>
      </w:r>
      <w:r w:rsidRPr="006816D5">
        <w:rPr>
          <w:rFonts w:ascii="Times New Roman" w:hAnsi="Times New Roman"/>
        </w:rPr>
        <w:t xml:space="preserve">has the meaning given by section 9 of the </w:t>
      </w:r>
      <w:r w:rsidRPr="006816D5">
        <w:rPr>
          <w:rFonts w:ascii="Times New Roman" w:hAnsi="Times New Roman"/>
          <w:i/>
        </w:rPr>
        <w:t>Corporations Act 2001</w:t>
      </w:r>
      <w:r w:rsidRPr="006816D5">
        <w:rPr>
          <w:rFonts w:ascii="Times New Roman" w:hAnsi="Times New Roman"/>
        </w:rPr>
        <w:t>.</w:t>
      </w:r>
    </w:p>
    <w:p w14:paraId="79282807" w14:textId="77777777" w:rsidR="006816D5" w:rsidRPr="006816D5" w:rsidRDefault="006816D5" w:rsidP="000D1162">
      <w:pPr>
        <w:spacing w:line="260" w:lineRule="atLeast"/>
        <w:ind w:left="1134"/>
        <w:rPr>
          <w:rFonts w:ascii="Times New Roman" w:hAnsi="Times New Roman"/>
        </w:rPr>
      </w:pPr>
      <w:r w:rsidRPr="006816D5">
        <w:rPr>
          <w:rFonts w:ascii="Times New Roman" w:hAnsi="Times New Roman"/>
          <w:b/>
          <w:i/>
        </w:rPr>
        <w:t>nominee</w:t>
      </w:r>
      <w:r w:rsidRPr="006816D5">
        <w:rPr>
          <w:rFonts w:ascii="Times New Roman" w:hAnsi="Times New Roman"/>
        </w:rPr>
        <w:t xml:space="preserve"> has the meaning given by section 39 of </w:t>
      </w:r>
      <w:r w:rsidRPr="006816D5">
        <w:rPr>
          <w:rFonts w:ascii="Times New Roman" w:hAnsi="Times New Roman"/>
          <w:i/>
        </w:rPr>
        <w:t>the Do Not Call Register Act 2006</w:t>
      </w:r>
      <w:r w:rsidRPr="006816D5">
        <w:rPr>
          <w:rFonts w:ascii="Times New Roman" w:hAnsi="Times New Roman"/>
        </w:rPr>
        <w:t>.</w:t>
      </w:r>
    </w:p>
    <w:p w14:paraId="14948ADC" w14:textId="22020154" w:rsidR="006816D5" w:rsidRPr="006816D5" w:rsidRDefault="006816D5" w:rsidP="000D1162">
      <w:pPr>
        <w:spacing w:line="260" w:lineRule="atLeast"/>
        <w:ind w:left="1134"/>
        <w:rPr>
          <w:rFonts w:ascii="Times New Roman" w:hAnsi="Times New Roman"/>
        </w:rPr>
      </w:pPr>
      <w:r w:rsidRPr="006816D5">
        <w:rPr>
          <w:rFonts w:ascii="Times New Roman" w:hAnsi="Times New Roman"/>
          <w:b/>
          <w:i/>
        </w:rPr>
        <w:t>number</w:t>
      </w:r>
      <w:r w:rsidRPr="006816D5">
        <w:rPr>
          <w:rFonts w:ascii="Times New Roman" w:hAnsi="Times New Roman"/>
        </w:rPr>
        <w:t xml:space="preserve"> means an Australian number.</w:t>
      </w:r>
    </w:p>
    <w:p w14:paraId="219FC635" w14:textId="77777777" w:rsidR="006816D5" w:rsidRPr="006816D5" w:rsidRDefault="006816D5" w:rsidP="00773923">
      <w:pPr>
        <w:spacing w:line="260" w:lineRule="atLeast"/>
        <w:ind w:left="1134"/>
        <w:rPr>
          <w:rFonts w:ascii="Times New Roman" w:hAnsi="Times New Roman"/>
        </w:rPr>
      </w:pPr>
      <w:r w:rsidRPr="006816D5">
        <w:rPr>
          <w:rFonts w:ascii="Times New Roman" w:hAnsi="Times New Roman"/>
          <w:b/>
          <w:i/>
        </w:rPr>
        <w:t>opt-out address</w:t>
      </w:r>
      <w:r w:rsidRPr="006816D5">
        <w:rPr>
          <w:rFonts w:ascii="Times New Roman" w:hAnsi="Times New Roman"/>
          <w:i/>
        </w:rPr>
        <w:t xml:space="preserve"> </w:t>
      </w:r>
      <w:r w:rsidRPr="006816D5">
        <w:rPr>
          <w:rFonts w:ascii="Times New Roman" w:hAnsi="Times New Roman"/>
        </w:rPr>
        <w:t>means:</w:t>
      </w:r>
    </w:p>
    <w:p w14:paraId="0983A025" w14:textId="7102801D" w:rsidR="006816D5" w:rsidRPr="006816D5" w:rsidRDefault="006816D5" w:rsidP="000D1162">
      <w:pPr>
        <w:pStyle w:val="ListParagraph"/>
        <w:numPr>
          <w:ilvl w:val="0"/>
          <w:numId w:val="12"/>
        </w:numPr>
        <w:tabs>
          <w:tab w:val="left" w:pos="2268"/>
        </w:tabs>
        <w:spacing w:after="60" w:line="260" w:lineRule="atLeast"/>
        <w:ind w:left="1701" w:hanging="567"/>
        <w:contextualSpacing w:val="0"/>
        <w:rPr>
          <w:rFonts w:ascii="Times New Roman" w:hAnsi="Times New Roman"/>
        </w:rPr>
      </w:pPr>
      <w:r w:rsidRPr="006816D5">
        <w:rPr>
          <w:rFonts w:ascii="Times New Roman" w:hAnsi="Times New Roman"/>
        </w:rPr>
        <w:t xml:space="preserve">a fax number to which an opt-out message may be sent; and </w:t>
      </w:r>
    </w:p>
    <w:p w14:paraId="19A36A75" w14:textId="77777777" w:rsidR="006816D5" w:rsidRPr="006816D5" w:rsidRDefault="006816D5" w:rsidP="000D1162">
      <w:pPr>
        <w:pStyle w:val="ListParagraph"/>
        <w:numPr>
          <w:ilvl w:val="0"/>
          <w:numId w:val="12"/>
        </w:numPr>
        <w:tabs>
          <w:tab w:val="left" w:pos="2268"/>
        </w:tabs>
        <w:spacing w:after="60" w:line="260" w:lineRule="atLeast"/>
        <w:ind w:left="1701" w:hanging="567"/>
        <w:contextualSpacing w:val="0"/>
        <w:rPr>
          <w:rFonts w:ascii="Times New Roman" w:hAnsi="Times New Roman"/>
        </w:rPr>
      </w:pPr>
      <w:r w:rsidRPr="006816D5">
        <w:rPr>
          <w:rFonts w:ascii="Times New Roman" w:hAnsi="Times New Roman"/>
        </w:rPr>
        <w:t>at least one of the following:</w:t>
      </w:r>
    </w:p>
    <w:p w14:paraId="2D37DB21" w14:textId="1EC25286" w:rsidR="006816D5" w:rsidRPr="006816D5" w:rsidRDefault="006816D5" w:rsidP="000D1162">
      <w:pPr>
        <w:pStyle w:val="ListParagraph"/>
        <w:numPr>
          <w:ilvl w:val="1"/>
          <w:numId w:val="12"/>
        </w:numPr>
        <w:tabs>
          <w:tab w:val="left" w:pos="2268"/>
        </w:tabs>
        <w:spacing w:after="60" w:line="260" w:lineRule="atLeast"/>
        <w:ind w:left="2127" w:hanging="426"/>
        <w:contextualSpacing w:val="0"/>
        <w:rPr>
          <w:rFonts w:ascii="Times New Roman" w:hAnsi="Times New Roman"/>
        </w:rPr>
      </w:pPr>
      <w:r w:rsidRPr="006816D5">
        <w:rPr>
          <w:rFonts w:ascii="Times New Roman" w:hAnsi="Times New Roman"/>
        </w:rPr>
        <w:t xml:space="preserve">a local or </w:t>
      </w:r>
      <w:r w:rsidR="0021527C" w:rsidRPr="006816D5">
        <w:rPr>
          <w:rFonts w:ascii="Times New Roman" w:hAnsi="Times New Roman"/>
        </w:rPr>
        <w:t>toll-free</w:t>
      </w:r>
      <w:r w:rsidRPr="006816D5">
        <w:rPr>
          <w:rFonts w:ascii="Times New Roman" w:hAnsi="Times New Roman"/>
        </w:rPr>
        <w:t xml:space="preserve"> phone number through which the fax recipient may leave an opt-out message;</w:t>
      </w:r>
    </w:p>
    <w:p w14:paraId="52DE458C" w14:textId="77777777" w:rsidR="006816D5" w:rsidRPr="006816D5" w:rsidRDefault="006816D5" w:rsidP="000D1162">
      <w:pPr>
        <w:pStyle w:val="ListParagraph"/>
        <w:numPr>
          <w:ilvl w:val="1"/>
          <w:numId w:val="12"/>
        </w:numPr>
        <w:tabs>
          <w:tab w:val="left" w:pos="2268"/>
        </w:tabs>
        <w:spacing w:after="60" w:line="260" w:lineRule="atLeast"/>
        <w:ind w:left="2127" w:hanging="426"/>
        <w:contextualSpacing w:val="0"/>
        <w:rPr>
          <w:rFonts w:ascii="Times New Roman" w:hAnsi="Times New Roman"/>
        </w:rPr>
      </w:pPr>
      <w:r w:rsidRPr="006816D5">
        <w:rPr>
          <w:rFonts w:ascii="Times New Roman" w:hAnsi="Times New Roman"/>
        </w:rPr>
        <w:t>an email address to which an opt-out message may be sent; or</w:t>
      </w:r>
    </w:p>
    <w:p w14:paraId="341EED6B" w14:textId="49BD1208" w:rsidR="006816D5" w:rsidRPr="006816D5" w:rsidRDefault="006816D5" w:rsidP="000D1162">
      <w:pPr>
        <w:pStyle w:val="ListParagraph"/>
        <w:numPr>
          <w:ilvl w:val="1"/>
          <w:numId w:val="12"/>
        </w:numPr>
        <w:tabs>
          <w:tab w:val="left" w:pos="2268"/>
        </w:tabs>
        <w:spacing w:after="120" w:line="260" w:lineRule="atLeast"/>
        <w:ind w:left="2127" w:hanging="426"/>
        <w:contextualSpacing w:val="0"/>
        <w:rPr>
          <w:rFonts w:ascii="Times New Roman" w:hAnsi="Times New Roman"/>
        </w:rPr>
      </w:pPr>
      <w:r w:rsidRPr="006816D5">
        <w:rPr>
          <w:rFonts w:ascii="Times New Roman" w:hAnsi="Times New Roman"/>
        </w:rPr>
        <w:t xml:space="preserve"> a website address at which the fax recipient can convey an opt-out message.</w:t>
      </w:r>
    </w:p>
    <w:p w14:paraId="2186E861" w14:textId="77777777" w:rsidR="006816D5" w:rsidRPr="006816D5" w:rsidRDefault="006816D5" w:rsidP="000D1162">
      <w:pPr>
        <w:tabs>
          <w:tab w:val="left" w:pos="2268"/>
        </w:tabs>
        <w:spacing w:line="260" w:lineRule="atLeast"/>
        <w:ind w:left="1134"/>
        <w:rPr>
          <w:rFonts w:ascii="Times New Roman" w:hAnsi="Times New Roman"/>
        </w:rPr>
      </w:pPr>
      <w:r w:rsidRPr="006816D5">
        <w:rPr>
          <w:rFonts w:ascii="Times New Roman" w:hAnsi="Times New Roman"/>
          <w:b/>
          <w:i/>
        </w:rPr>
        <w:t xml:space="preserve">opt-out message </w:t>
      </w:r>
      <w:r w:rsidRPr="006816D5">
        <w:rPr>
          <w:rFonts w:ascii="Times New Roman" w:hAnsi="Times New Roman"/>
        </w:rPr>
        <w:t>means a message to the effect that the fax recipient does not want to receive any faxes from the fax advertiser.</w:t>
      </w:r>
    </w:p>
    <w:p w14:paraId="4F8DA828" w14:textId="77777777" w:rsidR="006816D5" w:rsidRPr="006816D5" w:rsidRDefault="006816D5" w:rsidP="000D1162">
      <w:pPr>
        <w:tabs>
          <w:tab w:val="left" w:pos="2268"/>
        </w:tabs>
        <w:spacing w:line="260" w:lineRule="atLeast"/>
        <w:ind w:left="1134"/>
        <w:rPr>
          <w:rFonts w:ascii="Times New Roman" w:hAnsi="Times New Roman"/>
        </w:rPr>
      </w:pPr>
      <w:r w:rsidRPr="006816D5">
        <w:rPr>
          <w:rFonts w:ascii="Times New Roman" w:hAnsi="Times New Roman"/>
          <w:b/>
          <w:i/>
        </w:rPr>
        <w:t>relevant account holder</w:t>
      </w:r>
      <w:r w:rsidRPr="006816D5">
        <w:rPr>
          <w:rFonts w:ascii="Times New Roman" w:hAnsi="Times New Roman"/>
        </w:rPr>
        <w:t xml:space="preserve"> has the meaning given by section 4 of the </w:t>
      </w:r>
      <w:r w:rsidRPr="006816D5">
        <w:rPr>
          <w:rFonts w:ascii="Times New Roman" w:hAnsi="Times New Roman"/>
          <w:i/>
        </w:rPr>
        <w:t>Do Not Call Register Act 2006.</w:t>
      </w:r>
    </w:p>
    <w:p w14:paraId="0878D4FC" w14:textId="77777777" w:rsidR="006816D5" w:rsidRPr="006816D5" w:rsidRDefault="006816D5" w:rsidP="000D1162">
      <w:pPr>
        <w:tabs>
          <w:tab w:val="left" w:pos="2268"/>
        </w:tabs>
        <w:spacing w:line="260" w:lineRule="atLeast"/>
        <w:ind w:left="1134"/>
        <w:rPr>
          <w:rFonts w:ascii="Times New Roman" w:hAnsi="Times New Roman"/>
        </w:rPr>
      </w:pPr>
      <w:r w:rsidRPr="006816D5">
        <w:rPr>
          <w:rFonts w:ascii="Times New Roman" w:hAnsi="Times New Roman"/>
          <w:b/>
          <w:i/>
        </w:rPr>
        <w:t>send</w:t>
      </w:r>
      <w:r w:rsidRPr="006816D5">
        <w:rPr>
          <w:rFonts w:ascii="Times New Roman" w:hAnsi="Times New Roman"/>
        </w:rPr>
        <w:t xml:space="preserve"> has the meaning given by section 4 of the </w:t>
      </w:r>
      <w:r w:rsidRPr="006816D5">
        <w:rPr>
          <w:rFonts w:ascii="Times New Roman" w:hAnsi="Times New Roman"/>
          <w:i/>
        </w:rPr>
        <w:t>Do Not Call Register Act 2006</w:t>
      </w:r>
      <w:r w:rsidRPr="006816D5">
        <w:rPr>
          <w:rFonts w:ascii="Times New Roman" w:hAnsi="Times New Roman"/>
        </w:rPr>
        <w:t>.</w:t>
      </w:r>
    </w:p>
    <w:p w14:paraId="1E8F81D8" w14:textId="13F47F54" w:rsidR="006816D5" w:rsidRPr="006816D5" w:rsidRDefault="006816D5" w:rsidP="000D1162">
      <w:pPr>
        <w:tabs>
          <w:tab w:val="left" w:pos="567"/>
          <w:tab w:val="left" w:pos="2268"/>
        </w:tabs>
        <w:spacing w:line="260" w:lineRule="atLeast"/>
        <w:ind w:left="1134"/>
        <w:rPr>
          <w:rFonts w:ascii="Times New Roman" w:hAnsi="Times New Roman"/>
        </w:rPr>
      </w:pPr>
      <w:r w:rsidRPr="006816D5">
        <w:rPr>
          <w:rFonts w:ascii="Times New Roman" w:hAnsi="Times New Roman"/>
          <w:b/>
          <w:i/>
        </w:rPr>
        <w:t>sender</w:t>
      </w:r>
      <w:r w:rsidRPr="006816D5">
        <w:rPr>
          <w:rFonts w:ascii="Times New Roman" w:hAnsi="Times New Roman"/>
        </w:rPr>
        <w:t xml:space="preserve"> means a participant in a section of the fax marketing industry that sends or proposes to send a marketing fax.</w:t>
      </w:r>
    </w:p>
    <w:p w14:paraId="0274FB16" w14:textId="77777777" w:rsidR="006816D5" w:rsidRPr="00513F9B" w:rsidRDefault="006816D5" w:rsidP="000D1162">
      <w:pPr>
        <w:tabs>
          <w:tab w:val="left" w:pos="2268"/>
        </w:tabs>
        <w:spacing w:after="0" w:line="260" w:lineRule="atLeast"/>
        <w:ind w:left="1134"/>
        <w:rPr>
          <w:rFonts w:ascii="Times New Roman" w:hAnsi="Times New Roman"/>
          <w:sz w:val="20"/>
          <w:szCs w:val="20"/>
        </w:rPr>
      </w:pPr>
      <w:r w:rsidRPr="00513F9B">
        <w:rPr>
          <w:rFonts w:ascii="Times New Roman" w:hAnsi="Times New Roman"/>
          <w:i/>
          <w:iCs/>
          <w:sz w:val="20"/>
          <w:szCs w:val="20"/>
        </w:rPr>
        <w:t>Note</w:t>
      </w:r>
      <w:r w:rsidRPr="00513F9B">
        <w:rPr>
          <w:rFonts w:ascii="Times New Roman" w:hAnsi="Times New Roman"/>
          <w:sz w:val="20"/>
          <w:szCs w:val="20"/>
        </w:rPr>
        <w:t>   Other words and phrases applicable to this standard are defined in the Act, including:</w:t>
      </w:r>
    </w:p>
    <w:p w14:paraId="5CD136A2" w14:textId="77777777" w:rsidR="006816D5" w:rsidRPr="00513F9B" w:rsidRDefault="006816D5" w:rsidP="000D1162">
      <w:pPr>
        <w:pStyle w:val="ListParagraph"/>
        <w:numPr>
          <w:ilvl w:val="0"/>
          <w:numId w:val="10"/>
        </w:numPr>
        <w:tabs>
          <w:tab w:val="left" w:pos="567"/>
          <w:tab w:val="left" w:pos="993"/>
          <w:tab w:val="left" w:pos="2268"/>
        </w:tabs>
        <w:spacing w:after="0" w:line="260" w:lineRule="atLeast"/>
        <w:rPr>
          <w:rFonts w:ascii="Times New Roman" w:hAnsi="Times New Roman"/>
          <w:sz w:val="20"/>
          <w:szCs w:val="20"/>
        </w:rPr>
      </w:pPr>
      <w:r w:rsidRPr="00513F9B">
        <w:rPr>
          <w:rFonts w:ascii="Times New Roman" w:hAnsi="Times New Roman"/>
          <w:sz w:val="20"/>
          <w:szCs w:val="20"/>
        </w:rPr>
        <w:t>fax marketing industry</w:t>
      </w:r>
    </w:p>
    <w:p w14:paraId="6129D52B" w14:textId="77777777" w:rsidR="006816D5" w:rsidRPr="00513F9B" w:rsidRDefault="006816D5" w:rsidP="000D1162">
      <w:pPr>
        <w:pStyle w:val="ListParagraph"/>
        <w:numPr>
          <w:ilvl w:val="0"/>
          <w:numId w:val="10"/>
        </w:numPr>
        <w:tabs>
          <w:tab w:val="left" w:pos="567"/>
          <w:tab w:val="left" w:pos="993"/>
          <w:tab w:val="left" w:pos="2268"/>
        </w:tabs>
        <w:spacing w:after="0" w:line="260" w:lineRule="atLeast"/>
        <w:rPr>
          <w:rFonts w:ascii="Times New Roman" w:hAnsi="Times New Roman"/>
          <w:sz w:val="20"/>
          <w:szCs w:val="20"/>
        </w:rPr>
      </w:pPr>
      <w:r w:rsidRPr="00513F9B">
        <w:rPr>
          <w:rFonts w:ascii="Times New Roman" w:hAnsi="Times New Roman"/>
          <w:sz w:val="20"/>
          <w:szCs w:val="20"/>
        </w:rPr>
        <w:t>marketing fax</w:t>
      </w:r>
    </w:p>
    <w:p w14:paraId="1CE3CE2E" w14:textId="77777777" w:rsidR="006816D5" w:rsidRPr="00513F9B" w:rsidRDefault="006816D5" w:rsidP="000D1162">
      <w:pPr>
        <w:pStyle w:val="ListParagraph"/>
        <w:numPr>
          <w:ilvl w:val="0"/>
          <w:numId w:val="10"/>
        </w:numPr>
        <w:tabs>
          <w:tab w:val="left" w:pos="567"/>
          <w:tab w:val="left" w:pos="993"/>
          <w:tab w:val="left" w:pos="2268"/>
        </w:tabs>
        <w:spacing w:after="0" w:line="260" w:lineRule="atLeast"/>
        <w:rPr>
          <w:rFonts w:ascii="Times New Roman" w:hAnsi="Times New Roman"/>
          <w:sz w:val="20"/>
          <w:szCs w:val="20"/>
        </w:rPr>
      </w:pPr>
      <w:r w:rsidRPr="00513F9B">
        <w:rPr>
          <w:rFonts w:ascii="Times New Roman" w:hAnsi="Times New Roman"/>
          <w:sz w:val="20"/>
          <w:szCs w:val="20"/>
        </w:rPr>
        <w:t>participants in a section of the fax marketing industry</w:t>
      </w:r>
    </w:p>
    <w:p w14:paraId="011AA26C" w14:textId="77777777" w:rsidR="00E40DB3" w:rsidRDefault="006816D5" w:rsidP="00E40DB3">
      <w:pPr>
        <w:pStyle w:val="ListParagraph"/>
        <w:numPr>
          <w:ilvl w:val="0"/>
          <w:numId w:val="10"/>
        </w:numPr>
        <w:tabs>
          <w:tab w:val="left" w:pos="567"/>
          <w:tab w:val="left" w:pos="993"/>
          <w:tab w:val="left" w:pos="2268"/>
        </w:tabs>
        <w:spacing w:after="0" w:line="260" w:lineRule="atLeast"/>
        <w:rPr>
          <w:rFonts w:ascii="Times New Roman" w:hAnsi="Times New Roman"/>
          <w:sz w:val="20"/>
          <w:szCs w:val="20"/>
        </w:rPr>
      </w:pPr>
      <w:r w:rsidRPr="00513F9B">
        <w:rPr>
          <w:rFonts w:ascii="Times New Roman" w:hAnsi="Times New Roman"/>
          <w:sz w:val="20"/>
          <w:szCs w:val="20"/>
        </w:rPr>
        <w:t>section of the fax marketing industry</w:t>
      </w:r>
      <w:r w:rsidR="00E40DB3" w:rsidRPr="00E40DB3">
        <w:rPr>
          <w:rFonts w:ascii="Times New Roman" w:hAnsi="Times New Roman"/>
          <w:sz w:val="20"/>
          <w:szCs w:val="20"/>
        </w:rPr>
        <w:t xml:space="preserve"> </w:t>
      </w:r>
    </w:p>
    <w:p w14:paraId="7A406733" w14:textId="2F3D29AD" w:rsidR="00086BF0" w:rsidRPr="00E40DB3" w:rsidRDefault="00E40DB3" w:rsidP="00E40DB3">
      <w:pPr>
        <w:pStyle w:val="ListParagraph"/>
        <w:numPr>
          <w:ilvl w:val="0"/>
          <w:numId w:val="10"/>
        </w:numPr>
        <w:tabs>
          <w:tab w:val="left" w:pos="567"/>
          <w:tab w:val="left" w:pos="993"/>
          <w:tab w:val="left" w:pos="2268"/>
        </w:tabs>
        <w:spacing w:after="0" w:line="260" w:lineRule="atLeast"/>
        <w:rPr>
          <w:rFonts w:ascii="Times New Roman" w:hAnsi="Times New Roman"/>
          <w:sz w:val="20"/>
          <w:szCs w:val="20"/>
        </w:rPr>
      </w:pPr>
      <w:r w:rsidRPr="00513F9B">
        <w:rPr>
          <w:rFonts w:ascii="Times New Roman" w:hAnsi="Times New Roman"/>
          <w:sz w:val="20"/>
          <w:szCs w:val="20"/>
        </w:rPr>
        <w:t>standard questionnaire-based research</w:t>
      </w:r>
      <w:r w:rsidR="006816D5" w:rsidRPr="00E40DB3">
        <w:rPr>
          <w:rFonts w:ascii="Times New Roman" w:hAnsi="Times New Roman"/>
          <w:sz w:val="20"/>
          <w:szCs w:val="20"/>
        </w:rPr>
        <w:t>.</w:t>
      </w:r>
    </w:p>
    <w:p w14:paraId="13C406F7" w14:textId="013F0A2A" w:rsidR="00086BF0" w:rsidRDefault="009931FD" w:rsidP="0088197F">
      <w:pPr>
        <w:pStyle w:val="Heading1"/>
      </w:pPr>
      <w:bookmarkStart w:id="12" w:name="_Toc74305918"/>
      <w:r>
        <w:t>6</w:t>
      </w:r>
      <w:r w:rsidR="00086BF0">
        <w:t xml:space="preserve">  References to other instruments</w:t>
      </w:r>
      <w:bookmarkEnd w:id="12"/>
    </w:p>
    <w:p w14:paraId="624BF9E2" w14:textId="77777777" w:rsidR="00086BF0" w:rsidRDefault="00086BF0" w:rsidP="000D1162">
      <w:pPr>
        <w:pStyle w:val="subsection"/>
        <w:spacing w:line="260" w:lineRule="atLeast"/>
      </w:pPr>
      <w:r>
        <w:tab/>
      </w:r>
      <w:r>
        <w:tab/>
        <w:t>In this instrument, unless the contrary intention appears:</w:t>
      </w:r>
    </w:p>
    <w:p w14:paraId="17BE503C" w14:textId="11E3851A" w:rsidR="00086BF0" w:rsidRDefault="00086BF0" w:rsidP="000D1162">
      <w:pPr>
        <w:pStyle w:val="paragraph"/>
        <w:tabs>
          <w:tab w:val="clear" w:pos="1531"/>
        </w:tabs>
        <w:spacing w:line="260" w:lineRule="atLeast"/>
        <w:ind w:hanging="510"/>
      </w:pPr>
      <w:r>
        <w:t>(a)</w:t>
      </w:r>
      <w:r>
        <w:tab/>
        <w:t>a reference to any other legislative instrument is a reference to that other legislative instrument as in force from time to time; and</w:t>
      </w:r>
    </w:p>
    <w:p w14:paraId="7B18CE4F" w14:textId="65ADF892" w:rsidR="00086BF0" w:rsidRDefault="00086BF0" w:rsidP="000D1162">
      <w:pPr>
        <w:pStyle w:val="paragraph"/>
        <w:tabs>
          <w:tab w:val="clear" w:pos="1531"/>
          <w:tab w:val="left" w:pos="2160"/>
          <w:tab w:val="left" w:pos="2880"/>
          <w:tab w:val="left" w:pos="3600"/>
          <w:tab w:val="center" w:pos="4513"/>
        </w:tabs>
        <w:spacing w:line="260" w:lineRule="atLeast"/>
        <w:ind w:hanging="510"/>
      </w:pPr>
      <w:r>
        <w:t>(b)</w:t>
      </w:r>
      <w:r>
        <w:tab/>
        <w:t xml:space="preserve">a reference to any other kind of instrument </w:t>
      </w:r>
      <w:r w:rsidR="005017C1">
        <w:t xml:space="preserve">or writing </w:t>
      </w:r>
      <w:r>
        <w:t xml:space="preserve">is a reference to that other instrument </w:t>
      </w:r>
      <w:r w:rsidR="005017C1">
        <w:t xml:space="preserve">or writing as </w:t>
      </w:r>
      <w:r>
        <w:t xml:space="preserve">in force </w:t>
      </w:r>
      <w:r w:rsidR="00D8321C">
        <w:t xml:space="preserve">or existing </w:t>
      </w:r>
      <w:r w:rsidR="00F50CF5">
        <w:t>from t</w:t>
      </w:r>
      <w:r w:rsidR="00793A43">
        <w:t>ime to time.</w:t>
      </w:r>
    </w:p>
    <w:p w14:paraId="01AF959A" w14:textId="77777777" w:rsidR="00086BF0" w:rsidRDefault="00086BF0" w:rsidP="000D1162">
      <w:pPr>
        <w:pStyle w:val="notetext"/>
        <w:spacing w:before="0" w:line="260" w:lineRule="atLeast"/>
      </w:pPr>
      <w:r w:rsidRPr="007E407B">
        <w:rPr>
          <w:i/>
          <w:iCs/>
        </w:rPr>
        <w:t>Note 1</w:t>
      </w:r>
      <w:r>
        <w:t>:</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80AF3CF" w14:textId="61BE9D58" w:rsidR="00086BF0" w:rsidRDefault="00086BF0" w:rsidP="000D1162">
      <w:pPr>
        <w:pStyle w:val="notetext"/>
        <w:spacing w:line="260" w:lineRule="atLeast"/>
      </w:pPr>
      <w:r w:rsidRPr="007E407B">
        <w:rPr>
          <w:i/>
          <w:iCs/>
        </w:rPr>
        <w:t>Note 2</w:t>
      </w:r>
      <w:r>
        <w:t>:</w:t>
      </w:r>
      <w:r>
        <w:tab/>
        <w:t xml:space="preserve">All Commonwealth Acts and legislative instruments are registered on the Federal Register of Legislation. </w:t>
      </w:r>
    </w:p>
    <w:p w14:paraId="68A735B9" w14:textId="40C26D5A" w:rsidR="007E407B" w:rsidRDefault="007E407B" w:rsidP="000D1162">
      <w:pPr>
        <w:pStyle w:val="notetext"/>
        <w:spacing w:line="260" w:lineRule="atLeast"/>
      </w:pPr>
      <w:r w:rsidRPr="007E407B">
        <w:rPr>
          <w:i/>
          <w:iCs/>
        </w:rPr>
        <w:t>Note 3</w:t>
      </w:r>
      <w:r>
        <w:t>:</w:t>
      </w:r>
      <w:r>
        <w:tab/>
        <w:t>See also section 589 of the Act.</w:t>
      </w:r>
    </w:p>
    <w:p w14:paraId="2254CCE5" w14:textId="3F78A8E4" w:rsidR="006816D5" w:rsidRPr="000B4E18" w:rsidRDefault="009931FD" w:rsidP="0088197F">
      <w:pPr>
        <w:pStyle w:val="Heading1"/>
      </w:pPr>
      <w:bookmarkStart w:id="13" w:name="_Toc74305919"/>
      <w:r w:rsidRPr="000D1162">
        <w:rPr>
          <w:rStyle w:val="CharSectno"/>
        </w:rPr>
        <w:lastRenderedPageBreak/>
        <w:t>7</w:t>
      </w:r>
      <w:r w:rsidR="000B4E18">
        <w:t xml:space="preserve">  </w:t>
      </w:r>
      <w:r w:rsidR="006816D5" w:rsidRPr="000B4E18">
        <w:t>Persons to whom this industry standard applies</w:t>
      </w:r>
      <w:bookmarkEnd w:id="13"/>
    </w:p>
    <w:p w14:paraId="3D4D2064" w14:textId="77777777" w:rsidR="006816D5" w:rsidRPr="000B4E18" w:rsidRDefault="006816D5" w:rsidP="00773923">
      <w:pPr>
        <w:tabs>
          <w:tab w:val="left" w:pos="567"/>
          <w:tab w:val="left" w:pos="2268"/>
        </w:tabs>
        <w:spacing w:before="180" w:after="240" w:line="260" w:lineRule="atLeast"/>
        <w:ind w:left="1134"/>
        <w:rPr>
          <w:rFonts w:ascii="Times New Roman" w:eastAsia="Times New Roman" w:hAnsi="Times New Roman" w:cs="Times New Roman"/>
          <w:szCs w:val="20"/>
          <w:lang w:eastAsia="en-AU"/>
        </w:rPr>
      </w:pPr>
      <w:r w:rsidRPr="000B4E18">
        <w:rPr>
          <w:rFonts w:ascii="Times New Roman" w:eastAsia="Times New Roman" w:hAnsi="Times New Roman" w:cs="Times New Roman"/>
          <w:szCs w:val="20"/>
          <w:lang w:eastAsia="en-AU"/>
        </w:rPr>
        <w:t>For the purposes of section 125B of the Act, this industry standard applies to participants in each section of the fax marketing industry.</w:t>
      </w:r>
    </w:p>
    <w:p w14:paraId="49CA2642" w14:textId="0311E079" w:rsidR="006816D5" w:rsidRPr="00D1142D" w:rsidRDefault="009931FD" w:rsidP="0088197F">
      <w:pPr>
        <w:pStyle w:val="Heading1"/>
      </w:pPr>
      <w:bookmarkStart w:id="14" w:name="_Toc74305920"/>
      <w:r>
        <w:t>8</w:t>
      </w:r>
      <w:r w:rsidR="000B4E18">
        <w:t xml:space="preserve">  </w:t>
      </w:r>
      <w:r w:rsidR="006816D5" w:rsidRPr="006D5D17">
        <w:t>Prohibited times for the sending of faxes</w:t>
      </w:r>
      <w:bookmarkEnd w:id="14"/>
    </w:p>
    <w:p w14:paraId="5CEBE3F2" w14:textId="2315D9E3" w:rsidR="006816D5" w:rsidRPr="000D1162" w:rsidRDefault="006816D5" w:rsidP="00773923">
      <w:pPr>
        <w:pStyle w:val="ListParagraph"/>
        <w:numPr>
          <w:ilvl w:val="0"/>
          <w:numId w:val="15"/>
        </w:numPr>
        <w:spacing w:before="180" w:after="60" w:line="260" w:lineRule="atLeast"/>
        <w:ind w:left="1701" w:hanging="567"/>
        <w:contextualSpacing w:val="0"/>
        <w:rPr>
          <w:rFonts w:ascii="Times New Roman" w:hAnsi="Times New Roman"/>
        </w:rPr>
      </w:pPr>
      <w:r w:rsidRPr="00D1142D">
        <w:rPr>
          <w:rFonts w:ascii="Times New Roman" w:hAnsi="Times New Roman"/>
        </w:rPr>
        <w:t>Subject to subsection (3), a sender must not send a fax on:</w:t>
      </w:r>
    </w:p>
    <w:p w14:paraId="42295E9C" w14:textId="286A39E1" w:rsidR="006816D5" w:rsidRPr="000D1162" w:rsidRDefault="006816D5" w:rsidP="000D1162">
      <w:pPr>
        <w:pStyle w:val="ListParagraph"/>
        <w:numPr>
          <w:ilvl w:val="0"/>
          <w:numId w:val="14"/>
        </w:numPr>
        <w:spacing w:after="60" w:line="260" w:lineRule="atLeast"/>
        <w:ind w:left="2127" w:hanging="426"/>
        <w:contextualSpacing w:val="0"/>
        <w:rPr>
          <w:rFonts w:ascii="Times New Roman" w:hAnsi="Times New Roman"/>
        </w:rPr>
      </w:pPr>
      <w:r w:rsidRPr="00D1142D">
        <w:rPr>
          <w:rFonts w:ascii="Times New Roman" w:hAnsi="Times New Roman"/>
        </w:rPr>
        <w:t>a weekday before 9am; or</w:t>
      </w:r>
    </w:p>
    <w:p w14:paraId="75732285" w14:textId="0E3B40E3" w:rsidR="006816D5" w:rsidRPr="000D1162" w:rsidRDefault="006816D5" w:rsidP="000D1162">
      <w:pPr>
        <w:pStyle w:val="ListParagraph"/>
        <w:numPr>
          <w:ilvl w:val="0"/>
          <w:numId w:val="14"/>
        </w:numPr>
        <w:spacing w:after="60" w:line="260" w:lineRule="atLeast"/>
        <w:ind w:left="2127" w:hanging="426"/>
        <w:contextualSpacing w:val="0"/>
        <w:rPr>
          <w:rFonts w:ascii="Times New Roman" w:hAnsi="Times New Roman"/>
        </w:rPr>
      </w:pPr>
      <w:r w:rsidRPr="00D1142D">
        <w:rPr>
          <w:rFonts w:ascii="Times New Roman" w:hAnsi="Times New Roman"/>
        </w:rPr>
        <w:t>a weekday after 8pm; or</w:t>
      </w:r>
    </w:p>
    <w:p w14:paraId="6CFC7E4E" w14:textId="1234F745" w:rsidR="006816D5" w:rsidRPr="000D1162" w:rsidRDefault="006816D5" w:rsidP="000D1162">
      <w:pPr>
        <w:pStyle w:val="ListParagraph"/>
        <w:numPr>
          <w:ilvl w:val="0"/>
          <w:numId w:val="14"/>
        </w:numPr>
        <w:spacing w:after="60" w:line="260" w:lineRule="atLeast"/>
        <w:ind w:left="2127" w:hanging="426"/>
        <w:contextualSpacing w:val="0"/>
        <w:rPr>
          <w:rFonts w:ascii="Times New Roman" w:hAnsi="Times New Roman"/>
        </w:rPr>
      </w:pPr>
      <w:r w:rsidRPr="00D1142D">
        <w:rPr>
          <w:rFonts w:ascii="Times New Roman" w:hAnsi="Times New Roman"/>
        </w:rPr>
        <w:t>a Saturday before 9am; or</w:t>
      </w:r>
    </w:p>
    <w:p w14:paraId="1876155D" w14:textId="14FECB64" w:rsidR="006816D5" w:rsidRPr="000D1162" w:rsidRDefault="006816D5" w:rsidP="000D1162">
      <w:pPr>
        <w:pStyle w:val="ListParagraph"/>
        <w:numPr>
          <w:ilvl w:val="0"/>
          <w:numId w:val="14"/>
        </w:numPr>
        <w:spacing w:after="60" w:line="260" w:lineRule="atLeast"/>
        <w:ind w:left="2127" w:hanging="426"/>
        <w:contextualSpacing w:val="0"/>
        <w:rPr>
          <w:rFonts w:ascii="Times New Roman" w:hAnsi="Times New Roman"/>
        </w:rPr>
      </w:pPr>
      <w:r w:rsidRPr="00D1142D">
        <w:rPr>
          <w:rFonts w:ascii="Times New Roman" w:hAnsi="Times New Roman"/>
        </w:rPr>
        <w:t>a Saturday after 5pm; or</w:t>
      </w:r>
    </w:p>
    <w:p w14:paraId="79BF7B5F" w14:textId="1F705D21" w:rsidR="006816D5" w:rsidRPr="000D1162" w:rsidRDefault="006816D5" w:rsidP="000D1162">
      <w:pPr>
        <w:pStyle w:val="ListParagraph"/>
        <w:numPr>
          <w:ilvl w:val="0"/>
          <w:numId w:val="14"/>
        </w:numPr>
        <w:spacing w:after="60" w:line="260" w:lineRule="atLeast"/>
        <w:ind w:left="2127" w:hanging="426"/>
        <w:contextualSpacing w:val="0"/>
        <w:rPr>
          <w:rFonts w:ascii="Times New Roman" w:hAnsi="Times New Roman"/>
        </w:rPr>
      </w:pPr>
      <w:r w:rsidRPr="00D1142D">
        <w:rPr>
          <w:rFonts w:ascii="Times New Roman" w:hAnsi="Times New Roman"/>
        </w:rPr>
        <w:t>a Sunday.</w:t>
      </w:r>
    </w:p>
    <w:p w14:paraId="41ECF5FB" w14:textId="77777777" w:rsidR="006816D5" w:rsidRPr="00D1142D" w:rsidRDefault="006816D5" w:rsidP="000D1162">
      <w:pPr>
        <w:pStyle w:val="ListParagraph"/>
        <w:numPr>
          <w:ilvl w:val="0"/>
          <w:numId w:val="15"/>
        </w:numPr>
        <w:spacing w:after="120" w:line="260" w:lineRule="atLeast"/>
        <w:ind w:left="1701" w:hanging="567"/>
        <w:contextualSpacing w:val="0"/>
        <w:rPr>
          <w:rFonts w:ascii="Times New Roman" w:hAnsi="Times New Roman"/>
        </w:rPr>
      </w:pPr>
      <w:r w:rsidRPr="00D1142D">
        <w:rPr>
          <w:rFonts w:ascii="Times New Roman" w:hAnsi="Times New Roman"/>
        </w:rPr>
        <w:t>In addition to the limitations imposed by subsection (1), and subject to subsection (3), a sender must not send a fax at any time on:</w:t>
      </w:r>
    </w:p>
    <w:p w14:paraId="3AA56B6F"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New Year’s Day;</w:t>
      </w:r>
    </w:p>
    <w:p w14:paraId="77176593"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Australia Day;</w:t>
      </w:r>
    </w:p>
    <w:p w14:paraId="57A0B9F4"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Good Friday;</w:t>
      </w:r>
    </w:p>
    <w:p w14:paraId="4C0AA1BA"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Easter Monday;</w:t>
      </w:r>
    </w:p>
    <w:p w14:paraId="4EEB3F7A"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Anzac Day;</w:t>
      </w:r>
    </w:p>
    <w:p w14:paraId="31EEFC2B"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Christmas Day;</w:t>
      </w:r>
    </w:p>
    <w:p w14:paraId="384CD716" w14:textId="4B677CB5"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Boxing Day;</w:t>
      </w:r>
    </w:p>
    <w:p w14:paraId="76E43C2F" w14:textId="77777777" w:rsidR="006816D5" w:rsidRPr="00D1142D" w:rsidRDefault="006816D5" w:rsidP="000D1162">
      <w:pPr>
        <w:pStyle w:val="ListParagraph"/>
        <w:numPr>
          <w:ilvl w:val="0"/>
          <w:numId w:val="23"/>
        </w:numPr>
        <w:spacing w:after="60" w:line="260" w:lineRule="atLeast"/>
        <w:ind w:left="2127" w:hanging="426"/>
        <w:contextualSpacing w:val="0"/>
        <w:rPr>
          <w:rFonts w:ascii="Times New Roman" w:hAnsi="Times New Roman"/>
        </w:rPr>
      </w:pPr>
      <w:r w:rsidRPr="00D1142D">
        <w:rPr>
          <w:rFonts w:ascii="Times New Roman" w:hAnsi="Times New Roman"/>
        </w:rPr>
        <w:t>a holiday on a weekday given in lieu of a public holiday mentioned in paragraphs (a) to (g).</w:t>
      </w:r>
    </w:p>
    <w:p w14:paraId="2CE5C512" w14:textId="6254F34D" w:rsidR="006816D5" w:rsidRPr="00513F9B" w:rsidRDefault="006816D5" w:rsidP="000D1162">
      <w:pPr>
        <w:tabs>
          <w:tab w:val="left" w:pos="2268"/>
        </w:tabs>
        <w:spacing w:after="0" w:line="260" w:lineRule="atLeast"/>
        <w:ind w:left="1134"/>
        <w:rPr>
          <w:rFonts w:ascii="Times New Roman" w:hAnsi="Times New Roman"/>
          <w:i/>
          <w:sz w:val="20"/>
          <w:szCs w:val="20"/>
        </w:rPr>
      </w:pPr>
      <w:r w:rsidRPr="00513F9B">
        <w:rPr>
          <w:rFonts w:ascii="Times New Roman" w:hAnsi="Times New Roman"/>
          <w:i/>
          <w:sz w:val="20"/>
          <w:szCs w:val="20"/>
        </w:rPr>
        <w:t>Example</w:t>
      </w:r>
    </w:p>
    <w:p w14:paraId="1A5C7B31" w14:textId="6F3185E4" w:rsidR="006816D5" w:rsidRPr="00D1142D" w:rsidRDefault="006816D5" w:rsidP="000D1162">
      <w:pPr>
        <w:tabs>
          <w:tab w:val="left" w:pos="567"/>
          <w:tab w:val="left" w:pos="2268"/>
        </w:tabs>
        <w:spacing w:line="260" w:lineRule="atLeast"/>
        <w:ind w:left="1134"/>
        <w:rPr>
          <w:rFonts w:ascii="Times New Roman" w:hAnsi="Times New Roman"/>
        </w:rPr>
      </w:pPr>
      <w:r w:rsidRPr="00513F9B">
        <w:rPr>
          <w:rFonts w:ascii="Times New Roman" w:hAnsi="Times New Roman"/>
          <w:sz w:val="20"/>
          <w:szCs w:val="20"/>
        </w:rPr>
        <w:t>If Christmas Day falls on a Saturday, the sending of faxes would be prohibited on the whole of Christmas Day.  Faxes would also be prohibited on any other day that is a public holiday in lieu of Christmas Day.</w:t>
      </w:r>
    </w:p>
    <w:p w14:paraId="2B4A3200" w14:textId="04E4FEAA" w:rsidR="006816D5" w:rsidRPr="000C14CF" w:rsidRDefault="006816D5" w:rsidP="00513F9B">
      <w:pPr>
        <w:tabs>
          <w:tab w:val="left" w:pos="2268"/>
        </w:tabs>
        <w:spacing w:before="120" w:after="120" w:line="260" w:lineRule="atLeast"/>
        <w:ind w:left="1134"/>
        <w:rPr>
          <w:rFonts w:ascii="Times New Roman" w:hAnsi="Times New Roman" w:cs="Times New Roman"/>
          <w:i/>
        </w:rPr>
      </w:pPr>
      <w:r w:rsidRPr="000C14CF">
        <w:rPr>
          <w:rFonts w:ascii="Times New Roman" w:hAnsi="Times New Roman" w:cs="Times New Roman"/>
          <w:i/>
        </w:rPr>
        <w:t>Exception where consent has been given in advance</w:t>
      </w:r>
    </w:p>
    <w:p w14:paraId="645F58A5" w14:textId="77777777" w:rsidR="006816D5" w:rsidRPr="000D1162" w:rsidRDefault="006816D5" w:rsidP="000D1162">
      <w:pPr>
        <w:pStyle w:val="ListParagraph"/>
        <w:numPr>
          <w:ilvl w:val="0"/>
          <w:numId w:val="15"/>
        </w:numPr>
        <w:spacing w:after="0" w:line="260" w:lineRule="atLeast"/>
        <w:ind w:left="1701" w:hanging="567"/>
        <w:rPr>
          <w:rFonts w:ascii="Times New Roman" w:hAnsi="Times New Roman"/>
        </w:rPr>
      </w:pPr>
      <w:r w:rsidRPr="000D1162">
        <w:rPr>
          <w:rFonts w:ascii="Times New Roman" w:hAnsi="Times New Roman"/>
        </w:rPr>
        <w:t>Subsections (1) and (2) do not apply to the sending of a fax if:</w:t>
      </w:r>
    </w:p>
    <w:p w14:paraId="38D89AEB" w14:textId="77777777" w:rsidR="006816D5" w:rsidRPr="000D1162" w:rsidRDefault="006816D5" w:rsidP="000D1162">
      <w:pPr>
        <w:pStyle w:val="ListParagraph"/>
        <w:numPr>
          <w:ilvl w:val="0"/>
          <w:numId w:val="24"/>
        </w:numPr>
        <w:spacing w:after="60" w:line="260" w:lineRule="atLeast"/>
        <w:ind w:left="2127" w:hanging="426"/>
        <w:contextualSpacing w:val="0"/>
        <w:rPr>
          <w:rFonts w:ascii="Times New Roman" w:hAnsi="Times New Roman"/>
        </w:rPr>
      </w:pPr>
      <w:r w:rsidRPr="000D1162">
        <w:rPr>
          <w:rFonts w:ascii="Times New Roman" w:hAnsi="Times New Roman"/>
        </w:rPr>
        <w:t>either:</w:t>
      </w:r>
    </w:p>
    <w:p w14:paraId="68BBEF34" w14:textId="77777777" w:rsidR="006816D5" w:rsidRPr="000C14CF" w:rsidRDefault="006816D5" w:rsidP="000D1162">
      <w:pPr>
        <w:pStyle w:val="ListParagraph"/>
        <w:numPr>
          <w:ilvl w:val="1"/>
          <w:numId w:val="17"/>
        </w:numPr>
        <w:spacing w:after="60" w:line="260" w:lineRule="atLeast"/>
        <w:ind w:left="2552" w:hanging="425"/>
        <w:contextualSpacing w:val="0"/>
        <w:rPr>
          <w:rFonts w:ascii="Times New Roman" w:hAnsi="Times New Roman" w:cs="Times New Roman"/>
        </w:rPr>
      </w:pPr>
      <w:r w:rsidRPr="000C14CF">
        <w:rPr>
          <w:rFonts w:ascii="Times New Roman" w:hAnsi="Times New Roman" w:cs="Times New Roman"/>
        </w:rPr>
        <w:t>the relevant account holder; or</w:t>
      </w:r>
    </w:p>
    <w:p w14:paraId="4FAB7F77" w14:textId="42D22424" w:rsidR="006816D5" w:rsidRPr="00513275" w:rsidRDefault="006816D5" w:rsidP="000D1162">
      <w:pPr>
        <w:pStyle w:val="ListParagraph"/>
        <w:numPr>
          <w:ilvl w:val="1"/>
          <w:numId w:val="17"/>
        </w:numPr>
        <w:spacing w:after="60" w:line="260" w:lineRule="atLeast"/>
        <w:ind w:left="2552" w:hanging="425"/>
        <w:contextualSpacing w:val="0"/>
        <w:rPr>
          <w:rFonts w:ascii="Times New Roman" w:hAnsi="Times New Roman" w:cs="Times New Roman"/>
        </w:rPr>
      </w:pPr>
      <w:r w:rsidRPr="000C14CF">
        <w:rPr>
          <w:rFonts w:ascii="Times New Roman" w:hAnsi="Times New Roman" w:cs="Times New Roman"/>
        </w:rPr>
        <w:t>a nominee of the relevant account holder;</w:t>
      </w:r>
    </w:p>
    <w:p w14:paraId="6F1D0842" w14:textId="12C141FD" w:rsidR="006816D5" w:rsidRPr="000C14CF" w:rsidRDefault="006816D5" w:rsidP="000D1162">
      <w:pPr>
        <w:tabs>
          <w:tab w:val="left" w:pos="567"/>
        </w:tabs>
        <w:spacing w:after="60" w:line="260" w:lineRule="atLeast"/>
        <w:ind w:left="1701"/>
        <w:rPr>
          <w:rFonts w:ascii="Times New Roman" w:hAnsi="Times New Roman" w:cs="Times New Roman"/>
        </w:rPr>
      </w:pPr>
      <w:r w:rsidRPr="000C14CF">
        <w:rPr>
          <w:rFonts w:ascii="Times New Roman" w:hAnsi="Times New Roman" w:cs="Times New Roman"/>
        </w:rPr>
        <w:t>has consented in advance to receiving a fax on a day or at a time referred to in those subsections; and</w:t>
      </w:r>
    </w:p>
    <w:p w14:paraId="47D2CDFA" w14:textId="77777777" w:rsidR="006816D5" w:rsidRPr="000C14CF" w:rsidRDefault="006816D5" w:rsidP="000D1162">
      <w:pPr>
        <w:pStyle w:val="ListParagraph"/>
        <w:numPr>
          <w:ilvl w:val="0"/>
          <w:numId w:val="17"/>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the sender sends the fax on the day, or at the time to which the consent applies; and</w:t>
      </w:r>
    </w:p>
    <w:p w14:paraId="7D34DAE4" w14:textId="77777777" w:rsidR="006816D5" w:rsidRPr="000C14CF" w:rsidRDefault="006816D5" w:rsidP="0088197F">
      <w:pPr>
        <w:pStyle w:val="ListParagraph"/>
        <w:numPr>
          <w:ilvl w:val="0"/>
          <w:numId w:val="17"/>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if required by the ACMA, the sender demonstrates, to the satisfaction of the ACMA, the existence of all the matters mentioned in paragraphs (a) and (b).</w:t>
      </w:r>
    </w:p>
    <w:p w14:paraId="6FBE4C52" w14:textId="77777777" w:rsidR="006816D5" w:rsidRPr="000C14CF" w:rsidRDefault="006816D5" w:rsidP="0088197F">
      <w:pPr>
        <w:pStyle w:val="ListParagraph"/>
        <w:numPr>
          <w:ilvl w:val="0"/>
          <w:numId w:val="15"/>
        </w:numPr>
        <w:spacing w:after="60" w:line="260" w:lineRule="atLeast"/>
        <w:ind w:left="1701" w:hanging="567"/>
        <w:contextualSpacing w:val="0"/>
        <w:rPr>
          <w:rFonts w:ascii="Times New Roman" w:hAnsi="Times New Roman" w:cs="Times New Roman"/>
        </w:rPr>
      </w:pPr>
      <w:r w:rsidRPr="000C14CF">
        <w:rPr>
          <w:rFonts w:ascii="Times New Roman" w:hAnsi="Times New Roman" w:cs="Times New Roman"/>
        </w:rPr>
        <w:t>In this section a reference to a time of day, or a day, is to the time of day, or day, at the place that is the usual address of the relevant account holder.</w:t>
      </w:r>
    </w:p>
    <w:p w14:paraId="1E9C429D" w14:textId="27878227" w:rsidR="006816D5" w:rsidRPr="000C14CF" w:rsidRDefault="009931FD" w:rsidP="00513F9B">
      <w:pPr>
        <w:pStyle w:val="Heading1"/>
      </w:pPr>
      <w:bookmarkStart w:id="15" w:name="_Toc74305921"/>
      <w:r w:rsidRPr="0088197F">
        <w:rPr>
          <w:rStyle w:val="CharSectno"/>
          <w:bCs/>
        </w:rPr>
        <w:t>9</w:t>
      </w:r>
      <w:r w:rsidR="00983D20">
        <w:t xml:space="preserve">  </w:t>
      </w:r>
      <w:r w:rsidR="006816D5" w:rsidRPr="000C14CF">
        <w:t>Provision of information within a fax</w:t>
      </w:r>
      <w:bookmarkEnd w:id="15"/>
    </w:p>
    <w:p w14:paraId="7F5A28B3" w14:textId="3206F567" w:rsidR="006816D5" w:rsidRPr="000C14CF" w:rsidRDefault="006816D5" w:rsidP="00773923">
      <w:pPr>
        <w:spacing w:before="180" w:after="120" w:line="260" w:lineRule="atLeast"/>
        <w:ind w:left="992" w:firstLine="142"/>
        <w:rPr>
          <w:rFonts w:ascii="Times New Roman" w:hAnsi="Times New Roman" w:cs="Times New Roman"/>
          <w:i/>
        </w:rPr>
      </w:pPr>
      <w:r w:rsidRPr="000C14CF">
        <w:rPr>
          <w:rFonts w:ascii="Times New Roman" w:hAnsi="Times New Roman" w:cs="Times New Roman"/>
          <w:i/>
        </w:rPr>
        <w:t>Information to be provided</w:t>
      </w:r>
    </w:p>
    <w:p w14:paraId="490822F8" w14:textId="77777777" w:rsidR="006816D5" w:rsidRPr="000C14CF" w:rsidRDefault="006816D5" w:rsidP="0088197F">
      <w:pPr>
        <w:pStyle w:val="ListParagraph"/>
        <w:numPr>
          <w:ilvl w:val="0"/>
          <w:numId w:val="18"/>
        </w:numPr>
        <w:tabs>
          <w:tab w:val="left" w:pos="567"/>
          <w:tab w:val="left" w:pos="993"/>
          <w:tab w:val="left" w:pos="2268"/>
        </w:tabs>
        <w:spacing w:after="0" w:line="260" w:lineRule="atLeast"/>
        <w:ind w:left="1701" w:hanging="567"/>
        <w:rPr>
          <w:rFonts w:ascii="Times New Roman" w:hAnsi="Times New Roman" w:cs="Times New Roman"/>
        </w:rPr>
      </w:pPr>
      <w:r w:rsidRPr="000C14CF">
        <w:rPr>
          <w:rFonts w:ascii="Times New Roman" w:hAnsi="Times New Roman" w:cs="Times New Roman"/>
        </w:rPr>
        <w:t>A sender must not send a fax which does not contain the following information:</w:t>
      </w:r>
    </w:p>
    <w:p w14:paraId="58327323" w14:textId="77777777" w:rsidR="006816D5" w:rsidRPr="000C14CF" w:rsidRDefault="006816D5" w:rsidP="0088197F">
      <w:pPr>
        <w:pStyle w:val="ListParagraph"/>
        <w:numPr>
          <w:ilvl w:val="0"/>
          <w:numId w:val="20"/>
        </w:numPr>
        <w:spacing w:after="0" w:line="260" w:lineRule="atLeast"/>
        <w:ind w:left="2127" w:hanging="426"/>
        <w:rPr>
          <w:rFonts w:ascii="Times New Roman" w:hAnsi="Times New Roman" w:cs="Times New Roman"/>
        </w:rPr>
      </w:pPr>
      <w:r w:rsidRPr="000C14CF">
        <w:rPr>
          <w:rFonts w:ascii="Times New Roman" w:hAnsi="Times New Roman" w:cs="Times New Roman"/>
        </w:rPr>
        <w:t>the name of the fax advertiser;</w:t>
      </w:r>
    </w:p>
    <w:p w14:paraId="2277E6E6" w14:textId="77777777" w:rsidR="006816D5" w:rsidRPr="000C14CF" w:rsidRDefault="006816D5" w:rsidP="0088197F">
      <w:pPr>
        <w:pStyle w:val="ListParagraph"/>
        <w:numPr>
          <w:ilvl w:val="0"/>
          <w:numId w:val="20"/>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lastRenderedPageBreak/>
        <w:t>the Australian Business Number (ABN) of the fax advertiser, or equivalent business number identification if the fax advertiser is a foreign company;</w:t>
      </w:r>
    </w:p>
    <w:p w14:paraId="6CE1CF95" w14:textId="77777777" w:rsidR="006816D5" w:rsidRPr="000C14CF" w:rsidRDefault="006816D5" w:rsidP="0088197F">
      <w:pPr>
        <w:pStyle w:val="ListParagraph"/>
        <w:numPr>
          <w:ilvl w:val="0"/>
          <w:numId w:val="20"/>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the contact details of the fax advertiser;</w:t>
      </w:r>
    </w:p>
    <w:p w14:paraId="2DE572A7" w14:textId="77777777" w:rsidR="006816D5" w:rsidRPr="000C14CF" w:rsidRDefault="006816D5" w:rsidP="0088197F">
      <w:pPr>
        <w:pStyle w:val="ListParagraph"/>
        <w:numPr>
          <w:ilvl w:val="0"/>
          <w:numId w:val="20"/>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the destination number that the fax is intended to be sent to;</w:t>
      </w:r>
    </w:p>
    <w:p w14:paraId="566C3D52" w14:textId="77777777" w:rsidR="006816D5" w:rsidRPr="000C14CF" w:rsidRDefault="006816D5" w:rsidP="0088197F">
      <w:pPr>
        <w:pStyle w:val="ListParagraph"/>
        <w:numPr>
          <w:ilvl w:val="0"/>
          <w:numId w:val="20"/>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 xml:space="preserve">the details of how the fax recipient can communicate an opt-out message, including: </w:t>
      </w:r>
    </w:p>
    <w:p w14:paraId="117945AA" w14:textId="7A3F5744" w:rsidR="006816D5" w:rsidRPr="000C14CF" w:rsidRDefault="0088197F" w:rsidP="0088197F">
      <w:pPr>
        <w:pStyle w:val="ListParagraph"/>
        <w:numPr>
          <w:ilvl w:val="2"/>
          <w:numId w:val="18"/>
        </w:numPr>
        <w:spacing w:after="60" w:line="260" w:lineRule="atLeast"/>
        <w:ind w:left="2552" w:hanging="425"/>
        <w:contextualSpacing w:val="0"/>
        <w:rPr>
          <w:rFonts w:ascii="Times New Roman" w:hAnsi="Times New Roman" w:cs="Times New Roman"/>
        </w:rPr>
      </w:pPr>
      <w:r>
        <w:rPr>
          <w:rFonts w:ascii="Times New Roman" w:hAnsi="Times New Roman" w:cs="Times New Roman"/>
        </w:rPr>
        <w:tab/>
      </w:r>
      <w:r w:rsidR="006816D5" w:rsidRPr="000C14CF">
        <w:rPr>
          <w:rFonts w:ascii="Times New Roman" w:hAnsi="Times New Roman" w:cs="Times New Roman"/>
        </w:rPr>
        <w:t xml:space="preserve">a statement to the effect that the fax recipient may opt-out of receiving any future faxes from the fax advertiser by conveying an opt-out message to an opt-out address; and </w:t>
      </w:r>
    </w:p>
    <w:p w14:paraId="74723A2F" w14:textId="39DF1F70" w:rsidR="006816D5" w:rsidRPr="000C14CF" w:rsidRDefault="0088197F" w:rsidP="0088197F">
      <w:pPr>
        <w:pStyle w:val="ListParagraph"/>
        <w:numPr>
          <w:ilvl w:val="2"/>
          <w:numId w:val="18"/>
        </w:numPr>
        <w:spacing w:after="60" w:line="260" w:lineRule="atLeast"/>
        <w:ind w:left="2552" w:hanging="425"/>
        <w:contextualSpacing w:val="0"/>
        <w:rPr>
          <w:rFonts w:ascii="Times New Roman" w:hAnsi="Times New Roman" w:cs="Times New Roman"/>
        </w:rPr>
      </w:pPr>
      <w:r>
        <w:rPr>
          <w:rFonts w:ascii="Times New Roman" w:hAnsi="Times New Roman" w:cs="Times New Roman"/>
        </w:rPr>
        <w:tab/>
      </w:r>
      <w:r w:rsidR="006816D5" w:rsidRPr="000C14CF">
        <w:rPr>
          <w:rFonts w:ascii="Times New Roman" w:hAnsi="Times New Roman" w:cs="Times New Roman"/>
        </w:rPr>
        <w:t xml:space="preserve">an opt-out address to which fax recipients can communicate an opt-out message. </w:t>
      </w:r>
    </w:p>
    <w:p w14:paraId="5D2F1C73" w14:textId="77777777" w:rsidR="006816D5" w:rsidRPr="000C14CF" w:rsidRDefault="006816D5" w:rsidP="0088197F">
      <w:pPr>
        <w:pStyle w:val="ListParagraph"/>
        <w:numPr>
          <w:ilvl w:val="0"/>
          <w:numId w:val="18"/>
        </w:numPr>
        <w:spacing w:after="60" w:line="260" w:lineRule="atLeast"/>
        <w:ind w:left="1701" w:hanging="567"/>
        <w:contextualSpacing w:val="0"/>
        <w:rPr>
          <w:rFonts w:ascii="Times New Roman" w:hAnsi="Times New Roman" w:cs="Times New Roman"/>
        </w:rPr>
      </w:pPr>
      <w:r w:rsidRPr="000C14CF">
        <w:rPr>
          <w:rFonts w:ascii="Times New Roman" w:hAnsi="Times New Roman" w:cs="Times New Roman"/>
        </w:rPr>
        <w:t>The information to be provided under subsection (1) must be:</w:t>
      </w:r>
    </w:p>
    <w:p w14:paraId="73635FE2" w14:textId="77777777" w:rsidR="006816D5" w:rsidRPr="000C14CF" w:rsidRDefault="006816D5" w:rsidP="0088197F">
      <w:pPr>
        <w:pStyle w:val="ListParagraph"/>
        <w:numPr>
          <w:ilvl w:val="0"/>
          <w:numId w:val="21"/>
        </w:numPr>
        <w:spacing w:after="60" w:line="260" w:lineRule="atLeast"/>
        <w:ind w:hanging="9"/>
        <w:contextualSpacing w:val="0"/>
        <w:rPr>
          <w:rFonts w:ascii="Times New Roman" w:hAnsi="Times New Roman" w:cs="Times New Roman"/>
        </w:rPr>
      </w:pPr>
      <w:r w:rsidRPr="000C14CF">
        <w:rPr>
          <w:rFonts w:ascii="Times New Roman" w:hAnsi="Times New Roman" w:cs="Times New Roman"/>
        </w:rPr>
        <w:t>displayed in a clear, legible and conspicuous manner;</w:t>
      </w:r>
    </w:p>
    <w:p w14:paraId="466267D3" w14:textId="638B46C9" w:rsidR="006816D5" w:rsidRPr="000C14CF" w:rsidRDefault="006816D5" w:rsidP="0088197F">
      <w:pPr>
        <w:pStyle w:val="ListParagraph"/>
        <w:numPr>
          <w:ilvl w:val="0"/>
          <w:numId w:val="21"/>
        </w:numPr>
        <w:spacing w:after="60" w:line="260" w:lineRule="atLeast"/>
        <w:ind w:hanging="9"/>
        <w:contextualSpacing w:val="0"/>
        <w:rPr>
          <w:rFonts w:ascii="Times New Roman" w:hAnsi="Times New Roman" w:cs="Times New Roman"/>
        </w:rPr>
      </w:pPr>
      <w:r w:rsidRPr="000C14CF">
        <w:rPr>
          <w:rFonts w:ascii="Times New Roman" w:hAnsi="Times New Roman" w:cs="Times New Roman"/>
        </w:rPr>
        <w:t>included on the first page of the fax at a minimum;</w:t>
      </w:r>
    </w:p>
    <w:p w14:paraId="540F4558" w14:textId="46F4D2C5" w:rsidR="006816D5" w:rsidRPr="00513F9B" w:rsidRDefault="006816D5" w:rsidP="00513F9B">
      <w:pPr>
        <w:pStyle w:val="ListParagraph"/>
        <w:numPr>
          <w:ilvl w:val="0"/>
          <w:numId w:val="21"/>
        </w:numPr>
        <w:spacing w:after="60" w:line="260" w:lineRule="atLeast"/>
        <w:ind w:hanging="9"/>
        <w:contextualSpacing w:val="0"/>
        <w:rPr>
          <w:rFonts w:ascii="Times New Roman" w:hAnsi="Times New Roman" w:cs="Times New Roman"/>
          <w:iCs/>
        </w:rPr>
      </w:pPr>
      <w:r w:rsidRPr="000C14CF">
        <w:rPr>
          <w:rFonts w:ascii="Times New Roman" w:hAnsi="Times New Roman" w:cs="Times New Roman"/>
        </w:rPr>
        <w:t>be displayed using a minimum 10</w:t>
      </w:r>
      <w:r w:rsidR="00FC0B03">
        <w:rPr>
          <w:rFonts w:ascii="Times New Roman" w:hAnsi="Times New Roman" w:cs="Times New Roman"/>
        </w:rPr>
        <w:t xml:space="preserve"> </w:t>
      </w:r>
      <w:r w:rsidRPr="000C14CF">
        <w:rPr>
          <w:rFonts w:ascii="Times New Roman" w:hAnsi="Times New Roman" w:cs="Times New Roman"/>
        </w:rPr>
        <w:t>point font size.</w:t>
      </w:r>
    </w:p>
    <w:p w14:paraId="13CDF2E4" w14:textId="63D43940" w:rsidR="006816D5" w:rsidRPr="000C14CF" w:rsidRDefault="006816D5" w:rsidP="00513F9B">
      <w:pPr>
        <w:spacing w:before="120" w:after="60" w:line="260" w:lineRule="atLeast"/>
        <w:ind w:left="992" w:firstLine="142"/>
        <w:rPr>
          <w:rFonts w:ascii="Times New Roman" w:hAnsi="Times New Roman" w:cs="Times New Roman"/>
        </w:rPr>
      </w:pPr>
      <w:r w:rsidRPr="000C14CF">
        <w:rPr>
          <w:rFonts w:ascii="Times New Roman" w:hAnsi="Times New Roman" w:cs="Times New Roman"/>
          <w:i/>
        </w:rPr>
        <w:t>Contact details</w:t>
      </w:r>
      <w:r w:rsidRPr="000C14CF">
        <w:rPr>
          <w:rFonts w:ascii="Times New Roman" w:hAnsi="Times New Roman" w:cs="Times New Roman"/>
        </w:rPr>
        <w:tab/>
      </w:r>
      <w:r w:rsidR="00983D20">
        <w:rPr>
          <w:rFonts w:ascii="Times New Roman" w:hAnsi="Times New Roman" w:cs="Times New Roman"/>
        </w:rPr>
        <w:tab/>
      </w:r>
    </w:p>
    <w:p w14:paraId="5EEBBDD0" w14:textId="77777777" w:rsidR="006816D5" w:rsidRPr="000C14CF" w:rsidRDefault="006816D5" w:rsidP="0088197F">
      <w:pPr>
        <w:pStyle w:val="ListParagraph"/>
        <w:numPr>
          <w:ilvl w:val="0"/>
          <w:numId w:val="18"/>
        </w:numPr>
        <w:spacing w:after="60" w:line="260" w:lineRule="atLeast"/>
        <w:ind w:left="1701" w:hanging="567"/>
        <w:contextualSpacing w:val="0"/>
        <w:rPr>
          <w:rFonts w:ascii="Times New Roman" w:hAnsi="Times New Roman" w:cs="Times New Roman"/>
        </w:rPr>
      </w:pPr>
      <w:r w:rsidRPr="000C14CF">
        <w:rPr>
          <w:rFonts w:ascii="Times New Roman" w:hAnsi="Times New Roman" w:cs="Times New Roman"/>
        </w:rPr>
        <w:t xml:space="preserve">For subsection (1), </w:t>
      </w:r>
      <w:r w:rsidRPr="000C14CF">
        <w:rPr>
          <w:rFonts w:ascii="Times New Roman" w:hAnsi="Times New Roman" w:cs="Times New Roman"/>
          <w:b/>
          <w:i/>
        </w:rPr>
        <w:t>contact details</w:t>
      </w:r>
      <w:r w:rsidRPr="000C14CF">
        <w:rPr>
          <w:rFonts w:ascii="Times New Roman" w:hAnsi="Times New Roman" w:cs="Times New Roman"/>
        </w:rPr>
        <w:t xml:space="preserve"> includes a telephone or fax number suitable for receiving telephone calls or faxes during normal business hours at the location of the fax advertiser, and at least one of the following:</w:t>
      </w:r>
    </w:p>
    <w:p w14:paraId="14DDBC1E" w14:textId="543C9E5D" w:rsidR="006816D5" w:rsidRPr="000C14CF" w:rsidRDefault="006816D5" w:rsidP="0088197F">
      <w:pPr>
        <w:pStyle w:val="ListParagraph"/>
        <w:numPr>
          <w:ilvl w:val="0"/>
          <w:numId w:val="22"/>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street address;</w:t>
      </w:r>
    </w:p>
    <w:p w14:paraId="19867F6D" w14:textId="77777777" w:rsidR="006816D5" w:rsidRPr="000C14CF" w:rsidRDefault="006816D5" w:rsidP="0088197F">
      <w:pPr>
        <w:pStyle w:val="ListParagraph"/>
        <w:numPr>
          <w:ilvl w:val="0"/>
          <w:numId w:val="22"/>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postal or business address, other than a street address;</w:t>
      </w:r>
    </w:p>
    <w:p w14:paraId="57D338BC" w14:textId="77777777" w:rsidR="006816D5" w:rsidRPr="000C14CF" w:rsidRDefault="006816D5" w:rsidP="0088197F">
      <w:pPr>
        <w:pStyle w:val="ListParagraph"/>
        <w:numPr>
          <w:ilvl w:val="0"/>
          <w:numId w:val="22"/>
        </w:numPr>
        <w:spacing w:after="60" w:line="260" w:lineRule="atLeast"/>
        <w:ind w:left="2127" w:hanging="426"/>
        <w:contextualSpacing w:val="0"/>
        <w:rPr>
          <w:rFonts w:ascii="Times New Roman" w:hAnsi="Times New Roman" w:cs="Times New Roman"/>
        </w:rPr>
      </w:pPr>
      <w:r w:rsidRPr="000C14CF">
        <w:rPr>
          <w:rFonts w:ascii="Times New Roman" w:hAnsi="Times New Roman" w:cs="Times New Roman"/>
        </w:rPr>
        <w:t>email address.</w:t>
      </w:r>
    </w:p>
    <w:p w14:paraId="5D3470B7" w14:textId="15EBA2EF" w:rsidR="006816D5" w:rsidRPr="000C14CF" w:rsidRDefault="00EE4BCB" w:rsidP="00513F9B">
      <w:pPr>
        <w:pStyle w:val="Heading1"/>
        <w:tabs>
          <w:tab w:val="left" w:pos="426"/>
        </w:tabs>
        <w:ind w:left="426" w:hanging="426"/>
      </w:pPr>
      <w:bookmarkStart w:id="16" w:name="_Toc168730421"/>
      <w:bookmarkStart w:id="17" w:name="_Toc74305922"/>
      <w:r>
        <w:rPr>
          <w:rStyle w:val="CharSectno"/>
          <w:sz w:val="22"/>
          <w:szCs w:val="22"/>
        </w:rPr>
        <w:t>1</w:t>
      </w:r>
      <w:r w:rsidR="009931FD">
        <w:rPr>
          <w:rStyle w:val="CharSectno"/>
          <w:sz w:val="22"/>
          <w:szCs w:val="22"/>
        </w:rPr>
        <w:t>0</w:t>
      </w:r>
      <w:r w:rsidR="00983D20">
        <w:t xml:space="preserve">  </w:t>
      </w:r>
      <w:r w:rsidR="0057525D">
        <w:t>P</w:t>
      </w:r>
      <w:r w:rsidR="006816D5" w:rsidRPr="000C14CF">
        <w:t>roviding fax recipient</w:t>
      </w:r>
      <w:r w:rsidR="0057525D">
        <w:t>s</w:t>
      </w:r>
      <w:r w:rsidR="006816D5" w:rsidRPr="000C14CF">
        <w:t xml:space="preserve"> with facility to opt out from receiving further faxes</w:t>
      </w:r>
      <w:bookmarkEnd w:id="16"/>
      <w:bookmarkEnd w:id="17"/>
    </w:p>
    <w:p w14:paraId="3FD51650" w14:textId="30F10FC7" w:rsidR="006816D5" w:rsidRPr="000C14CF" w:rsidRDefault="006816D5" w:rsidP="00773923">
      <w:pPr>
        <w:pStyle w:val="ListParagraph"/>
        <w:numPr>
          <w:ilvl w:val="0"/>
          <w:numId w:val="19"/>
        </w:numPr>
        <w:spacing w:before="180" w:after="60" w:line="260" w:lineRule="atLeast"/>
        <w:ind w:left="1701" w:hanging="567"/>
        <w:contextualSpacing w:val="0"/>
        <w:rPr>
          <w:rFonts w:ascii="Times New Roman" w:hAnsi="Times New Roman" w:cs="Times New Roman"/>
        </w:rPr>
      </w:pPr>
      <w:r w:rsidRPr="000C14CF">
        <w:rPr>
          <w:rFonts w:ascii="Times New Roman" w:hAnsi="Times New Roman" w:cs="Times New Roman"/>
        </w:rPr>
        <w:t>For the purpose of subsection (2), a fax recipient will be taken to have opted out</w:t>
      </w:r>
      <w:r w:rsidRPr="000C14CF">
        <w:rPr>
          <w:rFonts w:ascii="Times New Roman" w:hAnsi="Times New Roman" w:cs="Times New Roman"/>
          <w:b/>
          <w:i/>
        </w:rPr>
        <w:t xml:space="preserve"> </w:t>
      </w:r>
      <w:r w:rsidRPr="000C14CF">
        <w:rPr>
          <w:rFonts w:ascii="Times New Roman" w:hAnsi="Times New Roman" w:cs="Times New Roman"/>
        </w:rPr>
        <w:t>of receiving fax messages if the person has sent to, left at</w:t>
      </w:r>
      <w:r w:rsidR="002B3DA2">
        <w:rPr>
          <w:rFonts w:ascii="Times New Roman" w:hAnsi="Times New Roman" w:cs="Times New Roman"/>
        </w:rPr>
        <w:t>,</w:t>
      </w:r>
      <w:r w:rsidRPr="000C14CF">
        <w:rPr>
          <w:rFonts w:ascii="Times New Roman" w:hAnsi="Times New Roman" w:cs="Times New Roman"/>
        </w:rPr>
        <w:t xml:space="preserve"> or otherwise communicated an opt-out message to the opt-out address.</w:t>
      </w:r>
    </w:p>
    <w:p w14:paraId="6CC5E23D" w14:textId="77777777" w:rsidR="006816D5" w:rsidRPr="000C14CF" w:rsidRDefault="006816D5" w:rsidP="0088197F">
      <w:pPr>
        <w:pStyle w:val="ListParagraph"/>
        <w:numPr>
          <w:ilvl w:val="0"/>
          <w:numId w:val="19"/>
        </w:numPr>
        <w:spacing w:after="60" w:line="260" w:lineRule="atLeast"/>
        <w:ind w:left="1701" w:hanging="567"/>
        <w:contextualSpacing w:val="0"/>
        <w:rPr>
          <w:rFonts w:ascii="Times New Roman" w:hAnsi="Times New Roman" w:cs="Times New Roman"/>
        </w:rPr>
      </w:pPr>
      <w:r w:rsidRPr="000C14CF">
        <w:rPr>
          <w:rFonts w:ascii="Times New Roman" w:hAnsi="Times New Roman" w:cs="Times New Roman"/>
        </w:rPr>
        <w:t>A sender must have in place processes to ensure that:</w:t>
      </w:r>
    </w:p>
    <w:p w14:paraId="7E851C91" w14:textId="77777777" w:rsidR="006816D5" w:rsidRPr="000C14CF" w:rsidRDefault="006816D5" w:rsidP="0088197F">
      <w:pPr>
        <w:pStyle w:val="ZR1"/>
        <w:numPr>
          <w:ilvl w:val="0"/>
          <w:numId w:val="13"/>
        </w:numPr>
        <w:spacing w:after="60" w:line="260" w:lineRule="atLeast"/>
        <w:ind w:left="2127" w:hanging="426"/>
        <w:rPr>
          <w:sz w:val="22"/>
          <w:szCs w:val="22"/>
        </w:rPr>
      </w:pPr>
      <w:r w:rsidRPr="000C14CF">
        <w:rPr>
          <w:sz w:val="22"/>
          <w:szCs w:val="22"/>
        </w:rPr>
        <w:t xml:space="preserve">the opt-out address provided in the fax is reasonably likely to be capable of receiving opt-out messages at all times; </w:t>
      </w:r>
    </w:p>
    <w:p w14:paraId="53A5E1C8" w14:textId="3596B223" w:rsidR="006816D5" w:rsidRPr="000C14CF" w:rsidRDefault="006816D5" w:rsidP="0088197F">
      <w:pPr>
        <w:pStyle w:val="ZR1"/>
        <w:numPr>
          <w:ilvl w:val="0"/>
          <w:numId w:val="13"/>
        </w:numPr>
        <w:spacing w:after="60" w:line="260" w:lineRule="atLeast"/>
        <w:ind w:left="2127" w:hanging="426"/>
        <w:rPr>
          <w:sz w:val="22"/>
          <w:szCs w:val="22"/>
        </w:rPr>
      </w:pPr>
      <w:r w:rsidRPr="000C14CF">
        <w:rPr>
          <w:sz w:val="22"/>
          <w:szCs w:val="22"/>
        </w:rPr>
        <w:t>as soon as possible, and no later than 7 days, after a fax recipient has opted-out of receiving fax messages, the fax recipient’s number is removed from any list of Australian numbers used by the sender to arrange for the sending of faxes on behalf of the fax advertiser.</w:t>
      </w:r>
    </w:p>
    <w:p w14:paraId="5AB8AFD7" w14:textId="2D094DB0" w:rsidR="006816D5" w:rsidRPr="000C14CF" w:rsidRDefault="00EE4BCB" w:rsidP="00513F9B">
      <w:pPr>
        <w:pStyle w:val="Heading1"/>
      </w:pPr>
      <w:bookmarkStart w:id="18" w:name="_Toc74305923"/>
      <w:r>
        <w:t>1</w:t>
      </w:r>
      <w:r w:rsidR="009931FD">
        <w:t>1</w:t>
      </w:r>
      <w:r w:rsidR="00983D20">
        <w:t xml:space="preserve">  </w:t>
      </w:r>
      <w:r w:rsidR="006816D5" w:rsidRPr="000C14CF">
        <w:t>Limit on number of faxes to be sent to a recipient in a period</w:t>
      </w:r>
      <w:bookmarkEnd w:id="18"/>
    </w:p>
    <w:p w14:paraId="4FDD6E80" w14:textId="46C4A9B5" w:rsidR="006816D5" w:rsidRPr="000C14CF" w:rsidRDefault="006816D5" w:rsidP="00773923">
      <w:pPr>
        <w:spacing w:before="180" w:line="260" w:lineRule="atLeast"/>
        <w:ind w:left="1134"/>
        <w:rPr>
          <w:rFonts w:ascii="Times New Roman" w:hAnsi="Times New Roman" w:cs="Times New Roman"/>
        </w:rPr>
      </w:pPr>
      <w:r w:rsidRPr="000C14CF">
        <w:rPr>
          <w:rFonts w:ascii="Times New Roman" w:hAnsi="Times New Roman" w:cs="Times New Roman"/>
        </w:rPr>
        <w:t>A sender</w:t>
      </w:r>
      <w:r w:rsidRPr="000C14CF" w:rsidDel="00623E7C">
        <w:rPr>
          <w:rFonts w:ascii="Times New Roman" w:hAnsi="Times New Roman" w:cs="Times New Roman"/>
        </w:rPr>
        <w:t xml:space="preserve"> </w:t>
      </w:r>
      <w:r w:rsidRPr="000C14CF">
        <w:rPr>
          <w:rFonts w:ascii="Times New Roman" w:hAnsi="Times New Roman" w:cs="Times New Roman"/>
        </w:rPr>
        <w:t xml:space="preserve">must make reasonable efforts to ensure it does not send more than 10 faxes, which are authorised to be sent by the same fax advertiser, to a particular Australian number in any single </w:t>
      </w:r>
      <w:r w:rsidR="00C742D2" w:rsidRPr="000C14CF">
        <w:rPr>
          <w:rFonts w:ascii="Times New Roman" w:hAnsi="Times New Roman" w:cs="Times New Roman"/>
        </w:rPr>
        <w:t>24</w:t>
      </w:r>
      <w:r w:rsidR="00961901">
        <w:rPr>
          <w:rFonts w:ascii="Times New Roman" w:hAnsi="Times New Roman" w:cs="Times New Roman"/>
        </w:rPr>
        <w:t xml:space="preserve"> </w:t>
      </w:r>
      <w:r w:rsidR="00C742D2" w:rsidRPr="000C14CF">
        <w:rPr>
          <w:rFonts w:ascii="Times New Roman" w:hAnsi="Times New Roman" w:cs="Times New Roman"/>
        </w:rPr>
        <w:t>hour</w:t>
      </w:r>
      <w:r w:rsidRPr="000C14CF">
        <w:rPr>
          <w:rFonts w:ascii="Times New Roman" w:hAnsi="Times New Roman" w:cs="Times New Roman"/>
        </w:rPr>
        <w:t xml:space="preserve"> period.</w:t>
      </w:r>
    </w:p>
    <w:p w14:paraId="7CE50108" w14:textId="747A76D4" w:rsidR="006816D5" w:rsidRPr="000C14CF" w:rsidRDefault="00EE4BCB" w:rsidP="00513F9B">
      <w:pPr>
        <w:pStyle w:val="Heading1"/>
      </w:pPr>
      <w:bookmarkStart w:id="19" w:name="_Toc74305924"/>
      <w:r>
        <w:t>1</w:t>
      </w:r>
      <w:r w:rsidR="009931FD">
        <w:t>2</w:t>
      </w:r>
      <w:r w:rsidR="00983D20">
        <w:t xml:space="preserve">  </w:t>
      </w:r>
      <w:r w:rsidR="006816D5" w:rsidRPr="000C14CF">
        <w:t>Operation of State and Territory laws</w:t>
      </w:r>
      <w:bookmarkEnd w:id="19"/>
    </w:p>
    <w:p w14:paraId="78659C9E" w14:textId="7CF4BB07" w:rsidR="006816D5" w:rsidRPr="000C14CF" w:rsidRDefault="006816D5" w:rsidP="00773923">
      <w:pPr>
        <w:pStyle w:val="R1"/>
        <w:keepNext/>
        <w:tabs>
          <w:tab w:val="clear" w:pos="794"/>
        </w:tabs>
        <w:spacing w:before="180" w:line="260" w:lineRule="atLeast"/>
        <w:ind w:left="1134" w:firstLine="0"/>
        <w:rPr>
          <w:sz w:val="22"/>
          <w:szCs w:val="22"/>
        </w:rPr>
      </w:pPr>
      <w:r w:rsidRPr="000C14CF">
        <w:rPr>
          <w:sz w:val="22"/>
          <w:szCs w:val="22"/>
        </w:rPr>
        <w:t>This industry standard is not intended to exclude the operation of a law of a State or Territory to the extent that the law is capable of operating concurrently with this industry standard.</w:t>
      </w:r>
    </w:p>
    <w:bookmarkEnd w:id="3"/>
    <w:p w14:paraId="01332066" w14:textId="420DD8EB" w:rsidR="002332A2" w:rsidRPr="00086BF0" w:rsidRDefault="002332A2" w:rsidP="000D1162">
      <w:pPr>
        <w:spacing w:line="260" w:lineRule="atLeast"/>
      </w:pPr>
    </w:p>
    <w:sectPr w:rsidR="002332A2" w:rsidRPr="00086BF0" w:rsidSect="0095721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325E" w14:textId="77777777" w:rsidR="00422321" w:rsidRDefault="00422321" w:rsidP="0017734A">
      <w:pPr>
        <w:spacing w:after="0" w:line="240" w:lineRule="auto"/>
      </w:pPr>
      <w:r>
        <w:separator/>
      </w:r>
    </w:p>
  </w:endnote>
  <w:endnote w:type="continuationSeparator" w:id="0">
    <w:p w14:paraId="5A210AA2" w14:textId="77777777" w:rsidR="00422321" w:rsidRDefault="00422321"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AACD" w14:textId="06A48CCD" w:rsidR="001D3A91" w:rsidRPr="001D3A91" w:rsidRDefault="001D3A91" w:rsidP="001D3A91">
    <w:pPr>
      <w:pStyle w:val="ShortT"/>
      <w:pBdr>
        <w:top w:val="single" w:sz="4" w:space="1" w:color="auto"/>
      </w:pBdr>
      <w:jc w:val="center"/>
      <w:rPr>
        <w:b w:val="0"/>
        <w:bCs/>
        <w:i/>
        <w:iCs/>
        <w:sz w:val="20"/>
      </w:rPr>
    </w:pPr>
    <w:r w:rsidRPr="001D3A91">
      <w:rPr>
        <w:b w:val="0"/>
        <w:bCs/>
        <w:i/>
        <w:iCs/>
        <w:sz w:val="20"/>
      </w:rPr>
      <w:t xml:space="preserve">Telecommunications </w:t>
    </w:r>
    <w:r w:rsidR="00A82BCD">
      <w:rPr>
        <w:b w:val="0"/>
        <w:bCs/>
        <w:i/>
        <w:iCs/>
        <w:sz w:val="20"/>
      </w:rPr>
      <w:t>(</w:t>
    </w:r>
    <w:r w:rsidRPr="001D3A91">
      <w:rPr>
        <w:b w:val="0"/>
        <w:bCs/>
        <w:i/>
        <w:iCs/>
        <w:sz w:val="20"/>
      </w:rPr>
      <w:t>Fax Marketing</w:t>
    </w:r>
    <w:r w:rsidR="00C27E67">
      <w:rPr>
        <w:b w:val="0"/>
        <w:bCs/>
        <w:i/>
        <w:iCs/>
        <w:sz w:val="20"/>
      </w:rPr>
      <w:t>)</w:t>
    </w:r>
    <w:r w:rsidRPr="001D3A91">
      <w:rPr>
        <w:b w:val="0"/>
        <w:bCs/>
        <w:i/>
        <w:iCs/>
        <w:sz w:val="20"/>
      </w:rPr>
      <w:t xml:space="preserve"> Industry Standard 2021</w:t>
    </w:r>
  </w:p>
  <w:p w14:paraId="5F972D3C" w14:textId="77777777" w:rsidR="001D3A91" w:rsidRPr="001D3A91" w:rsidRDefault="001D3A91" w:rsidP="001D3A91">
    <w:pPr>
      <w:pStyle w:val="Footer"/>
      <w:jc w:val="right"/>
      <w:rPr>
        <w:rFonts w:ascii="Times New Roman" w:hAnsi="Times New Roman" w:cs="Times New Roman"/>
        <w:sz w:val="20"/>
        <w:szCs w:val="20"/>
      </w:rPr>
    </w:pPr>
    <w:r w:rsidRPr="001D3A91">
      <w:rPr>
        <w:rFonts w:ascii="Times New Roman" w:hAnsi="Times New Roman" w:cs="Times New Roman"/>
        <w:sz w:val="20"/>
        <w:szCs w:val="20"/>
      </w:rPr>
      <w:fldChar w:fldCharType="begin"/>
    </w:r>
    <w:r w:rsidRPr="001D3A91">
      <w:rPr>
        <w:rFonts w:ascii="Times New Roman" w:hAnsi="Times New Roman" w:cs="Times New Roman"/>
        <w:sz w:val="20"/>
        <w:szCs w:val="20"/>
      </w:rPr>
      <w:instrText xml:space="preserve"> PAGE   \* MERGEFORMAT </w:instrText>
    </w:r>
    <w:r w:rsidRPr="001D3A91">
      <w:rPr>
        <w:rFonts w:ascii="Times New Roman" w:hAnsi="Times New Roman" w:cs="Times New Roman"/>
        <w:sz w:val="20"/>
        <w:szCs w:val="20"/>
      </w:rPr>
      <w:fldChar w:fldCharType="separate"/>
    </w:r>
    <w:r w:rsidRPr="001D3A91">
      <w:rPr>
        <w:rFonts w:ascii="Times New Roman" w:hAnsi="Times New Roman" w:cs="Times New Roman"/>
        <w:noProof/>
        <w:sz w:val="20"/>
        <w:szCs w:val="20"/>
      </w:rPr>
      <w:t>1</w:t>
    </w:r>
    <w:r w:rsidRPr="001D3A91">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BADDC" w14:textId="77777777" w:rsidR="00422321" w:rsidRDefault="00422321" w:rsidP="0017734A">
      <w:pPr>
        <w:spacing w:after="0" w:line="240" w:lineRule="auto"/>
      </w:pPr>
      <w:r>
        <w:separator/>
      </w:r>
    </w:p>
  </w:footnote>
  <w:footnote w:type="continuationSeparator" w:id="0">
    <w:p w14:paraId="0F5D7264" w14:textId="77777777" w:rsidR="00422321" w:rsidRDefault="00422321"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CE46" w14:textId="3DF99CDA" w:rsidR="00E43CFB" w:rsidRPr="00714559" w:rsidRDefault="00E43CFB" w:rsidP="00714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83629"/>
    <w:multiLevelType w:val="hybridMultilevel"/>
    <w:tmpl w:val="2086FA6C"/>
    <w:lvl w:ilvl="0" w:tplc="71B4A0EA">
      <w:start w:val="1"/>
      <w:numFmt w:val="lowerLetter"/>
      <w:lvlText w:val="(%1)"/>
      <w:lvlJc w:val="left"/>
      <w:pPr>
        <w:ind w:left="1710" w:hanging="360"/>
      </w:pPr>
      <w:rPr>
        <w:rFonts w:hint="default"/>
      </w:rPr>
    </w:lvl>
    <w:lvl w:ilvl="1" w:tplc="7D6AE24C">
      <w:start w:val="1"/>
      <w:numFmt w:val="lowerRoman"/>
      <w:lvlText w:val="(%2)"/>
      <w:lvlJc w:val="left"/>
      <w:pPr>
        <w:ind w:left="2430" w:hanging="360"/>
      </w:pPr>
      <w:rPr>
        <w:rFonts w:hint="default"/>
      </w:r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8B525C"/>
    <w:multiLevelType w:val="hybridMultilevel"/>
    <w:tmpl w:val="FC2E0D64"/>
    <w:lvl w:ilvl="0" w:tplc="11D47990">
      <w:start w:val="1"/>
      <w:numFmt w:val="decimal"/>
      <w:lvlText w:val="(%1)"/>
      <w:lvlJc w:val="left"/>
      <w:pPr>
        <w:ind w:left="1350" w:hanging="360"/>
      </w:pPr>
      <w:rPr>
        <w:rFonts w:hint="default"/>
      </w:rPr>
    </w:lvl>
    <w:lvl w:ilvl="1" w:tplc="ECB21B44">
      <w:start w:val="1"/>
      <w:numFmt w:val="lowerLetter"/>
      <w:lvlText w:val="(%2)"/>
      <w:lvlJc w:val="left"/>
      <w:pPr>
        <w:ind w:left="2070" w:hanging="360"/>
      </w:pPr>
      <w:rPr>
        <w:rFonts w:hint="default"/>
      </w:rPr>
    </w:lvl>
    <w:lvl w:ilvl="2" w:tplc="D0DC20A0">
      <w:start w:val="1"/>
      <w:numFmt w:val="lowerRoman"/>
      <w:suff w:val="space"/>
      <w:lvlText w:val="(%3)"/>
      <w:lvlJc w:val="left"/>
      <w:pPr>
        <w:ind w:left="2790" w:hanging="180"/>
      </w:pPr>
      <w:rPr>
        <w:rFonts w:hint="default"/>
      </w:rPr>
    </w:lvl>
    <w:lvl w:ilvl="3" w:tplc="0C09000F">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5"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960595"/>
    <w:multiLevelType w:val="hybridMultilevel"/>
    <w:tmpl w:val="FD8A5A08"/>
    <w:lvl w:ilvl="0" w:tplc="678E0D14">
      <w:start w:val="1"/>
      <w:numFmt w:val="lowerLetter"/>
      <w:lvlText w:val="(%1)"/>
      <w:lvlJc w:val="left"/>
      <w:pPr>
        <w:ind w:left="3338"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8" w15:restartNumberingAfterBreak="0">
    <w:nsid w:val="52344F44"/>
    <w:multiLevelType w:val="hybridMultilevel"/>
    <w:tmpl w:val="E452DC8C"/>
    <w:lvl w:ilvl="0" w:tplc="11D47990">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9" w15:restartNumberingAfterBreak="0">
    <w:nsid w:val="53FB0408"/>
    <w:multiLevelType w:val="hybridMultilevel"/>
    <w:tmpl w:val="FD8A5A08"/>
    <w:lvl w:ilvl="0" w:tplc="678E0D14">
      <w:start w:val="1"/>
      <w:numFmt w:val="lowerLetter"/>
      <w:lvlText w:val="(%1)"/>
      <w:lvlJc w:val="left"/>
      <w:pPr>
        <w:ind w:left="3338"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0" w15:restartNumberingAfterBreak="0">
    <w:nsid w:val="56681A80"/>
    <w:multiLevelType w:val="hybridMultilevel"/>
    <w:tmpl w:val="2086FA6C"/>
    <w:lvl w:ilvl="0" w:tplc="71B4A0EA">
      <w:start w:val="1"/>
      <w:numFmt w:val="lowerLetter"/>
      <w:lvlText w:val="(%1)"/>
      <w:lvlJc w:val="left"/>
      <w:pPr>
        <w:ind w:left="1710" w:hanging="360"/>
      </w:pPr>
      <w:rPr>
        <w:rFonts w:hint="default"/>
      </w:rPr>
    </w:lvl>
    <w:lvl w:ilvl="1" w:tplc="7D6AE24C">
      <w:start w:val="1"/>
      <w:numFmt w:val="lowerRoman"/>
      <w:lvlText w:val="(%2)"/>
      <w:lvlJc w:val="left"/>
      <w:pPr>
        <w:ind w:left="2430" w:hanging="360"/>
      </w:pPr>
      <w:rPr>
        <w:rFonts w:hint="default"/>
      </w:r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1" w15:restartNumberingAfterBreak="0">
    <w:nsid w:val="5EE828FD"/>
    <w:multiLevelType w:val="hybridMultilevel"/>
    <w:tmpl w:val="FC2E0D64"/>
    <w:lvl w:ilvl="0" w:tplc="11D47990">
      <w:start w:val="1"/>
      <w:numFmt w:val="decimal"/>
      <w:lvlText w:val="(%1)"/>
      <w:lvlJc w:val="left"/>
      <w:pPr>
        <w:ind w:left="1350" w:hanging="360"/>
      </w:pPr>
      <w:rPr>
        <w:rFonts w:hint="default"/>
      </w:rPr>
    </w:lvl>
    <w:lvl w:ilvl="1" w:tplc="ECB21B44">
      <w:start w:val="1"/>
      <w:numFmt w:val="lowerLetter"/>
      <w:lvlText w:val="(%2)"/>
      <w:lvlJc w:val="left"/>
      <w:pPr>
        <w:ind w:left="2070" w:hanging="360"/>
      </w:pPr>
      <w:rPr>
        <w:rFonts w:hint="default"/>
      </w:rPr>
    </w:lvl>
    <w:lvl w:ilvl="2" w:tplc="D0DC20A0">
      <w:start w:val="1"/>
      <w:numFmt w:val="lowerRoman"/>
      <w:suff w:val="space"/>
      <w:lvlText w:val="(%3)"/>
      <w:lvlJc w:val="left"/>
      <w:pPr>
        <w:ind w:left="2790" w:hanging="180"/>
      </w:pPr>
      <w:rPr>
        <w:rFonts w:hint="default"/>
      </w:r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2"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F16C45"/>
    <w:multiLevelType w:val="hybridMultilevel"/>
    <w:tmpl w:val="B844969E"/>
    <w:lvl w:ilvl="0" w:tplc="71B4A0E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68444530"/>
    <w:multiLevelType w:val="hybridMultilevel"/>
    <w:tmpl w:val="2086FA6C"/>
    <w:lvl w:ilvl="0" w:tplc="71B4A0EA">
      <w:start w:val="1"/>
      <w:numFmt w:val="lowerLetter"/>
      <w:lvlText w:val="(%1)"/>
      <w:lvlJc w:val="left"/>
      <w:pPr>
        <w:ind w:left="1710" w:hanging="360"/>
      </w:pPr>
      <w:rPr>
        <w:rFonts w:hint="default"/>
      </w:rPr>
    </w:lvl>
    <w:lvl w:ilvl="1" w:tplc="7D6AE24C">
      <w:start w:val="1"/>
      <w:numFmt w:val="lowerRoman"/>
      <w:lvlText w:val="(%2)"/>
      <w:lvlJc w:val="left"/>
      <w:pPr>
        <w:ind w:left="2430" w:hanging="360"/>
      </w:pPr>
      <w:rPr>
        <w:rFonts w:hint="default"/>
      </w:r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5" w15:restartNumberingAfterBreak="0">
    <w:nsid w:val="68705517"/>
    <w:multiLevelType w:val="hybridMultilevel"/>
    <w:tmpl w:val="4394F77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6" w15:restartNumberingAfterBreak="0">
    <w:nsid w:val="68BF3180"/>
    <w:multiLevelType w:val="hybridMultilevel"/>
    <w:tmpl w:val="0F0E0AC0"/>
    <w:lvl w:ilvl="0" w:tplc="ED24427C">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7" w15:restartNumberingAfterBreak="0">
    <w:nsid w:val="69FD60A8"/>
    <w:multiLevelType w:val="hybridMultilevel"/>
    <w:tmpl w:val="E7B4638E"/>
    <w:lvl w:ilvl="0" w:tplc="71B4A0EA">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8" w15:restartNumberingAfterBreak="0">
    <w:nsid w:val="6D756943"/>
    <w:multiLevelType w:val="hybridMultilevel"/>
    <w:tmpl w:val="2086FA6C"/>
    <w:lvl w:ilvl="0" w:tplc="71B4A0EA">
      <w:start w:val="1"/>
      <w:numFmt w:val="lowerLetter"/>
      <w:lvlText w:val="(%1)"/>
      <w:lvlJc w:val="left"/>
      <w:pPr>
        <w:ind w:left="1710" w:hanging="360"/>
      </w:pPr>
      <w:rPr>
        <w:rFonts w:hint="default"/>
      </w:rPr>
    </w:lvl>
    <w:lvl w:ilvl="1" w:tplc="7D6AE24C">
      <w:start w:val="1"/>
      <w:numFmt w:val="lowerRoman"/>
      <w:lvlText w:val="(%2)"/>
      <w:lvlJc w:val="left"/>
      <w:pPr>
        <w:ind w:left="2430" w:hanging="360"/>
      </w:pPr>
      <w:rPr>
        <w:rFonts w:hint="default"/>
      </w:r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9" w15:restartNumberingAfterBreak="0">
    <w:nsid w:val="7000121B"/>
    <w:multiLevelType w:val="hybridMultilevel"/>
    <w:tmpl w:val="0C127690"/>
    <w:lvl w:ilvl="0" w:tplc="71B4A0EA">
      <w:start w:val="1"/>
      <w:numFmt w:val="lowerLetter"/>
      <w:lvlText w:val="(%1)"/>
      <w:lvlJc w:val="left"/>
      <w:pPr>
        <w:ind w:left="1800" w:hanging="360"/>
      </w:pPr>
      <w:rPr>
        <w:rFonts w:hint="default"/>
      </w:rPr>
    </w:lvl>
    <w:lvl w:ilvl="1" w:tplc="7D6AE24C">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1661803"/>
    <w:multiLevelType w:val="hybridMultilevel"/>
    <w:tmpl w:val="FD8A5A08"/>
    <w:lvl w:ilvl="0" w:tplc="678E0D14">
      <w:start w:val="1"/>
      <w:numFmt w:val="lowerLetter"/>
      <w:lvlText w:val="(%1)"/>
      <w:lvlJc w:val="left"/>
      <w:pPr>
        <w:ind w:left="3338"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21"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1"/>
  </w:num>
  <w:num w:numId="3">
    <w:abstractNumId w:val="6"/>
  </w:num>
  <w:num w:numId="4">
    <w:abstractNumId w:val="12"/>
  </w:num>
  <w:num w:numId="5">
    <w:abstractNumId w:val="5"/>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9"/>
  </w:num>
  <w:num w:numId="13">
    <w:abstractNumId w:val="16"/>
  </w:num>
  <w:num w:numId="14">
    <w:abstractNumId w:val="9"/>
  </w:num>
  <w:num w:numId="15">
    <w:abstractNumId w:val="8"/>
  </w:num>
  <w:num w:numId="16">
    <w:abstractNumId w:val="17"/>
  </w:num>
  <w:num w:numId="17">
    <w:abstractNumId w:val="14"/>
  </w:num>
  <w:num w:numId="18">
    <w:abstractNumId w:val="4"/>
  </w:num>
  <w:num w:numId="19">
    <w:abstractNumId w:val="11"/>
  </w:num>
  <w:num w:numId="20">
    <w:abstractNumId w:val="2"/>
  </w:num>
  <w:num w:numId="21">
    <w:abstractNumId w:val="10"/>
  </w:num>
  <w:num w:numId="22">
    <w:abstractNumId w:val="18"/>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10B2A"/>
    <w:rsid w:val="00010EF1"/>
    <w:rsid w:val="000340E0"/>
    <w:rsid w:val="0003432A"/>
    <w:rsid w:val="00044E44"/>
    <w:rsid w:val="000601F7"/>
    <w:rsid w:val="00086BF0"/>
    <w:rsid w:val="00087F5A"/>
    <w:rsid w:val="00097890"/>
    <w:rsid w:val="000B4E18"/>
    <w:rsid w:val="000B6446"/>
    <w:rsid w:val="000C14CF"/>
    <w:rsid w:val="000D0E24"/>
    <w:rsid w:val="000D1162"/>
    <w:rsid w:val="000D6066"/>
    <w:rsid w:val="000E35B9"/>
    <w:rsid w:val="000F1010"/>
    <w:rsid w:val="000F1CE3"/>
    <w:rsid w:val="000F2057"/>
    <w:rsid w:val="0012538E"/>
    <w:rsid w:val="00152CE6"/>
    <w:rsid w:val="00157DA0"/>
    <w:rsid w:val="00160F8E"/>
    <w:rsid w:val="0017734A"/>
    <w:rsid w:val="00183F81"/>
    <w:rsid w:val="001A2B69"/>
    <w:rsid w:val="001A4B39"/>
    <w:rsid w:val="001B2574"/>
    <w:rsid w:val="001C3477"/>
    <w:rsid w:val="001C48BE"/>
    <w:rsid w:val="001C76B4"/>
    <w:rsid w:val="001D3A91"/>
    <w:rsid w:val="001E0709"/>
    <w:rsid w:val="001E45EA"/>
    <w:rsid w:val="0021527C"/>
    <w:rsid w:val="00223624"/>
    <w:rsid w:val="002332A2"/>
    <w:rsid w:val="002359DE"/>
    <w:rsid w:val="00236173"/>
    <w:rsid w:val="002476AD"/>
    <w:rsid w:val="00254120"/>
    <w:rsid w:val="002569B5"/>
    <w:rsid w:val="00291C8D"/>
    <w:rsid w:val="002A1435"/>
    <w:rsid w:val="002B3DA2"/>
    <w:rsid w:val="002B73D8"/>
    <w:rsid w:val="002D2498"/>
    <w:rsid w:val="002E5B01"/>
    <w:rsid w:val="002F0E3F"/>
    <w:rsid w:val="002F7598"/>
    <w:rsid w:val="003166CF"/>
    <w:rsid w:val="0035736A"/>
    <w:rsid w:val="00361665"/>
    <w:rsid w:val="0036509A"/>
    <w:rsid w:val="00372D68"/>
    <w:rsid w:val="00385144"/>
    <w:rsid w:val="00385EEC"/>
    <w:rsid w:val="003937FE"/>
    <w:rsid w:val="003939AF"/>
    <w:rsid w:val="00395204"/>
    <w:rsid w:val="0039732A"/>
    <w:rsid w:val="003973D0"/>
    <w:rsid w:val="003B2C48"/>
    <w:rsid w:val="003B64CF"/>
    <w:rsid w:val="003C0096"/>
    <w:rsid w:val="00411116"/>
    <w:rsid w:val="00416E07"/>
    <w:rsid w:val="00417B8B"/>
    <w:rsid w:val="00422321"/>
    <w:rsid w:val="00424038"/>
    <w:rsid w:val="00434B53"/>
    <w:rsid w:val="004361D9"/>
    <w:rsid w:val="00440610"/>
    <w:rsid w:val="004B4796"/>
    <w:rsid w:val="004B595F"/>
    <w:rsid w:val="004C1BFE"/>
    <w:rsid w:val="004D6012"/>
    <w:rsid w:val="004D6B79"/>
    <w:rsid w:val="004E3164"/>
    <w:rsid w:val="004F2E0C"/>
    <w:rsid w:val="005017C1"/>
    <w:rsid w:val="00502445"/>
    <w:rsid w:val="00507D03"/>
    <w:rsid w:val="00513275"/>
    <w:rsid w:val="00513F9B"/>
    <w:rsid w:val="00517BED"/>
    <w:rsid w:val="00520DFE"/>
    <w:rsid w:val="0057525D"/>
    <w:rsid w:val="00583F0E"/>
    <w:rsid w:val="005957A6"/>
    <w:rsid w:val="005A3582"/>
    <w:rsid w:val="005C0555"/>
    <w:rsid w:val="005D43B5"/>
    <w:rsid w:val="005D4513"/>
    <w:rsid w:val="005E58F0"/>
    <w:rsid w:val="005F474D"/>
    <w:rsid w:val="0062615B"/>
    <w:rsid w:val="00634EE0"/>
    <w:rsid w:val="00640849"/>
    <w:rsid w:val="006437D6"/>
    <w:rsid w:val="006453A3"/>
    <w:rsid w:val="00663635"/>
    <w:rsid w:val="00672A87"/>
    <w:rsid w:val="00681361"/>
    <w:rsid w:val="006816D5"/>
    <w:rsid w:val="0068522E"/>
    <w:rsid w:val="00693D4F"/>
    <w:rsid w:val="00694DE2"/>
    <w:rsid w:val="006A1556"/>
    <w:rsid w:val="006C0251"/>
    <w:rsid w:val="006C1C15"/>
    <w:rsid w:val="006C3B4C"/>
    <w:rsid w:val="006C7885"/>
    <w:rsid w:val="006D36DE"/>
    <w:rsid w:val="006D5D17"/>
    <w:rsid w:val="006D7EC0"/>
    <w:rsid w:val="006E5B82"/>
    <w:rsid w:val="006F5CF2"/>
    <w:rsid w:val="006F662B"/>
    <w:rsid w:val="00703828"/>
    <w:rsid w:val="0071142C"/>
    <w:rsid w:val="00714559"/>
    <w:rsid w:val="00721966"/>
    <w:rsid w:val="0072776B"/>
    <w:rsid w:val="00730988"/>
    <w:rsid w:val="00733FB0"/>
    <w:rsid w:val="00763880"/>
    <w:rsid w:val="00770264"/>
    <w:rsid w:val="0077046D"/>
    <w:rsid w:val="00773923"/>
    <w:rsid w:val="00782ADA"/>
    <w:rsid w:val="00786E71"/>
    <w:rsid w:val="00793A43"/>
    <w:rsid w:val="007B51F2"/>
    <w:rsid w:val="007D093E"/>
    <w:rsid w:val="007D4910"/>
    <w:rsid w:val="007E31D6"/>
    <w:rsid w:val="007E407B"/>
    <w:rsid w:val="007F2236"/>
    <w:rsid w:val="00800926"/>
    <w:rsid w:val="00811FF6"/>
    <w:rsid w:val="0081244E"/>
    <w:rsid w:val="00812A22"/>
    <w:rsid w:val="00814838"/>
    <w:rsid w:val="008477B9"/>
    <w:rsid w:val="00854E86"/>
    <w:rsid w:val="0086239F"/>
    <w:rsid w:val="0088197F"/>
    <w:rsid w:val="00892659"/>
    <w:rsid w:val="0089278F"/>
    <w:rsid w:val="00895EE2"/>
    <w:rsid w:val="00896A23"/>
    <w:rsid w:val="008A2C61"/>
    <w:rsid w:val="008B4722"/>
    <w:rsid w:val="008B6356"/>
    <w:rsid w:val="008D642E"/>
    <w:rsid w:val="008F015D"/>
    <w:rsid w:val="008F0D09"/>
    <w:rsid w:val="009018B7"/>
    <w:rsid w:val="00903870"/>
    <w:rsid w:val="00905C9A"/>
    <w:rsid w:val="009132F6"/>
    <w:rsid w:val="0091792E"/>
    <w:rsid w:val="00936E66"/>
    <w:rsid w:val="009531A0"/>
    <w:rsid w:val="00954745"/>
    <w:rsid w:val="00957210"/>
    <w:rsid w:val="00961901"/>
    <w:rsid w:val="00966602"/>
    <w:rsid w:val="00966DA5"/>
    <w:rsid w:val="00972C15"/>
    <w:rsid w:val="00983D20"/>
    <w:rsid w:val="00985310"/>
    <w:rsid w:val="00987A5F"/>
    <w:rsid w:val="009931FD"/>
    <w:rsid w:val="009B3E70"/>
    <w:rsid w:val="009B630C"/>
    <w:rsid w:val="009C6FA6"/>
    <w:rsid w:val="009E2417"/>
    <w:rsid w:val="009F34D9"/>
    <w:rsid w:val="00A24E4E"/>
    <w:rsid w:val="00A41E42"/>
    <w:rsid w:val="00A4563D"/>
    <w:rsid w:val="00A533E4"/>
    <w:rsid w:val="00A772FD"/>
    <w:rsid w:val="00A82BCD"/>
    <w:rsid w:val="00A87309"/>
    <w:rsid w:val="00A965A3"/>
    <w:rsid w:val="00AA5F77"/>
    <w:rsid w:val="00AA69D5"/>
    <w:rsid w:val="00AB000F"/>
    <w:rsid w:val="00AB4318"/>
    <w:rsid w:val="00AC0D56"/>
    <w:rsid w:val="00AC5FC8"/>
    <w:rsid w:val="00AD14AA"/>
    <w:rsid w:val="00AD1EEA"/>
    <w:rsid w:val="00AE1ECA"/>
    <w:rsid w:val="00AE50D5"/>
    <w:rsid w:val="00B02AE6"/>
    <w:rsid w:val="00B0475B"/>
    <w:rsid w:val="00B13B65"/>
    <w:rsid w:val="00B22FA4"/>
    <w:rsid w:val="00B26562"/>
    <w:rsid w:val="00B34A4D"/>
    <w:rsid w:val="00B7359B"/>
    <w:rsid w:val="00B90F17"/>
    <w:rsid w:val="00B94518"/>
    <w:rsid w:val="00BA4326"/>
    <w:rsid w:val="00BA7DB7"/>
    <w:rsid w:val="00BC0AD3"/>
    <w:rsid w:val="00BC30F7"/>
    <w:rsid w:val="00BC3192"/>
    <w:rsid w:val="00BD77C9"/>
    <w:rsid w:val="00BE095C"/>
    <w:rsid w:val="00BE4BC7"/>
    <w:rsid w:val="00C04BC4"/>
    <w:rsid w:val="00C227FB"/>
    <w:rsid w:val="00C24BEF"/>
    <w:rsid w:val="00C25DB4"/>
    <w:rsid w:val="00C27E67"/>
    <w:rsid w:val="00C34CDB"/>
    <w:rsid w:val="00C355C2"/>
    <w:rsid w:val="00C5287B"/>
    <w:rsid w:val="00C64B29"/>
    <w:rsid w:val="00C742D2"/>
    <w:rsid w:val="00C76D9C"/>
    <w:rsid w:val="00C82A6B"/>
    <w:rsid w:val="00C9448D"/>
    <w:rsid w:val="00CA65D9"/>
    <w:rsid w:val="00CB7288"/>
    <w:rsid w:val="00CC64DD"/>
    <w:rsid w:val="00CD2FCD"/>
    <w:rsid w:val="00CD47EB"/>
    <w:rsid w:val="00CF4A41"/>
    <w:rsid w:val="00D077A3"/>
    <w:rsid w:val="00D07D0E"/>
    <w:rsid w:val="00D1142D"/>
    <w:rsid w:val="00D15825"/>
    <w:rsid w:val="00D31F3F"/>
    <w:rsid w:val="00D510ED"/>
    <w:rsid w:val="00D55AC2"/>
    <w:rsid w:val="00D56CCA"/>
    <w:rsid w:val="00D62DCD"/>
    <w:rsid w:val="00D65F59"/>
    <w:rsid w:val="00D705EC"/>
    <w:rsid w:val="00D8321C"/>
    <w:rsid w:val="00DA3F1E"/>
    <w:rsid w:val="00DA578C"/>
    <w:rsid w:val="00DC0CDF"/>
    <w:rsid w:val="00DC0FD7"/>
    <w:rsid w:val="00DC31AF"/>
    <w:rsid w:val="00DD377A"/>
    <w:rsid w:val="00DE1EA6"/>
    <w:rsid w:val="00DF3136"/>
    <w:rsid w:val="00DF736B"/>
    <w:rsid w:val="00E07159"/>
    <w:rsid w:val="00E1191F"/>
    <w:rsid w:val="00E13491"/>
    <w:rsid w:val="00E318F7"/>
    <w:rsid w:val="00E40DB3"/>
    <w:rsid w:val="00E422FF"/>
    <w:rsid w:val="00E43CFB"/>
    <w:rsid w:val="00E458FD"/>
    <w:rsid w:val="00E469AF"/>
    <w:rsid w:val="00E55133"/>
    <w:rsid w:val="00E618B6"/>
    <w:rsid w:val="00E71DC9"/>
    <w:rsid w:val="00E7332E"/>
    <w:rsid w:val="00E80698"/>
    <w:rsid w:val="00E816D6"/>
    <w:rsid w:val="00E90B30"/>
    <w:rsid w:val="00E934DA"/>
    <w:rsid w:val="00EA0EB2"/>
    <w:rsid w:val="00EC54C3"/>
    <w:rsid w:val="00EC5B45"/>
    <w:rsid w:val="00ED2D60"/>
    <w:rsid w:val="00ED2E8B"/>
    <w:rsid w:val="00EE4BCB"/>
    <w:rsid w:val="00EF665E"/>
    <w:rsid w:val="00F06B92"/>
    <w:rsid w:val="00F07A2C"/>
    <w:rsid w:val="00F101EE"/>
    <w:rsid w:val="00F1448E"/>
    <w:rsid w:val="00F31EC9"/>
    <w:rsid w:val="00F43B77"/>
    <w:rsid w:val="00F50CF5"/>
    <w:rsid w:val="00F55AFE"/>
    <w:rsid w:val="00F62C1E"/>
    <w:rsid w:val="00F63280"/>
    <w:rsid w:val="00F632A0"/>
    <w:rsid w:val="00F77DB5"/>
    <w:rsid w:val="00F826F5"/>
    <w:rsid w:val="00F856A6"/>
    <w:rsid w:val="00F85ED9"/>
    <w:rsid w:val="00F87D34"/>
    <w:rsid w:val="00F90642"/>
    <w:rsid w:val="00F96F1E"/>
    <w:rsid w:val="00FB1145"/>
    <w:rsid w:val="00FB59C1"/>
    <w:rsid w:val="00FC0B03"/>
    <w:rsid w:val="00FC69E6"/>
    <w:rsid w:val="00FD0C5A"/>
    <w:rsid w:val="00FD323F"/>
    <w:rsid w:val="00FD5A55"/>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88197F"/>
    <w:pPr>
      <w:spacing w:line="260" w:lineRule="atLeas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customStyle="1" w:styleId="HR">
    <w:name w:val="HR"/>
    <w:aliases w:val="Regulation Heading"/>
    <w:basedOn w:val="Normal"/>
    <w:next w:val="Normal"/>
    <w:rsid w:val="006816D5"/>
    <w:pPr>
      <w:keepNext/>
      <w:spacing w:before="360" w:after="0" w:line="240" w:lineRule="auto"/>
      <w:ind w:left="964" w:hanging="964"/>
    </w:pPr>
    <w:rPr>
      <w:rFonts w:ascii="Arial" w:eastAsia="Times New Roman" w:hAnsi="Arial" w:cs="Times New Roman"/>
      <w:b/>
      <w:sz w:val="24"/>
      <w:szCs w:val="24"/>
    </w:rPr>
  </w:style>
  <w:style w:type="paragraph" w:customStyle="1" w:styleId="R1">
    <w:name w:val="R1"/>
    <w:aliases w:val="1. or 1.(1)"/>
    <w:basedOn w:val="Normal"/>
    <w:next w:val="Normal"/>
    <w:rsid w:val="006816D5"/>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ZR1">
    <w:name w:val="ZR1"/>
    <w:basedOn w:val="Normal"/>
    <w:rsid w:val="006816D5"/>
    <w:pPr>
      <w:keepNext/>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NoteEnd">
    <w:name w:val="Note End"/>
    <w:basedOn w:val="Normal"/>
    <w:rsid w:val="006816D5"/>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definition0">
    <w:name w:val="definition"/>
    <w:basedOn w:val="Normal"/>
    <w:rsid w:val="008B63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88197F"/>
    <w:rPr>
      <w:rFonts w:ascii="Times New Roman" w:eastAsia="Times New Roman" w:hAnsi="Times New Roman" w:cs="Times New Roman"/>
      <w:b/>
      <w:kern w:val="28"/>
      <w:sz w:val="24"/>
      <w:szCs w:val="20"/>
      <w:lang w:eastAsia="en-AU"/>
    </w:rPr>
  </w:style>
  <w:style w:type="paragraph" w:styleId="TOCHeading">
    <w:name w:val="TOC Heading"/>
    <w:basedOn w:val="Heading1"/>
    <w:next w:val="Normal"/>
    <w:uiPriority w:val="39"/>
    <w:unhideWhenUsed/>
    <w:qFormat/>
    <w:rsid w:val="0088197F"/>
    <w:pPr>
      <w:spacing w:line="259" w:lineRule="auto"/>
      <w:outlineLvl w:val="9"/>
    </w:pPr>
    <w:rPr>
      <w:lang w:val="en-US"/>
    </w:rPr>
  </w:style>
  <w:style w:type="paragraph" w:styleId="TOC1">
    <w:name w:val="toc 1"/>
    <w:basedOn w:val="Normal"/>
    <w:next w:val="Normal"/>
    <w:autoRedefine/>
    <w:uiPriority w:val="39"/>
    <w:unhideWhenUsed/>
    <w:rsid w:val="008819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056202656">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UQVA7MFFXVNW-343728570-1505</_dlc_DocId>
    <_dlc_DocIdUrl xmlns="04b8ec43-391f-4ce4-8841-d6a482add564">
      <Url>http://collaboration/organisation/auth/Chair/Auth/_layouts/15/DocIdRedir.aspx?ID=UQVA7MFFXVNW-343728570-1505</Url>
      <Description>UQVA7MFFXVNW-343728570-1505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2.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3.xml><?xml version="1.0" encoding="utf-8"?>
<ds:datastoreItem xmlns:ds="http://schemas.openxmlformats.org/officeDocument/2006/customXml" ds:itemID="{93217AF2-025A-489C-B213-0C63FD70CEB0}">
  <ds:schemaRefs>
    <ds:schemaRef ds:uri="http://schemas.microsoft.com/sharepoint/v3/contenttype/forms"/>
  </ds:schemaRefs>
</ds:datastoreItem>
</file>

<file path=customXml/itemProps4.xml><?xml version="1.0" encoding="utf-8"?>
<ds:datastoreItem xmlns:ds="http://schemas.openxmlformats.org/officeDocument/2006/customXml" ds:itemID="{EF4D3281-F5A2-4CAA-8F2C-0705E17DBE80}">
  <ds:schemaRefs>
    <ds:schemaRef ds:uri="http://schemas.microsoft.com/sharepoint/events"/>
  </ds:schemaRefs>
</ds:datastoreItem>
</file>

<file path=customXml/itemProps5.xml><?xml version="1.0" encoding="utf-8"?>
<ds:datastoreItem xmlns:ds="http://schemas.openxmlformats.org/officeDocument/2006/customXml" ds:itemID="{2C175209-3F35-4710-9315-9CFC6286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3</cp:revision>
  <cp:lastPrinted>2016-10-19T01:54:00Z</cp:lastPrinted>
  <dcterms:created xsi:type="dcterms:W3CDTF">2021-08-25T06:34:00Z</dcterms:created>
  <dcterms:modified xsi:type="dcterms:W3CDTF">2021-08-27T00:02:00Z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5b8ae022-0f64-40cc-82ef-0ae55833508f</vt:lpwstr>
  </property>
</Properties>
</file>