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19360143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7A06EB3A" w:rsidR="00086BF0" w:rsidRDefault="0033692B" w:rsidP="00086BF0">
      <w:pPr>
        <w:pStyle w:val="ShortT"/>
      </w:pPr>
      <w:r>
        <w:t xml:space="preserve">Radiocommunications </w:t>
      </w:r>
      <w:r w:rsidR="006151D8">
        <w:t>(</w:t>
      </w:r>
      <w:r w:rsidR="00E61EEC">
        <w:t>Exemption</w:t>
      </w:r>
      <w:r>
        <w:t xml:space="preserve">) </w:t>
      </w:r>
      <w:r w:rsidR="00E61EEC">
        <w:t>Determination</w:t>
      </w:r>
      <w:r w:rsidR="007E2632">
        <w:t> </w:t>
      </w:r>
      <w:r>
        <w:t>2021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7E460BA4" w:rsidR="00086BF0" w:rsidRDefault="00086BF0" w:rsidP="00086BF0">
      <w:pPr>
        <w:pStyle w:val="SignCoverPageStart"/>
        <w:spacing w:before="0" w:line="240" w:lineRule="auto"/>
      </w:pPr>
      <w:r>
        <w:rPr>
          <w:szCs w:val="22"/>
        </w:rPr>
        <w:t xml:space="preserve">The Australian Communications and Media Authority makes the following </w:t>
      </w:r>
      <w:r w:rsidR="00055DD5">
        <w:rPr>
          <w:szCs w:val="22"/>
        </w:rPr>
        <w:t>determination</w:t>
      </w:r>
      <w:r>
        <w:rPr>
          <w:szCs w:val="22"/>
        </w:rPr>
        <w:t xml:space="preserve"> under </w:t>
      </w:r>
      <w:r w:rsidR="00CD293A">
        <w:t xml:space="preserve">subsection </w:t>
      </w:r>
      <w:r w:rsidR="00E61EEC">
        <w:t>302</w:t>
      </w:r>
      <w:r w:rsidR="00CD293A">
        <w:t>(</w:t>
      </w:r>
      <w:r w:rsidR="00E61EEC">
        <w:t>2</w:t>
      </w:r>
      <w:r w:rsidR="00CD293A">
        <w:t>)</w:t>
      </w:r>
      <w:r>
        <w:t xml:space="preserve"> of the </w:t>
      </w:r>
      <w:r w:rsidR="00CD293A">
        <w:rPr>
          <w:i/>
        </w:rPr>
        <w:t>Radiocommunications Act 1992</w:t>
      </w:r>
      <w:r>
        <w:t>.</w:t>
      </w:r>
    </w:p>
    <w:p w14:paraId="60399D0B" w14:textId="77777777" w:rsidR="004903EF" w:rsidRPr="004903EF" w:rsidRDefault="004903EF" w:rsidP="004903EF">
      <w:pPr>
        <w:rPr>
          <w:lang w:eastAsia="en-AU"/>
        </w:rPr>
      </w:pPr>
    </w:p>
    <w:p w14:paraId="11CC4671" w14:textId="460E1B4A" w:rsidR="00086BF0" w:rsidRDefault="00086BF0" w:rsidP="004903EF">
      <w:pPr>
        <w:keepNext/>
        <w:spacing w:after="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4903EF">
        <w:rPr>
          <w:rFonts w:ascii="Times New Roman" w:hAnsi="Times New Roman" w:cs="Times New Roman"/>
        </w:rPr>
        <w:t xml:space="preserve"> 26 August 2021</w:t>
      </w:r>
    </w:p>
    <w:p w14:paraId="707B4F83" w14:textId="77777777" w:rsidR="004903EF" w:rsidRDefault="004903EF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4100F0C0" w14:textId="5E4DF7FA" w:rsidR="004903EF" w:rsidRDefault="004903EF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Nerida O’Loughlin</w:t>
      </w:r>
    </w:p>
    <w:p w14:paraId="5A3AEFBA" w14:textId="17B34274" w:rsidR="004903EF" w:rsidRDefault="004903EF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30030F1A" w:rsidR="00086BF0" w:rsidRDefault="00086BF0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006734FC" w14:textId="523F6D49" w:rsidR="004903EF" w:rsidRDefault="004903EF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66507ACF" w14:textId="05CBD136" w:rsidR="004903EF" w:rsidRDefault="004903EF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Jose</w:t>
      </w:r>
    </w:p>
    <w:p w14:paraId="43FDB782" w14:textId="478D02C4" w:rsidR="004903EF" w:rsidRDefault="004903EF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[signed’</w:t>
      </w:r>
    </w:p>
    <w:p w14:paraId="5F356EE0" w14:textId="77777777" w:rsidR="00086BF0" w:rsidRDefault="00086BF0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</w:t>
      </w:r>
      <w:r w:rsidRPr="004903EF">
        <w:rPr>
          <w:rFonts w:ascii="Times New Roman" w:hAnsi="Times New Roman" w:cs="Times New Roman"/>
          <w:strike/>
        </w:rPr>
        <w:t>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headerReference w:type="even" r:id="rId13"/>
          <w:headerReference w:type="first" r:id="rId14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77777777" w:rsidR="00086BF0" w:rsidRDefault="00086BF0" w:rsidP="00086BF0">
      <w:pPr>
        <w:pStyle w:val="ActHead5"/>
      </w:pPr>
      <w:bookmarkStart w:id="2" w:name="_Toc65674439"/>
      <w:bookmarkStart w:id="3" w:name="_Toc444596031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proofErr w:type="gramEnd"/>
    </w:p>
    <w:p w14:paraId="0BA01627" w14:textId="68C57788" w:rsidR="00086BF0" w:rsidRDefault="00086BF0" w:rsidP="00086BF0">
      <w:pPr>
        <w:pStyle w:val="subsection"/>
      </w:pPr>
      <w:r>
        <w:tab/>
      </w:r>
      <w:r>
        <w:tab/>
        <w:t>Th</w:t>
      </w:r>
      <w:r w:rsidR="00E61EEC">
        <w:t>is</w:t>
      </w:r>
      <w:r>
        <w:t xml:space="preserve"> </w:t>
      </w:r>
      <w:r w:rsidR="00E61EEC">
        <w:t>is</w:t>
      </w:r>
      <w:r>
        <w:t xml:space="preserve"> the</w:t>
      </w:r>
      <w:r w:rsidR="00CD293A">
        <w:t xml:space="preserve"> </w:t>
      </w:r>
      <w:r w:rsidR="00CD293A">
        <w:rPr>
          <w:i/>
          <w:iCs/>
        </w:rPr>
        <w:t xml:space="preserve">Radiocommunications </w:t>
      </w:r>
      <w:r w:rsidR="0006038C">
        <w:rPr>
          <w:i/>
          <w:iCs/>
        </w:rPr>
        <w:t>(</w:t>
      </w:r>
      <w:r w:rsidR="00E61EEC">
        <w:rPr>
          <w:i/>
          <w:iCs/>
        </w:rPr>
        <w:t>Exemption</w:t>
      </w:r>
      <w:r w:rsidR="00CD293A">
        <w:rPr>
          <w:i/>
          <w:iCs/>
        </w:rPr>
        <w:t xml:space="preserve">) </w:t>
      </w:r>
      <w:r w:rsidR="00E61EEC">
        <w:rPr>
          <w:i/>
          <w:iCs/>
        </w:rPr>
        <w:t>Determination</w:t>
      </w:r>
      <w:r w:rsidR="00CD293A">
        <w:rPr>
          <w:i/>
          <w:iCs/>
        </w:rPr>
        <w:t xml:space="preserve"> 2021</w:t>
      </w:r>
      <w:r>
        <w:t>.</w:t>
      </w:r>
    </w:p>
    <w:p w14:paraId="177E90D7" w14:textId="77777777" w:rsidR="00086BF0" w:rsidRDefault="00086BF0" w:rsidP="00086BF0">
      <w:pPr>
        <w:pStyle w:val="ActHead5"/>
      </w:pPr>
      <w:bookmarkStart w:id="4" w:name="_Toc444596032"/>
      <w:bookmarkStart w:id="5" w:name="_Toc65674440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bookmarkEnd w:id="5"/>
      <w:proofErr w:type="gramEnd"/>
    </w:p>
    <w:p w14:paraId="7D91A5A5" w14:textId="3888CD72" w:rsidR="00C35476" w:rsidRDefault="00086BF0" w:rsidP="00167F06">
      <w:pPr>
        <w:pStyle w:val="subsection"/>
      </w:pPr>
      <w:r>
        <w:tab/>
      </w:r>
      <w:r>
        <w:tab/>
        <w:t xml:space="preserve">This instrument commences </w:t>
      </w:r>
      <w:r w:rsidR="00E61EEC">
        <w:t xml:space="preserve">the day </w:t>
      </w:r>
      <w:r w:rsidR="00F12895">
        <w:t>after the day it is registered on the Feder</w:t>
      </w:r>
      <w:r w:rsidR="0086524C">
        <w:t>a</w:t>
      </w:r>
      <w:r w:rsidR="00F12895">
        <w:t>l Register of Legislation</w:t>
      </w:r>
      <w:r w:rsidR="00C35476">
        <w:t>.</w:t>
      </w:r>
    </w:p>
    <w:p w14:paraId="795025ED" w14:textId="65B624DE" w:rsidR="00086BF0" w:rsidRDefault="00086BF0" w:rsidP="00086BF0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5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04A514DC" w14:textId="155A65AD" w:rsidR="00451000" w:rsidRDefault="00A300F4" w:rsidP="00086BF0">
      <w:pPr>
        <w:pStyle w:val="ActHead5"/>
        <w:rPr>
          <w:rStyle w:val="CharSectno"/>
        </w:rPr>
      </w:pPr>
      <w:bookmarkStart w:id="6" w:name="_Toc444596033"/>
      <w:bookmarkStart w:id="7" w:name="_Toc65674441"/>
      <w:r>
        <w:rPr>
          <w:rStyle w:val="CharSectno"/>
        </w:rPr>
        <w:t>3</w:t>
      </w:r>
      <w:r w:rsidR="0096371D">
        <w:rPr>
          <w:rStyle w:val="CharSectno"/>
        </w:rPr>
        <w:t xml:space="preserve"> Repeal of this instrument</w:t>
      </w:r>
    </w:p>
    <w:p w14:paraId="68CD090B" w14:textId="76E2261B" w:rsidR="0096371D" w:rsidRPr="00ED2668" w:rsidRDefault="0096371D" w:rsidP="00ED2668">
      <w:pPr>
        <w:pStyle w:val="subsection"/>
        <w:ind w:firstLine="0"/>
      </w:pPr>
      <w:r>
        <w:t xml:space="preserve">This instrument is repealed at the start of </w:t>
      </w:r>
      <w:r w:rsidR="00ED7A01">
        <w:t>the day</w:t>
      </w:r>
      <w:r w:rsidR="00376A01">
        <w:t xml:space="preserve"> that is </w:t>
      </w:r>
      <w:r w:rsidR="00290E46">
        <w:t>the third anniversary</w:t>
      </w:r>
      <w:r w:rsidR="00376A01">
        <w:t xml:space="preserve"> of the day </w:t>
      </w:r>
      <w:r w:rsidR="00ED2668">
        <w:t>it commences.</w:t>
      </w:r>
      <w:r w:rsidR="00290E46">
        <w:t xml:space="preserve"> </w:t>
      </w:r>
    </w:p>
    <w:p w14:paraId="12CBE75E" w14:textId="47FB5F7C" w:rsidR="00086BF0" w:rsidRDefault="00A300F4" w:rsidP="00086BF0">
      <w:pPr>
        <w:pStyle w:val="ActHead5"/>
      </w:pPr>
      <w:proofErr w:type="gramStart"/>
      <w:r>
        <w:rPr>
          <w:rStyle w:val="CharSectno"/>
        </w:rPr>
        <w:t>4</w:t>
      </w:r>
      <w:r w:rsidR="00086BF0">
        <w:t xml:space="preserve">  Authority</w:t>
      </w:r>
      <w:bookmarkEnd w:id="6"/>
      <w:bookmarkEnd w:id="7"/>
      <w:proofErr w:type="gramEnd"/>
    </w:p>
    <w:p w14:paraId="3377B4C6" w14:textId="1EE3C518" w:rsidR="00086BF0" w:rsidRDefault="00086BF0" w:rsidP="00086BF0">
      <w:pPr>
        <w:pStyle w:val="subsection"/>
      </w:pPr>
      <w:r>
        <w:tab/>
      </w:r>
      <w:r>
        <w:tab/>
        <w:t xml:space="preserve">This instrument is made under </w:t>
      </w:r>
      <w:r w:rsidR="00C55639">
        <w:t xml:space="preserve">subsection </w:t>
      </w:r>
      <w:r w:rsidR="00F12895">
        <w:t>302</w:t>
      </w:r>
      <w:r w:rsidR="00C55639">
        <w:t>(</w:t>
      </w:r>
      <w:r w:rsidR="00F12895">
        <w:t>2</w:t>
      </w:r>
      <w:r w:rsidR="00C55639">
        <w:t>)</w:t>
      </w:r>
      <w:r>
        <w:t xml:space="preserve"> of the </w:t>
      </w:r>
      <w:r w:rsidR="00C55639">
        <w:rPr>
          <w:i/>
        </w:rPr>
        <w:t>Radiocommunications Act 1992</w:t>
      </w:r>
      <w:r>
        <w:t>.</w:t>
      </w:r>
    </w:p>
    <w:p w14:paraId="616032F1" w14:textId="5DA89829" w:rsidR="00086BF0" w:rsidRDefault="00EF5D2F" w:rsidP="00086BF0">
      <w:pPr>
        <w:pStyle w:val="ActHead5"/>
      </w:pPr>
      <w:bookmarkStart w:id="8" w:name="_Toc444596034"/>
      <w:bookmarkStart w:id="9" w:name="_Toc65674442"/>
      <w:proofErr w:type="gramStart"/>
      <w:r>
        <w:rPr>
          <w:rStyle w:val="CharSectno"/>
        </w:rPr>
        <w:t>5</w:t>
      </w:r>
      <w:r w:rsidR="00086BF0">
        <w:t xml:space="preserve">  Definitions</w:t>
      </w:r>
      <w:bookmarkEnd w:id="8"/>
      <w:bookmarkEnd w:id="9"/>
      <w:proofErr w:type="gramEnd"/>
    </w:p>
    <w:p w14:paraId="428F2C2E" w14:textId="610B7D0B" w:rsidR="00086BF0" w:rsidRDefault="00086BF0" w:rsidP="00086BF0">
      <w:pPr>
        <w:pStyle w:val="subsection"/>
      </w:pPr>
      <w:r>
        <w:tab/>
      </w:r>
      <w:r w:rsidR="004B4AA7">
        <w:t>(1)</w:t>
      </w:r>
      <w:r>
        <w:tab/>
        <w:t>In this instrument:</w:t>
      </w:r>
    </w:p>
    <w:p w14:paraId="099EB861" w14:textId="568A3549" w:rsidR="00086BF0" w:rsidRDefault="00086BF0" w:rsidP="00086BF0">
      <w:pPr>
        <w:pStyle w:val="Definition"/>
      </w:pPr>
      <w:r>
        <w:rPr>
          <w:b/>
          <w:i/>
        </w:rPr>
        <w:t>Act</w:t>
      </w:r>
      <w:r>
        <w:t xml:space="preserve"> means </w:t>
      </w:r>
      <w:r w:rsidR="008A3257">
        <w:t xml:space="preserve">the </w:t>
      </w:r>
      <w:r w:rsidR="008A3257">
        <w:rPr>
          <w:i/>
        </w:rPr>
        <w:t>Radiocommunications Act 1992</w:t>
      </w:r>
      <w:r>
        <w:t>.</w:t>
      </w:r>
    </w:p>
    <w:p w14:paraId="1DCF702F" w14:textId="1D776F43" w:rsidR="00B77E57" w:rsidRPr="00C52ABA" w:rsidRDefault="00633C6E" w:rsidP="00B77E57">
      <w:pPr>
        <w:pStyle w:val="Definition"/>
      </w:pPr>
      <w:r>
        <w:rPr>
          <w:b/>
          <w:i/>
        </w:rPr>
        <w:t>ARPANSA Standard</w:t>
      </w:r>
      <w:r w:rsidR="00B77E57" w:rsidRPr="00B77E57">
        <w:t xml:space="preserve"> </w:t>
      </w:r>
      <w:r w:rsidR="00B77E57" w:rsidRPr="00C52ABA">
        <w:t xml:space="preserve">means the </w:t>
      </w:r>
      <w:r w:rsidR="00B77E57" w:rsidRPr="00C52ABA">
        <w:rPr>
          <w:i/>
          <w:iCs/>
        </w:rPr>
        <w:t xml:space="preserve">Radiation Protection Standard for </w:t>
      </w:r>
      <w:r w:rsidR="00B77E57">
        <w:rPr>
          <w:i/>
          <w:iCs/>
        </w:rPr>
        <w:t>Limiting</w:t>
      </w:r>
      <w:r w:rsidR="00B77E57" w:rsidRPr="00C52ABA">
        <w:rPr>
          <w:i/>
          <w:iCs/>
        </w:rPr>
        <w:t xml:space="preserve"> Exposure </w:t>
      </w:r>
      <w:r w:rsidR="00B77E57">
        <w:rPr>
          <w:i/>
          <w:iCs/>
        </w:rPr>
        <w:t xml:space="preserve">to </w:t>
      </w:r>
      <w:r w:rsidR="00B77E57" w:rsidRPr="00C52ABA">
        <w:rPr>
          <w:i/>
          <w:iCs/>
        </w:rPr>
        <w:t>Radi</w:t>
      </w:r>
      <w:r w:rsidR="00B77E57">
        <w:rPr>
          <w:i/>
          <w:iCs/>
        </w:rPr>
        <w:t>ofrequency</w:t>
      </w:r>
      <w:r w:rsidR="00B77E57" w:rsidRPr="00C52ABA">
        <w:rPr>
          <w:i/>
          <w:iCs/>
        </w:rPr>
        <w:t xml:space="preserve"> Fields – </w:t>
      </w:r>
      <w:r w:rsidR="00B77E57">
        <w:rPr>
          <w:i/>
          <w:iCs/>
        </w:rPr>
        <w:t>100</w:t>
      </w:r>
      <w:r w:rsidR="00B77E57" w:rsidRPr="00C52ABA">
        <w:rPr>
          <w:i/>
          <w:iCs/>
        </w:rPr>
        <w:t xml:space="preserve"> kHz to 300 GHz</w:t>
      </w:r>
      <w:r w:rsidR="00B77E57">
        <w:rPr>
          <w:i/>
          <w:iCs/>
        </w:rPr>
        <w:t xml:space="preserve"> (2021)</w:t>
      </w:r>
      <w:r w:rsidR="00B77E57" w:rsidRPr="00C52ABA">
        <w:t>,</w:t>
      </w:r>
      <w:r w:rsidR="00B77E57">
        <w:t xml:space="preserve"> or any standard published as a replacement of that standard, by the Australian Radiation Protection and Nuclear Safety Agency</w:t>
      </w:r>
      <w:r w:rsidR="00B77E57" w:rsidRPr="00C52ABA">
        <w:t>.</w:t>
      </w:r>
    </w:p>
    <w:p w14:paraId="3A0F72BF" w14:textId="1BDB9FAE" w:rsidR="00B77E57" w:rsidRDefault="00B77E57" w:rsidP="00B77E57">
      <w:pPr>
        <w:pStyle w:val="notetext"/>
      </w:pPr>
      <w:r w:rsidRPr="00C52ABA">
        <w:t>Note:</w:t>
      </w:r>
      <w:r w:rsidRPr="00C52ABA">
        <w:tab/>
      </w:r>
      <w:r w:rsidR="005479AC">
        <w:t>A copy of t</w:t>
      </w:r>
      <w:r w:rsidRPr="00C52ABA">
        <w:t xml:space="preserve">he ARPANSA Standard </w:t>
      </w:r>
      <w:r w:rsidR="005479AC">
        <w:t>could, at the time of making this instrument, be obtained free of charge</w:t>
      </w:r>
      <w:r w:rsidRPr="00C52ABA">
        <w:t xml:space="preserve"> from the Australian Radiation Protection and Nuclear Safety Agency website at </w:t>
      </w:r>
      <w:hyperlink r:id="rId16" w:history="1">
        <w:r w:rsidRPr="00C52ABA">
          <w:rPr>
            <w:rStyle w:val="Hyperlink"/>
          </w:rPr>
          <w:t>www.arpansa.gov.au</w:t>
        </w:r>
      </w:hyperlink>
      <w:r w:rsidRPr="00C52ABA">
        <w:t xml:space="preserve">. </w:t>
      </w:r>
    </w:p>
    <w:p w14:paraId="1E43ACE7" w14:textId="7CEB12C3" w:rsidR="00BD7109" w:rsidRPr="00BD7109" w:rsidRDefault="00BD7109" w:rsidP="00086BF0">
      <w:pPr>
        <w:pStyle w:val="Definition"/>
        <w:rPr>
          <w:iCs/>
        </w:rPr>
      </w:pPr>
      <w:r>
        <w:rPr>
          <w:b/>
          <w:bCs/>
          <w:i/>
        </w:rPr>
        <w:t xml:space="preserve">banned device </w:t>
      </w:r>
      <w:r>
        <w:rPr>
          <w:iCs/>
        </w:rPr>
        <w:t>means a</w:t>
      </w:r>
      <w:r w:rsidR="005708CB">
        <w:rPr>
          <w:iCs/>
        </w:rPr>
        <w:t xml:space="preserve"> device that is a</w:t>
      </w:r>
      <w:r>
        <w:rPr>
          <w:iCs/>
        </w:rPr>
        <w:t>n item of banned equipment.</w:t>
      </w:r>
    </w:p>
    <w:p w14:paraId="27AF2B66" w14:textId="65202BF8" w:rsidR="00C529F0" w:rsidRPr="00E506FA" w:rsidRDefault="00C529F0" w:rsidP="00086BF0">
      <w:pPr>
        <w:pStyle w:val="Definition"/>
        <w:rPr>
          <w:iCs/>
        </w:rPr>
      </w:pPr>
      <w:r>
        <w:rPr>
          <w:b/>
          <w:bCs/>
          <w:i/>
        </w:rPr>
        <w:t xml:space="preserve">banned </w:t>
      </w:r>
      <w:r w:rsidR="00330F0C">
        <w:rPr>
          <w:b/>
          <w:bCs/>
          <w:i/>
        </w:rPr>
        <w:t>equipment</w:t>
      </w:r>
      <w:r w:rsidR="00E506FA">
        <w:rPr>
          <w:iCs/>
        </w:rPr>
        <w:t xml:space="preserve"> means </w:t>
      </w:r>
      <w:r w:rsidR="00330F0C">
        <w:rPr>
          <w:iCs/>
        </w:rPr>
        <w:t>equipment that is specified in a permanent ban.</w:t>
      </w:r>
    </w:p>
    <w:p w14:paraId="194CEEBA" w14:textId="2BBABF0D" w:rsidR="00086620" w:rsidRDefault="00086620" w:rsidP="00086BF0">
      <w:pPr>
        <w:pStyle w:val="Definition"/>
        <w:rPr>
          <w:iCs/>
        </w:rPr>
      </w:pPr>
      <w:r>
        <w:rPr>
          <w:b/>
          <w:bCs/>
          <w:i/>
        </w:rPr>
        <w:t>dummy load</w:t>
      </w:r>
      <w:r w:rsidR="004B4AA7">
        <w:rPr>
          <w:iCs/>
        </w:rPr>
        <w:t>: see subsection (2).</w:t>
      </w:r>
    </w:p>
    <w:p w14:paraId="4A14CC3C" w14:textId="053F3057" w:rsidR="00D9461D" w:rsidRDefault="00D9461D" w:rsidP="00086BF0">
      <w:pPr>
        <w:pStyle w:val="Definition"/>
        <w:rPr>
          <w:color w:val="000000"/>
          <w:shd w:val="clear" w:color="auto" w:fill="FFFFFF"/>
        </w:rPr>
      </w:pPr>
      <w:r>
        <w:rPr>
          <w:b/>
          <w:bCs/>
          <w:i/>
        </w:rPr>
        <w:t>EIRP</w:t>
      </w:r>
      <w:r>
        <w:rPr>
          <w:iCs/>
        </w:rPr>
        <w:t xml:space="preserve"> means</w:t>
      </w:r>
      <w:r w:rsidR="00494F7A">
        <w:rPr>
          <w:iCs/>
        </w:rPr>
        <w:t xml:space="preserve"> </w:t>
      </w:r>
      <w:r w:rsidR="00494F7A">
        <w:rPr>
          <w:color w:val="000000"/>
          <w:shd w:val="clear" w:color="auto" w:fill="FFFFFF"/>
        </w:rPr>
        <w:t xml:space="preserve">equivalent </w:t>
      </w:r>
      <w:proofErr w:type="spellStart"/>
      <w:r w:rsidR="00494F7A">
        <w:rPr>
          <w:color w:val="000000"/>
          <w:shd w:val="clear" w:color="auto" w:fill="FFFFFF"/>
        </w:rPr>
        <w:t>isotropically</w:t>
      </w:r>
      <w:proofErr w:type="spellEnd"/>
      <w:r w:rsidR="00494F7A">
        <w:rPr>
          <w:color w:val="000000"/>
          <w:shd w:val="clear" w:color="auto" w:fill="FFFFFF"/>
        </w:rPr>
        <w:t xml:space="preserve"> radiated power.</w:t>
      </w:r>
    </w:p>
    <w:p w14:paraId="1D798930" w14:textId="4DB59AD3" w:rsidR="006B3506" w:rsidRDefault="00646761" w:rsidP="00872F80">
      <w:pPr>
        <w:pStyle w:val="Definition"/>
        <w:spacing w:after="120"/>
        <w:rPr>
          <w:iCs/>
        </w:rPr>
      </w:pPr>
      <w:r>
        <w:rPr>
          <w:b/>
          <w:bCs/>
          <w:i/>
        </w:rPr>
        <w:t>maximum EIRP</w:t>
      </w:r>
      <w:r w:rsidR="001F6D92">
        <w:rPr>
          <w:iCs/>
        </w:rPr>
        <w:t xml:space="preserve">, </w:t>
      </w:r>
      <w:r w:rsidR="00451DE2">
        <w:rPr>
          <w:iCs/>
        </w:rPr>
        <w:t>in relation to</w:t>
      </w:r>
      <w:r w:rsidR="001F6D92">
        <w:rPr>
          <w:iCs/>
        </w:rPr>
        <w:t xml:space="preserve"> a device</w:t>
      </w:r>
      <w:r w:rsidR="00722587">
        <w:rPr>
          <w:iCs/>
        </w:rPr>
        <w:t xml:space="preserve"> at a particular time</w:t>
      </w:r>
      <w:r w:rsidR="001F6D92">
        <w:rPr>
          <w:iCs/>
        </w:rPr>
        <w:t>, means</w:t>
      </w:r>
      <w:r w:rsidR="00236F7A">
        <w:rPr>
          <w:iCs/>
        </w:rPr>
        <w:t>:</w:t>
      </w:r>
    </w:p>
    <w:p w14:paraId="3040B3E9" w14:textId="749E5349" w:rsidR="00A667B1" w:rsidRDefault="00D37C0B" w:rsidP="00380617">
      <w:pPr>
        <w:pStyle w:val="paragraph"/>
        <w:numPr>
          <w:ilvl w:val="0"/>
          <w:numId w:val="14"/>
        </w:numPr>
        <w:rPr>
          <w:iCs/>
        </w:rPr>
      </w:pPr>
      <w:r>
        <w:rPr>
          <w:iCs/>
        </w:rPr>
        <w:t xml:space="preserve">in </w:t>
      </w:r>
      <w:r w:rsidR="00DD0F53" w:rsidRPr="00040FB9">
        <w:rPr>
          <w:iCs/>
        </w:rPr>
        <w:t>sub</w:t>
      </w:r>
      <w:r w:rsidRPr="00040FB9">
        <w:rPr>
          <w:iCs/>
        </w:rPr>
        <w:t xml:space="preserve">paragraph </w:t>
      </w:r>
      <w:r w:rsidR="00E26835" w:rsidRPr="00040FB9">
        <w:rPr>
          <w:iCs/>
        </w:rPr>
        <w:t>12</w:t>
      </w:r>
      <w:r w:rsidR="006B3506" w:rsidRPr="00040FB9">
        <w:rPr>
          <w:iCs/>
        </w:rPr>
        <w:t>(</w:t>
      </w:r>
      <w:r w:rsidRPr="00040FB9">
        <w:rPr>
          <w:iCs/>
        </w:rPr>
        <w:t>3</w:t>
      </w:r>
      <w:r w:rsidR="006B3506" w:rsidRPr="00040FB9">
        <w:rPr>
          <w:iCs/>
        </w:rPr>
        <w:t>)</w:t>
      </w:r>
      <w:r w:rsidRPr="00040FB9">
        <w:rPr>
          <w:iCs/>
        </w:rPr>
        <w:t>(d)(iii)</w:t>
      </w:r>
      <w:r w:rsidR="006B3506" w:rsidRPr="00040FB9">
        <w:rPr>
          <w:iCs/>
        </w:rPr>
        <w:t xml:space="preserve"> –</w:t>
      </w:r>
      <w:r w:rsidR="001F6D92">
        <w:rPr>
          <w:iCs/>
        </w:rPr>
        <w:t xml:space="preserve"> the largest amount of EIRP </w:t>
      </w:r>
      <w:r w:rsidR="00523781">
        <w:rPr>
          <w:iCs/>
        </w:rPr>
        <w:t xml:space="preserve">that was </w:t>
      </w:r>
      <w:r w:rsidR="001F6D92">
        <w:rPr>
          <w:iCs/>
        </w:rPr>
        <w:t>radiated by the device in any direction</w:t>
      </w:r>
      <w:r w:rsidR="00217A0E">
        <w:rPr>
          <w:iCs/>
        </w:rPr>
        <w:t xml:space="preserve"> at that time</w:t>
      </w:r>
      <w:r w:rsidR="00002D3C">
        <w:rPr>
          <w:iCs/>
        </w:rPr>
        <w:t>;</w:t>
      </w:r>
      <w:r w:rsidR="002251F4">
        <w:rPr>
          <w:iCs/>
        </w:rPr>
        <w:t xml:space="preserve"> and</w:t>
      </w:r>
    </w:p>
    <w:p w14:paraId="0015CE30" w14:textId="4EB27BB5" w:rsidR="006B3506" w:rsidRPr="002251F4" w:rsidRDefault="002251F4" w:rsidP="00380617">
      <w:pPr>
        <w:pStyle w:val="paragraph"/>
        <w:numPr>
          <w:ilvl w:val="0"/>
          <w:numId w:val="14"/>
        </w:numPr>
        <w:rPr>
          <w:iCs/>
        </w:rPr>
      </w:pPr>
      <w:r>
        <w:rPr>
          <w:iCs/>
        </w:rPr>
        <w:t xml:space="preserve">otherwise – the largest amount of EIRP that </w:t>
      </w:r>
      <w:r w:rsidR="00F47194">
        <w:rPr>
          <w:iCs/>
        </w:rPr>
        <w:t>may</w:t>
      </w:r>
      <w:r>
        <w:rPr>
          <w:iCs/>
        </w:rPr>
        <w:t xml:space="preserve"> </w:t>
      </w:r>
      <w:r w:rsidR="006D4B39">
        <w:rPr>
          <w:iCs/>
        </w:rPr>
        <w:t>be</w:t>
      </w:r>
      <w:r>
        <w:rPr>
          <w:iCs/>
        </w:rPr>
        <w:t xml:space="preserve"> radiated by the device in any direction at that time</w:t>
      </w:r>
      <w:r w:rsidR="00164062" w:rsidRPr="002251F4">
        <w:rPr>
          <w:iCs/>
        </w:rPr>
        <w:t>.</w:t>
      </w:r>
    </w:p>
    <w:p w14:paraId="0BB736DB" w14:textId="50AA1971" w:rsidR="00E66472" w:rsidRDefault="00E66472" w:rsidP="00086BF0">
      <w:pPr>
        <w:pStyle w:val="Definition"/>
        <w:rPr>
          <w:iCs/>
        </w:rPr>
      </w:pPr>
      <w:r>
        <w:rPr>
          <w:b/>
          <w:bCs/>
          <w:i/>
        </w:rPr>
        <w:t>screened room</w:t>
      </w:r>
      <w:r>
        <w:rPr>
          <w:iCs/>
        </w:rPr>
        <w:t xml:space="preserve"> means a room</w:t>
      </w:r>
      <w:r w:rsidR="00EE3786">
        <w:rPr>
          <w:iCs/>
        </w:rPr>
        <w:t xml:space="preserve"> </w:t>
      </w:r>
      <w:r w:rsidR="00627FAC">
        <w:rPr>
          <w:iCs/>
        </w:rPr>
        <w:t xml:space="preserve">that prevents, or is </w:t>
      </w:r>
      <w:r w:rsidR="00EE3786">
        <w:rPr>
          <w:iCs/>
        </w:rPr>
        <w:t>designed to prevent</w:t>
      </w:r>
      <w:r w:rsidR="00627FAC">
        <w:rPr>
          <w:iCs/>
        </w:rPr>
        <w:t>,</w:t>
      </w:r>
      <w:r w:rsidR="00EE3786">
        <w:rPr>
          <w:iCs/>
        </w:rPr>
        <w:t xml:space="preserve"> the entry or escape of radio emissions.</w:t>
      </w:r>
    </w:p>
    <w:p w14:paraId="4E3DDD7E" w14:textId="78EE1C97" w:rsidR="007B1157" w:rsidRPr="00040FB9" w:rsidRDefault="007B1157" w:rsidP="00086BF0">
      <w:pPr>
        <w:pStyle w:val="Definition"/>
        <w:rPr>
          <w:iCs/>
        </w:rPr>
      </w:pPr>
      <w:r>
        <w:rPr>
          <w:b/>
          <w:bCs/>
          <w:i/>
        </w:rPr>
        <w:t xml:space="preserve">table </w:t>
      </w:r>
      <w:r>
        <w:rPr>
          <w:iCs/>
        </w:rPr>
        <w:t xml:space="preserve">means the table in </w:t>
      </w:r>
      <w:r w:rsidRPr="00040FB9">
        <w:rPr>
          <w:iCs/>
        </w:rPr>
        <w:t xml:space="preserve">section </w:t>
      </w:r>
      <w:r w:rsidR="00366DCE" w:rsidRPr="00040FB9">
        <w:rPr>
          <w:iCs/>
        </w:rPr>
        <w:t>7</w:t>
      </w:r>
      <w:r w:rsidRPr="00040FB9">
        <w:rPr>
          <w:iCs/>
        </w:rPr>
        <w:t>.</w:t>
      </w:r>
    </w:p>
    <w:p w14:paraId="05681FC1" w14:textId="1242C3A8" w:rsidR="00086BF0" w:rsidRDefault="00086BF0" w:rsidP="00086BF0">
      <w:pPr>
        <w:pStyle w:val="notetext"/>
      </w:pPr>
      <w:r w:rsidRPr="00040FB9">
        <w:t>Note</w:t>
      </w:r>
      <w:r w:rsidR="00CA0BEF" w:rsidRPr="00040FB9">
        <w:t xml:space="preserve"> 1</w:t>
      </w:r>
      <w:r w:rsidRPr="00040FB9">
        <w:t>:</w:t>
      </w:r>
      <w:r w:rsidRPr="00040FB9">
        <w:tab/>
      </w:r>
      <w:proofErr w:type="gramStart"/>
      <w:r w:rsidRPr="00040FB9">
        <w:t>A number of</w:t>
      </w:r>
      <w:proofErr w:type="gramEnd"/>
      <w:r w:rsidRPr="00040FB9">
        <w:t xml:space="preserve"> other expressions used in this</w:t>
      </w:r>
      <w:r>
        <w:t xml:space="preserve"> instrument are defined in</w:t>
      </w:r>
      <w:r w:rsidR="00EE6E24">
        <w:t xml:space="preserve"> section 5,</w:t>
      </w:r>
      <w:r>
        <w:t xml:space="preserve"> </w:t>
      </w:r>
      <w:r w:rsidR="005D0C16">
        <w:t xml:space="preserve">subsection 302(1) or </w:t>
      </w:r>
      <w:r w:rsidR="00794A11">
        <w:t>another provision of</w:t>
      </w:r>
      <w:r w:rsidR="005D0C16">
        <w:t xml:space="preserve"> </w:t>
      </w:r>
      <w:r>
        <w:t>the Act, including the following:</w:t>
      </w:r>
    </w:p>
    <w:p w14:paraId="7F925033" w14:textId="44CA91C6" w:rsidR="009C5E31" w:rsidRDefault="009C5E31" w:rsidP="00086BF0">
      <w:pPr>
        <w:pStyle w:val="notepara"/>
      </w:pPr>
      <w:r>
        <w:t>(a)</w:t>
      </w:r>
      <w:r>
        <w:tab/>
      </w:r>
      <w:proofErr w:type="gramStart"/>
      <w:r>
        <w:t>AAT;</w:t>
      </w:r>
      <w:proofErr w:type="gramEnd"/>
    </w:p>
    <w:p w14:paraId="2031860B" w14:textId="71CC6BD5" w:rsidR="00EE6E24" w:rsidRDefault="00BA6FEA" w:rsidP="00086BF0">
      <w:pPr>
        <w:pStyle w:val="notepara"/>
      </w:pPr>
      <w:r>
        <w:t>(</w:t>
      </w:r>
      <w:r w:rsidR="009C5E31">
        <w:t>b</w:t>
      </w:r>
      <w:r>
        <w:t>)</w:t>
      </w:r>
      <w:r>
        <w:tab/>
      </w:r>
      <w:proofErr w:type="gramStart"/>
      <w:r w:rsidR="00EE6E24">
        <w:t>ACMA;</w:t>
      </w:r>
      <w:proofErr w:type="gramEnd"/>
    </w:p>
    <w:p w14:paraId="00347A16" w14:textId="4A51B3CD" w:rsidR="006913CB" w:rsidRDefault="006913CB" w:rsidP="00086BF0">
      <w:pPr>
        <w:pStyle w:val="notepara"/>
      </w:pPr>
      <w:r>
        <w:t>(</w:t>
      </w:r>
      <w:r w:rsidR="009C5E31">
        <w:t>c</w:t>
      </w:r>
      <w:r>
        <w:t>)</w:t>
      </w:r>
      <w:r>
        <w:tab/>
      </w:r>
      <w:proofErr w:type="gramStart"/>
      <w:r>
        <w:t>Australia;</w:t>
      </w:r>
      <w:proofErr w:type="gramEnd"/>
    </w:p>
    <w:p w14:paraId="45BA9C2D" w14:textId="3B6BAF31" w:rsidR="00B06471" w:rsidRDefault="00B06471" w:rsidP="00086BF0">
      <w:pPr>
        <w:pStyle w:val="notepara"/>
      </w:pPr>
      <w:r>
        <w:lastRenderedPageBreak/>
        <w:t>(</w:t>
      </w:r>
      <w:r w:rsidR="009C5E31">
        <w:t>d</w:t>
      </w:r>
      <w:r>
        <w:t>)</w:t>
      </w:r>
      <w:r>
        <w:tab/>
        <w:t xml:space="preserve">authorised defence </w:t>
      </w:r>
      <w:proofErr w:type="gramStart"/>
      <w:r>
        <w:t>supplier;</w:t>
      </w:r>
      <w:proofErr w:type="gramEnd"/>
    </w:p>
    <w:p w14:paraId="19FF1A08" w14:textId="2D2CBDF9" w:rsidR="00BA6FEA" w:rsidRDefault="00EE6E24" w:rsidP="00086BF0">
      <w:pPr>
        <w:pStyle w:val="notepara"/>
      </w:pPr>
      <w:r>
        <w:t>(</w:t>
      </w:r>
      <w:r w:rsidR="009C5E31">
        <w:t>e</w:t>
      </w:r>
      <w:r>
        <w:t>)</w:t>
      </w:r>
      <w:r>
        <w:tab/>
      </w:r>
      <w:r w:rsidR="00BA6FEA">
        <w:t xml:space="preserve">compliance </w:t>
      </w:r>
      <w:proofErr w:type="gramStart"/>
      <w:r w:rsidR="00BA6FEA">
        <w:t>provision;</w:t>
      </w:r>
      <w:proofErr w:type="gramEnd"/>
    </w:p>
    <w:p w14:paraId="69161357" w14:textId="2880C4C3" w:rsidR="002C790A" w:rsidRDefault="002C790A" w:rsidP="00086BF0">
      <w:pPr>
        <w:pStyle w:val="notepara"/>
      </w:pPr>
      <w:r>
        <w:t>(</w:t>
      </w:r>
      <w:r w:rsidR="009C5E31">
        <w:t>f</w:t>
      </w:r>
      <w:r>
        <w:t>)</w:t>
      </w:r>
      <w:r>
        <w:tab/>
        <w:t xml:space="preserve">Defence </w:t>
      </w:r>
      <w:proofErr w:type="gramStart"/>
      <w:r>
        <w:t>Department;</w:t>
      </w:r>
      <w:proofErr w:type="gramEnd"/>
    </w:p>
    <w:p w14:paraId="0A4189D8" w14:textId="6F09355E" w:rsidR="00F975CD" w:rsidRDefault="00F975CD" w:rsidP="00086BF0">
      <w:pPr>
        <w:pStyle w:val="notepara"/>
      </w:pPr>
      <w:r>
        <w:t>(</w:t>
      </w:r>
      <w:r w:rsidR="009C5E31">
        <w:t>g</w:t>
      </w:r>
      <w:r>
        <w:t>)</w:t>
      </w:r>
      <w:r>
        <w:tab/>
      </w:r>
      <w:proofErr w:type="gramStart"/>
      <w:r w:rsidR="008C1D7A">
        <w:t>device;</w:t>
      </w:r>
      <w:proofErr w:type="gramEnd"/>
    </w:p>
    <w:p w14:paraId="5ADB9B95" w14:textId="4F5150C2" w:rsidR="00BD7109" w:rsidRDefault="00BD7109" w:rsidP="00086BF0">
      <w:pPr>
        <w:pStyle w:val="notepara"/>
      </w:pPr>
      <w:r>
        <w:t>(</w:t>
      </w:r>
      <w:r w:rsidR="009C5E31">
        <w:t>h</w:t>
      </w:r>
      <w:r>
        <w:t>)</w:t>
      </w:r>
      <w:r>
        <w:tab/>
      </w:r>
      <w:proofErr w:type="gramStart"/>
      <w:r>
        <w:t>equipment;</w:t>
      </w:r>
      <w:proofErr w:type="gramEnd"/>
    </w:p>
    <w:p w14:paraId="42500EF0" w14:textId="7D93F4D2" w:rsidR="009C21A3" w:rsidRDefault="009C21A3" w:rsidP="00086BF0">
      <w:pPr>
        <w:pStyle w:val="notepara"/>
      </w:pPr>
      <w:r>
        <w:t>(</w:t>
      </w:r>
      <w:r w:rsidR="009C5E31">
        <w:t>i</w:t>
      </w:r>
      <w:r>
        <w:t>)</w:t>
      </w:r>
      <w:r>
        <w:tab/>
      </w:r>
      <w:proofErr w:type="gramStart"/>
      <w:r>
        <w:t>inspector;</w:t>
      </w:r>
      <w:proofErr w:type="gramEnd"/>
    </w:p>
    <w:p w14:paraId="0696F27A" w14:textId="30240E08" w:rsidR="00086BF0" w:rsidRDefault="00086BF0" w:rsidP="00086BF0">
      <w:pPr>
        <w:pStyle w:val="notepara"/>
      </w:pPr>
      <w:r>
        <w:t>(</w:t>
      </w:r>
      <w:r w:rsidR="009C5E31">
        <w:t>j</w:t>
      </w:r>
      <w:r>
        <w:t>)</w:t>
      </w:r>
      <w:r>
        <w:tab/>
      </w:r>
      <w:proofErr w:type="gramStart"/>
      <w:r w:rsidR="001B327F">
        <w:t>interference</w:t>
      </w:r>
      <w:r>
        <w:t>;</w:t>
      </w:r>
      <w:proofErr w:type="gramEnd"/>
    </w:p>
    <w:p w14:paraId="47B756E5" w14:textId="723B188D" w:rsidR="006A623F" w:rsidRDefault="006A623F" w:rsidP="00086BF0">
      <w:pPr>
        <w:pStyle w:val="notepara"/>
      </w:pPr>
      <w:r>
        <w:t>(</w:t>
      </w:r>
      <w:r w:rsidR="009C5E31">
        <w:t>k</w:t>
      </w:r>
      <w:r>
        <w:t>)</w:t>
      </w:r>
      <w:r>
        <w:tab/>
        <w:t xml:space="preserve">legislative </w:t>
      </w:r>
      <w:proofErr w:type="gramStart"/>
      <w:r>
        <w:t>rules;</w:t>
      </w:r>
      <w:proofErr w:type="gramEnd"/>
    </w:p>
    <w:p w14:paraId="2EF71061" w14:textId="6029DCA5" w:rsidR="006A623F" w:rsidRDefault="006A623F" w:rsidP="00086BF0">
      <w:pPr>
        <w:pStyle w:val="notepara"/>
      </w:pPr>
      <w:r>
        <w:t>(</w:t>
      </w:r>
      <w:r w:rsidR="009C5E31">
        <w:t>l</w:t>
      </w:r>
      <w:r>
        <w:t>)</w:t>
      </w:r>
      <w:r>
        <w:tab/>
        <w:t xml:space="preserve">member of a civilian component of a visiting </w:t>
      </w:r>
      <w:proofErr w:type="gramStart"/>
      <w:r>
        <w:t>force;</w:t>
      </w:r>
      <w:proofErr w:type="gramEnd"/>
    </w:p>
    <w:p w14:paraId="4180BD32" w14:textId="410296DC" w:rsidR="006A623F" w:rsidRDefault="006A623F" w:rsidP="00086BF0">
      <w:pPr>
        <w:pStyle w:val="notepara"/>
      </w:pPr>
      <w:r>
        <w:t>(</w:t>
      </w:r>
      <w:r w:rsidR="009C5E31">
        <w:t>m</w:t>
      </w:r>
      <w:r>
        <w:t>)</w:t>
      </w:r>
      <w:r>
        <w:tab/>
        <w:t xml:space="preserve">member of a visiting </w:t>
      </w:r>
      <w:proofErr w:type="gramStart"/>
      <w:r>
        <w:t>force</w:t>
      </w:r>
      <w:r w:rsidR="004E2076">
        <w:t>;</w:t>
      </w:r>
      <w:proofErr w:type="gramEnd"/>
    </w:p>
    <w:p w14:paraId="063D684E" w14:textId="1B624580" w:rsidR="004E2076" w:rsidRDefault="004E2076" w:rsidP="00086BF0">
      <w:pPr>
        <w:pStyle w:val="notepara"/>
      </w:pPr>
      <w:r>
        <w:t>(</w:t>
      </w:r>
      <w:r w:rsidR="009C5E31">
        <w:t>n</w:t>
      </w:r>
      <w:r>
        <w:t>)</w:t>
      </w:r>
      <w:r>
        <w:tab/>
        <w:t xml:space="preserve">offer to </w:t>
      </w:r>
      <w:proofErr w:type="gramStart"/>
      <w:r>
        <w:t>supply;</w:t>
      </w:r>
      <w:proofErr w:type="gramEnd"/>
    </w:p>
    <w:p w14:paraId="7ECFBE67" w14:textId="2410EF3B" w:rsidR="004E2076" w:rsidRDefault="004E2076" w:rsidP="00086BF0">
      <w:pPr>
        <w:pStyle w:val="notepara"/>
      </w:pPr>
      <w:r>
        <w:t>(</w:t>
      </w:r>
      <w:r w:rsidR="009C5E31">
        <w:t>o</w:t>
      </w:r>
      <w:r>
        <w:t>)</w:t>
      </w:r>
      <w:r>
        <w:tab/>
      </w:r>
      <w:proofErr w:type="gramStart"/>
      <w:r>
        <w:t>operate;</w:t>
      </w:r>
      <w:proofErr w:type="gramEnd"/>
    </w:p>
    <w:p w14:paraId="50500D8B" w14:textId="38B678F6" w:rsidR="00330F0C" w:rsidRDefault="00330F0C" w:rsidP="00086BF0">
      <w:pPr>
        <w:pStyle w:val="notepara"/>
      </w:pPr>
      <w:r>
        <w:t>(</w:t>
      </w:r>
      <w:r w:rsidR="009C5E31">
        <w:t>p</w:t>
      </w:r>
      <w:r>
        <w:t>)</w:t>
      </w:r>
      <w:r>
        <w:tab/>
        <w:t xml:space="preserve">permanent </w:t>
      </w:r>
      <w:proofErr w:type="gramStart"/>
      <w:r>
        <w:t>ban;</w:t>
      </w:r>
      <w:proofErr w:type="gramEnd"/>
    </w:p>
    <w:p w14:paraId="67E0F11C" w14:textId="4B4B36A1" w:rsidR="00086BF0" w:rsidRDefault="00086BF0" w:rsidP="00086BF0">
      <w:pPr>
        <w:pStyle w:val="notepara"/>
      </w:pPr>
      <w:r>
        <w:t>(</w:t>
      </w:r>
      <w:r w:rsidR="009C5E31">
        <w:t>q</w:t>
      </w:r>
      <w:r>
        <w:t>)</w:t>
      </w:r>
      <w:r>
        <w:tab/>
      </w:r>
      <w:proofErr w:type="gramStart"/>
      <w:r w:rsidR="001B327F">
        <w:t>radiocommunication</w:t>
      </w:r>
      <w:r>
        <w:t>;</w:t>
      </w:r>
      <w:proofErr w:type="gramEnd"/>
    </w:p>
    <w:p w14:paraId="548DBD53" w14:textId="1F7BA059" w:rsidR="006B5E7F" w:rsidRDefault="00086BF0" w:rsidP="00086BF0">
      <w:pPr>
        <w:pStyle w:val="notepara"/>
      </w:pPr>
      <w:r>
        <w:t>(</w:t>
      </w:r>
      <w:r w:rsidR="009C5E31">
        <w:t>r</w:t>
      </w:r>
      <w:r>
        <w:t>)</w:t>
      </w:r>
      <w:r>
        <w:tab/>
      </w:r>
      <w:r w:rsidR="001B327F">
        <w:t xml:space="preserve">radiocommunications </w:t>
      </w:r>
      <w:proofErr w:type="gramStart"/>
      <w:r w:rsidR="001B327F">
        <w:t>device</w:t>
      </w:r>
      <w:r w:rsidR="006B5E7F">
        <w:t>;</w:t>
      </w:r>
      <w:proofErr w:type="gramEnd"/>
    </w:p>
    <w:p w14:paraId="49900093" w14:textId="64C33259" w:rsidR="004D23E7" w:rsidRDefault="004970D1" w:rsidP="00826AB4">
      <w:pPr>
        <w:pStyle w:val="notepara"/>
      </w:pPr>
      <w:r>
        <w:t>(</w:t>
      </w:r>
      <w:r w:rsidR="009C5E31">
        <w:t>s</w:t>
      </w:r>
      <w:r>
        <w:t>)</w:t>
      </w:r>
      <w:r>
        <w:tab/>
        <w:t xml:space="preserve">radiocommunications </w:t>
      </w:r>
      <w:proofErr w:type="gramStart"/>
      <w:r>
        <w:t>transmitter</w:t>
      </w:r>
      <w:r w:rsidR="004D23E7">
        <w:t>;</w:t>
      </w:r>
      <w:proofErr w:type="gramEnd"/>
    </w:p>
    <w:p w14:paraId="0FF5F220" w14:textId="2F6F6D21" w:rsidR="0038131C" w:rsidRDefault="0038131C" w:rsidP="0038131C">
      <w:pPr>
        <w:pStyle w:val="notepara"/>
      </w:pPr>
      <w:r>
        <w:t>(</w:t>
      </w:r>
      <w:r w:rsidR="009C5E31">
        <w:t>t</w:t>
      </w:r>
      <w:r>
        <w:t>)</w:t>
      </w:r>
      <w:r>
        <w:tab/>
        <w:t xml:space="preserve">radio </w:t>
      </w:r>
      <w:proofErr w:type="gramStart"/>
      <w:r>
        <w:t>emission;</w:t>
      </w:r>
      <w:proofErr w:type="gramEnd"/>
    </w:p>
    <w:p w14:paraId="7F1367B9" w14:textId="60BA5AEF" w:rsidR="00211F98" w:rsidRDefault="004D23E7" w:rsidP="00826AB4">
      <w:pPr>
        <w:pStyle w:val="notepara"/>
      </w:pPr>
      <w:r>
        <w:t>(</w:t>
      </w:r>
      <w:r w:rsidR="009C5E31">
        <w:t>u</w:t>
      </w:r>
      <w:r>
        <w:t>)</w:t>
      </w:r>
      <w:r>
        <w:tab/>
      </w:r>
      <w:proofErr w:type="gramStart"/>
      <w:r>
        <w:t>supply</w:t>
      </w:r>
      <w:r w:rsidR="00211F98">
        <w:t>;</w:t>
      </w:r>
      <w:proofErr w:type="gramEnd"/>
    </w:p>
    <w:p w14:paraId="3B8EA141" w14:textId="683F7BC2" w:rsidR="00086BF0" w:rsidRDefault="00211F98" w:rsidP="00826AB4">
      <w:pPr>
        <w:pStyle w:val="notepara"/>
      </w:pPr>
      <w:r>
        <w:t>(</w:t>
      </w:r>
      <w:r w:rsidR="009C5E31">
        <w:t>v</w:t>
      </w:r>
      <w:r>
        <w:t>)</w:t>
      </w:r>
      <w:r>
        <w:tab/>
        <w:t>transmitter</w:t>
      </w:r>
      <w:r w:rsidR="00826AB4">
        <w:t>.</w:t>
      </w:r>
    </w:p>
    <w:p w14:paraId="71097EB1" w14:textId="60581775" w:rsidR="00CA0BEF" w:rsidRDefault="00CA0BEF" w:rsidP="00CA0BEF">
      <w:pPr>
        <w:pStyle w:val="notetext"/>
      </w:pPr>
      <w:r>
        <w:t>Note 2:</w:t>
      </w:r>
      <w:r>
        <w:tab/>
        <w:t>Other expressions used in this instrument may be defined in a</w:t>
      </w:r>
      <w:r w:rsidR="000F0D4D">
        <w:t xml:space="preserve"> determination</w:t>
      </w:r>
      <w:r>
        <w:t xml:space="preserve"> made </w:t>
      </w:r>
      <w:r w:rsidR="00EE6E24">
        <w:t xml:space="preserve">by the ACMA </w:t>
      </w:r>
      <w:r>
        <w:t xml:space="preserve">under </w:t>
      </w:r>
      <w:r w:rsidR="00471328">
        <w:t>sub</w:t>
      </w:r>
      <w:r>
        <w:t>section</w:t>
      </w:r>
      <w:r w:rsidR="00471328">
        <w:t> </w:t>
      </w:r>
      <w:r>
        <w:t>6</w:t>
      </w:r>
      <w:r w:rsidR="00471328">
        <w:t>4(1)</w:t>
      </w:r>
      <w:r>
        <w:t xml:space="preserve"> of the </w:t>
      </w:r>
      <w:r>
        <w:rPr>
          <w:i/>
          <w:iCs/>
        </w:rPr>
        <w:t>Australian Communications and Media Authority Act 2005</w:t>
      </w:r>
      <w:r w:rsidR="001C2999">
        <w:t>.</w:t>
      </w:r>
    </w:p>
    <w:p w14:paraId="1AE8D257" w14:textId="6C1EAD01" w:rsidR="004B4AA7" w:rsidRDefault="004B4AA7" w:rsidP="00872F80">
      <w:pPr>
        <w:pStyle w:val="subsection"/>
        <w:keepNext/>
        <w:spacing w:after="120"/>
      </w:pPr>
      <w:bookmarkStart w:id="10" w:name="_Toc65674443"/>
      <w:r>
        <w:tab/>
      </w:r>
      <w:r w:rsidR="00946648">
        <w:t>(2</w:t>
      </w:r>
      <w:r>
        <w:t>)</w:t>
      </w:r>
      <w:r>
        <w:tab/>
      </w:r>
      <w:r w:rsidR="00FB1FAC">
        <w:t xml:space="preserve">A </w:t>
      </w:r>
      <w:r w:rsidR="00FB1FAC">
        <w:rPr>
          <w:b/>
          <w:bCs/>
          <w:i/>
          <w:iCs/>
        </w:rPr>
        <w:t xml:space="preserve">dummy load </w:t>
      </w:r>
      <w:r w:rsidR="00FB1FAC">
        <w:t>is a thing that:</w:t>
      </w:r>
    </w:p>
    <w:p w14:paraId="6E0F2C6A" w14:textId="031A8B1A" w:rsidR="00FB1FAC" w:rsidRDefault="00FB1FAC" w:rsidP="00380617">
      <w:pPr>
        <w:pStyle w:val="paragraph"/>
      </w:pPr>
      <w:r>
        <w:tab/>
        <w:t>(a)</w:t>
      </w:r>
      <w:r>
        <w:tab/>
      </w:r>
      <w:r w:rsidR="00675A1C">
        <w:t>is used, or designed to be</w:t>
      </w:r>
      <w:r w:rsidR="006079B7">
        <w:t xml:space="preserve"> used</w:t>
      </w:r>
      <w:r w:rsidR="00675A1C">
        <w:t xml:space="preserve">, </w:t>
      </w:r>
      <w:r w:rsidR="00A026E8">
        <w:t xml:space="preserve">as </w:t>
      </w:r>
      <w:r w:rsidR="00675A1C">
        <w:t>a substitute for a</w:t>
      </w:r>
      <w:r w:rsidR="00671E67">
        <w:t>nother</w:t>
      </w:r>
      <w:r w:rsidR="00675A1C">
        <w:t xml:space="preserve"> </w:t>
      </w:r>
      <w:r w:rsidR="00946648">
        <w:t xml:space="preserve">thing </w:t>
      </w:r>
      <w:r w:rsidR="006079B7">
        <w:t xml:space="preserve">that is capable of </w:t>
      </w:r>
      <w:r w:rsidR="008714EE">
        <w:t xml:space="preserve">radiating </w:t>
      </w:r>
      <w:r w:rsidR="006079B7">
        <w:t xml:space="preserve">radio </w:t>
      </w:r>
      <w:r w:rsidR="008714EE">
        <w:t>signals that are fed to it from a transmitter</w:t>
      </w:r>
      <w:r w:rsidR="00A026E8">
        <w:t xml:space="preserve"> (</w:t>
      </w:r>
      <w:r w:rsidR="00A026E8" w:rsidRPr="00946648">
        <w:rPr>
          <w:b/>
          <w:bCs/>
          <w:i/>
          <w:iCs/>
        </w:rPr>
        <w:t>the original thing</w:t>
      </w:r>
      <w:r w:rsidR="00A026E8">
        <w:t>)</w:t>
      </w:r>
      <w:r w:rsidR="006079B7">
        <w:t>; and</w:t>
      </w:r>
    </w:p>
    <w:p w14:paraId="2261D7B6" w14:textId="703006D7" w:rsidR="006079B7" w:rsidRDefault="006079B7" w:rsidP="00946648">
      <w:pPr>
        <w:pStyle w:val="paragraph"/>
      </w:pPr>
      <w:r>
        <w:tab/>
        <w:t>(b)</w:t>
      </w:r>
      <w:r>
        <w:tab/>
      </w:r>
      <w:r w:rsidR="004A2DE5">
        <w:t xml:space="preserve">has </w:t>
      </w:r>
      <w:r w:rsidR="001E670D">
        <w:t>impedance</w:t>
      </w:r>
      <w:r w:rsidR="004A2DE5">
        <w:t xml:space="preserve"> characteristics that </w:t>
      </w:r>
      <w:r w:rsidR="008714EE">
        <w:t>are the same as</w:t>
      </w:r>
      <w:r w:rsidR="004A2DE5">
        <w:t xml:space="preserve"> the </w:t>
      </w:r>
      <w:r w:rsidR="001E670D">
        <w:t>impedance</w:t>
      </w:r>
      <w:r w:rsidR="004A2DE5">
        <w:t xml:space="preserve"> characteristics of the original thing; and</w:t>
      </w:r>
    </w:p>
    <w:p w14:paraId="6106BEED" w14:textId="43167A7D" w:rsidR="004A2DE5" w:rsidRDefault="004A2DE5" w:rsidP="00946648">
      <w:pPr>
        <w:pStyle w:val="paragraph"/>
      </w:pPr>
      <w:r>
        <w:tab/>
        <w:t>(c)</w:t>
      </w:r>
      <w:r>
        <w:tab/>
      </w:r>
      <w:r w:rsidR="00DD1C12">
        <w:t>is</w:t>
      </w:r>
      <w:r w:rsidR="002A6996">
        <w:t xml:space="preserve"> </w:t>
      </w:r>
      <w:r w:rsidR="00436F01">
        <w:t>both</w:t>
      </w:r>
      <w:r w:rsidR="00AB4353">
        <w:t>:</w:t>
      </w:r>
    </w:p>
    <w:p w14:paraId="555CA230" w14:textId="4F317BB5" w:rsidR="004B4AA7" w:rsidRDefault="00AB4353" w:rsidP="00410FEC">
      <w:pPr>
        <w:pStyle w:val="paragraphsub"/>
      </w:pPr>
      <w:r w:rsidRPr="00410FEC">
        <w:tab/>
        <w:t>(i)</w:t>
      </w:r>
      <w:r w:rsidRPr="00410FEC">
        <w:tab/>
      </w:r>
      <w:r w:rsidR="002725E7">
        <w:t>in</w:t>
      </w:r>
      <w:r w:rsidR="00304E76">
        <w:t>capable of</w:t>
      </w:r>
      <w:r w:rsidR="00410FEC">
        <w:t xml:space="preserve"> radio emission; </w:t>
      </w:r>
      <w:r w:rsidR="00FB59A1">
        <w:t>and</w:t>
      </w:r>
    </w:p>
    <w:p w14:paraId="2C6DD651" w14:textId="04445A19" w:rsidR="00410FEC" w:rsidRPr="00410FEC" w:rsidRDefault="00410FEC" w:rsidP="000B08C9">
      <w:pPr>
        <w:pStyle w:val="paragraphsub"/>
      </w:pPr>
      <w:r>
        <w:tab/>
        <w:t>(ii)</w:t>
      </w:r>
      <w:r>
        <w:tab/>
      </w:r>
      <w:r w:rsidR="0014416E">
        <w:t xml:space="preserve">designed to prevent </w:t>
      </w:r>
      <w:r w:rsidR="00D33840">
        <w:t>radio emission</w:t>
      </w:r>
      <w:r w:rsidR="004542DE">
        <w:t xml:space="preserve"> occurring.</w:t>
      </w:r>
    </w:p>
    <w:p w14:paraId="5358A8B0" w14:textId="120BE5EC" w:rsidR="00601508" w:rsidRPr="00086620" w:rsidRDefault="00601508" w:rsidP="00601508">
      <w:pPr>
        <w:pStyle w:val="notetext"/>
        <w:rPr>
          <w:iCs/>
        </w:rPr>
      </w:pPr>
      <w:r>
        <w:rPr>
          <w:iCs/>
        </w:rPr>
        <w:t>Example:</w:t>
      </w:r>
      <w:r>
        <w:rPr>
          <w:iCs/>
        </w:rPr>
        <w:tab/>
        <w:t xml:space="preserve">A </w:t>
      </w:r>
      <w:r w:rsidR="00436F01">
        <w:rPr>
          <w:iCs/>
        </w:rPr>
        <w:t>circuit</w:t>
      </w:r>
      <w:r>
        <w:rPr>
          <w:iCs/>
        </w:rPr>
        <w:t xml:space="preserve"> that is connected to </w:t>
      </w:r>
      <w:r w:rsidR="00436F01">
        <w:rPr>
          <w:iCs/>
        </w:rPr>
        <w:t xml:space="preserve">the antenna feed point of </w:t>
      </w:r>
      <w:r>
        <w:rPr>
          <w:iCs/>
        </w:rPr>
        <w:t>a radiocommunications transmitter to simulate the effects of a real antenna without allowing radio emissions caused by operation of the radiocommunications transmitter to travel further than the dummy antenna.</w:t>
      </w:r>
    </w:p>
    <w:p w14:paraId="13C406F7" w14:textId="61CBBD79" w:rsidR="00086BF0" w:rsidRDefault="009E0D04" w:rsidP="00086BF0">
      <w:pPr>
        <w:pStyle w:val="ActHead5"/>
      </w:pPr>
      <w:proofErr w:type="gramStart"/>
      <w:r>
        <w:rPr>
          <w:rStyle w:val="CharSectno"/>
        </w:rPr>
        <w:t>6</w:t>
      </w:r>
      <w:r w:rsidR="00086BF0">
        <w:t xml:space="preserve">  References</w:t>
      </w:r>
      <w:proofErr w:type="gramEnd"/>
      <w:r w:rsidR="00086BF0">
        <w:t xml:space="preserve"> to other instruments</w:t>
      </w:r>
      <w:bookmarkEnd w:id="10"/>
    </w:p>
    <w:p w14:paraId="624BF9E2" w14:textId="77777777" w:rsidR="00086BF0" w:rsidRDefault="00086BF0" w:rsidP="00872F80">
      <w:pPr>
        <w:pStyle w:val="subsection"/>
        <w:keepNext/>
        <w:spacing w:after="120"/>
      </w:pPr>
      <w:r>
        <w:tab/>
      </w:r>
      <w:r>
        <w:tab/>
        <w:t>In this instrument, unless the contrary intention appears:</w:t>
      </w:r>
    </w:p>
    <w:p w14:paraId="17BE503C" w14:textId="77777777" w:rsidR="00086BF0" w:rsidRDefault="00086BF0" w:rsidP="00086BF0">
      <w:pPr>
        <w:pStyle w:val="paragraph"/>
      </w:pPr>
      <w:r>
        <w:tab/>
        <w:t>(a)</w:t>
      </w:r>
      <w:r>
        <w:tab/>
        <w:t>a reference to any other legislative instrument is a reference to that other legislative instrument as in force from time to time; and</w:t>
      </w:r>
    </w:p>
    <w:p w14:paraId="7B18CE4F" w14:textId="7B44FE11" w:rsidR="00086BF0" w:rsidRDefault="00086BF0" w:rsidP="00086BF0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  <w:t xml:space="preserve">a reference to any other kind of instrument </w:t>
      </w:r>
      <w:r w:rsidR="00461644">
        <w:t xml:space="preserve">or writing </w:t>
      </w:r>
      <w:r>
        <w:t xml:space="preserve">is a reference to that other instrument </w:t>
      </w:r>
      <w:r w:rsidR="00461644">
        <w:t xml:space="preserve">or writing </w:t>
      </w:r>
      <w:r>
        <w:t xml:space="preserve">as in force </w:t>
      </w:r>
      <w:r w:rsidR="00461644">
        <w:t xml:space="preserve">or existing </w:t>
      </w:r>
      <w:r>
        <w:t>from time to time.</w:t>
      </w:r>
    </w:p>
    <w:p w14:paraId="01AF959A" w14:textId="77777777" w:rsidR="00086BF0" w:rsidRDefault="00086BF0" w:rsidP="00086BF0">
      <w:pPr>
        <w:pStyle w:val="notetext"/>
      </w:pPr>
      <w:r>
        <w:t>Note 1:</w:t>
      </w:r>
      <w:r>
        <w:tab/>
        <w:t xml:space="preserve">For references to Commonwealth Acts, see section 10 of the </w:t>
      </w:r>
      <w:r>
        <w:rPr>
          <w:i/>
        </w:rPr>
        <w:t>Acts Interpretation Act 1901</w:t>
      </w:r>
      <w:r>
        <w:t xml:space="preserve">; and see also subsection 13(1) of the </w:t>
      </w:r>
      <w:r>
        <w:rPr>
          <w:i/>
        </w:rPr>
        <w:t>Legislation Act 2003</w:t>
      </w:r>
      <w:r>
        <w:t xml:space="preserve"> for the application of the </w:t>
      </w:r>
      <w:r>
        <w:rPr>
          <w:i/>
        </w:rPr>
        <w:t>Acts Interpretation Act 1901</w:t>
      </w:r>
      <w:r>
        <w:t xml:space="preserve"> to legislative instruments.</w:t>
      </w:r>
    </w:p>
    <w:p w14:paraId="480AF3CF" w14:textId="0A6A24A3" w:rsidR="00086BF0" w:rsidRDefault="00086BF0" w:rsidP="00086BF0">
      <w:pPr>
        <w:pStyle w:val="notetext"/>
      </w:pPr>
      <w:r>
        <w:t>Note 2:</w:t>
      </w:r>
      <w:r>
        <w:tab/>
        <w:t xml:space="preserve">All Commonwealth Acts and legislative instruments are registered on the Federal Register of Legislation. </w:t>
      </w:r>
    </w:p>
    <w:p w14:paraId="250C2F4C" w14:textId="384B4E02" w:rsidR="00461644" w:rsidRDefault="00461644" w:rsidP="00086BF0">
      <w:pPr>
        <w:pStyle w:val="notetext"/>
      </w:pPr>
      <w:r>
        <w:t>Note 3:</w:t>
      </w:r>
      <w:r>
        <w:tab/>
        <w:t>See section 314A of the Act.</w:t>
      </w:r>
    </w:p>
    <w:p w14:paraId="68CB38E3" w14:textId="30C7E0F0" w:rsidR="00086BF0" w:rsidRPr="00B92AD9" w:rsidRDefault="003D6762" w:rsidP="00086BF0">
      <w:pPr>
        <w:pStyle w:val="ActHead5"/>
      </w:pPr>
      <w:bookmarkStart w:id="11" w:name="_Toc444596036"/>
      <w:bookmarkStart w:id="12" w:name="_Toc65674446"/>
      <w:bookmarkEnd w:id="3"/>
      <w:proofErr w:type="gramStart"/>
      <w:r>
        <w:rPr>
          <w:rStyle w:val="CharSectno"/>
        </w:rPr>
        <w:t>7</w:t>
      </w:r>
      <w:r w:rsidR="00086BF0" w:rsidRPr="00B92AD9">
        <w:t xml:space="preserve">  </w:t>
      </w:r>
      <w:bookmarkEnd w:id="11"/>
      <w:bookmarkEnd w:id="12"/>
      <w:r w:rsidR="00336FA4">
        <w:t>Exempt</w:t>
      </w:r>
      <w:proofErr w:type="gramEnd"/>
      <w:r w:rsidR="00336FA4">
        <w:t xml:space="preserve"> acts</w:t>
      </w:r>
    </w:p>
    <w:p w14:paraId="2FCE803E" w14:textId="62D768F4" w:rsidR="009E6C7C" w:rsidRDefault="009E6C7C" w:rsidP="005E4BAA">
      <w:pPr>
        <w:pStyle w:val="subsection"/>
        <w:spacing w:after="120"/>
      </w:pPr>
      <w:r>
        <w:tab/>
      </w:r>
      <w:r w:rsidR="006C3AA2">
        <w:tab/>
      </w:r>
      <w:r w:rsidR="005644B5">
        <w:t xml:space="preserve">Subject to the conditions set out </w:t>
      </w:r>
      <w:r w:rsidR="005644B5" w:rsidRPr="00040FB9">
        <w:t xml:space="preserve">in </w:t>
      </w:r>
      <w:r w:rsidR="00850C7A" w:rsidRPr="00040FB9">
        <w:t xml:space="preserve">sections </w:t>
      </w:r>
      <w:r w:rsidR="00FA373F" w:rsidRPr="00040FB9">
        <w:t>8</w:t>
      </w:r>
      <w:r w:rsidR="00850C7A" w:rsidRPr="00040FB9">
        <w:t xml:space="preserve"> to </w:t>
      </w:r>
      <w:r w:rsidR="00FA373F" w:rsidRPr="00040FB9">
        <w:t>14</w:t>
      </w:r>
      <w:r w:rsidR="005644B5" w:rsidRPr="00040FB9">
        <w:t>, e</w:t>
      </w:r>
      <w:r w:rsidR="006C3AA2" w:rsidRPr="00040FB9">
        <w:t>ach</w:t>
      </w:r>
      <w:r w:rsidR="006C3AA2">
        <w:t xml:space="preserve"> </w:t>
      </w:r>
      <w:r w:rsidR="005F76A1">
        <w:t xml:space="preserve">act specified in </w:t>
      </w:r>
      <w:r w:rsidR="00170543">
        <w:t>an item of the following table is exempt from the compliance provisions specified in the corresponding item of the table.</w:t>
      </w:r>
    </w:p>
    <w:p w14:paraId="4B358041" w14:textId="77777777" w:rsidR="00B80A5D" w:rsidRDefault="00B80A5D" w:rsidP="005E4BAA">
      <w:pPr>
        <w:pStyle w:val="subsection"/>
        <w:spacing w:after="12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3804"/>
        <w:gridCol w:w="4123"/>
      </w:tblGrid>
      <w:tr w:rsidR="000607C7" w:rsidRPr="00FF3517" w14:paraId="7E8CBECA" w14:textId="77777777" w:rsidTr="000607C7">
        <w:tc>
          <w:tcPr>
            <w:tcW w:w="609" w:type="pct"/>
            <w:tcBorders>
              <w:top w:val="single" w:sz="12" w:space="0" w:color="auto"/>
              <w:bottom w:val="single" w:sz="12" w:space="0" w:color="auto"/>
            </w:tcBorders>
          </w:tcPr>
          <w:p w14:paraId="5D798D9E" w14:textId="7C075F00" w:rsidR="000607C7" w:rsidRPr="00612709" w:rsidRDefault="00E735CF" w:rsidP="001D79DC">
            <w:pPr>
              <w:pStyle w:val="subsection"/>
              <w:ind w:left="0" w:firstLine="0"/>
              <w:jc w:val="center"/>
              <w:rPr>
                <w:b/>
              </w:rPr>
            </w:pPr>
            <w:bookmarkStart w:id="13" w:name="_Hlk33691001"/>
            <w:r w:rsidRPr="00612709">
              <w:rPr>
                <w:b/>
              </w:rPr>
              <w:lastRenderedPageBreak/>
              <w:t>Item</w:t>
            </w:r>
          </w:p>
        </w:tc>
        <w:tc>
          <w:tcPr>
            <w:tcW w:w="2107" w:type="pct"/>
            <w:tcBorders>
              <w:top w:val="single" w:sz="12" w:space="0" w:color="auto"/>
              <w:bottom w:val="single" w:sz="12" w:space="0" w:color="auto"/>
            </w:tcBorders>
          </w:tcPr>
          <w:p w14:paraId="1B3AD00D" w14:textId="77777777" w:rsidR="000607C7" w:rsidRPr="00FF3517" w:rsidRDefault="000607C7" w:rsidP="001D79DC">
            <w:pPr>
              <w:pStyle w:val="subsection"/>
              <w:ind w:left="0" w:firstLine="0"/>
              <w:rPr>
                <w:b/>
              </w:rPr>
            </w:pPr>
            <w:r w:rsidRPr="00FF3517">
              <w:rPr>
                <w:b/>
              </w:rPr>
              <w:t>Column 1</w:t>
            </w:r>
          </w:p>
        </w:tc>
        <w:tc>
          <w:tcPr>
            <w:tcW w:w="2284" w:type="pct"/>
            <w:tcBorders>
              <w:top w:val="single" w:sz="12" w:space="0" w:color="auto"/>
              <w:bottom w:val="single" w:sz="12" w:space="0" w:color="auto"/>
            </w:tcBorders>
          </w:tcPr>
          <w:p w14:paraId="0AABDEBD" w14:textId="1E732F2B" w:rsidR="000607C7" w:rsidRPr="00FF3517" w:rsidRDefault="000607C7" w:rsidP="001D79DC">
            <w:pPr>
              <w:pStyle w:val="subsection"/>
              <w:ind w:left="0" w:firstLine="0"/>
              <w:rPr>
                <w:b/>
              </w:rPr>
            </w:pPr>
            <w:r w:rsidRPr="00FF3517">
              <w:rPr>
                <w:b/>
              </w:rPr>
              <w:t xml:space="preserve">Column </w:t>
            </w:r>
            <w:r w:rsidR="005E4BAA">
              <w:rPr>
                <w:b/>
              </w:rPr>
              <w:t>2</w:t>
            </w:r>
          </w:p>
        </w:tc>
      </w:tr>
      <w:tr w:rsidR="000607C7" w:rsidRPr="00FF3517" w14:paraId="4AAF3CBA" w14:textId="77777777" w:rsidTr="000607C7">
        <w:tc>
          <w:tcPr>
            <w:tcW w:w="609" w:type="pct"/>
            <w:tcBorders>
              <w:top w:val="single" w:sz="12" w:space="0" w:color="auto"/>
              <w:bottom w:val="single" w:sz="12" w:space="0" w:color="auto"/>
            </w:tcBorders>
          </w:tcPr>
          <w:p w14:paraId="78804C2E" w14:textId="77777777" w:rsidR="000607C7" w:rsidRPr="00FF3517" w:rsidRDefault="000607C7" w:rsidP="001D79DC">
            <w:pPr>
              <w:pStyle w:val="subsection"/>
              <w:ind w:left="0" w:firstLine="0"/>
              <w:jc w:val="center"/>
              <w:rPr>
                <w:bCs/>
                <w:i/>
                <w:iCs/>
              </w:rPr>
            </w:pPr>
          </w:p>
        </w:tc>
        <w:tc>
          <w:tcPr>
            <w:tcW w:w="2107" w:type="pct"/>
            <w:tcBorders>
              <w:top w:val="single" w:sz="12" w:space="0" w:color="auto"/>
              <w:bottom w:val="single" w:sz="12" w:space="0" w:color="auto"/>
            </w:tcBorders>
          </w:tcPr>
          <w:p w14:paraId="6CF78A34" w14:textId="0F739D56" w:rsidR="000607C7" w:rsidRPr="00FF3517" w:rsidRDefault="005E4BAA" w:rsidP="001D79DC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>Specified act</w:t>
            </w:r>
          </w:p>
        </w:tc>
        <w:tc>
          <w:tcPr>
            <w:tcW w:w="2284" w:type="pct"/>
            <w:tcBorders>
              <w:top w:val="single" w:sz="12" w:space="0" w:color="auto"/>
              <w:bottom w:val="single" w:sz="12" w:space="0" w:color="auto"/>
            </w:tcBorders>
          </w:tcPr>
          <w:p w14:paraId="13F21F80" w14:textId="5A632647" w:rsidR="000607C7" w:rsidRPr="00FF3517" w:rsidRDefault="005E4BAA" w:rsidP="001D79DC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>Specified compliance provision</w:t>
            </w:r>
            <w:r w:rsidR="00BA6FEA">
              <w:rPr>
                <w:b/>
              </w:rPr>
              <w:t>s</w:t>
            </w:r>
          </w:p>
        </w:tc>
      </w:tr>
      <w:tr w:rsidR="000607C7" w:rsidRPr="00FF3517" w14:paraId="7956838F" w14:textId="77777777" w:rsidTr="000607C7">
        <w:tc>
          <w:tcPr>
            <w:tcW w:w="609" w:type="pct"/>
            <w:tcBorders>
              <w:top w:val="single" w:sz="12" w:space="0" w:color="auto"/>
              <w:bottom w:val="single" w:sz="2" w:space="0" w:color="auto"/>
            </w:tcBorders>
          </w:tcPr>
          <w:p w14:paraId="3FB9937F" w14:textId="77777777" w:rsidR="000607C7" w:rsidRPr="00612709" w:rsidRDefault="000607C7" w:rsidP="001D79DC">
            <w:pPr>
              <w:pStyle w:val="subsection"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1</w:t>
            </w:r>
          </w:p>
        </w:tc>
        <w:tc>
          <w:tcPr>
            <w:tcW w:w="2107" w:type="pct"/>
            <w:tcBorders>
              <w:top w:val="single" w:sz="12" w:space="0" w:color="auto"/>
              <w:bottom w:val="single" w:sz="2" w:space="0" w:color="auto"/>
            </w:tcBorders>
          </w:tcPr>
          <w:p w14:paraId="4D5C4681" w14:textId="37994693" w:rsidR="000607C7" w:rsidRPr="00F10CBB" w:rsidRDefault="00BD7109" w:rsidP="001D79DC">
            <w:pPr>
              <w:pStyle w:val="subsection"/>
              <w:ind w:left="0" w:firstLine="0"/>
            </w:pPr>
            <w:r>
              <w:t>Possession of a banned device</w:t>
            </w:r>
          </w:p>
        </w:tc>
        <w:tc>
          <w:tcPr>
            <w:tcW w:w="2284" w:type="pct"/>
            <w:tcBorders>
              <w:top w:val="single" w:sz="12" w:space="0" w:color="auto"/>
              <w:bottom w:val="single" w:sz="2" w:space="0" w:color="auto"/>
            </w:tcBorders>
          </w:tcPr>
          <w:p w14:paraId="113ED65F" w14:textId="3EFD0A96" w:rsidR="000607C7" w:rsidRDefault="00953BC6" w:rsidP="00FB0B6C">
            <w:pPr>
              <w:pStyle w:val="subsection"/>
              <w:tabs>
                <w:tab w:val="left" w:pos="519"/>
              </w:tabs>
              <w:ind w:left="0" w:firstLine="0"/>
            </w:pPr>
            <w:r>
              <w:t>(a)</w:t>
            </w:r>
            <w:r w:rsidR="00FB0B6C">
              <w:tab/>
            </w:r>
            <w:r w:rsidR="001F0D46">
              <w:t>s</w:t>
            </w:r>
            <w:r w:rsidR="005D0C16">
              <w:t>ubsection 4</w:t>
            </w:r>
            <w:r w:rsidR="001F0D46">
              <w:t>7</w:t>
            </w:r>
            <w:r>
              <w:t>(1)</w:t>
            </w:r>
          </w:p>
          <w:p w14:paraId="7CBF0AEF" w14:textId="02EBB97A" w:rsidR="00FB0B6C" w:rsidRDefault="00FB0B6C" w:rsidP="00FB0B6C">
            <w:pPr>
              <w:pStyle w:val="subsection"/>
              <w:tabs>
                <w:tab w:val="left" w:pos="519"/>
              </w:tabs>
              <w:ind w:left="0" w:firstLine="0"/>
            </w:pPr>
            <w:r>
              <w:t>(b)</w:t>
            </w:r>
            <w:r>
              <w:tab/>
            </w:r>
            <w:r w:rsidR="001F0D46">
              <w:t>s</w:t>
            </w:r>
            <w:r>
              <w:t>ubsection 4</w:t>
            </w:r>
            <w:r w:rsidR="001F0D46">
              <w:t>7</w:t>
            </w:r>
            <w:r>
              <w:t>(3)</w:t>
            </w:r>
          </w:p>
          <w:p w14:paraId="7302E47C" w14:textId="77777777" w:rsidR="001F0D46" w:rsidRDefault="001F0D46" w:rsidP="00FB0B6C">
            <w:pPr>
              <w:pStyle w:val="subsection"/>
              <w:tabs>
                <w:tab w:val="left" w:pos="519"/>
              </w:tabs>
              <w:ind w:left="0" w:firstLine="0"/>
            </w:pPr>
            <w:r>
              <w:t>(c)</w:t>
            </w:r>
            <w:r>
              <w:tab/>
              <w:t xml:space="preserve">subsection </w:t>
            </w:r>
            <w:r w:rsidR="003760A3">
              <w:t>175(4)</w:t>
            </w:r>
          </w:p>
          <w:p w14:paraId="00207C8B" w14:textId="1B494A7E" w:rsidR="003760A3" w:rsidRPr="00FF3517" w:rsidRDefault="003760A3" w:rsidP="00FB0B6C">
            <w:pPr>
              <w:pStyle w:val="subsection"/>
              <w:tabs>
                <w:tab w:val="left" w:pos="519"/>
              </w:tabs>
              <w:ind w:left="0" w:firstLine="0"/>
            </w:pPr>
            <w:r>
              <w:t>(d)</w:t>
            </w:r>
            <w:r>
              <w:tab/>
              <w:t>subsection 176(4)</w:t>
            </w:r>
          </w:p>
        </w:tc>
      </w:tr>
      <w:tr w:rsidR="000607C7" w:rsidRPr="00FF3517" w14:paraId="6356E2D8" w14:textId="77777777" w:rsidTr="000607C7">
        <w:tc>
          <w:tcPr>
            <w:tcW w:w="609" w:type="pct"/>
            <w:tcBorders>
              <w:top w:val="single" w:sz="2" w:space="0" w:color="auto"/>
              <w:bottom w:val="single" w:sz="2" w:space="0" w:color="auto"/>
            </w:tcBorders>
          </w:tcPr>
          <w:p w14:paraId="07020575" w14:textId="77777777" w:rsidR="000607C7" w:rsidRPr="00612709" w:rsidRDefault="000607C7" w:rsidP="000B08C9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2</w:t>
            </w:r>
          </w:p>
        </w:tc>
        <w:tc>
          <w:tcPr>
            <w:tcW w:w="2107" w:type="pct"/>
            <w:tcBorders>
              <w:top w:val="single" w:sz="2" w:space="0" w:color="auto"/>
              <w:bottom w:val="single" w:sz="2" w:space="0" w:color="auto"/>
            </w:tcBorders>
          </w:tcPr>
          <w:p w14:paraId="739808C8" w14:textId="7ACFEF91" w:rsidR="000607C7" w:rsidRPr="00F10CBB" w:rsidRDefault="00176C76" w:rsidP="000B08C9">
            <w:pPr>
              <w:pStyle w:val="subsection"/>
              <w:keepNext/>
              <w:keepLines/>
              <w:ind w:left="0" w:firstLine="0"/>
            </w:pPr>
            <w:r>
              <w:t>Operation of a banned device</w:t>
            </w:r>
          </w:p>
        </w:tc>
        <w:tc>
          <w:tcPr>
            <w:tcW w:w="2284" w:type="pct"/>
            <w:tcBorders>
              <w:top w:val="single" w:sz="2" w:space="0" w:color="auto"/>
              <w:bottom w:val="single" w:sz="2" w:space="0" w:color="auto"/>
            </w:tcBorders>
          </w:tcPr>
          <w:p w14:paraId="4CEF9D0A" w14:textId="77D1EDCA" w:rsidR="00901EAF" w:rsidRDefault="00901EAF" w:rsidP="000B08C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>
              <w:t>(a)</w:t>
            </w:r>
            <w:r>
              <w:tab/>
              <w:t>subsection 4</w:t>
            </w:r>
            <w:r w:rsidR="00A4109E">
              <w:t>6</w:t>
            </w:r>
            <w:r>
              <w:t>(1)</w:t>
            </w:r>
          </w:p>
          <w:p w14:paraId="1F687069" w14:textId="23F73A60" w:rsidR="00901EAF" w:rsidRDefault="00901EAF" w:rsidP="000B08C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>
              <w:t>(b)</w:t>
            </w:r>
            <w:r>
              <w:tab/>
              <w:t>subsection 4</w:t>
            </w:r>
            <w:r w:rsidR="00A4109E">
              <w:t>6</w:t>
            </w:r>
            <w:r>
              <w:t>(3)</w:t>
            </w:r>
          </w:p>
          <w:p w14:paraId="04AD3594" w14:textId="235EDC29" w:rsidR="00901EAF" w:rsidRDefault="00901EAF" w:rsidP="000B08C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>
              <w:t>(c)</w:t>
            </w:r>
            <w:r>
              <w:tab/>
              <w:t>subsection 175(</w:t>
            </w:r>
            <w:r w:rsidR="00254D0A">
              <w:t>3</w:t>
            </w:r>
            <w:r>
              <w:t>)</w:t>
            </w:r>
          </w:p>
          <w:p w14:paraId="487C4B05" w14:textId="43839C9D" w:rsidR="000607C7" w:rsidRPr="00FF3517" w:rsidRDefault="00901EAF" w:rsidP="000B08C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>
              <w:t>(d)</w:t>
            </w:r>
            <w:r>
              <w:tab/>
              <w:t>subsection 176(</w:t>
            </w:r>
            <w:r w:rsidR="00254D0A">
              <w:t>3</w:t>
            </w:r>
            <w:r>
              <w:t>)</w:t>
            </w:r>
          </w:p>
        </w:tc>
      </w:tr>
      <w:tr w:rsidR="003760A3" w:rsidRPr="00FF3517" w14:paraId="7690F17B" w14:textId="77777777" w:rsidTr="000607C7">
        <w:tc>
          <w:tcPr>
            <w:tcW w:w="609" w:type="pct"/>
            <w:tcBorders>
              <w:top w:val="single" w:sz="2" w:space="0" w:color="auto"/>
              <w:bottom w:val="single" w:sz="2" w:space="0" w:color="auto"/>
            </w:tcBorders>
          </w:tcPr>
          <w:p w14:paraId="67DDC67C" w14:textId="40D297D8" w:rsidR="003760A3" w:rsidRPr="00612709" w:rsidRDefault="00254D0A" w:rsidP="001D79DC">
            <w:pPr>
              <w:pStyle w:val="subsection"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3</w:t>
            </w:r>
          </w:p>
        </w:tc>
        <w:tc>
          <w:tcPr>
            <w:tcW w:w="2107" w:type="pct"/>
            <w:tcBorders>
              <w:top w:val="single" w:sz="2" w:space="0" w:color="auto"/>
              <w:bottom w:val="single" w:sz="2" w:space="0" w:color="auto"/>
            </w:tcBorders>
          </w:tcPr>
          <w:p w14:paraId="42146846" w14:textId="00EB0499" w:rsidR="003760A3" w:rsidRPr="00F10CBB" w:rsidRDefault="00254D0A" w:rsidP="001D79DC">
            <w:pPr>
              <w:pStyle w:val="subsection"/>
              <w:ind w:left="0" w:firstLine="0"/>
            </w:pPr>
            <w:r>
              <w:t>Supply of a banned device</w:t>
            </w:r>
          </w:p>
        </w:tc>
        <w:tc>
          <w:tcPr>
            <w:tcW w:w="2284" w:type="pct"/>
            <w:tcBorders>
              <w:top w:val="single" w:sz="2" w:space="0" w:color="auto"/>
              <w:bottom w:val="single" w:sz="2" w:space="0" w:color="auto"/>
            </w:tcBorders>
          </w:tcPr>
          <w:p w14:paraId="5D850A9E" w14:textId="0B116C0F" w:rsidR="007514DA" w:rsidRDefault="007514DA" w:rsidP="007514DA">
            <w:pPr>
              <w:pStyle w:val="subsection"/>
              <w:tabs>
                <w:tab w:val="left" w:pos="519"/>
              </w:tabs>
              <w:ind w:left="0" w:firstLine="0"/>
            </w:pPr>
            <w:r>
              <w:t>(a)</w:t>
            </w:r>
            <w:r>
              <w:tab/>
              <w:t xml:space="preserve">subsection </w:t>
            </w:r>
            <w:r w:rsidR="001F59C0">
              <w:t>175</w:t>
            </w:r>
            <w:r>
              <w:t>(1)</w:t>
            </w:r>
          </w:p>
          <w:p w14:paraId="23F12E7B" w14:textId="3E3F5C4B" w:rsidR="003760A3" w:rsidRDefault="007514DA" w:rsidP="007514DA">
            <w:pPr>
              <w:pStyle w:val="subsection"/>
              <w:tabs>
                <w:tab w:val="left" w:pos="519"/>
              </w:tabs>
              <w:ind w:left="0" w:firstLine="0"/>
            </w:pPr>
            <w:r>
              <w:t>(b)</w:t>
            </w:r>
            <w:r>
              <w:tab/>
              <w:t xml:space="preserve">subsection </w:t>
            </w:r>
            <w:r w:rsidR="001F59C0">
              <w:t>176(1</w:t>
            </w:r>
            <w:r>
              <w:t>)</w:t>
            </w:r>
          </w:p>
        </w:tc>
      </w:tr>
      <w:tr w:rsidR="00826AB4" w:rsidRPr="00FF3517" w14:paraId="4A3BBA75" w14:textId="77777777" w:rsidTr="000607C7">
        <w:tc>
          <w:tcPr>
            <w:tcW w:w="609" w:type="pct"/>
            <w:tcBorders>
              <w:top w:val="single" w:sz="2" w:space="0" w:color="auto"/>
              <w:bottom w:val="single" w:sz="12" w:space="0" w:color="auto"/>
            </w:tcBorders>
          </w:tcPr>
          <w:p w14:paraId="1749651E" w14:textId="50D570C7" w:rsidR="00826AB4" w:rsidRPr="00612709" w:rsidRDefault="00826AB4" w:rsidP="00612709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4</w:t>
            </w:r>
          </w:p>
        </w:tc>
        <w:tc>
          <w:tcPr>
            <w:tcW w:w="2107" w:type="pct"/>
            <w:tcBorders>
              <w:top w:val="single" w:sz="2" w:space="0" w:color="auto"/>
              <w:bottom w:val="single" w:sz="12" w:space="0" w:color="auto"/>
            </w:tcBorders>
          </w:tcPr>
          <w:p w14:paraId="75B8F1E8" w14:textId="160865E6" w:rsidR="00826AB4" w:rsidRPr="00F10CBB" w:rsidRDefault="00826AB4" w:rsidP="00612709">
            <w:pPr>
              <w:pStyle w:val="subsection"/>
              <w:keepNext/>
              <w:keepLines/>
              <w:ind w:left="0" w:firstLine="0"/>
            </w:pPr>
            <w:r>
              <w:t>Offer</w:t>
            </w:r>
            <w:r w:rsidR="00E90FD1">
              <w:t>ing</w:t>
            </w:r>
            <w:r>
              <w:t xml:space="preserve"> to supply a banned device</w:t>
            </w:r>
          </w:p>
        </w:tc>
        <w:tc>
          <w:tcPr>
            <w:tcW w:w="2284" w:type="pct"/>
            <w:tcBorders>
              <w:top w:val="single" w:sz="2" w:space="0" w:color="auto"/>
              <w:bottom w:val="single" w:sz="12" w:space="0" w:color="auto"/>
            </w:tcBorders>
          </w:tcPr>
          <w:p w14:paraId="3EF73872" w14:textId="1B8BD553" w:rsidR="00826AB4" w:rsidRDefault="00826AB4" w:rsidP="0061270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>
              <w:t>(a)</w:t>
            </w:r>
            <w:r>
              <w:tab/>
              <w:t>subsection 175(2)</w:t>
            </w:r>
          </w:p>
          <w:p w14:paraId="693FA8CD" w14:textId="12F33DAB" w:rsidR="00826AB4" w:rsidRPr="00FF3517" w:rsidRDefault="00826AB4" w:rsidP="0061270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>
              <w:t>(b)</w:t>
            </w:r>
            <w:r>
              <w:tab/>
              <w:t>subsection 176(2)</w:t>
            </w:r>
          </w:p>
        </w:tc>
      </w:tr>
    </w:tbl>
    <w:bookmarkEnd w:id="13"/>
    <w:p w14:paraId="27037511" w14:textId="6A001149" w:rsidR="00125CF7" w:rsidRPr="00B92AD9" w:rsidRDefault="003D6762" w:rsidP="00125CF7">
      <w:pPr>
        <w:pStyle w:val="ActHead5"/>
      </w:pPr>
      <w:proofErr w:type="gramStart"/>
      <w:r>
        <w:rPr>
          <w:rStyle w:val="CharSectno"/>
        </w:rPr>
        <w:t>8</w:t>
      </w:r>
      <w:r w:rsidR="00125CF7" w:rsidRPr="00B92AD9">
        <w:t xml:space="preserve">  </w:t>
      </w:r>
      <w:r w:rsidR="00125CF7">
        <w:t>Condition</w:t>
      </w:r>
      <w:proofErr w:type="gramEnd"/>
      <w:r w:rsidR="007F1992">
        <w:t xml:space="preserve"> </w:t>
      </w:r>
      <w:r w:rsidR="00E90FD1">
        <w:t xml:space="preserve">of </w:t>
      </w:r>
      <w:r w:rsidR="00DB5746">
        <w:t xml:space="preserve">exemption </w:t>
      </w:r>
      <w:r w:rsidR="007F1992">
        <w:t xml:space="preserve">– </w:t>
      </w:r>
      <w:r w:rsidR="00633C6E">
        <w:t xml:space="preserve">compliance with ARPANSA </w:t>
      </w:r>
      <w:r w:rsidR="00C04402">
        <w:t>S</w:t>
      </w:r>
      <w:r w:rsidR="00633C6E">
        <w:t>tandard</w:t>
      </w:r>
    </w:p>
    <w:p w14:paraId="4AAEDD46" w14:textId="2EE26A05" w:rsidR="00125CF7" w:rsidRDefault="00C30F0F" w:rsidP="006E544F">
      <w:pPr>
        <w:pStyle w:val="subsection"/>
      </w:pPr>
      <w:r>
        <w:tab/>
        <w:t>(1)</w:t>
      </w:r>
      <w:r>
        <w:tab/>
        <w:t>It is a condition of an exemption under item 1, 3 or 4 of the table, in relati</w:t>
      </w:r>
      <w:r w:rsidR="00D647BE">
        <w:t>on</w:t>
      </w:r>
      <w:r>
        <w:t xml:space="preserve"> to an </w:t>
      </w:r>
      <w:r w:rsidR="00D647BE">
        <w:t>a</w:t>
      </w:r>
      <w:r>
        <w:t>ct involving</w:t>
      </w:r>
      <w:r w:rsidR="00D647BE">
        <w:t xml:space="preserve"> a banned device, that a person must only do the act </w:t>
      </w:r>
      <w:r w:rsidR="00DB5746" w:rsidRPr="00EC517B">
        <w:t xml:space="preserve">if the electromagnetic energy </w:t>
      </w:r>
      <w:r w:rsidR="00702DD6">
        <w:t xml:space="preserve">that could be </w:t>
      </w:r>
      <w:r w:rsidR="00DB5746" w:rsidRPr="00EC517B">
        <w:t>emitted</w:t>
      </w:r>
      <w:r w:rsidR="00702DD6">
        <w:t xml:space="preserve"> </w:t>
      </w:r>
      <w:r w:rsidR="00DB5746" w:rsidRPr="00EC517B">
        <w:t xml:space="preserve">by the </w:t>
      </w:r>
      <w:r w:rsidR="00702DD6">
        <w:t>device</w:t>
      </w:r>
      <w:r w:rsidR="00D647BE">
        <w:t xml:space="preserve"> does not</w:t>
      </w:r>
      <w:r w:rsidR="00DB5746" w:rsidRPr="00EC517B">
        <w:t xml:space="preserve"> exceed the </w:t>
      </w:r>
      <w:proofErr w:type="gramStart"/>
      <w:r w:rsidR="00DB5746" w:rsidRPr="00EC517B">
        <w:t>general public</w:t>
      </w:r>
      <w:proofErr w:type="gramEnd"/>
      <w:r w:rsidR="00DB5746" w:rsidRPr="00EC517B">
        <w:t xml:space="preserve"> exposure limits specified in the ARPANSA Standard in a place </w:t>
      </w:r>
      <w:r w:rsidR="00D647BE">
        <w:t xml:space="preserve">that is </w:t>
      </w:r>
      <w:r w:rsidR="00DB5746" w:rsidRPr="00EC517B">
        <w:t>accessible by the public.</w:t>
      </w:r>
    </w:p>
    <w:p w14:paraId="4C1F3E4C" w14:textId="51F82F17" w:rsidR="003C0010" w:rsidRDefault="003C0010" w:rsidP="003C0010">
      <w:pPr>
        <w:pStyle w:val="subsection"/>
      </w:pPr>
      <w:r>
        <w:tab/>
        <w:t>(2)</w:t>
      </w:r>
      <w:r>
        <w:tab/>
      </w:r>
      <w:r w:rsidR="00D647BE">
        <w:t>It is a condition of an exemption under item 2 of the table, in relation to the operation</w:t>
      </w:r>
      <w:r w:rsidR="006E544F">
        <w:t xml:space="preserve"> of a banned device, </w:t>
      </w:r>
      <w:r w:rsidR="0074654A">
        <w:t xml:space="preserve">or a group of banned devices, </w:t>
      </w:r>
      <w:r w:rsidR="006E544F">
        <w:t>that a</w:t>
      </w:r>
      <w:r>
        <w:t xml:space="preserve"> person must </w:t>
      </w:r>
      <w:r w:rsidR="006E544F">
        <w:t xml:space="preserve">only </w:t>
      </w:r>
      <w:r>
        <w:t xml:space="preserve">operate </w:t>
      </w:r>
      <w:r w:rsidR="006E544F">
        <w:t>the</w:t>
      </w:r>
      <w:r>
        <w:t xml:space="preserve"> device</w:t>
      </w:r>
      <w:r w:rsidR="0074654A">
        <w:t xml:space="preserve">, or </w:t>
      </w:r>
      <w:r w:rsidR="00DA6F50">
        <w:t xml:space="preserve">the </w:t>
      </w:r>
      <w:r w:rsidR="0074654A">
        <w:t>group of devices,</w:t>
      </w:r>
      <w:r>
        <w:t xml:space="preserve"> </w:t>
      </w:r>
      <w:r w:rsidR="001A0524" w:rsidRPr="00EC517B">
        <w:t xml:space="preserve">if the electromagnetic energy </w:t>
      </w:r>
      <w:r w:rsidR="001A0524">
        <w:t xml:space="preserve">that </w:t>
      </w:r>
      <w:r w:rsidR="006E544F">
        <w:t xml:space="preserve">is </w:t>
      </w:r>
      <w:r w:rsidR="001A0524" w:rsidRPr="00EC517B">
        <w:t>emitted</w:t>
      </w:r>
      <w:r w:rsidR="001A0524">
        <w:t xml:space="preserve"> </w:t>
      </w:r>
      <w:r w:rsidR="001A0524" w:rsidRPr="00EC517B">
        <w:t xml:space="preserve">by the </w:t>
      </w:r>
      <w:r w:rsidR="001A0524">
        <w:t>device</w:t>
      </w:r>
      <w:r w:rsidR="0074654A">
        <w:t>,</w:t>
      </w:r>
      <w:r w:rsidR="001A0524" w:rsidRPr="00EC517B">
        <w:t xml:space="preserve"> </w:t>
      </w:r>
      <w:r w:rsidR="0074654A">
        <w:t xml:space="preserve">or by the group of devices, </w:t>
      </w:r>
      <w:r w:rsidR="006E544F">
        <w:t xml:space="preserve">does not </w:t>
      </w:r>
      <w:r w:rsidR="001A0524" w:rsidRPr="00EC517B">
        <w:t xml:space="preserve">exceed the general public exposure limits specified in the ARPANSA Standard in a place </w:t>
      </w:r>
      <w:r w:rsidR="006E544F">
        <w:t xml:space="preserve">that is </w:t>
      </w:r>
      <w:r w:rsidR="001A0524" w:rsidRPr="00EC517B">
        <w:t>accessible by the public</w:t>
      </w:r>
      <w:r>
        <w:t>.</w:t>
      </w:r>
    </w:p>
    <w:p w14:paraId="296FC710" w14:textId="0CA34B44" w:rsidR="004F7A03" w:rsidRPr="00B92AD9" w:rsidRDefault="003D6762" w:rsidP="004F7A03">
      <w:pPr>
        <w:pStyle w:val="ActHead5"/>
      </w:pPr>
      <w:proofErr w:type="gramStart"/>
      <w:r>
        <w:rPr>
          <w:rStyle w:val="CharSectno"/>
        </w:rPr>
        <w:t>9</w:t>
      </w:r>
      <w:r w:rsidR="004F7A03" w:rsidRPr="00B92AD9">
        <w:t xml:space="preserve">  </w:t>
      </w:r>
      <w:r w:rsidR="004F7A03">
        <w:t>Condition</w:t>
      </w:r>
      <w:proofErr w:type="gramEnd"/>
      <w:r w:rsidR="004F7A03">
        <w:t xml:space="preserve"> </w:t>
      </w:r>
      <w:r w:rsidR="006E544F">
        <w:t>of</w:t>
      </w:r>
      <w:r w:rsidR="004F7A03">
        <w:t xml:space="preserve"> exemption – person named in notifiable instrument</w:t>
      </w:r>
    </w:p>
    <w:p w14:paraId="4034755F" w14:textId="5C19044F" w:rsidR="004F7A03" w:rsidRDefault="004F7A03" w:rsidP="00872F80">
      <w:pPr>
        <w:pStyle w:val="subsection"/>
        <w:spacing w:after="120"/>
      </w:pPr>
      <w:r>
        <w:tab/>
      </w:r>
      <w:r>
        <w:tab/>
      </w:r>
      <w:r w:rsidR="006E544F">
        <w:t>It is a condition of an exemption under any item of the table, in relation to an act involving a banned device, that a</w:t>
      </w:r>
      <w:r w:rsidRPr="00EC517B">
        <w:t xml:space="preserve"> person must </w:t>
      </w:r>
      <w:r w:rsidR="006E544F">
        <w:t>only do the act if</w:t>
      </w:r>
      <w:r>
        <w:t>:</w:t>
      </w:r>
    </w:p>
    <w:p w14:paraId="6B750F05" w14:textId="70351622" w:rsidR="00F54470" w:rsidRDefault="00F54470" w:rsidP="00F54470">
      <w:pPr>
        <w:pStyle w:val="paragraph"/>
      </w:pPr>
      <w:r>
        <w:tab/>
        <w:t>(</w:t>
      </w:r>
      <w:r w:rsidR="006E544F">
        <w:t>a</w:t>
      </w:r>
      <w:r>
        <w:t>)</w:t>
      </w:r>
      <w:r>
        <w:tab/>
      </w:r>
      <w:r w:rsidR="004F7A03">
        <w:t xml:space="preserve">the person is named in </w:t>
      </w:r>
      <w:r w:rsidR="00006E84">
        <w:t xml:space="preserve">a </w:t>
      </w:r>
      <w:r w:rsidR="003524CF">
        <w:t>notifiable instrument</w:t>
      </w:r>
      <w:r w:rsidR="00006E84">
        <w:t xml:space="preserve"> made under </w:t>
      </w:r>
      <w:r w:rsidR="006E544F">
        <w:t>sub</w:t>
      </w:r>
      <w:r w:rsidR="00006E84">
        <w:t xml:space="preserve">clause </w:t>
      </w:r>
      <w:r w:rsidR="006C0467">
        <w:t>1</w:t>
      </w:r>
      <w:r w:rsidR="006E544F">
        <w:t>(1)</w:t>
      </w:r>
      <w:r w:rsidR="00006E84">
        <w:t xml:space="preserve"> of Schedule 1</w:t>
      </w:r>
      <w:r>
        <w:t>; and</w:t>
      </w:r>
    </w:p>
    <w:p w14:paraId="21A9AB75" w14:textId="618C92A5" w:rsidR="004F7A03" w:rsidRDefault="00F54470" w:rsidP="00F54470">
      <w:pPr>
        <w:pStyle w:val="paragraph"/>
      </w:pPr>
      <w:r>
        <w:tab/>
        <w:t>(</w:t>
      </w:r>
      <w:r w:rsidR="00BA6547">
        <w:t>b</w:t>
      </w:r>
      <w:r>
        <w:t>)</w:t>
      </w:r>
      <w:r>
        <w:tab/>
        <w:t xml:space="preserve">at the time the person </w:t>
      </w:r>
      <w:r w:rsidR="00BA6547">
        <w:t>does</w:t>
      </w:r>
      <w:r>
        <w:t xml:space="preserve"> the act, the notifiable instrument </w:t>
      </w:r>
      <w:r w:rsidR="00BA6547">
        <w:t>is</w:t>
      </w:r>
      <w:r>
        <w:t xml:space="preserve"> in force</w:t>
      </w:r>
      <w:r w:rsidR="00006E84">
        <w:t>.</w:t>
      </w:r>
    </w:p>
    <w:p w14:paraId="6C87AA38" w14:textId="6F8B1949" w:rsidR="00285FA6" w:rsidRPr="00B92AD9" w:rsidRDefault="003D6762" w:rsidP="00285FA6">
      <w:pPr>
        <w:pStyle w:val="ActHead5"/>
      </w:pPr>
      <w:proofErr w:type="gramStart"/>
      <w:r>
        <w:rPr>
          <w:rStyle w:val="CharSectno"/>
        </w:rPr>
        <w:t>10</w:t>
      </w:r>
      <w:r w:rsidR="00285FA6" w:rsidRPr="00B92AD9">
        <w:t xml:space="preserve">  </w:t>
      </w:r>
      <w:r w:rsidR="00285FA6">
        <w:t>Condition</w:t>
      </w:r>
      <w:proofErr w:type="gramEnd"/>
      <w:r w:rsidR="00285FA6">
        <w:t xml:space="preserve"> </w:t>
      </w:r>
      <w:r w:rsidR="00BA6547">
        <w:t>of</w:t>
      </w:r>
      <w:r w:rsidR="00285FA6">
        <w:t xml:space="preserve"> exemption – </w:t>
      </w:r>
      <w:r w:rsidR="0080542B">
        <w:t xml:space="preserve">restriction on </w:t>
      </w:r>
      <w:r w:rsidR="00285FA6">
        <w:t>operation of banned device</w:t>
      </w:r>
    </w:p>
    <w:p w14:paraId="03F2AEBD" w14:textId="28F08A0F" w:rsidR="00F96107" w:rsidRDefault="00E27C33" w:rsidP="00285FA6">
      <w:pPr>
        <w:pStyle w:val="subsection"/>
      </w:pPr>
      <w:r>
        <w:tab/>
        <w:t>(1)</w:t>
      </w:r>
      <w:r>
        <w:tab/>
      </w:r>
      <w:r w:rsidR="00BA6547">
        <w:t>It is a condition of an exemption under item 2 of the table, in relation to the operation of a banned device, that a</w:t>
      </w:r>
      <w:r>
        <w:t xml:space="preserve"> person must </w:t>
      </w:r>
      <w:r w:rsidR="00BA6547">
        <w:t>only</w:t>
      </w:r>
      <w:r>
        <w:t xml:space="preserve"> operate </w:t>
      </w:r>
      <w:r w:rsidR="00FA634B">
        <w:t>the</w:t>
      </w:r>
      <w:r>
        <w:t xml:space="preserve"> device in accordance with</w:t>
      </w:r>
      <w:r w:rsidR="00794A11">
        <w:t xml:space="preserve"> at least</w:t>
      </w:r>
      <w:r>
        <w:t xml:space="preserve"> one of subsections (2), (3) </w:t>
      </w:r>
      <w:r w:rsidR="00FA634B">
        <w:t>and</w:t>
      </w:r>
      <w:r>
        <w:t xml:space="preserve"> (4).</w:t>
      </w:r>
    </w:p>
    <w:p w14:paraId="789A7020" w14:textId="00206268" w:rsidR="00E27C33" w:rsidRDefault="00E27C33" w:rsidP="00E27C33">
      <w:pPr>
        <w:pStyle w:val="subsection"/>
      </w:pPr>
      <w:r>
        <w:tab/>
        <w:t>(2)</w:t>
      </w:r>
      <w:r>
        <w:tab/>
        <w:t xml:space="preserve">A person operates a banned device in accordance with this </w:t>
      </w:r>
      <w:r w:rsidR="007C6CE2">
        <w:t>sub</w:t>
      </w:r>
      <w:r>
        <w:t>section if</w:t>
      </w:r>
      <w:r w:rsidR="006D2C5B">
        <w:t xml:space="preserve"> all </w:t>
      </w:r>
      <w:r w:rsidR="003C71A5">
        <w:t xml:space="preserve">radio </w:t>
      </w:r>
      <w:r w:rsidR="006D2C5B">
        <w:t>emissions from the device are dissipated into a dummy load.</w:t>
      </w:r>
    </w:p>
    <w:p w14:paraId="4DBAF474" w14:textId="77777777" w:rsidR="00F9384F" w:rsidRDefault="00514B75" w:rsidP="00083841">
      <w:pPr>
        <w:pStyle w:val="subsection"/>
        <w:keepNext/>
        <w:spacing w:after="120"/>
      </w:pPr>
      <w:r>
        <w:lastRenderedPageBreak/>
        <w:tab/>
        <w:t>(3)</w:t>
      </w:r>
      <w:r>
        <w:tab/>
        <w:t>A person operates a banned device in accordance with this subsection if</w:t>
      </w:r>
      <w:r w:rsidR="00F9384F">
        <w:t>:</w:t>
      </w:r>
    </w:p>
    <w:p w14:paraId="7331BB88" w14:textId="77777777" w:rsidR="00F9384F" w:rsidRDefault="00F9384F" w:rsidP="00F9384F">
      <w:pPr>
        <w:pStyle w:val="paragraph"/>
      </w:pPr>
      <w:r>
        <w:tab/>
        <w:t>(a)</w:t>
      </w:r>
      <w:r>
        <w:tab/>
        <w:t>the device is operated in a screened room; and</w:t>
      </w:r>
    </w:p>
    <w:p w14:paraId="388BDA87" w14:textId="7F822EF5" w:rsidR="00514B75" w:rsidRDefault="00F9384F" w:rsidP="004950B5">
      <w:pPr>
        <w:pStyle w:val="paragraph"/>
      </w:pPr>
      <w:r>
        <w:tab/>
        <w:t>(b)</w:t>
      </w:r>
      <w:r>
        <w:tab/>
      </w:r>
      <w:r w:rsidR="00277344">
        <w:t xml:space="preserve">the signal level </w:t>
      </w:r>
      <w:r w:rsidR="00FB4509">
        <w:t xml:space="preserve">of the </w:t>
      </w:r>
      <w:r w:rsidR="0066466D">
        <w:t xml:space="preserve">radio </w:t>
      </w:r>
      <w:r w:rsidR="00FB4509">
        <w:t xml:space="preserve">emissions </w:t>
      </w:r>
      <w:r w:rsidR="00057EDB">
        <w:t>caused by the device</w:t>
      </w:r>
      <w:r w:rsidR="00E66472">
        <w:t xml:space="preserve"> </w:t>
      </w:r>
      <w:r w:rsidR="00583A89">
        <w:t xml:space="preserve">at each point of the external surface of the room </w:t>
      </w:r>
      <w:r w:rsidR="00E66472">
        <w:t xml:space="preserve">is not greater than the mean level of ambient </w:t>
      </w:r>
      <w:r w:rsidR="004F4F69">
        <w:t>radio</w:t>
      </w:r>
      <w:r w:rsidR="00E66472">
        <w:t xml:space="preserve">frequency noise </w:t>
      </w:r>
      <w:r w:rsidR="008D33A5">
        <w:t>in the place the room is located</w:t>
      </w:r>
      <w:r w:rsidR="00E66472">
        <w:t>.</w:t>
      </w:r>
    </w:p>
    <w:p w14:paraId="1E4A665E" w14:textId="77777777" w:rsidR="000A3B8B" w:rsidRDefault="00550312" w:rsidP="00872F80">
      <w:pPr>
        <w:pStyle w:val="subsection"/>
        <w:spacing w:after="120"/>
      </w:pPr>
      <w:r>
        <w:tab/>
        <w:t>(4)</w:t>
      </w:r>
      <w:r>
        <w:tab/>
        <w:t xml:space="preserve">A person operates a banned device in accordance with </w:t>
      </w:r>
      <w:r w:rsidR="0039750A">
        <w:t>t</w:t>
      </w:r>
      <w:r>
        <w:t>his subsection if</w:t>
      </w:r>
      <w:r w:rsidR="000A3B8B">
        <w:t>:</w:t>
      </w:r>
    </w:p>
    <w:p w14:paraId="1CF358FB" w14:textId="645B6125" w:rsidR="000A3B8B" w:rsidRDefault="000A3B8B" w:rsidP="000A3B8B">
      <w:pPr>
        <w:pStyle w:val="paragraph"/>
      </w:pPr>
      <w:r>
        <w:tab/>
        <w:t>(a)</w:t>
      </w:r>
      <w:r>
        <w:tab/>
      </w:r>
      <w:r w:rsidR="00E11816">
        <w:t>the device is operated in accordance with</w:t>
      </w:r>
      <w:r w:rsidR="00E86A3F">
        <w:t xml:space="preserve"> a</w:t>
      </w:r>
      <w:r w:rsidR="00E11816">
        <w:t xml:space="preserve"> </w:t>
      </w:r>
      <w:r w:rsidR="0039750A">
        <w:t>written permission given</w:t>
      </w:r>
      <w:r w:rsidR="00E86A3F">
        <w:t xml:space="preserve"> by the ACMA</w:t>
      </w:r>
      <w:r w:rsidR="0039750A">
        <w:t xml:space="preserve"> to the person under subsection 193(1) of the Act</w:t>
      </w:r>
      <w:r>
        <w:t>; and</w:t>
      </w:r>
    </w:p>
    <w:p w14:paraId="292DEDB2" w14:textId="4B734452" w:rsidR="00550312" w:rsidRDefault="000A3B8B" w:rsidP="00A45DA9">
      <w:pPr>
        <w:pStyle w:val="paragraph"/>
      </w:pPr>
      <w:r>
        <w:tab/>
        <w:t>(b)</w:t>
      </w:r>
      <w:r>
        <w:tab/>
        <w:t>at the time the device is operated, the written permission was registered as a notifiable instrument on the Federal Register of Legislation and had not been revoked</w:t>
      </w:r>
      <w:r w:rsidR="0039750A">
        <w:t>.</w:t>
      </w:r>
    </w:p>
    <w:p w14:paraId="74A4526F" w14:textId="4655FE74" w:rsidR="009A54BF" w:rsidRPr="00B92AD9" w:rsidRDefault="0008080D" w:rsidP="009A54BF">
      <w:pPr>
        <w:pStyle w:val="ActHead5"/>
      </w:pPr>
      <w:proofErr w:type="gramStart"/>
      <w:r>
        <w:rPr>
          <w:rStyle w:val="CharSectno"/>
        </w:rPr>
        <w:t>11</w:t>
      </w:r>
      <w:r w:rsidR="009A54BF" w:rsidRPr="00B92AD9">
        <w:t xml:space="preserve">  </w:t>
      </w:r>
      <w:r w:rsidR="009A54BF">
        <w:t>Condition</w:t>
      </w:r>
      <w:proofErr w:type="gramEnd"/>
      <w:r w:rsidR="009A54BF">
        <w:t xml:space="preserve"> </w:t>
      </w:r>
      <w:r w:rsidR="00DE1648">
        <w:t>of</w:t>
      </w:r>
      <w:r w:rsidR="009A54BF">
        <w:t xml:space="preserve"> exemption – restriction on supply of banned device</w:t>
      </w:r>
    </w:p>
    <w:p w14:paraId="20401A5F" w14:textId="0F1A7BA6" w:rsidR="009A54BF" w:rsidRDefault="009A54BF" w:rsidP="00872F80">
      <w:pPr>
        <w:pStyle w:val="subsection"/>
        <w:spacing w:after="120"/>
      </w:pPr>
      <w:r>
        <w:tab/>
      </w:r>
      <w:r>
        <w:tab/>
      </w:r>
      <w:r w:rsidR="00DE1648">
        <w:t xml:space="preserve">It is a condition of an exemption under item 3 of the table, in relation to the </w:t>
      </w:r>
      <w:r>
        <w:t xml:space="preserve">supply </w:t>
      </w:r>
      <w:r w:rsidR="00DE1648">
        <w:t xml:space="preserve">of a </w:t>
      </w:r>
      <w:r>
        <w:t>banned device</w:t>
      </w:r>
      <w:r w:rsidR="00DE1648">
        <w:t xml:space="preserve">, that </w:t>
      </w:r>
      <w:r w:rsidR="00453DD7">
        <w:t>a person must only supply the device</w:t>
      </w:r>
      <w:r>
        <w:t xml:space="preserve"> to:</w:t>
      </w:r>
    </w:p>
    <w:p w14:paraId="336620B1" w14:textId="68151E57" w:rsidR="00F13ED2" w:rsidRDefault="00753D6E" w:rsidP="00753D6E">
      <w:pPr>
        <w:pStyle w:val="paragraph"/>
      </w:pPr>
      <w:r>
        <w:tab/>
        <w:t>(a)</w:t>
      </w:r>
      <w:r>
        <w:tab/>
      </w:r>
      <w:r w:rsidR="00F13ED2">
        <w:t>the Defence Force of Australia;</w:t>
      </w:r>
      <w:r w:rsidR="006644B9">
        <w:t xml:space="preserve"> or</w:t>
      </w:r>
    </w:p>
    <w:p w14:paraId="0B43E71E" w14:textId="31D8803A" w:rsidR="00F13ED2" w:rsidRDefault="00F13ED2" w:rsidP="00753D6E">
      <w:pPr>
        <w:pStyle w:val="paragraph"/>
      </w:pPr>
      <w:r>
        <w:tab/>
        <w:t>(b)</w:t>
      </w:r>
      <w:r>
        <w:tab/>
        <w:t>the</w:t>
      </w:r>
      <w:r w:rsidR="00241CCC">
        <w:t xml:space="preserve"> </w:t>
      </w:r>
      <w:r>
        <w:t>Defence Department;</w:t>
      </w:r>
      <w:r w:rsidR="006644B9">
        <w:t xml:space="preserve"> or</w:t>
      </w:r>
    </w:p>
    <w:p w14:paraId="1B07CC2F" w14:textId="0A1BE61F" w:rsidR="00EA1AAB" w:rsidRDefault="00F13ED2" w:rsidP="009A7F7D">
      <w:pPr>
        <w:pStyle w:val="paragraph"/>
        <w:keepNext/>
      </w:pPr>
      <w:r>
        <w:tab/>
        <w:t>(c)</w:t>
      </w:r>
      <w:r>
        <w:tab/>
      </w:r>
      <w:r w:rsidR="00753D6E">
        <w:t xml:space="preserve">a </w:t>
      </w:r>
      <w:r w:rsidR="00496C48">
        <w:t>member of the Defence Force, or an officer of the Defence Department</w:t>
      </w:r>
      <w:r w:rsidR="007348C6">
        <w:t xml:space="preserve">, </w:t>
      </w:r>
      <w:r w:rsidR="00165A51">
        <w:t>where</w:t>
      </w:r>
      <w:r w:rsidR="007348C6">
        <w:t xml:space="preserve"> the supply is related to the </w:t>
      </w:r>
      <w:r w:rsidR="00496C48">
        <w:t xml:space="preserve">person’s </w:t>
      </w:r>
      <w:r w:rsidR="007348C6">
        <w:t>functions or duties mentioned in</w:t>
      </w:r>
      <w:r w:rsidR="00EA1AAB">
        <w:t>:</w:t>
      </w:r>
    </w:p>
    <w:p w14:paraId="5EFB54EC" w14:textId="315144EE" w:rsidR="009A54BF" w:rsidRDefault="00EA1AAB" w:rsidP="00EA1AAB">
      <w:pPr>
        <w:pStyle w:val="paragraphsub"/>
      </w:pPr>
      <w:r>
        <w:tab/>
        <w:t>(i)</w:t>
      </w:r>
      <w:r>
        <w:tab/>
      </w:r>
      <w:r w:rsidR="007348C6">
        <w:t>subsection</w:t>
      </w:r>
      <w:r w:rsidR="00496C48">
        <w:t xml:space="preserve"> 24(1) of the Act</w:t>
      </w:r>
      <w:r w:rsidR="007348C6">
        <w:t>; or</w:t>
      </w:r>
    </w:p>
    <w:p w14:paraId="6CF18575" w14:textId="6E484D14" w:rsidR="00EA1AAB" w:rsidRDefault="00EA1AAB" w:rsidP="00F95ADA">
      <w:pPr>
        <w:pStyle w:val="paragraphsub"/>
      </w:pPr>
      <w:r>
        <w:tab/>
        <w:t>(ii)</w:t>
      </w:r>
      <w:r>
        <w:tab/>
        <w:t>subsection 26(1) of the Act; or</w:t>
      </w:r>
    </w:p>
    <w:p w14:paraId="7AF4FE2D" w14:textId="405821AB" w:rsidR="00EA1AAB" w:rsidRDefault="007348C6" w:rsidP="00753D6E">
      <w:pPr>
        <w:pStyle w:val="paragraph"/>
      </w:pPr>
      <w:r>
        <w:tab/>
        <w:t>(</w:t>
      </w:r>
      <w:r w:rsidR="00241CCC">
        <w:t>d</w:t>
      </w:r>
      <w:r>
        <w:t>)</w:t>
      </w:r>
      <w:r>
        <w:tab/>
      </w:r>
      <w:r w:rsidR="00D368B9">
        <w:t xml:space="preserve">a </w:t>
      </w:r>
      <w:r w:rsidR="00496C48">
        <w:t xml:space="preserve">member of a visiting force, or a member of a civilian component of a visiting force, </w:t>
      </w:r>
      <w:r w:rsidR="00F1162C">
        <w:t>where</w:t>
      </w:r>
      <w:r w:rsidR="00D368B9">
        <w:t xml:space="preserve"> the supply is related to the functions or duties mentioned in</w:t>
      </w:r>
      <w:r w:rsidR="00446E88">
        <w:t>:</w:t>
      </w:r>
    </w:p>
    <w:p w14:paraId="7D466E08" w14:textId="439B7F1A" w:rsidR="007348C6" w:rsidRDefault="00EA1AAB" w:rsidP="00EA1AAB">
      <w:pPr>
        <w:pStyle w:val="paragraphsub"/>
      </w:pPr>
      <w:r>
        <w:tab/>
        <w:t>(i)</w:t>
      </w:r>
      <w:r>
        <w:tab/>
      </w:r>
      <w:r w:rsidR="00D368B9">
        <w:t>subsection</w:t>
      </w:r>
      <w:r w:rsidR="00496C48">
        <w:t> 24(1A) of the Act</w:t>
      </w:r>
      <w:r w:rsidR="00D368B9">
        <w:t>; or</w:t>
      </w:r>
    </w:p>
    <w:p w14:paraId="3F67ECD0" w14:textId="7FEB8C0A" w:rsidR="00EA1AAB" w:rsidRDefault="00EA1AAB" w:rsidP="00F95ADA">
      <w:pPr>
        <w:pStyle w:val="paragraphsub"/>
      </w:pPr>
      <w:r>
        <w:tab/>
        <w:t>(ii)</w:t>
      </w:r>
      <w:r>
        <w:tab/>
      </w:r>
      <w:r w:rsidR="00A524E6">
        <w:t>subsection 26(1A) of the Act; or</w:t>
      </w:r>
    </w:p>
    <w:p w14:paraId="75032283" w14:textId="0EB44BFD" w:rsidR="00A524E6" w:rsidRDefault="00D368B9" w:rsidP="00753D6E">
      <w:pPr>
        <w:pStyle w:val="paragraph"/>
      </w:pPr>
      <w:r>
        <w:tab/>
        <w:t>(</w:t>
      </w:r>
      <w:r w:rsidR="00241CCC">
        <w:t>e</w:t>
      </w:r>
      <w:r>
        <w:t>)</w:t>
      </w:r>
      <w:r>
        <w:tab/>
      </w:r>
      <w:r w:rsidR="00496C48">
        <w:t xml:space="preserve">an </w:t>
      </w:r>
      <w:r w:rsidR="000E248B">
        <w:t xml:space="preserve">authorised </w:t>
      </w:r>
      <w:r w:rsidR="00496C48">
        <w:t>defence supplier</w:t>
      </w:r>
      <w:r w:rsidR="00DE0937">
        <w:t xml:space="preserve">, </w:t>
      </w:r>
      <w:r w:rsidR="00F1162C">
        <w:t>where</w:t>
      </w:r>
      <w:r w:rsidR="00DE0937">
        <w:t xml:space="preserve"> the supply is related to the functions or duties mentioned in</w:t>
      </w:r>
      <w:r w:rsidR="00A524E6">
        <w:t>:</w:t>
      </w:r>
    </w:p>
    <w:p w14:paraId="400A89D5" w14:textId="6E01A666" w:rsidR="00D368B9" w:rsidRDefault="00A524E6" w:rsidP="00A524E6">
      <w:pPr>
        <w:pStyle w:val="paragraphsub"/>
      </w:pPr>
      <w:r>
        <w:tab/>
        <w:t>(i)</w:t>
      </w:r>
      <w:r>
        <w:tab/>
      </w:r>
      <w:r w:rsidR="00DE0937">
        <w:t>subsection 24(1B) of the Act; or</w:t>
      </w:r>
    </w:p>
    <w:p w14:paraId="50597E4E" w14:textId="0F025235" w:rsidR="00A524E6" w:rsidRDefault="00A524E6" w:rsidP="00F95ADA">
      <w:pPr>
        <w:pStyle w:val="paragraphsub"/>
      </w:pPr>
      <w:r>
        <w:tab/>
        <w:t>(ii)</w:t>
      </w:r>
      <w:r>
        <w:tab/>
        <w:t>subsection 26(1B) of the Act; or</w:t>
      </w:r>
    </w:p>
    <w:p w14:paraId="5D9ED907" w14:textId="6D824594" w:rsidR="00DE0937" w:rsidRDefault="00DE0937" w:rsidP="00753D6E">
      <w:pPr>
        <w:pStyle w:val="paragraph"/>
      </w:pPr>
      <w:r>
        <w:tab/>
        <w:t>(</w:t>
      </w:r>
      <w:r w:rsidR="00241CCC">
        <w:t>f</w:t>
      </w:r>
      <w:r>
        <w:t>)</w:t>
      </w:r>
      <w:r>
        <w:tab/>
      </w:r>
      <w:r w:rsidR="00493304">
        <w:t>the Australian Secret Intelligence Service; or</w:t>
      </w:r>
    </w:p>
    <w:p w14:paraId="530CB593" w14:textId="5C7808F2" w:rsidR="00493304" w:rsidRDefault="00493304" w:rsidP="00753D6E">
      <w:pPr>
        <w:pStyle w:val="paragraph"/>
      </w:pPr>
      <w:r>
        <w:tab/>
        <w:t>(</w:t>
      </w:r>
      <w:r w:rsidR="00241CCC">
        <w:t>g</w:t>
      </w:r>
      <w:r>
        <w:t>)</w:t>
      </w:r>
      <w:r>
        <w:tab/>
        <w:t>the Australian Security Intelligence Organisation; or</w:t>
      </w:r>
    </w:p>
    <w:p w14:paraId="100D271C" w14:textId="6EACCF55" w:rsidR="00493304" w:rsidRDefault="00493304" w:rsidP="00753D6E">
      <w:pPr>
        <w:pStyle w:val="paragraph"/>
      </w:pPr>
      <w:r>
        <w:tab/>
        <w:t>(</w:t>
      </w:r>
      <w:r w:rsidR="00241CCC">
        <w:t>h</w:t>
      </w:r>
      <w:r>
        <w:t>)</w:t>
      </w:r>
      <w:r>
        <w:tab/>
        <w:t>the Australian Signals Directorate; or</w:t>
      </w:r>
    </w:p>
    <w:p w14:paraId="5AEBD085" w14:textId="73B16944" w:rsidR="00493304" w:rsidRDefault="00493304" w:rsidP="00753D6E">
      <w:pPr>
        <w:pStyle w:val="paragraph"/>
      </w:pPr>
      <w:r>
        <w:tab/>
      </w:r>
      <w:r w:rsidR="006644B9">
        <w:t>(</w:t>
      </w:r>
      <w:r w:rsidR="00241CCC">
        <w:t>i</w:t>
      </w:r>
      <w:r>
        <w:t>)</w:t>
      </w:r>
      <w:r>
        <w:tab/>
        <w:t xml:space="preserve">a person who performs a function or duty mentioned in section 25 of the Act, </w:t>
      </w:r>
      <w:r w:rsidR="00F1162C">
        <w:t>where</w:t>
      </w:r>
      <w:r>
        <w:t xml:space="preserve"> the supply is related to that function or duty;</w:t>
      </w:r>
      <w:r w:rsidR="00F95ADA">
        <w:t xml:space="preserve"> or</w:t>
      </w:r>
    </w:p>
    <w:p w14:paraId="64F990C1" w14:textId="51E169DB" w:rsidR="00A969AC" w:rsidRDefault="00493304" w:rsidP="00753D6E">
      <w:pPr>
        <w:pStyle w:val="paragraph"/>
      </w:pPr>
      <w:r>
        <w:tab/>
        <w:t>(</w:t>
      </w:r>
      <w:r w:rsidR="00241CCC">
        <w:t>j</w:t>
      </w:r>
      <w:r>
        <w:t>)</w:t>
      </w:r>
      <w:r>
        <w:tab/>
        <w:t xml:space="preserve">a </w:t>
      </w:r>
      <w:r w:rsidR="00A524E6">
        <w:t xml:space="preserve">person who performs a function or duty mentioned in subsection 27(1) of the Act, </w:t>
      </w:r>
      <w:r w:rsidR="00F1162C">
        <w:t>where</w:t>
      </w:r>
      <w:r w:rsidR="00A969AC">
        <w:t>:</w:t>
      </w:r>
    </w:p>
    <w:p w14:paraId="350BC675" w14:textId="66972C3E" w:rsidR="00493304" w:rsidRDefault="00A969AC" w:rsidP="00A969AC">
      <w:pPr>
        <w:pStyle w:val="paragraphsub"/>
      </w:pPr>
      <w:r>
        <w:tab/>
        <w:t>(i)</w:t>
      </w:r>
      <w:r>
        <w:tab/>
      </w:r>
      <w:r w:rsidR="00A524E6">
        <w:t>th</w:t>
      </w:r>
      <w:r>
        <w:t>e supply is related to that function or duty; and</w:t>
      </w:r>
    </w:p>
    <w:p w14:paraId="50893365" w14:textId="18C424D7" w:rsidR="00A969AC" w:rsidRDefault="00A969AC" w:rsidP="00A969AC">
      <w:pPr>
        <w:pStyle w:val="paragraphsub"/>
      </w:pPr>
      <w:r>
        <w:tab/>
        <w:t>(ii)</w:t>
      </w:r>
      <w:r>
        <w:tab/>
      </w:r>
      <w:r w:rsidR="00206341">
        <w:t xml:space="preserve">the ACMA has </w:t>
      </w:r>
      <w:proofErr w:type="gramStart"/>
      <w:r w:rsidR="00206341">
        <w:t>made a determination</w:t>
      </w:r>
      <w:proofErr w:type="gramEnd"/>
      <w:r w:rsidR="00206341">
        <w:t xml:space="preserve"> under subsection 27(2) </w:t>
      </w:r>
      <w:r w:rsidR="00853F3E">
        <w:t xml:space="preserve">of the Act </w:t>
      </w:r>
      <w:r w:rsidR="00D24A4B">
        <w:t>in relation to a class of persons; and</w:t>
      </w:r>
    </w:p>
    <w:p w14:paraId="04C1FD92" w14:textId="66FB283B" w:rsidR="00D24A4B" w:rsidRDefault="00D24A4B" w:rsidP="00A969AC">
      <w:pPr>
        <w:pStyle w:val="paragraphsub"/>
      </w:pPr>
      <w:r>
        <w:tab/>
        <w:t>(iii)</w:t>
      </w:r>
      <w:r>
        <w:tab/>
        <w:t>the person is a member of that class</w:t>
      </w:r>
      <w:r w:rsidR="000C06F6">
        <w:t>;</w:t>
      </w:r>
      <w:r w:rsidR="00F95ADA">
        <w:t xml:space="preserve"> or</w:t>
      </w:r>
    </w:p>
    <w:p w14:paraId="18C0AA12" w14:textId="3768452F" w:rsidR="009A54BF" w:rsidRDefault="000C06F6" w:rsidP="000C06F6">
      <w:pPr>
        <w:pStyle w:val="paragraph"/>
      </w:pPr>
      <w:r>
        <w:tab/>
        <w:t>(</w:t>
      </w:r>
      <w:r w:rsidR="006644B9">
        <w:t>k</w:t>
      </w:r>
      <w:r>
        <w:t>)</w:t>
      </w:r>
      <w:r>
        <w:tab/>
        <w:t>the ACMA</w:t>
      </w:r>
      <w:r w:rsidR="00F95ADA">
        <w:t>; or</w:t>
      </w:r>
    </w:p>
    <w:p w14:paraId="40E04069" w14:textId="77777777" w:rsidR="00934BAB" w:rsidRDefault="00F95ADA" w:rsidP="009B7816">
      <w:pPr>
        <w:pStyle w:val="paragraph"/>
      </w:pPr>
      <w:r>
        <w:tab/>
        <w:t>(</w:t>
      </w:r>
      <w:r w:rsidR="006644B9">
        <w:t>l</w:t>
      </w:r>
      <w:r>
        <w:t>)</w:t>
      </w:r>
      <w:r>
        <w:tab/>
      </w:r>
      <w:r w:rsidR="009F77CD">
        <w:t>a person outside Australia</w:t>
      </w:r>
      <w:r w:rsidR="00934BAB">
        <w:t>; or</w:t>
      </w:r>
    </w:p>
    <w:p w14:paraId="6B7467DE" w14:textId="6A2D4B20" w:rsidR="00F95ADA" w:rsidRDefault="00934BAB" w:rsidP="00500B04">
      <w:pPr>
        <w:pStyle w:val="paragraph"/>
        <w:rPr>
          <w:rStyle w:val="CharSectno"/>
        </w:rPr>
      </w:pPr>
      <w:r>
        <w:tab/>
        <w:t>(</w:t>
      </w:r>
      <w:r w:rsidR="00B5385C">
        <w:t>m)</w:t>
      </w:r>
      <w:r w:rsidR="00B5385C">
        <w:tab/>
      </w:r>
      <w:r w:rsidR="00666B51">
        <w:t xml:space="preserve">a person </w:t>
      </w:r>
      <w:r w:rsidR="00181A62">
        <w:t>who is named</w:t>
      </w:r>
      <w:r w:rsidR="00181A62" w:rsidRPr="00666B51">
        <w:t xml:space="preserve"> </w:t>
      </w:r>
      <w:r w:rsidR="00181A62">
        <w:t>in a notifiable instrument made under subclause 1(1) of Schedule 1, where</w:t>
      </w:r>
      <w:r w:rsidR="00500B04">
        <w:t>, at the time</w:t>
      </w:r>
      <w:r w:rsidR="00673440">
        <w:t xml:space="preserve"> of</w:t>
      </w:r>
      <w:r w:rsidR="00500B04">
        <w:t xml:space="preserve"> the supply, the notifiable instrument is in force</w:t>
      </w:r>
      <w:r w:rsidR="009F77CD">
        <w:t>.</w:t>
      </w:r>
    </w:p>
    <w:p w14:paraId="74F2FF96" w14:textId="6C0F8892" w:rsidR="0080542B" w:rsidRPr="00B92AD9" w:rsidRDefault="00BC4DA2" w:rsidP="009B7816">
      <w:pPr>
        <w:pStyle w:val="ActHead5"/>
      </w:pPr>
      <w:proofErr w:type="gramStart"/>
      <w:r>
        <w:rPr>
          <w:rStyle w:val="CharSectno"/>
        </w:rPr>
        <w:lastRenderedPageBreak/>
        <w:t>12</w:t>
      </w:r>
      <w:r w:rsidR="0080542B" w:rsidRPr="00B92AD9">
        <w:t xml:space="preserve">  </w:t>
      </w:r>
      <w:r w:rsidR="0080542B">
        <w:t>Condition</w:t>
      </w:r>
      <w:proofErr w:type="gramEnd"/>
      <w:r w:rsidR="0080542B">
        <w:t xml:space="preserve"> on exemption – record-keeping requirements</w:t>
      </w:r>
    </w:p>
    <w:p w14:paraId="1B05A50D" w14:textId="03CF2111" w:rsidR="0080542B" w:rsidRDefault="0080542B" w:rsidP="009A7F7D">
      <w:pPr>
        <w:pStyle w:val="subsection"/>
        <w:keepNext/>
      </w:pPr>
      <w:r>
        <w:tab/>
      </w:r>
      <w:r w:rsidR="009B7816">
        <w:t>(1)</w:t>
      </w:r>
      <w:r>
        <w:tab/>
      </w:r>
      <w:r w:rsidR="009B7816">
        <w:t>It is a condition of an exemption under item</w:t>
      </w:r>
      <w:r w:rsidR="001870C7">
        <w:t xml:space="preserve"> 1, 2 or 3 of the table, in relation to an act involving a banned device, that a</w:t>
      </w:r>
      <w:r>
        <w:t xml:space="preserve"> person </w:t>
      </w:r>
      <w:r w:rsidR="00641CCB">
        <w:t>must only</w:t>
      </w:r>
      <w:r w:rsidR="001870C7">
        <w:t xml:space="preserve"> do the act </w:t>
      </w:r>
      <w:r w:rsidR="00641CCB">
        <w:t>if the person</w:t>
      </w:r>
      <w:r w:rsidR="001870C7">
        <w:t xml:space="preserve"> compl</w:t>
      </w:r>
      <w:r w:rsidR="00641CCB">
        <w:t>ies</w:t>
      </w:r>
      <w:r w:rsidR="001870C7">
        <w:t xml:space="preserve"> with the applicable </w:t>
      </w:r>
      <w:r w:rsidR="00676ACD">
        <w:t>record</w:t>
      </w:r>
      <w:r w:rsidR="001870C7">
        <w:t>-keeping requirements</w:t>
      </w:r>
      <w:r w:rsidR="00676ACD">
        <w:t xml:space="preserve"> set out in this section</w:t>
      </w:r>
      <w:r>
        <w:t>.</w:t>
      </w:r>
    </w:p>
    <w:p w14:paraId="73C51724" w14:textId="3641A09A" w:rsidR="00305A60" w:rsidRDefault="00676ACD" w:rsidP="00872F80">
      <w:pPr>
        <w:pStyle w:val="subsection"/>
        <w:spacing w:after="120"/>
      </w:pPr>
      <w:r>
        <w:tab/>
        <w:t>(2)</w:t>
      </w:r>
      <w:r>
        <w:tab/>
      </w:r>
      <w:r w:rsidR="00BE3E3D">
        <w:t xml:space="preserve">If </w:t>
      </w:r>
      <w:r w:rsidR="001870C7">
        <w:t>the exemption relates to the possession of</w:t>
      </w:r>
      <w:r w:rsidR="00BE3E3D">
        <w:t xml:space="preserve"> a banned device, the person must</w:t>
      </w:r>
      <w:r w:rsidR="00421AA3">
        <w:t>:</w:t>
      </w:r>
    </w:p>
    <w:p w14:paraId="3460A68D" w14:textId="6DD93372" w:rsidR="00305A60" w:rsidRDefault="00252B94" w:rsidP="00252B94">
      <w:pPr>
        <w:pStyle w:val="paragraph"/>
      </w:pPr>
      <w:r>
        <w:tab/>
        <w:t>(a)</w:t>
      </w:r>
      <w:r>
        <w:tab/>
      </w:r>
      <w:r w:rsidR="00865C4F">
        <w:t xml:space="preserve">at </w:t>
      </w:r>
      <w:r w:rsidR="00305A60">
        <w:t xml:space="preserve">the time the person first </w:t>
      </w:r>
      <w:r w:rsidR="00A442B2">
        <w:t>came into possession of</w:t>
      </w:r>
      <w:r w:rsidR="00305A60">
        <w:t xml:space="preserve"> the device</w:t>
      </w:r>
      <w:r w:rsidR="00A442B2">
        <w:t xml:space="preserve">, create a </w:t>
      </w:r>
      <w:r w:rsidR="00357669">
        <w:t xml:space="preserve">written </w:t>
      </w:r>
      <w:r w:rsidR="00A442B2">
        <w:t>record of</w:t>
      </w:r>
      <w:r w:rsidR="00BF4285">
        <w:t xml:space="preserve"> the following</w:t>
      </w:r>
      <w:r w:rsidR="00305A60">
        <w:t>:</w:t>
      </w:r>
    </w:p>
    <w:p w14:paraId="4858D3A9" w14:textId="358C37AD" w:rsidR="00252B94" w:rsidRDefault="00305A60" w:rsidP="00305A60">
      <w:pPr>
        <w:pStyle w:val="paragraphsub"/>
      </w:pPr>
      <w:r>
        <w:tab/>
        <w:t>(i)</w:t>
      </w:r>
      <w:r>
        <w:tab/>
      </w:r>
      <w:r w:rsidR="00252B94">
        <w:t xml:space="preserve">the permanent ban that applies to the </w:t>
      </w:r>
      <w:proofErr w:type="gramStart"/>
      <w:r w:rsidR="00252B94">
        <w:t>device;</w:t>
      </w:r>
      <w:proofErr w:type="gramEnd"/>
    </w:p>
    <w:p w14:paraId="73EEB723" w14:textId="6D70FECA" w:rsidR="00305A60" w:rsidRDefault="00305A60" w:rsidP="00305A60">
      <w:pPr>
        <w:pStyle w:val="paragraphsub"/>
      </w:pPr>
      <w:r>
        <w:tab/>
        <w:t>(ii)</w:t>
      </w:r>
      <w:r>
        <w:tab/>
        <w:t xml:space="preserve">the date the person first came into possession of the </w:t>
      </w:r>
      <w:proofErr w:type="gramStart"/>
      <w:r>
        <w:t>device</w:t>
      </w:r>
      <w:r w:rsidR="00120062">
        <w:t>;</w:t>
      </w:r>
      <w:proofErr w:type="gramEnd"/>
    </w:p>
    <w:p w14:paraId="14B71D21" w14:textId="38DFC383" w:rsidR="006C6A45" w:rsidRDefault="006C6A45" w:rsidP="00305A60">
      <w:pPr>
        <w:pStyle w:val="paragraphsub"/>
      </w:pPr>
      <w:r>
        <w:tab/>
        <w:t>(iii)</w:t>
      </w:r>
      <w:r>
        <w:tab/>
      </w:r>
      <w:r w:rsidR="00BF4285">
        <w:t xml:space="preserve">the frequencies on which the device operates or is capable of </w:t>
      </w:r>
      <w:proofErr w:type="gramStart"/>
      <w:r w:rsidR="00BF4285">
        <w:t>operating;</w:t>
      </w:r>
      <w:proofErr w:type="gramEnd"/>
    </w:p>
    <w:p w14:paraId="46B8B3D7" w14:textId="3321504C" w:rsidR="00BF4285" w:rsidRDefault="00BF4285" w:rsidP="00305A60">
      <w:pPr>
        <w:pStyle w:val="paragraphsub"/>
      </w:pPr>
      <w:r>
        <w:tab/>
        <w:t>(iv)</w:t>
      </w:r>
      <w:r>
        <w:tab/>
      </w:r>
      <w:r w:rsidR="00692567">
        <w:t xml:space="preserve">if the device is a transmitter – the maximum power </w:t>
      </w:r>
      <w:r w:rsidR="004B5F0B">
        <w:t xml:space="preserve">at which the device is capable of </w:t>
      </w:r>
      <w:proofErr w:type="gramStart"/>
      <w:r w:rsidR="004B5F0B">
        <w:t>transmitting;</w:t>
      </w:r>
      <w:proofErr w:type="gramEnd"/>
    </w:p>
    <w:p w14:paraId="2B043266" w14:textId="7B5C4085" w:rsidR="004B5F0B" w:rsidRDefault="004B5F0B" w:rsidP="00305A60">
      <w:pPr>
        <w:pStyle w:val="paragraphsub"/>
      </w:pPr>
      <w:r>
        <w:tab/>
        <w:t>(v)</w:t>
      </w:r>
      <w:r>
        <w:tab/>
      </w:r>
      <w:r w:rsidR="009B196B">
        <w:t xml:space="preserve">the maximum </w:t>
      </w:r>
      <w:r w:rsidR="005207AF">
        <w:t>EIRP</w:t>
      </w:r>
      <w:r w:rsidR="009B196B">
        <w:t xml:space="preserve"> of the device;</w:t>
      </w:r>
      <w:r w:rsidR="00CF7CA3">
        <w:t xml:space="preserve"> and</w:t>
      </w:r>
    </w:p>
    <w:p w14:paraId="014A81B0" w14:textId="3495A329" w:rsidR="00EA4750" w:rsidRDefault="00252B94" w:rsidP="00252B94">
      <w:pPr>
        <w:pStyle w:val="paragraph"/>
      </w:pPr>
      <w:r>
        <w:tab/>
        <w:t>(b)</w:t>
      </w:r>
      <w:r>
        <w:tab/>
      </w:r>
      <w:r w:rsidR="00305A60">
        <w:t>if the person destroys or disposes of the device –</w:t>
      </w:r>
      <w:r w:rsidR="00EA4750">
        <w:t xml:space="preserve"> </w:t>
      </w:r>
      <w:r w:rsidR="00865C4F">
        <w:t>at</w:t>
      </w:r>
      <w:r w:rsidR="00EA4750">
        <w:t xml:space="preserve"> the time the person destroys or disposes of the device</w:t>
      </w:r>
      <w:r w:rsidR="00A442B2">
        <w:t xml:space="preserve">, create a </w:t>
      </w:r>
      <w:r w:rsidR="00357669">
        <w:t xml:space="preserve">written </w:t>
      </w:r>
      <w:r w:rsidR="00A442B2">
        <w:t>record of</w:t>
      </w:r>
      <w:r w:rsidR="00EA4750">
        <w:t>:</w:t>
      </w:r>
    </w:p>
    <w:p w14:paraId="0AA16FE9" w14:textId="77777777" w:rsidR="00EA4750" w:rsidRDefault="00EA4750" w:rsidP="00EA4750">
      <w:pPr>
        <w:pStyle w:val="paragraphsub"/>
      </w:pPr>
      <w:r>
        <w:tab/>
        <w:t>(i)</w:t>
      </w:r>
      <w:r>
        <w:tab/>
        <w:t>the date the device was destroyed or disposed of; and</w:t>
      </w:r>
    </w:p>
    <w:p w14:paraId="452D9B4E" w14:textId="215C8869" w:rsidR="00252B94" w:rsidRDefault="00EA4750" w:rsidP="00EA4750">
      <w:pPr>
        <w:pStyle w:val="paragraphsub"/>
      </w:pPr>
      <w:r>
        <w:tab/>
        <w:t>(ii)</w:t>
      </w:r>
      <w:r>
        <w:tab/>
        <w:t>the method by which the device was destroyed or disposed of</w:t>
      </w:r>
      <w:r w:rsidR="00252B94">
        <w:t>.</w:t>
      </w:r>
    </w:p>
    <w:p w14:paraId="572037D5" w14:textId="2A641650" w:rsidR="00252B94" w:rsidRDefault="00252B94" w:rsidP="00872F80">
      <w:pPr>
        <w:pStyle w:val="subsection"/>
        <w:spacing w:after="120"/>
      </w:pPr>
      <w:r>
        <w:tab/>
        <w:t>(3)</w:t>
      </w:r>
      <w:r>
        <w:tab/>
        <w:t xml:space="preserve">If </w:t>
      </w:r>
      <w:r w:rsidR="00A442B2">
        <w:t>the exemption relates to the operation of</w:t>
      </w:r>
      <w:r>
        <w:t xml:space="preserve"> a banned device, the person must:</w:t>
      </w:r>
    </w:p>
    <w:p w14:paraId="5B6EC138" w14:textId="575C68E5" w:rsidR="001C3CE0" w:rsidRDefault="00252B94" w:rsidP="00252B94">
      <w:pPr>
        <w:pStyle w:val="paragraph"/>
      </w:pPr>
      <w:r>
        <w:tab/>
        <w:t>(a)</w:t>
      </w:r>
      <w:r>
        <w:tab/>
        <w:t>before the person operates the device</w:t>
      </w:r>
      <w:r w:rsidR="00A442B2">
        <w:t>, create</w:t>
      </w:r>
      <w:r w:rsidR="00D94C49">
        <w:t xml:space="preserve"> a</w:t>
      </w:r>
      <w:r w:rsidR="00DA6C1B">
        <w:t xml:space="preserve"> written</w:t>
      </w:r>
      <w:r w:rsidR="00D94C49">
        <w:t xml:space="preserve"> record of</w:t>
      </w:r>
      <w:r>
        <w:t xml:space="preserve"> </w:t>
      </w:r>
      <w:r w:rsidR="007077E7">
        <w:t xml:space="preserve">the methods (if any) to be used by the person to prevent the operation of the device </w:t>
      </w:r>
      <w:r w:rsidR="001C3CE0">
        <w:t>causing interference to radiocommunications;</w:t>
      </w:r>
      <w:r w:rsidR="00D60FAE">
        <w:t xml:space="preserve"> </w:t>
      </w:r>
      <w:r w:rsidR="000E3B90">
        <w:t>and</w:t>
      </w:r>
    </w:p>
    <w:p w14:paraId="1B59BE9B" w14:textId="17C50FE8" w:rsidR="00AD52FB" w:rsidRDefault="001C3CE0" w:rsidP="00252B94">
      <w:pPr>
        <w:pStyle w:val="paragraph"/>
      </w:pPr>
      <w:r>
        <w:tab/>
        <w:t>(b)</w:t>
      </w:r>
      <w:r>
        <w:tab/>
        <w:t>if the person receives a complaint</w:t>
      </w:r>
      <w:r w:rsidR="00252B94">
        <w:t xml:space="preserve"> </w:t>
      </w:r>
      <w:r>
        <w:t xml:space="preserve">or report of interference in relation to </w:t>
      </w:r>
      <w:r w:rsidR="00D94C49">
        <w:t xml:space="preserve">the </w:t>
      </w:r>
      <w:r w:rsidR="00AD52FB">
        <w:t xml:space="preserve">operation of the device – </w:t>
      </w:r>
      <w:r w:rsidR="00BC70DE">
        <w:t xml:space="preserve">at </w:t>
      </w:r>
      <w:r w:rsidR="00AD52FB">
        <w:t>the time the person receives the complaint or report</w:t>
      </w:r>
      <w:r w:rsidR="00D94C49">
        <w:t>, create a</w:t>
      </w:r>
      <w:r w:rsidR="00DA6C1B">
        <w:t xml:space="preserve"> written</w:t>
      </w:r>
      <w:r w:rsidR="00D94C49">
        <w:t xml:space="preserve"> record of</w:t>
      </w:r>
      <w:r w:rsidR="000E3B90">
        <w:t xml:space="preserve"> the following</w:t>
      </w:r>
      <w:r w:rsidR="00BC70DE">
        <w:t>:</w:t>
      </w:r>
    </w:p>
    <w:p w14:paraId="38C9533D" w14:textId="3F6D1228" w:rsidR="00252B94" w:rsidRDefault="00AD52FB" w:rsidP="00AD52FB">
      <w:pPr>
        <w:pStyle w:val="paragraphsub"/>
      </w:pPr>
      <w:r>
        <w:tab/>
        <w:t>(i)</w:t>
      </w:r>
      <w:r>
        <w:tab/>
        <w:t xml:space="preserve">the identity (if known) of the person making the complaint or </w:t>
      </w:r>
      <w:proofErr w:type="gramStart"/>
      <w:r>
        <w:t>report;</w:t>
      </w:r>
      <w:proofErr w:type="gramEnd"/>
    </w:p>
    <w:p w14:paraId="565E648B" w14:textId="6853389C" w:rsidR="00AD52FB" w:rsidRDefault="00AD52FB" w:rsidP="00AD52FB">
      <w:pPr>
        <w:pStyle w:val="paragraphsub"/>
      </w:pPr>
      <w:r>
        <w:tab/>
        <w:t>(ii)</w:t>
      </w:r>
      <w:r>
        <w:tab/>
      </w:r>
      <w:r w:rsidR="00EA77F4">
        <w:t xml:space="preserve">the </w:t>
      </w:r>
      <w:r w:rsidR="00D9197A">
        <w:t xml:space="preserve">date the complaint or report was </w:t>
      </w:r>
      <w:proofErr w:type="gramStart"/>
      <w:r w:rsidR="00D9197A">
        <w:t>made;</w:t>
      </w:r>
      <w:proofErr w:type="gramEnd"/>
    </w:p>
    <w:p w14:paraId="5BAFB247" w14:textId="6D86D75D" w:rsidR="00D9197A" w:rsidRDefault="00D9197A" w:rsidP="00AD52FB">
      <w:pPr>
        <w:pStyle w:val="paragraphsub"/>
      </w:pPr>
      <w:r>
        <w:tab/>
        <w:t>(iii)</w:t>
      </w:r>
      <w:r>
        <w:tab/>
        <w:t xml:space="preserve">the time and date </w:t>
      </w:r>
      <w:r w:rsidR="00236A02">
        <w:t xml:space="preserve">(if known) of the </w:t>
      </w:r>
      <w:proofErr w:type="gramStart"/>
      <w:r w:rsidR="00236A02">
        <w:t>interference</w:t>
      </w:r>
      <w:r w:rsidR="00DC1030">
        <w:t>;</w:t>
      </w:r>
      <w:proofErr w:type="gramEnd"/>
      <w:r w:rsidR="00D94C49">
        <w:t xml:space="preserve"> </w:t>
      </w:r>
    </w:p>
    <w:p w14:paraId="600A7991" w14:textId="15888BE2" w:rsidR="006A19AA" w:rsidRDefault="006A19AA" w:rsidP="00AD52FB">
      <w:pPr>
        <w:pStyle w:val="paragraphsub"/>
      </w:pPr>
      <w:r>
        <w:tab/>
        <w:t>(iv)</w:t>
      </w:r>
      <w:r>
        <w:tab/>
        <w:t xml:space="preserve">the radiocommunications (if known) that </w:t>
      </w:r>
      <w:r w:rsidR="00B24CDF">
        <w:t>were subject to the interference;</w:t>
      </w:r>
      <w:r w:rsidR="00497F30">
        <w:t xml:space="preserve"> and</w:t>
      </w:r>
    </w:p>
    <w:p w14:paraId="51D04F11" w14:textId="77777777" w:rsidR="00CB5F4D" w:rsidRDefault="00451297" w:rsidP="00252B94">
      <w:pPr>
        <w:pStyle w:val="paragraph"/>
      </w:pPr>
      <w:r>
        <w:tab/>
        <w:t>(c)</w:t>
      </w:r>
      <w:r>
        <w:tab/>
        <w:t xml:space="preserve">if the person </w:t>
      </w:r>
      <w:r w:rsidR="00D94C49">
        <w:t xml:space="preserve">takes any steps or other action to prevent or reduce the interference mentioned in paragraph (b) – </w:t>
      </w:r>
      <w:r w:rsidR="00250F8E">
        <w:t>at</w:t>
      </w:r>
      <w:r w:rsidR="00421AA3">
        <w:t xml:space="preserve"> the time the person takes those steps or </w:t>
      </w:r>
      <w:r w:rsidR="001F3546">
        <w:t xml:space="preserve">that </w:t>
      </w:r>
      <w:r w:rsidR="00421AA3">
        <w:t>action</w:t>
      </w:r>
      <w:r w:rsidR="00250F8E">
        <w:t xml:space="preserve">, create a </w:t>
      </w:r>
      <w:r w:rsidR="00111181">
        <w:t xml:space="preserve">written </w:t>
      </w:r>
      <w:r w:rsidR="00250F8E">
        <w:t xml:space="preserve">record of those steps or </w:t>
      </w:r>
      <w:r w:rsidR="008A326A">
        <w:t xml:space="preserve">that </w:t>
      </w:r>
      <w:r w:rsidR="00250F8E">
        <w:t>action</w:t>
      </w:r>
      <w:r w:rsidR="00CB5F4D">
        <w:t>; and</w:t>
      </w:r>
    </w:p>
    <w:p w14:paraId="3E89E3F8" w14:textId="41CD5237" w:rsidR="00CB5F4D" w:rsidRDefault="00CB5F4D" w:rsidP="00CB5F4D">
      <w:pPr>
        <w:pStyle w:val="paragraph"/>
      </w:pPr>
      <w:r>
        <w:tab/>
        <w:t>(d)</w:t>
      </w:r>
      <w:r>
        <w:tab/>
      </w:r>
      <w:r w:rsidR="00BB026C">
        <w:t xml:space="preserve">as soon as practicable after each time the person operates the device, </w:t>
      </w:r>
      <w:r w:rsidR="005A5784">
        <w:t xml:space="preserve">create a written record of </w:t>
      </w:r>
      <w:r>
        <w:t>the following:</w:t>
      </w:r>
    </w:p>
    <w:p w14:paraId="4CB7C598" w14:textId="6DD2C648" w:rsidR="00CB5F4D" w:rsidRDefault="00CB5F4D" w:rsidP="00CB5F4D">
      <w:pPr>
        <w:pStyle w:val="paragraphsub"/>
      </w:pPr>
      <w:r>
        <w:tab/>
        <w:t>(i)</w:t>
      </w:r>
      <w:r>
        <w:tab/>
        <w:t xml:space="preserve">the frequencies on which the device </w:t>
      </w:r>
      <w:proofErr w:type="gramStart"/>
      <w:r>
        <w:t>operated;</w:t>
      </w:r>
      <w:proofErr w:type="gramEnd"/>
    </w:p>
    <w:p w14:paraId="41243282" w14:textId="3774CF11" w:rsidR="00CB5F4D" w:rsidRDefault="00CB5F4D" w:rsidP="00CB5F4D">
      <w:pPr>
        <w:pStyle w:val="paragraphsub"/>
      </w:pPr>
      <w:r>
        <w:tab/>
        <w:t>(i</w:t>
      </w:r>
      <w:r w:rsidR="00BB026C">
        <w:t>i</w:t>
      </w:r>
      <w:r>
        <w:t>)</w:t>
      </w:r>
      <w:r>
        <w:tab/>
        <w:t xml:space="preserve">if the device is a transmitter – the maximum power at which the device </w:t>
      </w:r>
      <w:proofErr w:type="gramStart"/>
      <w:r w:rsidR="002E2FC8">
        <w:t>transmitted</w:t>
      </w:r>
      <w:r>
        <w:t>;</w:t>
      </w:r>
      <w:proofErr w:type="gramEnd"/>
    </w:p>
    <w:p w14:paraId="2595E2D6" w14:textId="00DA6724" w:rsidR="00451297" w:rsidRDefault="00CB5F4D" w:rsidP="002E2FC8">
      <w:pPr>
        <w:pStyle w:val="paragraphsub"/>
      </w:pPr>
      <w:r>
        <w:tab/>
        <w:t>(</w:t>
      </w:r>
      <w:r w:rsidR="002E2FC8">
        <w:t>iii</w:t>
      </w:r>
      <w:r>
        <w:t>)</w:t>
      </w:r>
      <w:r>
        <w:tab/>
        <w:t xml:space="preserve">the maximum </w:t>
      </w:r>
      <w:r w:rsidR="00501206">
        <w:t>E</w:t>
      </w:r>
      <w:r w:rsidR="00824C04">
        <w:t>IRP</w:t>
      </w:r>
      <w:r>
        <w:t xml:space="preserve"> of the device</w:t>
      </w:r>
      <w:r w:rsidR="002E2FC8">
        <w:t xml:space="preserve"> </w:t>
      </w:r>
      <w:r w:rsidR="00234E19">
        <w:t>at the time</w:t>
      </w:r>
      <w:r w:rsidR="002E2FC8">
        <w:t xml:space="preserve"> it was operated</w:t>
      </w:r>
      <w:r w:rsidR="00A0190A">
        <w:t>.</w:t>
      </w:r>
    </w:p>
    <w:p w14:paraId="160FAB24" w14:textId="3713A880" w:rsidR="00BB3FB4" w:rsidRDefault="00BB3FB4" w:rsidP="00872F80">
      <w:pPr>
        <w:pStyle w:val="subsection"/>
        <w:spacing w:after="120"/>
      </w:pPr>
      <w:r>
        <w:tab/>
        <w:t>(</w:t>
      </w:r>
      <w:r w:rsidR="00275718">
        <w:t>4</w:t>
      </w:r>
      <w:r>
        <w:t>)</w:t>
      </w:r>
      <w:r>
        <w:tab/>
        <w:t xml:space="preserve">If </w:t>
      </w:r>
      <w:r w:rsidR="00D97B49">
        <w:t xml:space="preserve">the exemption relates to the supply of </w:t>
      </w:r>
      <w:r>
        <w:t>a banned device, the person must</w:t>
      </w:r>
      <w:r w:rsidR="006A19AA">
        <w:t xml:space="preserve">, </w:t>
      </w:r>
      <w:r w:rsidR="00341172">
        <w:t>at</w:t>
      </w:r>
      <w:r w:rsidR="006A19AA">
        <w:t xml:space="preserve"> the time </w:t>
      </w:r>
      <w:r w:rsidR="00E00767">
        <w:t xml:space="preserve">of </w:t>
      </w:r>
      <w:r w:rsidR="006A19AA">
        <w:t>the supp</w:t>
      </w:r>
      <w:r w:rsidR="00D42C0A">
        <w:t>l</w:t>
      </w:r>
      <w:r w:rsidR="00E00767">
        <w:t>y</w:t>
      </w:r>
      <w:r w:rsidR="00341172">
        <w:t xml:space="preserve">, create a </w:t>
      </w:r>
      <w:r w:rsidR="00A24149">
        <w:t xml:space="preserve">written </w:t>
      </w:r>
      <w:r w:rsidR="00341172">
        <w:t>record of</w:t>
      </w:r>
      <w:r w:rsidR="006463A8">
        <w:t xml:space="preserve"> the following</w:t>
      </w:r>
      <w:r>
        <w:t>:</w:t>
      </w:r>
    </w:p>
    <w:p w14:paraId="72253514" w14:textId="1696D548" w:rsidR="00BB3FB4" w:rsidRDefault="00BB3FB4" w:rsidP="00BB3FB4">
      <w:pPr>
        <w:pStyle w:val="paragraph"/>
      </w:pPr>
      <w:r>
        <w:tab/>
        <w:t>(a)</w:t>
      </w:r>
      <w:r>
        <w:tab/>
      </w:r>
      <w:r w:rsidR="006A19AA">
        <w:t xml:space="preserve">the identity of the person </w:t>
      </w:r>
      <w:r w:rsidR="00B24CDF">
        <w:t xml:space="preserve">to whom the device was </w:t>
      </w:r>
      <w:proofErr w:type="gramStart"/>
      <w:r w:rsidR="00B24CDF">
        <w:t>supplied;</w:t>
      </w:r>
      <w:proofErr w:type="gramEnd"/>
    </w:p>
    <w:p w14:paraId="0C5E2CED" w14:textId="1F35246F" w:rsidR="00B24CDF" w:rsidRDefault="00B24CDF" w:rsidP="00BB3FB4">
      <w:pPr>
        <w:pStyle w:val="paragraph"/>
      </w:pPr>
      <w:r>
        <w:tab/>
        <w:t>(b)</w:t>
      </w:r>
      <w:r>
        <w:tab/>
      </w:r>
      <w:r w:rsidR="00E33D61">
        <w:t xml:space="preserve">any information that verifies the identity of the person to whom the device was </w:t>
      </w:r>
      <w:proofErr w:type="gramStart"/>
      <w:r w:rsidR="00E33D61">
        <w:t>supplied;</w:t>
      </w:r>
      <w:proofErr w:type="gramEnd"/>
    </w:p>
    <w:p w14:paraId="29AF1D94" w14:textId="4AAA6004" w:rsidR="00B859D9" w:rsidRDefault="00E33D61" w:rsidP="00BB3FB4">
      <w:pPr>
        <w:pStyle w:val="paragraph"/>
      </w:pPr>
      <w:r>
        <w:tab/>
        <w:t>(c)</w:t>
      </w:r>
      <w:r>
        <w:tab/>
        <w:t xml:space="preserve">the date the device was </w:t>
      </w:r>
      <w:proofErr w:type="gramStart"/>
      <w:r>
        <w:t>supplied</w:t>
      </w:r>
      <w:r w:rsidR="00B859D9">
        <w:t>;</w:t>
      </w:r>
      <w:proofErr w:type="gramEnd"/>
      <w:r w:rsidR="00D97B49">
        <w:t xml:space="preserve"> </w:t>
      </w:r>
    </w:p>
    <w:p w14:paraId="0DFF19C7" w14:textId="0EC6F2CE" w:rsidR="002E2FC8" w:rsidRDefault="00B859D9" w:rsidP="00BB3FB4">
      <w:pPr>
        <w:pStyle w:val="paragraph"/>
      </w:pPr>
      <w:r>
        <w:tab/>
        <w:t>(d)</w:t>
      </w:r>
      <w:r>
        <w:tab/>
        <w:t xml:space="preserve">the </w:t>
      </w:r>
      <w:r w:rsidR="00AE7F95">
        <w:t xml:space="preserve">kind of </w:t>
      </w:r>
      <w:r>
        <w:t xml:space="preserve">device that was </w:t>
      </w:r>
      <w:proofErr w:type="gramStart"/>
      <w:r>
        <w:t>supplied</w:t>
      </w:r>
      <w:r w:rsidR="002E2FC8">
        <w:t>;</w:t>
      </w:r>
      <w:proofErr w:type="gramEnd"/>
    </w:p>
    <w:p w14:paraId="205CB40A" w14:textId="0B9716DB" w:rsidR="002E2FC8" w:rsidRDefault="002E2FC8" w:rsidP="0014408F">
      <w:pPr>
        <w:pStyle w:val="paragraph"/>
      </w:pPr>
      <w:r>
        <w:tab/>
        <w:t>(e)</w:t>
      </w:r>
      <w:r>
        <w:tab/>
        <w:t xml:space="preserve">the frequencies on which the device operates or is capable of </w:t>
      </w:r>
      <w:proofErr w:type="gramStart"/>
      <w:r>
        <w:t>operating;</w:t>
      </w:r>
      <w:proofErr w:type="gramEnd"/>
    </w:p>
    <w:p w14:paraId="1F73AF76" w14:textId="70BC2430" w:rsidR="002E2FC8" w:rsidRDefault="002E2FC8" w:rsidP="0014408F">
      <w:pPr>
        <w:pStyle w:val="paragraph"/>
      </w:pPr>
      <w:r>
        <w:tab/>
        <w:t>(</w:t>
      </w:r>
      <w:r w:rsidR="00F77B84">
        <w:t>f</w:t>
      </w:r>
      <w:r>
        <w:t>)</w:t>
      </w:r>
      <w:r>
        <w:tab/>
        <w:t xml:space="preserve">if the device is a transmitter – the maximum power at which the device is capable of </w:t>
      </w:r>
      <w:proofErr w:type="gramStart"/>
      <w:r>
        <w:t>transmitting;</w:t>
      </w:r>
      <w:proofErr w:type="gramEnd"/>
    </w:p>
    <w:p w14:paraId="45B89F55" w14:textId="42FF4AF9" w:rsidR="00E33D61" w:rsidRDefault="002E2FC8" w:rsidP="0014408F">
      <w:pPr>
        <w:pStyle w:val="paragraph"/>
      </w:pPr>
      <w:r>
        <w:lastRenderedPageBreak/>
        <w:tab/>
        <w:t>(</w:t>
      </w:r>
      <w:r w:rsidR="00F77B84">
        <w:t>g</w:t>
      </w:r>
      <w:r>
        <w:t>)</w:t>
      </w:r>
      <w:r>
        <w:tab/>
        <w:t xml:space="preserve">the maximum </w:t>
      </w:r>
      <w:r w:rsidR="00824C04">
        <w:t>EIRP</w:t>
      </w:r>
      <w:r>
        <w:t xml:space="preserve"> of the device</w:t>
      </w:r>
      <w:r w:rsidR="00275718">
        <w:t>.</w:t>
      </w:r>
    </w:p>
    <w:p w14:paraId="58D5B830" w14:textId="77777777" w:rsidR="00C00BD4" w:rsidRDefault="00275718" w:rsidP="00872F80">
      <w:pPr>
        <w:pStyle w:val="subsection"/>
        <w:spacing w:after="120"/>
      </w:pPr>
      <w:r>
        <w:tab/>
        <w:t>(5)</w:t>
      </w:r>
      <w:r>
        <w:tab/>
        <w:t xml:space="preserve">For the purposes of </w:t>
      </w:r>
      <w:r w:rsidR="00D01F8A">
        <w:t>subsection (4), if</w:t>
      </w:r>
      <w:r w:rsidR="00C00BD4">
        <w:t>:</w:t>
      </w:r>
    </w:p>
    <w:p w14:paraId="5A05EA81" w14:textId="77777777" w:rsidR="00C00BD4" w:rsidRDefault="00C00BD4" w:rsidP="00C00BD4">
      <w:pPr>
        <w:pStyle w:val="paragraph"/>
      </w:pPr>
      <w:r>
        <w:tab/>
        <w:t>(a)</w:t>
      </w:r>
      <w:r>
        <w:tab/>
      </w:r>
      <w:r w:rsidR="00D01F8A">
        <w:t xml:space="preserve"> a person supplies more than one banned device to </w:t>
      </w:r>
      <w:r w:rsidR="002F1F74">
        <w:t>a</w:t>
      </w:r>
      <w:r w:rsidR="00D97B49">
        <w:t>nother</w:t>
      </w:r>
      <w:r w:rsidR="00D01F8A">
        <w:t xml:space="preserve"> person</w:t>
      </w:r>
      <w:r w:rsidR="002F1F74">
        <w:t xml:space="preserve"> (</w:t>
      </w:r>
      <w:r w:rsidR="002F1F74" w:rsidRPr="002F1F74">
        <w:rPr>
          <w:b/>
          <w:bCs/>
          <w:i/>
          <w:iCs/>
        </w:rPr>
        <w:t>the recipient</w:t>
      </w:r>
      <w:r w:rsidR="002F1F74">
        <w:t>)</w:t>
      </w:r>
      <w:r w:rsidR="00D01F8A">
        <w:t xml:space="preserve"> on the one day</w:t>
      </w:r>
      <w:r>
        <w:t>; and</w:t>
      </w:r>
    </w:p>
    <w:p w14:paraId="1D02E5DB" w14:textId="0D4BEB43" w:rsidR="00C00BD4" w:rsidRDefault="00C00BD4" w:rsidP="00EF49FB">
      <w:pPr>
        <w:pStyle w:val="paragraph"/>
        <w:spacing w:after="120"/>
      </w:pPr>
      <w:r>
        <w:tab/>
        <w:t>(b)</w:t>
      </w:r>
      <w:r>
        <w:tab/>
      </w:r>
      <w:r w:rsidR="00A72654">
        <w:t>those banned</w:t>
      </w:r>
      <w:r>
        <w:t xml:space="preserve"> device</w:t>
      </w:r>
      <w:r w:rsidR="00A72654">
        <w:t>s</w:t>
      </w:r>
      <w:r>
        <w:t xml:space="preserve"> </w:t>
      </w:r>
      <w:r w:rsidR="009F7E4F">
        <w:t>are</w:t>
      </w:r>
      <w:r w:rsidR="00A344CF">
        <w:t xml:space="preserve"> identical</w:t>
      </w:r>
      <w:r w:rsidR="00C6787C">
        <w:t xml:space="preserve"> </w:t>
      </w:r>
      <w:r w:rsidR="00C94D4B">
        <w:t xml:space="preserve">at the time </w:t>
      </w:r>
      <w:r w:rsidR="00DC307A">
        <w:t xml:space="preserve">of </w:t>
      </w:r>
      <w:r w:rsidR="00C94D4B">
        <w:t xml:space="preserve">the </w:t>
      </w:r>
      <w:proofErr w:type="gramStart"/>
      <w:r w:rsidR="00C94D4B">
        <w:t>supply</w:t>
      </w:r>
      <w:r w:rsidR="00A344CF">
        <w:t>;</w:t>
      </w:r>
      <w:proofErr w:type="gramEnd"/>
    </w:p>
    <w:p w14:paraId="2543138A" w14:textId="56EBFC8F" w:rsidR="00275718" w:rsidRDefault="00C00BD4" w:rsidP="00A344CF">
      <w:pPr>
        <w:pStyle w:val="subsection"/>
        <w:spacing w:before="60"/>
      </w:pPr>
      <w:r>
        <w:tab/>
      </w:r>
      <w:r>
        <w:tab/>
      </w:r>
      <w:r w:rsidR="00D01F8A">
        <w:t xml:space="preserve">only one record needs to be created </w:t>
      </w:r>
      <w:r w:rsidR="002F1F74">
        <w:t>if</w:t>
      </w:r>
      <w:r w:rsidR="00D01F8A">
        <w:t xml:space="preserve"> </w:t>
      </w:r>
      <w:r w:rsidR="002F1F74">
        <w:t xml:space="preserve">the </w:t>
      </w:r>
      <w:r w:rsidR="00D97B49">
        <w:t>record also includes</w:t>
      </w:r>
      <w:r w:rsidR="002F1F74">
        <w:t xml:space="preserve"> </w:t>
      </w:r>
      <w:r w:rsidR="00D01F8A">
        <w:t>the number of banned</w:t>
      </w:r>
      <w:r w:rsidR="002F1F74">
        <w:t xml:space="preserve"> devices supplied to the recipient</w:t>
      </w:r>
      <w:r w:rsidR="00EB67F4">
        <w:t xml:space="preserve">, and </w:t>
      </w:r>
      <w:r w:rsidR="00CA3ADB">
        <w:t>the</w:t>
      </w:r>
      <w:r w:rsidR="00EB67F4">
        <w:t xml:space="preserve"> kind of banned device</w:t>
      </w:r>
      <w:r w:rsidR="008B2DCF">
        <w:t>s</w:t>
      </w:r>
      <w:r w:rsidR="00EB67F4">
        <w:t xml:space="preserve"> that </w:t>
      </w:r>
      <w:r w:rsidR="008B2DCF">
        <w:t>were</w:t>
      </w:r>
      <w:r w:rsidR="00EB67F4">
        <w:t xml:space="preserve"> supplied to the recipient</w:t>
      </w:r>
      <w:r w:rsidR="00D97B49">
        <w:t>, on that day</w:t>
      </w:r>
      <w:r w:rsidR="002F1F74">
        <w:t>.</w:t>
      </w:r>
    </w:p>
    <w:p w14:paraId="1C1DBDAD" w14:textId="2AF7407A" w:rsidR="00C43518" w:rsidRPr="00B92AD9" w:rsidRDefault="00BC4DA2" w:rsidP="00C43518">
      <w:pPr>
        <w:pStyle w:val="ActHead5"/>
      </w:pPr>
      <w:proofErr w:type="gramStart"/>
      <w:r>
        <w:rPr>
          <w:rStyle w:val="CharSectno"/>
        </w:rPr>
        <w:t>13</w:t>
      </w:r>
      <w:r w:rsidR="00C43518" w:rsidRPr="00B92AD9">
        <w:t xml:space="preserve">  </w:t>
      </w:r>
      <w:r w:rsidR="00C43518">
        <w:t>Condition</w:t>
      </w:r>
      <w:proofErr w:type="gramEnd"/>
      <w:r w:rsidR="00C43518">
        <w:t xml:space="preserve"> </w:t>
      </w:r>
      <w:r w:rsidR="00E51BD3">
        <w:t>of</w:t>
      </w:r>
      <w:r w:rsidR="00C43518">
        <w:t xml:space="preserve"> exemption – </w:t>
      </w:r>
      <w:r w:rsidR="00E51BD3">
        <w:t>retention of</w:t>
      </w:r>
      <w:r w:rsidR="00C43518">
        <w:t xml:space="preserve"> records</w:t>
      </w:r>
    </w:p>
    <w:p w14:paraId="58EF0FBD" w14:textId="6A715079" w:rsidR="00C43518" w:rsidRDefault="00C43518" w:rsidP="009C561C">
      <w:pPr>
        <w:pStyle w:val="subsection"/>
      </w:pPr>
      <w:r>
        <w:tab/>
      </w:r>
      <w:r>
        <w:tab/>
      </w:r>
      <w:r w:rsidR="00881A4A">
        <w:t xml:space="preserve">It is a condition of an exemption under item 1, 2 or 3 of the table that a person who is required to create a record </w:t>
      </w:r>
      <w:r w:rsidR="00881A4A" w:rsidRPr="00C24B56">
        <w:t xml:space="preserve">under section </w:t>
      </w:r>
      <w:r w:rsidR="00814CA9" w:rsidRPr="00C24B56">
        <w:t>12</w:t>
      </w:r>
      <w:r w:rsidR="00881A4A" w:rsidRPr="00C24B56">
        <w:t xml:space="preserve"> must</w:t>
      </w:r>
      <w:r w:rsidR="00881A4A">
        <w:t xml:space="preserve"> retain</w:t>
      </w:r>
      <w:r w:rsidR="009C561C">
        <w:t xml:space="preserve"> the record for at least 5 years.</w:t>
      </w:r>
    </w:p>
    <w:p w14:paraId="15C45242" w14:textId="18292F17" w:rsidR="00CB16A0" w:rsidRPr="00B92AD9" w:rsidRDefault="00BC4DA2" w:rsidP="00CB16A0">
      <w:pPr>
        <w:pStyle w:val="ActHead5"/>
      </w:pPr>
      <w:proofErr w:type="gramStart"/>
      <w:r>
        <w:rPr>
          <w:rStyle w:val="CharSectno"/>
        </w:rPr>
        <w:t>14</w:t>
      </w:r>
      <w:r w:rsidR="00CB16A0" w:rsidRPr="00B92AD9">
        <w:t xml:space="preserve">  </w:t>
      </w:r>
      <w:r w:rsidR="00CB16A0">
        <w:t>Condition</w:t>
      </w:r>
      <w:proofErr w:type="gramEnd"/>
      <w:r w:rsidR="00CB16A0">
        <w:t xml:space="preserve"> </w:t>
      </w:r>
      <w:r w:rsidR="009C561C">
        <w:t>of</w:t>
      </w:r>
      <w:r w:rsidR="00CB16A0">
        <w:t xml:space="preserve"> exemption – providing records to the ACMA</w:t>
      </w:r>
      <w:r w:rsidR="00E97F50">
        <w:t xml:space="preserve"> or an inspector</w:t>
      </w:r>
    </w:p>
    <w:p w14:paraId="4923EA91" w14:textId="7F0045DD" w:rsidR="00E97F50" w:rsidRDefault="00E97F50" w:rsidP="00387128">
      <w:pPr>
        <w:pStyle w:val="subsection"/>
      </w:pPr>
      <w:r>
        <w:tab/>
      </w:r>
      <w:r w:rsidR="009C561C">
        <w:t>(1)</w:t>
      </w:r>
      <w:r>
        <w:tab/>
      </w:r>
      <w:r w:rsidR="009C561C">
        <w:t xml:space="preserve">It is a condition of an exemption under item 1, 2 or 3 of the table that a person who is required to create a record under </w:t>
      </w:r>
      <w:r w:rsidR="009C561C" w:rsidRPr="00C24B56">
        <w:t xml:space="preserve">section </w:t>
      </w:r>
      <w:r w:rsidR="00814CA9" w:rsidRPr="00C24B56">
        <w:t>12</w:t>
      </w:r>
      <w:r w:rsidR="009C561C" w:rsidRPr="00C24B56">
        <w:t xml:space="preserve"> must</w:t>
      </w:r>
      <w:r w:rsidR="009C561C">
        <w:t xml:space="preserve"> comply</w:t>
      </w:r>
      <w:r>
        <w:t xml:space="preserve"> with </w:t>
      </w:r>
      <w:r w:rsidR="00AD26AD">
        <w:t>subsection (2)</w:t>
      </w:r>
      <w:r>
        <w:t>.</w:t>
      </w:r>
    </w:p>
    <w:p w14:paraId="7B28EC0F" w14:textId="5CF0D059" w:rsidR="00CB16A0" w:rsidRDefault="00AD26AD" w:rsidP="00275718">
      <w:pPr>
        <w:pStyle w:val="subsection"/>
      </w:pPr>
      <w:r>
        <w:tab/>
        <w:t>(2)</w:t>
      </w:r>
      <w:r>
        <w:tab/>
        <w:t xml:space="preserve">If the ACMA or an </w:t>
      </w:r>
      <w:proofErr w:type="gramStart"/>
      <w:r>
        <w:t>inspector</w:t>
      </w:r>
      <w:r w:rsidR="002F29EC">
        <w:t xml:space="preserve"> requests</w:t>
      </w:r>
      <w:proofErr w:type="gramEnd"/>
      <w:r w:rsidR="002F29EC">
        <w:t xml:space="preserve">, in writing, the person to </w:t>
      </w:r>
      <w:r w:rsidR="009C561C">
        <w:t>provide</w:t>
      </w:r>
      <w:r w:rsidR="002F29EC">
        <w:t xml:space="preserve"> a copy of </w:t>
      </w:r>
      <w:r w:rsidR="009C561C">
        <w:t>the</w:t>
      </w:r>
      <w:r w:rsidR="002F29EC">
        <w:t xml:space="preserve"> record created, the person must </w:t>
      </w:r>
      <w:r w:rsidR="009C561C">
        <w:t>provide the copy to</w:t>
      </w:r>
      <w:r w:rsidR="002F29EC">
        <w:t xml:space="preserve"> the ACMA or the inspector within </w:t>
      </w:r>
      <w:r w:rsidR="003B52E8">
        <w:t>such</w:t>
      </w:r>
      <w:r w:rsidR="002F29EC">
        <w:t xml:space="preserve"> period</w:t>
      </w:r>
      <w:r w:rsidR="00DA6C1B">
        <w:t xml:space="preserve">, </w:t>
      </w:r>
      <w:r w:rsidR="0019621D">
        <w:t xml:space="preserve">being </w:t>
      </w:r>
      <w:r w:rsidR="00DA6C1B">
        <w:t>not less than 2 days,</w:t>
      </w:r>
      <w:r w:rsidR="002F29EC">
        <w:t xml:space="preserve"> </w:t>
      </w:r>
      <w:r w:rsidR="003B52E8">
        <w:t xml:space="preserve">as is </w:t>
      </w:r>
      <w:r w:rsidR="002F29EC">
        <w:t xml:space="preserve">specified in the request. </w:t>
      </w:r>
    </w:p>
    <w:p w14:paraId="1D68E1E8" w14:textId="77777777" w:rsidR="00C833C6" w:rsidRDefault="00C833C6" w:rsidP="00275718">
      <w:pPr>
        <w:pStyle w:val="subsection"/>
      </w:pPr>
    </w:p>
    <w:p w14:paraId="31E194A0" w14:textId="77777777" w:rsidR="009C5613" w:rsidRDefault="009C5613" w:rsidP="00BB3FB4">
      <w:pPr>
        <w:pStyle w:val="paragraph"/>
        <w:sectPr w:rsidR="009C5613" w:rsidSect="003626D8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7279A101" w14:textId="77777777" w:rsidR="00C629A3" w:rsidRDefault="00C629A3" w:rsidP="00872F80">
      <w:pPr>
        <w:pStyle w:val="Heading1"/>
        <w:spacing w:before="0" w:line="257" w:lineRule="auto"/>
        <w:ind w:left="709" w:hanging="709"/>
        <w:rPr>
          <w:rStyle w:val="CharPartText"/>
          <w:rFonts w:ascii="Times New Roman" w:hAnsi="Times New Roman" w:cs="Times New Roman"/>
          <w:b/>
          <w:bCs/>
          <w:color w:val="auto"/>
        </w:rPr>
        <w:sectPr w:rsidR="00C629A3" w:rsidSect="007644E8">
          <w:headerReference w:type="default" r:id="rId21"/>
          <w:footerReference w:type="default" r:id="rId22"/>
          <w:type w:val="continuous"/>
          <w:pgSz w:w="11906" w:h="16838"/>
          <w:pgMar w:top="1440" w:right="1440" w:bottom="1440" w:left="1440" w:header="708" w:footer="708" w:gutter="0"/>
          <w:pgNumType w:start="0"/>
          <w:cols w:space="720"/>
        </w:sectPr>
      </w:pPr>
    </w:p>
    <w:p w14:paraId="6F0C9055" w14:textId="7A3C32E6" w:rsidR="009C5613" w:rsidRPr="00C73DD7" w:rsidRDefault="009C5613" w:rsidP="00872F80">
      <w:pPr>
        <w:pStyle w:val="Heading1"/>
        <w:spacing w:before="0" w:line="257" w:lineRule="auto"/>
        <w:ind w:left="709" w:hanging="709"/>
        <w:rPr>
          <w:rStyle w:val="CharPartText"/>
          <w:rFonts w:ascii="Times New Roman" w:hAnsi="Times New Roman" w:cs="Times New Roman"/>
          <w:b/>
          <w:bCs/>
          <w:color w:val="auto"/>
          <w:sz w:val="22"/>
          <w:szCs w:val="20"/>
          <w:lang w:eastAsia="en-AU"/>
        </w:rPr>
      </w:pPr>
      <w:r w:rsidRPr="00C73DD7">
        <w:rPr>
          <w:rStyle w:val="CharPartText"/>
          <w:rFonts w:ascii="Times New Roman" w:hAnsi="Times New Roman" w:cs="Times New Roman"/>
          <w:b/>
          <w:bCs/>
          <w:color w:val="auto"/>
        </w:rPr>
        <w:lastRenderedPageBreak/>
        <w:t>Schedule 1—</w:t>
      </w:r>
      <w:r w:rsidR="00CA39F9">
        <w:rPr>
          <w:rStyle w:val="CharPartText"/>
          <w:rFonts w:ascii="Times New Roman" w:hAnsi="Times New Roman" w:cs="Times New Roman"/>
          <w:b/>
          <w:bCs/>
          <w:color w:val="auto"/>
        </w:rPr>
        <w:t>Named person</w:t>
      </w:r>
      <w:r w:rsidR="0017798D">
        <w:rPr>
          <w:rStyle w:val="CharPartText"/>
          <w:rFonts w:ascii="Times New Roman" w:hAnsi="Times New Roman" w:cs="Times New Roman"/>
          <w:b/>
          <w:bCs/>
          <w:color w:val="auto"/>
        </w:rPr>
        <w:t>s</w:t>
      </w:r>
    </w:p>
    <w:p w14:paraId="5009F87A" w14:textId="72C94096" w:rsidR="009C5613" w:rsidRPr="00C24B56" w:rsidRDefault="009C5613" w:rsidP="009C5613">
      <w:pPr>
        <w:ind w:firstLine="1276"/>
        <w:rPr>
          <w:rFonts w:ascii="Times New Roman" w:hAnsi="Times New Roman" w:cs="Times New Roman"/>
          <w:sz w:val="20"/>
          <w:szCs w:val="20"/>
          <w:lang w:eastAsia="en-AU"/>
        </w:rPr>
      </w:pPr>
      <w:r w:rsidRPr="00C24B56">
        <w:rPr>
          <w:rFonts w:ascii="Times New Roman" w:hAnsi="Times New Roman" w:cs="Times New Roman"/>
          <w:sz w:val="20"/>
          <w:szCs w:val="20"/>
          <w:lang w:eastAsia="en-AU"/>
        </w:rPr>
        <w:t>(</w:t>
      </w:r>
      <w:proofErr w:type="gramStart"/>
      <w:r w:rsidR="00F944F2" w:rsidRPr="00C24B56">
        <w:rPr>
          <w:rFonts w:ascii="Times New Roman" w:hAnsi="Times New Roman" w:cs="Times New Roman"/>
          <w:sz w:val="20"/>
          <w:szCs w:val="20"/>
          <w:lang w:eastAsia="en-AU"/>
        </w:rPr>
        <w:t>section</w:t>
      </w:r>
      <w:proofErr w:type="gramEnd"/>
      <w:r w:rsidR="00F944F2" w:rsidRPr="00C24B56">
        <w:rPr>
          <w:rFonts w:ascii="Times New Roman" w:hAnsi="Times New Roman" w:cs="Times New Roman"/>
          <w:sz w:val="20"/>
          <w:szCs w:val="20"/>
          <w:lang w:eastAsia="en-AU"/>
        </w:rPr>
        <w:t xml:space="preserve"> </w:t>
      </w:r>
      <w:r w:rsidR="006966F3" w:rsidRPr="00C24B56">
        <w:rPr>
          <w:rFonts w:ascii="Times New Roman" w:hAnsi="Times New Roman" w:cs="Times New Roman"/>
          <w:sz w:val="20"/>
          <w:szCs w:val="20"/>
          <w:lang w:eastAsia="en-AU"/>
        </w:rPr>
        <w:t>9</w:t>
      </w:r>
      <w:r w:rsidR="0019621D">
        <w:rPr>
          <w:rFonts w:ascii="Times New Roman" w:hAnsi="Times New Roman" w:cs="Times New Roman"/>
          <w:sz w:val="20"/>
          <w:szCs w:val="20"/>
          <w:lang w:eastAsia="en-AU"/>
        </w:rPr>
        <w:t xml:space="preserve"> and paragraph 11(m)</w:t>
      </w:r>
      <w:r w:rsidRPr="00C24B56">
        <w:rPr>
          <w:rFonts w:ascii="Times New Roman" w:hAnsi="Times New Roman" w:cs="Times New Roman"/>
          <w:sz w:val="20"/>
          <w:szCs w:val="20"/>
          <w:lang w:eastAsia="en-AU"/>
        </w:rPr>
        <w:t>)</w:t>
      </w:r>
    </w:p>
    <w:p w14:paraId="7343BDC8" w14:textId="59541593" w:rsidR="00BE0629" w:rsidRPr="00C24B56" w:rsidRDefault="001A4311" w:rsidP="00C81A46">
      <w:pPr>
        <w:pStyle w:val="Heading2"/>
        <w:rPr>
          <w:rStyle w:val="CharSectno"/>
        </w:rPr>
      </w:pPr>
      <w:proofErr w:type="gramStart"/>
      <w:r w:rsidRPr="00C24B56">
        <w:rPr>
          <w:rStyle w:val="CharSectno"/>
        </w:rPr>
        <w:t>1</w:t>
      </w:r>
      <w:r w:rsidR="00BE0629" w:rsidRPr="00C24B56">
        <w:rPr>
          <w:rStyle w:val="CharSectno"/>
        </w:rPr>
        <w:t xml:space="preserve">  ACMA</w:t>
      </w:r>
      <w:proofErr w:type="gramEnd"/>
      <w:r w:rsidR="00BE0629" w:rsidRPr="00C24B56">
        <w:rPr>
          <w:rStyle w:val="CharSectno"/>
        </w:rPr>
        <w:t xml:space="preserve"> may make notifiable instrument</w:t>
      </w:r>
    </w:p>
    <w:p w14:paraId="60AB62BC" w14:textId="601686CA" w:rsidR="00BE0629" w:rsidRDefault="00BE0629" w:rsidP="00BE0629">
      <w:pPr>
        <w:pStyle w:val="subsection"/>
        <w:spacing w:after="120"/>
      </w:pPr>
      <w:r w:rsidRPr="00C24B56">
        <w:tab/>
        <w:t>(1)</w:t>
      </w:r>
      <w:r w:rsidRPr="00C24B56">
        <w:tab/>
      </w:r>
      <w:r w:rsidR="004621DD" w:rsidRPr="00C24B56">
        <w:t>The ACMA may, by notifiable instrument, name a person</w:t>
      </w:r>
      <w:r w:rsidR="00814D31" w:rsidRPr="00C24B56">
        <w:t xml:space="preserve"> for the purposes of section </w:t>
      </w:r>
      <w:r w:rsidR="006966F3" w:rsidRPr="00C24B56">
        <w:t>9</w:t>
      </w:r>
      <w:r w:rsidR="0019621D">
        <w:t xml:space="preserve"> and paragraph 11(m)</w:t>
      </w:r>
      <w:r w:rsidR="00814D31" w:rsidRPr="00C24B56">
        <w:t>.</w:t>
      </w:r>
    </w:p>
    <w:p w14:paraId="638D9C90" w14:textId="0CC5B8C9" w:rsidR="000502AF" w:rsidRDefault="000502AF" w:rsidP="000502AF">
      <w:pPr>
        <w:pStyle w:val="notetext"/>
      </w:pPr>
      <w:r w:rsidRPr="00B92AD9">
        <w:t>Note:</w:t>
      </w:r>
      <w:r w:rsidRPr="00B92AD9">
        <w:tab/>
      </w:r>
      <w:r>
        <w:t>See subsection 302(5) of the Act.</w:t>
      </w:r>
    </w:p>
    <w:p w14:paraId="3C44093F" w14:textId="57D4C3ED" w:rsidR="00814D31" w:rsidRDefault="00814D31" w:rsidP="00BE0629">
      <w:pPr>
        <w:pStyle w:val="subsection"/>
        <w:spacing w:after="120"/>
      </w:pPr>
      <w:r>
        <w:tab/>
        <w:t>(2)</w:t>
      </w:r>
      <w:r>
        <w:tab/>
      </w:r>
      <w:r w:rsidR="00B7439B">
        <w:t>The ACMA must not make an instrument under subclause (1)</w:t>
      </w:r>
      <w:r w:rsidR="009B72A8">
        <w:t xml:space="preserve"> naming a person</w:t>
      </w:r>
      <w:r w:rsidR="00B7439B">
        <w:t xml:space="preserve"> unless the ACMA is satisfied that:</w:t>
      </w:r>
    </w:p>
    <w:p w14:paraId="357D745A" w14:textId="77777777" w:rsidR="00963147" w:rsidRDefault="00B7439B" w:rsidP="00B7439B">
      <w:pPr>
        <w:pStyle w:val="paragraph"/>
        <w:rPr>
          <w:iCs/>
        </w:rPr>
      </w:pPr>
      <w:r>
        <w:rPr>
          <w:iCs/>
        </w:rPr>
        <w:tab/>
        <w:t>(a)</w:t>
      </w:r>
      <w:r>
        <w:rPr>
          <w:iCs/>
        </w:rPr>
        <w:tab/>
      </w:r>
      <w:r w:rsidR="00963147">
        <w:rPr>
          <w:iCs/>
        </w:rPr>
        <w:t>either:</w:t>
      </w:r>
    </w:p>
    <w:p w14:paraId="165E2C5B" w14:textId="15F916D6" w:rsidR="00B7439B" w:rsidRDefault="00963147" w:rsidP="005D3F20">
      <w:pPr>
        <w:pStyle w:val="paragraphsub"/>
        <w:rPr>
          <w:iCs/>
        </w:rPr>
      </w:pPr>
      <w:r>
        <w:rPr>
          <w:iCs/>
        </w:rPr>
        <w:tab/>
        <w:t>(i)</w:t>
      </w:r>
      <w:r>
        <w:rPr>
          <w:iCs/>
        </w:rPr>
        <w:tab/>
      </w:r>
      <w:r w:rsidR="00B7439B">
        <w:rPr>
          <w:iCs/>
        </w:rPr>
        <w:t xml:space="preserve">the instrument </w:t>
      </w:r>
      <w:r w:rsidR="00DB2F47">
        <w:rPr>
          <w:iCs/>
        </w:rPr>
        <w:t xml:space="preserve">is in </w:t>
      </w:r>
      <w:r w:rsidR="00DB2F47" w:rsidRPr="00963147">
        <w:t>the</w:t>
      </w:r>
      <w:r w:rsidR="00DB2F47">
        <w:rPr>
          <w:iCs/>
        </w:rPr>
        <w:t xml:space="preserve"> public interest; or</w:t>
      </w:r>
    </w:p>
    <w:p w14:paraId="26924230" w14:textId="0C695DA9" w:rsidR="00963147" w:rsidRDefault="00B7439B" w:rsidP="00963147">
      <w:pPr>
        <w:pStyle w:val="paragraphsub"/>
        <w:rPr>
          <w:iCs/>
        </w:rPr>
      </w:pPr>
      <w:r>
        <w:rPr>
          <w:iCs/>
        </w:rPr>
        <w:tab/>
        <w:t>(</w:t>
      </w:r>
      <w:r w:rsidR="00963147">
        <w:rPr>
          <w:iCs/>
        </w:rPr>
        <w:t>ii</w:t>
      </w:r>
      <w:r>
        <w:rPr>
          <w:iCs/>
        </w:rPr>
        <w:t>)</w:t>
      </w:r>
      <w:r>
        <w:rPr>
          <w:iCs/>
        </w:rPr>
        <w:tab/>
        <w:t xml:space="preserve">the </w:t>
      </w:r>
      <w:r w:rsidR="00DB2F47">
        <w:rPr>
          <w:iCs/>
        </w:rPr>
        <w:t>instrument is consistent with legislative rules made for the purposes of paragraph 302(4)(b) of the Act</w:t>
      </w:r>
      <w:r w:rsidR="00963147">
        <w:rPr>
          <w:iCs/>
        </w:rPr>
        <w:t>; and</w:t>
      </w:r>
    </w:p>
    <w:p w14:paraId="35D86784" w14:textId="138800BB" w:rsidR="00B7439B" w:rsidRDefault="00963147" w:rsidP="00963147">
      <w:pPr>
        <w:pStyle w:val="paragraph"/>
        <w:rPr>
          <w:iCs/>
        </w:rPr>
      </w:pPr>
      <w:r>
        <w:rPr>
          <w:iCs/>
        </w:rPr>
        <w:tab/>
        <w:t>(b)</w:t>
      </w:r>
      <w:r>
        <w:rPr>
          <w:iCs/>
        </w:rPr>
        <w:tab/>
      </w:r>
      <w:r w:rsidR="002F322C">
        <w:rPr>
          <w:iCs/>
        </w:rPr>
        <w:t>naming the person would not lead to a significant risk of</w:t>
      </w:r>
      <w:r w:rsidR="005305D3">
        <w:rPr>
          <w:iCs/>
        </w:rPr>
        <w:t xml:space="preserve"> a contravention of</w:t>
      </w:r>
      <w:r w:rsidR="002F322C">
        <w:rPr>
          <w:iCs/>
        </w:rPr>
        <w:t xml:space="preserve"> a condition </w:t>
      </w:r>
      <w:r w:rsidR="005305D3">
        <w:rPr>
          <w:iCs/>
        </w:rPr>
        <w:t xml:space="preserve">of an exemption </w:t>
      </w:r>
      <w:r w:rsidR="00B05A34">
        <w:rPr>
          <w:iCs/>
        </w:rPr>
        <w:t>under any item of the table</w:t>
      </w:r>
      <w:r w:rsidR="00DB2F47">
        <w:rPr>
          <w:iCs/>
        </w:rPr>
        <w:t>.</w:t>
      </w:r>
    </w:p>
    <w:p w14:paraId="526EB197" w14:textId="4B776490" w:rsidR="00121BB3" w:rsidRDefault="00121BB3" w:rsidP="00BE0629">
      <w:pPr>
        <w:pStyle w:val="subsection"/>
        <w:spacing w:after="120"/>
      </w:pPr>
      <w:r>
        <w:tab/>
        <w:t>(3)</w:t>
      </w:r>
      <w:r>
        <w:tab/>
        <w:t>The ACMA may make an instrument under subclause (1) regardless of whether a person has made a</w:t>
      </w:r>
      <w:r w:rsidR="00E56B5B">
        <w:t>n application</w:t>
      </w:r>
      <w:r>
        <w:t xml:space="preserve"> under clause </w:t>
      </w:r>
      <w:r w:rsidR="001A4311">
        <w:t>3</w:t>
      </w:r>
      <w:r>
        <w:t>.</w:t>
      </w:r>
    </w:p>
    <w:p w14:paraId="3E59C440" w14:textId="3F96D6DA" w:rsidR="00AB36F4" w:rsidRDefault="00AB36F4" w:rsidP="00BE0629">
      <w:pPr>
        <w:pStyle w:val="subsection"/>
        <w:spacing w:after="120"/>
      </w:pPr>
      <w:r>
        <w:tab/>
        <w:t>(4)</w:t>
      </w:r>
      <w:r>
        <w:tab/>
      </w:r>
      <w:r w:rsidR="001B21B8">
        <w:t>If, b</w:t>
      </w:r>
      <w:r>
        <w:t>efore making an instrument under subclause (1) naming a person, the ACMA</w:t>
      </w:r>
      <w:r w:rsidR="001B21B8">
        <w:t xml:space="preserve"> has reason to believe that </w:t>
      </w:r>
      <w:r w:rsidR="005D299A">
        <w:t xml:space="preserve">the person intends to </w:t>
      </w:r>
      <w:proofErr w:type="gramStart"/>
      <w:r w:rsidR="005D299A">
        <w:t>supply</w:t>
      </w:r>
      <w:r w:rsidR="00492221">
        <w:t>,</w:t>
      </w:r>
      <w:proofErr w:type="gramEnd"/>
      <w:r w:rsidR="00492221">
        <w:t xml:space="preserve"> to a person outside Australia,</w:t>
      </w:r>
      <w:r w:rsidR="005D299A">
        <w:t xml:space="preserve"> a banned device that</w:t>
      </w:r>
      <w:r w:rsidR="00815346">
        <w:t xml:space="preserve"> is included</w:t>
      </w:r>
      <w:r w:rsidR="001054AB">
        <w:t xml:space="preserve"> in the</w:t>
      </w:r>
      <w:r w:rsidR="00BF4AD5">
        <w:t xml:space="preserve"> defence and strategic goods list</w:t>
      </w:r>
      <w:r w:rsidR="00C04855">
        <w:t xml:space="preserve">, </w:t>
      </w:r>
      <w:r w:rsidR="00955764">
        <w:t xml:space="preserve">the ACMA, </w:t>
      </w:r>
      <w:r w:rsidR="002017BB">
        <w:t>in deciding whether to make the instrument</w:t>
      </w:r>
      <w:r w:rsidR="00830319">
        <w:t>,</w:t>
      </w:r>
      <w:r w:rsidR="002017BB">
        <w:t xml:space="preserve"> </w:t>
      </w:r>
      <w:r w:rsidR="00C04855">
        <w:t>may have regard to</w:t>
      </w:r>
      <w:r w:rsidR="002017BB">
        <w:t>:</w:t>
      </w:r>
    </w:p>
    <w:p w14:paraId="2962FDFB" w14:textId="23D22AFD" w:rsidR="00AB36F4" w:rsidRPr="00F47753" w:rsidRDefault="00AB36F4" w:rsidP="00AB36F4">
      <w:pPr>
        <w:pStyle w:val="paragraph"/>
      </w:pPr>
      <w:r>
        <w:tab/>
        <w:t>(a)</w:t>
      </w:r>
      <w:r>
        <w:tab/>
      </w:r>
      <w:r w:rsidR="009A697C">
        <w:t xml:space="preserve">whether the person has </w:t>
      </w:r>
      <w:r w:rsidR="00492221">
        <w:t>made an application for perm</w:t>
      </w:r>
      <w:r w:rsidR="001602CD">
        <w:t xml:space="preserve">ission </w:t>
      </w:r>
      <w:r w:rsidR="00F47753">
        <w:t xml:space="preserve">to export goods in accordance with regulation 13EB of the </w:t>
      </w:r>
      <w:r w:rsidR="00F47753">
        <w:rPr>
          <w:i/>
          <w:iCs/>
        </w:rPr>
        <w:t>Customs (Prohibited Exports) Regulations 1958</w:t>
      </w:r>
      <w:r w:rsidR="00F47753">
        <w:t>; and</w:t>
      </w:r>
    </w:p>
    <w:p w14:paraId="6891AECA" w14:textId="33F57993" w:rsidR="00A26950" w:rsidRDefault="00A26950" w:rsidP="00762ED2">
      <w:pPr>
        <w:pStyle w:val="paragraph"/>
      </w:pPr>
      <w:r>
        <w:tab/>
        <w:t>(b)</w:t>
      </w:r>
      <w:r>
        <w:tab/>
      </w:r>
      <w:r w:rsidR="00762ED2">
        <w:t xml:space="preserve">whether the </w:t>
      </w:r>
      <w:proofErr w:type="gramStart"/>
      <w:r w:rsidR="00762ED2">
        <w:t>Defence Minister</w:t>
      </w:r>
      <w:proofErr w:type="gramEnd"/>
      <w:r w:rsidR="00762ED2">
        <w:t xml:space="preserve"> has granted permission under regulation 13E of the </w:t>
      </w:r>
      <w:r w:rsidR="00762ED2">
        <w:rPr>
          <w:i/>
          <w:iCs/>
        </w:rPr>
        <w:t>Customs (Prohibited Exports) Regulations 1958</w:t>
      </w:r>
      <w:r w:rsidR="00762ED2">
        <w:t>.</w:t>
      </w:r>
    </w:p>
    <w:p w14:paraId="6B45BEF0" w14:textId="6B0A8CD9" w:rsidR="00BF4AD5" w:rsidRPr="00C45310" w:rsidRDefault="00BF4AD5" w:rsidP="00842910">
      <w:pPr>
        <w:pStyle w:val="subsection"/>
        <w:spacing w:after="120"/>
      </w:pPr>
      <w:r>
        <w:tab/>
        <w:t>(5)</w:t>
      </w:r>
      <w:r>
        <w:tab/>
        <w:t xml:space="preserve">In this clause, </w:t>
      </w:r>
      <w:r>
        <w:rPr>
          <w:b/>
          <w:bCs/>
          <w:i/>
          <w:iCs/>
        </w:rPr>
        <w:t xml:space="preserve">defence and strategic goods list </w:t>
      </w:r>
      <w:r>
        <w:t xml:space="preserve">has the meaning given by </w:t>
      </w:r>
      <w:proofErr w:type="spellStart"/>
      <w:r>
        <w:t>subregulation</w:t>
      </w:r>
      <w:proofErr w:type="spellEnd"/>
      <w:r>
        <w:t> 2(1) of t</w:t>
      </w:r>
      <w:r w:rsidR="00C45310">
        <w:t xml:space="preserve">he </w:t>
      </w:r>
      <w:r w:rsidR="00C45310">
        <w:rPr>
          <w:i/>
          <w:iCs/>
        </w:rPr>
        <w:t>Customs (Prohibited Exports) Regulations 1958</w:t>
      </w:r>
      <w:r w:rsidR="00C45310">
        <w:t>.</w:t>
      </w:r>
    </w:p>
    <w:p w14:paraId="6CD641B5" w14:textId="58102162" w:rsidR="000502AF" w:rsidRPr="00C81A46" w:rsidRDefault="001A4311" w:rsidP="00C81A46">
      <w:pPr>
        <w:pStyle w:val="Heading2"/>
        <w:rPr>
          <w:rStyle w:val="CharSectno"/>
        </w:rPr>
      </w:pPr>
      <w:proofErr w:type="gramStart"/>
      <w:r>
        <w:rPr>
          <w:rStyle w:val="CharSectno"/>
        </w:rPr>
        <w:t>2</w:t>
      </w:r>
      <w:r w:rsidR="000502AF" w:rsidRPr="00C81A46">
        <w:rPr>
          <w:rStyle w:val="CharSectno"/>
        </w:rPr>
        <w:t xml:space="preserve">  ACMA</w:t>
      </w:r>
      <w:proofErr w:type="gramEnd"/>
      <w:r w:rsidR="000502AF" w:rsidRPr="00C81A46">
        <w:rPr>
          <w:rStyle w:val="CharSectno"/>
        </w:rPr>
        <w:t xml:space="preserve"> may </w:t>
      </w:r>
      <w:r w:rsidR="00002284" w:rsidRPr="00C81A46">
        <w:rPr>
          <w:rStyle w:val="CharSectno"/>
        </w:rPr>
        <w:t>revoke</w:t>
      </w:r>
      <w:r w:rsidR="000502AF" w:rsidRPr="00C81A46">
        <w:rPr>
          <w:rStyle w:val="CharSectno"/>
        </w:rPr>
        <w:t xml:space="preserve"> notifiable instrument</w:t>
      </w:r>
    </w:p>
    <w:p w14:paraId="72A3BBAE" w14:textId="40C41339" w:rsidR="000502AF" w:rsidRDefault="000502AF" w:rsidP="000502AF">
      <w:pPr>
        <w:pStyle w:val="subsection"/>
        <w:spacing w:after="120"/>
      </w:pPr>
      <w:r w:rsidRPr="00B92AD9">
        <w:tab/>
      </w:r>
      <w:r w:rsidR="003800B4">
        <w:t>(1)</w:t>
      </w:r>
      <w:r w:rsidRPr="00B92AD9">
        <w:tab/>
      </w:r>
      <w:r>
        <w:t>The ACMA may</w:t>
      </w:r>
      <w:r w:rsidR="00313009">
        <w:t>, by notifiable instrument,</w:t>
      </w:r>
      <w:r w:rsidR="00F54470">
        <w:t xml:space="preserve"> revoke an instrument made under subclause</w:t>
      </w:r>
      <w:r w:rsidR="00986F43">
        <w:t> </w:t>
      </w:r>
      <w:r w:rsidR="001A4311">
        <w:t>1</w:t>
      </w:r>
      <w:r w:rsidR="00F54470">
        <w:t>(1)</w:t>
      </w:r>
      <w:r>
        <w:t>.</w:t>
      </w:r>
    </w:p>
    <w:p w14:paraId="0E63F707" w14:textId="77777777" w:rsidR="000502AF" w:rsidRDefault="000502AF" w:rsidP="000502AF">
      <w:pPr>
        <w:pStyle w:val="notetext"/>
      </w:pPr>
      <w:r w:rsidRPr="00B92AD9">
        <w:t>Note:</w:t>
      </w:r>
      <w:r w:rsidRPr="00B92AD9">
        <w:tab/>
      </w:r>
      <w:r>
        <w:t>See subsection 302(5) of the Act.</w:t>
      </w:r>
    </w:p>
    <w:p w14:paraId="44BE22F0" w14:textId="6648A5DA" w:rsidR="003800B4" w:rsidRDefault="003800B4" w:rsidP="000502AF">
      <w:pPr>
        <w:pStyle w:val="subsection"/>
        <w:spacing w:after="120"/>
      </w:pPr>
      <w:r>
        <w:tab/>
        <w:t>(2)</w:t>
      </w:r>
      <w:r>
        <w:tab/>
        <w:t>Without limiting subclause (1), the ACMA must</w:t>
      </w:r>
      <w:r w:rsidR="000B51E3">
        <w:t>, by notifiable instrument,</w:t>
      </w:r>
      <w:r>
        <w:t xml:space="preserve"> revoke an instrument made under subclause </w:t>
      </w:r>
      <w:r w:rsidR="001A4311">
        <w:t>1</w:t>
      </w:r>
      <w:r>
        <w:t>(1) if the ACMA is satisfied that:</w:t>
      </w:r>
    </w:p>
    <w:p w14:paraId="19C7B54D" w14:textId="4FB5E295" w:rsidR="003800B4" w:rsidRDefault="003800B4" w:rsidP="003800B4">
      <w:pPr>
        <w:pStyle w:val="paragraph"/>
        <w:rPr>
          <w:iCs/>
        </w:rPr>
      </w:pPr>
      <w:r>
        <w:rPr>
          <w:iCs/>
        </w:rPr>
        <w:tab/>
        <w:t>(a)</w:t>
      </w:r>
      <w:r>
        <w:rPr>
          <w:iCs/>
        </w:rPr>
        <w:tab/>
        <w:t xml:space="preserve">the instrument is </w:t>
      </w:r>
      <w:r w:rsidR="009E0E44">
        <w:rPr>
          <w:iCs/>
        </w:rPr>
        <w:t xml:space="preserve">not, or has ceased to be, </w:t>
      </w:r>
      <w:r>
        <w:rPr>
          <w:iCs/>
        </w:rPr>
        <w:t>in the public interest; or</w:t>
      </w:r>
    </w:p>
    <w:p w14:paraId="1D831A19" w14:textId="5340817A" w:rsidR="003800B4" w:rsidRDefault="003800B4" w:rsidP="003800B4">
      <w:pPr>
        <w:pStyle w:val="paragraph"/>
        <w:rPr>
          <w:iCs/>
        </w:rPr>
      </w:pPr>
      <w:r>
        <w:rPr>
          <w:iCs/>
        </w:rPr>
        <w:tab/>
        <w:t>(b)</w:t>
      </w:r>
      <w:r>
        <w:rPr>
          <w:iCs/>
        </w:rPr>
        <w:tab/>
        <w:t>the instrument is</w:t>
      </w:r>
      <w:r w:rsidR="009E0E44">
        <w:rPr>
          <w:iCs/>
        </w:rPr>
        <w:t xml:space="preserve"> not, or has ceased to be,</w:t>
      </w:r>
      <w:r>
        <w:rPr>
          <w:iCs/>
        </w:rPr>
        <w:t xml:space="preserve"> consistent with legislative rules made for the purposes of paragraph 302(4)(b) of the Act.</w:t>
      </w:r>
    </w:p>
    <w:p w14:paraId="64F7CE86" w14:textId="0F02430C" w:rsidR="0017798D" w:rsidRPr="00C24B56" w:rsidRDefault="0017798D" w:rsidP="009E0E44">
      <w:pPr>
        <w:pStyle w:val="subsection"/>
        <w:spacing w:after="120"/>
      </w:pPr>
      <w:r>
        <w:tab/>
        <w:t>(3)</w:t>
      </w:r>
      <w:r>
        <w:tab/>
        <w:t>Without limiting subclause (2), the ACMA may be satisfied that the instrument is n</w:t>
      </w:r>
      <w:r w:rsidR="00615B50">
        <w:t>ot</w:t>
      </w:r>
      <w:r>
        <w:t xml:space="preserve">, or has ceased to be, in the public interest, if the person named in the instrument has contravened </w:t>
      </w:r>
      <w:r w:rsidRPr="00C24B56">
        <w:t xml:space="preserve">a condition </w:t>
      </w:r>
      <w:r w:rsidR="00E56B5B" w:rsidRPr="00C24B56">
        <w:t>of an exemption under any item of the t</w:t>
      </w:r>
      <w:r w:rsidR="00641CCB" w:rsidRPr="00C24B56">
        <w:t>a</w:t>
      </w:r>
      <w:r w:rsidR="00E56B5B" w:rsidRPr="00C24B56">
        <w:t>ble</w:t>
      </w:r>
      <w:r w:rsidR="004525D9" w:rsidRPr="00C24B56">
        <w:t xml:space="preserve">, other than the condition in section </w:t>
      </w:r>
      <w:r w:rsidR="006966F3" w:rsidRPr="00C24B56">
        <w:t>9</w:t>
      </w:r>
      <w:r w:rsidR="00FD4E7D" w:rsidRPr="00C24B56">
        <w:t>.</w:t>
      </w:r>
    </w:p>
    <w:p w14:paraId="1581EDA4" w14:textId="059477EC" w:rsidR="00F2774D" w:rsidRDefault="00FD4E7D" w:rsidP="00FD4E7D">
      <w:pPr>
        <w:pStyle w:val="notetext"/>
      </w:pPr>
      <w:r w:rsidRPr="00C24B56">
        <w:t>Note:</w:t>
      </w:r>
      <w:r w:rsidRPr="00C24B56">
        <w:tab/>
        <w:t xml:space="preserve">Sections </w:t>
      </w:r>
      <w:r w:rsidR="00897C3D" w:rsidRPr="00C24B56">
        <w:t>8</w:t>
      </w:r>
      <w:r w:rsidRPr="00C24B56">
        <w:t xml:space="preserve"> to </w:t>
      </w:r>
      <w:r w:rsidR="00897C3D" w:rsidRPr="00C24B56">
        <w:t>14</w:t>
      </w:r>
      <w:r w:rsidRPr="00C24B56">
        <w:t xml:space="preserve"> specify</w:t>
      </w:r>
      <w:r>
        <w:t xml:space="preserve"> the conditions.</w:t>
      </w:r>
    </w:p>
    <w:p w14:paraId="7B188984" w14:textId="7861A219" w:rsidR="00A70B90" w:rsidRDefault="00A70B90" w:rsidP="00986F43">
      <w:pPr>
        <w:pStyle w:val="subsection"/>
        <w:keepNext/>
        <w:spacing w:after="120"/>
      </w:pPr>
      <w:r>
        <w:lastRenderedPageBreak/>
        <w:tab/>
        <w:t>(4)</w:t>
      </w:r>
      <w:r>
        <w:tab/>
        <w:t>Before revoking an instrument made under subclause 1(1), the ACMA must</w:t>
      </w:r>
      <w:r w:rsidR="00B5759B">
        <w:t>:</w:t>
      </w:r>
    </w:p>
    <w:p w14:paraId="373B50E4" w14:textId="77777777" w:rsidR="00986F43" w:rsidRDefault="00B5759B" w:rsidP="00986F43">
      <w:pPr>
        <w:pStyle w:val="paragraph"/>
        <w:keepNext/>
      </w:pPr>
      <w:r>
        <w:tab/>
        <w:t>(a)</w:t>
      </w:r>
      <w:r>
        <w:tab/>
      </w:r>
      <w:r w:rsidR="002F6AD8">
        <w:t>give</w:t>
      </w:r>
      <w:r>
        <w:t xml:space="preserve"> the person named in the instrument</w:t>
      </w:r>
      <w:r w:rsidR="009C61C4">
        <w:t xml:space="preserve"> a written notice</w:t>
      </w:r>
      <w:r w:rsidR="0026755B">
        <w:t>:</w:t>
      </w:r>
      <w:r w:rsidR="009C61C4">
        <w:t xml:space="preserve"> </w:t>
      </w:r>
    </w:p>
    <w:p w14:paraId="729B484D" w14:textId="4E1FDBAD" w:rsidR="00AD651F" w:rsidRDefault="00FD0689" w:rsidP="00986F43">
      <w:pPr>
        <w:pStyle w:val="paragraphsub"/>
        <w:rPr>
          <w:iCs/>
        </w:rPr>
      </w:pPr>
      <w:r>
        <w:rPr>
          <w:iCs/>
        </w:rPr>
        <w:tab/>
        <w:t>(i)</w:t>
      </w:r>
      <w:r>
        <w:rPr>
          <w:iCs/>
        </w:rPr>
        <w:tab/>
      </w:r>
      <w:r w:rsidR="002D58A8" w:rsidRPr="00986F43">
        <w:t>stating</w:t>
      </w:r>
      <w:r w:rsidR="00B5759B">
        <w:t xml:space="preserve"> that </w:t>
      </w:r>
      <w:r w:rsidR="00B5759B" w:rsidRPr="00773545">
        <w:rPr>
          <w:iCs/>
        </w:rPr>
        <w:t>the</w:t>
      </w:r>
      <w:r w:rsidR="00B5759B">
        <w:t xml:space="preserve"> ACMA proposes to revoke the instrument</w:t>
      </w:r>
      <w:r w:rsidR="004007EE">
        <w:t xml:space="preserve"> and the reasons </w:t>
      </w:r>
      <w:r w:rsidR="006B3DF7">
        <w:t xml:space="preserve">why the ACMA is </w:t>
      </w:r>
      <w:r w:rsidR="00D763AD">
        <w:t>propos</w:t>
      </w:r>
      <w:r w:rsidR="00665459">
        <w:t>ing</w:t>
      </w:r>
      <w:r w:rsidR="00E545A0">
        <w:t xml:space="preserve"> t</w:t>
      </w:r>
      <w:r w:rsidR="00622743">
        <w:t xml:space="preserve">o </w:t>
      </w:r>
      <w:r w:rsidR="00214753">
        <w:t>revoke the instrument</w:t>
      </w:r>
      <w:r w:rsidR="00773545">
        <w:t>;</w:t>
      </w:r>
      <w:r w:rsidR="0075106A">
        <w:t xml:space="preserve"> and</w:t>
      </w:r>
      <w:r w:rsidR="008C0C1B">
        <w:t xml:space="preserve">  </w:t>
      </w:r>
    </w:p>
    <w:p w14:paraId="6E46348D" w14:textId="5F702A79" w:rsidR="00BD44CE" w:rsidRDefault="00AD651F" w:rsidP="00AD651F">
      <w:pPr>
        <w:pStyle w:val="paragraphsub"/>
      </w:pPr>
      <w:r>
        <w:rPr>
          <w:iCs/>
        </w:rPr>
        <w:tab/>
        <w:t>(ii)</w:t>
      </w:r>
      <w:r>
        <w:rPr>
          <w:iCs/>
        </w:rPr>
        <w:tab/>
      </w:r>
      <w:r w:rsidR="008C0C1B">
        <w:t xml:space="preserve">inviting the person to make a submission to the ACMA </w:t>
      </w:r>
      <w:r w:rsidR="009A5071">
        <w:t>as to why the ACMA should not revoke the instrument</w:t>
      </w:r>
      <w:r w:rsidR="00BD44CE">
        <w:t>;</w:t>
      </w:r>
      <w:r w:rsidR="006A46AB">
        <w:t xml:space="preserve"> and </w:t>
      </w:r>
    </w:p>
    <w:p w14:paraId="549484C1" w14:textId="7D48883B" w:rsidR="00B5759B" w:rsidRDefault="00AD651F" w:rsidP="00580514">
      <w:pPr>
        <w:pStyle w:val="paragraphsub"/>
      </w:pPr>
      <w:r>
        <w:rPr>
          <w:iCs/>
        </w:rPr>
        <w:tab/>
        <w:t>(iii)</w:t>
      </w:r>
      <w:r>
        <w:rPr>
          <w:iCs/>
        </w:rPr>
        <w:tab/>
      </w:r>
      <w:r w:rsidR="006A46AB">
        <w:t xml:space="preserve">specifying a </w:t>
      </w:r>
      <w:r w:rsidR="00F5702F">
        <w:t>period</w:t>
      </w:r>
      <w:r w:rsidR="00AE26B9">
        <w:t>,</w:t>
      </w:r>
      <w:r w:rsidR="003A46C8">
        <w:t xml:space="preserve"> of </w:t>
      </w:r>
      <w:r w:rsidR="00B53A4C">
        <w:t xml:space="preserve">not less than </w:t>
      </w:r>
      <w:r w:rsidR="00A17905">
        <w:t>7</w:t>
      </w:r>
      <w:r w:rsidR="00B53A4C">
        <w:t xml:space="preserve"> days,</w:t>
      </w:r>
      <w:r w:rsidR="00F5702F">
        <w:t xml:space="preserve"> within which</w:t>
      </w:r>
      <w:r w:rsidR="006A46AB">
        <w:t xml:space="preserve"> th</w:t>
      </w:r>
      <w:r w:rsidR="009B4DDF">
        <w:t>e</w:t>
      </w:r>
      <w:r w:rsidR="006A46AB">
        <w:t xml:space="preserve"> submission</w:t>
      </w:r>
      <w:r w:rsidR="00774245">
        <w:t xml:space="preserve"> may be </w:t>
      </w:r>
      <w:proofErr w:type="gramStart"/>
      <w:r w:rsidR="00774245">
        <w:t>made</w:t>
      </w:r>
      <w:r w:rsidR="00B5759B">
        <w:t>;</w:t>
      </w:r>
      <w:proofErr w:type="gramEnd"/>
      <w:r w:rsidR="00B5759B">
        <w:t xml:space="preserve"> and</w:t>
      </w:r>
    </w:p>
    <w:p w14:paraId="0C086577" w14:textId="33561172" w:rsidR="00B5759B" w:rsidRDefault="00B5759B" w:rsidP="00B5759B">
      <w:pPr>
        <w:pStyle w:val="paragraph"/>
      </w:pPr>
      <w:r>
        <w:tab/>
        <w:t>(b)</w:t>
      </w:r>
      <w:r>
        <w:tab/>
      </w:r>
      <w:r w:rsidR="00840B77">
        <w:t xml:space="preserve">consider any </w:t>
      </w:r>
      <w:r w:rsidR="00CE76B7">
        <w:t>submission</w:t>
      </w:r>
      <w:r w:rsidR="00840B77">
        <w:t xml:space="preserve"> made by the person within </w:t>
      </w:r>
      <w:r w:rsidR="00BE2E19">
        <w:t>the</w:t>
      </w:r>
      <w:r w:rsidR="00840B77">
        <w:t xml:space="preserve"> period </w:t>
      </w:r>
      <w:r w:rsidR="00121F36">
        <w:t xml:space="preserve">referred to in </w:t>
      </w:r>
      <w:r w:rsidR="00DE51B1">
        <w:t>subparagraph</w:t>
      </w:r>
      <w:r w:rsidR="00121F36">
        <w:t xml:space="preserve"> (a)(iii)</w:t>
      </w:r>
      <w:r w:rsidR="002517EA">
        <w:t>.</w:t>
      </w:r>
    </w:p>
    <w:p w14:paraId="1F1CB404" w14:textId="7DCB44A5" w:rsidR="00840B77" w:rsidRDefault="00840B77" w:rsidP="00A70B90">
      <w:pPr>
        <w:pStyle w:val="subsection"/>
        <w:spacing w:after="120"/>
      </w:pPr>
      <w:r>
        <w:tab/>
        <w:t>(5)</w:t>
      </w:r>
      <w:r>
        <w:tab/>
        <w:t xml:space="preserve">Subclause (4) does not apply if the ACMA is satisfied that it would not be in the public interest to comply with </w:t>
      </w:r>
      <w:r w:rsidR="00950665">
        <w:t xml:space="preserve">that </w:t>
      </w:r>
      <w:r>
        <w:t>subclause.</w:t>
      </w:r>
    </w:p>
    <w:p w14:paraId="67D4562E" w14:textId="5E7404F5" w:rsidR="00BB12E3" w:rsidRDefault="00C8250E" w:rsidP="0093529E">
      <w:pPr>
        <w:pStyle w:val="subsection"/>
        <w:spacing w:after="120"/>
      </w:pPr>
      <w:r>
        <w:tab/>
        <w:t>(</w:t>
      </w:r>
      <w:r w:rsidR="002517EA">
        <w:t>6</w:t>
      </w:r>
      <w:r>
        <w:t>)</w:t>
      </w:r>
      <w:r>
        <w:tab/>
        <w:t xml:space="preserve">If the ACMA </w:t>
      </w:r>
      <w:r w:rsidR="00AC399F">
        <w:t xml:space="preserve">decides to </w:t>
      </w:r>
      <w:r>
        <w:t>revoke an instrument made under subclause 1(1), the ACMA must</w:t>
      </w:r>
      <w:r w:rsidR="00D94340">
        <w:t xml:space="preserve">, </w:t>
      </w:r>
      <w:r w:rsidR="00972E1A">
        <w:t>before the revocation</w:t>
      </w:r>
      <w:r w:rsidR="0009778F">
        <w:t xml:space="preserve"> takes effect</w:t>
      </w:r>
      <w:r w:rsidR="00D94340">
        <w:t>,</w:t>
      </w:r>
      <w:r>
        <w:t xml:space="preserve"> give the person named in the instrument</w:t>
      </w:r>
      <w:r w:rsidR="00B64AB8">
        <w:t xml:space="preserve"> </w:t>
      </w:r>
      <w:r w:rsidR="00726375">
        <w:t xml:space="preserve">a </w:t>
      </w:r>
      <w:r w:rsidR="001F66D3">
        <w:t xml:space="preserve">written notice </w:t>
      </w:r>
      <w:r w:rsidR="00341549">
        <w:t>of</w:t>
      </w:r>
      <w:r w:rsidR="00474689">
        <w:t>:</w:t>
      </w:r>
      <w:r w:rsidR="00341549">
        <w:t xml:space="preserve"> </w:t>
      </w:r>
    </w:p>
    <w:p w14:paraId="0AB898DC" w14:textId="35001DC2" w:rsidR="000B5B6B" w:rsidRDefault="00BB12E3" w:rsidP="000B5B6B">
      <w:pPr>
        <w:pStyle w:val="paragraph"/>
      </w:pPr>
      <w:r>
        <w:rPr>
          <w:iCs/>
        </w:rPr>
        <w:tab/>
        <w:t>(a)</w:t>
      </w:r>
      <w:r>
        <w:rPr>
          <w:iCs/>
        </w:rPr>
        <w:tab/>
      </w:r>
      <w:r w:rsidR="00CD1EF8">
        <w:t>the</w:t>
      </w:r>
      <w:r w:rsidR="0079487A">
        <w:t xml:space="preserve"> </w:t>
      </w:r>
      <w:r w:rsidR="00CA1A6D">
        <w:t xml:space="preserve">decision </w:t>
      </w:r>
      <w:r w:rsidR="00886BF4">
        <w:t>and</w:t>
      </w:r>
      <w:r w:rsidR="00C8250E">
        <w:t xml:space="preserve"> </w:t>
      </w:r>
      <w:r w:rsidR="00501C6B">
        <w:t>the</w:t>
      </w:r>
      <w:r w:rsidR="00C8250E">
        <w:t xml:space="preserve"> reasons for the decision</w:t>
      </w:r>
      <w:r w:rsidR="000B5B6B">
        <w:t>; and</w:t>
      </w:r>
    </w:p>
    <w:p w14:paraId="3B26CC96" w14:textId="7BAD4ECC" w:rsidR="00C8250E" w:rsidRPr="000B5B6B" w:rsidRDefault="000B5B6B" w:rsidP="0093529E">
      <w:pPr>
        <w:pStyle w:val="paragraph"/>
        <w:rPr>
          <w:iCs/>
        </w:rPr>
      </w:pPr>
      <w:r>
        <w:rPr>
          <w:iCs/>
        </w:rPr>
        <w:tab/>
        <w:t>(</w:t>
      </w:r>
      <w:r w:rsidR="00E73170">
        <w:rPr>
          <w:iCs/>
        </w:rPr>
        <w:t>b</w:t>
      </w:r>
      <w:r>
        <w:rPr>
          <w:iCs/>
        </w:rPr>
        <w:t>)</w:t>
      </w:r>
      <w:r>
        <w:rPr>
          <w:iCs/>
        </w:rPr>
        <w:tab/>
        <w:t>the person’s right to request</w:t>
      </w:r>
      <w:r w:rsidR="00F55566">
        <w:rPr>
          <w:iCs/>
        </w:rPr>
        <w:t xml:space="preserve"> </w:t>
      </w:r>
      <w:r w:rsidR="00143461">
        <w:rPr>
          <w:iCs/>
        </w:rPr>
        <w:t xml:space="preserve">a </w:t>
      </w:r>
      <w:r w:rsidR="00D85F0E">
        <w:rPr>
          <w:iCs/>
        </w:rPr>
        <w:t>reconsideration of</w:t>
      </w:r>
      <w:r w:rsidR="00AC4FEC">
        <w:rPr>
          <w:iCs/>
        </w:rPr>
        <w:t xml:space="preserve"> the decision</w:t>
      </w:r>
      <w:r w:rsidR="00E73170">
        <w:rPr>
          <w:iCs/>
        </w:rPr>
        <w:t xml:space="preserve"> under clause 4</w:t>
      </w:r>
      <w:r w:rsidR="00C8250E">
        <w:t>.</w:t>
      </w:r>
    </w:p>
    <w:p w14:paraId="64C72E28" w14:textId="2C322CB8" w:rsidR="00121BB3" w:rsidRDefault="001A4311" w:rsidP="006C33F3">
      <w:pPr>
        <w:pStyle w:val="Heading2"/>
        <w:rPr>
          <w:rStyle w:val="CharSectno"/>
          <w:rFonts w:asciiTheme="minorHAnsi" w:eastAsiaTheme="minorHAnsi" w:hAnsiTheme="minorHAnsi" w:cstheme="minorBidi"/>
          <w:b w:val="0"/>
          <w:bCs w:val="0"/>
          <w:iCs w:val="0"/>
          <w:sz w:val="18"/>
          <w:szCs w:val="20"/>
          <w:lang w:eastAsia="en-US"/>
        </w:rPr>
      </w:pPr>
      <w:bookmarkStart w:id="14" w:name="_Toc63756793"/>
      <w:proofErr w:type="gramStart"/>
      <w:r>
        <w:rPr>
          <w:rStyle w:val="CharSectno"/>
        </w:rPr>
        <w:t>3</w:t>
      </w:r>
      <w:r w:rsidR="00121BB3">
        <w:rPr>
          <w:rStyle w:val="CharSectno"/>
        </w:rPr>
        <w:t xml:space="preserve">  </w:t>
      </w:r>
      <w:bookmarkEnd w:id="14"/>
      <w:r w:rsidR="00615B50">
        <w:rPr>
          <w:rStyle w:val="CharSectno"/>
        </w:rPr>
        <w:t>Application</w:t>
      </w:r>
      <w:proofErr w:type="gramEnd"/>
      <w:r w:rsidR="00121BB3">
        <w:rPr>
          <w:rStyle w:val="CharSectno"/>
        </w:rPr>
        <w:t xml:space="preserve"> that </w:t>
      </w:r>
      <w:r w:rsidR="004C4C06">
        <w:rPr>
          <w:rStyle w:val="CharSectno"/>
        </w:rPr>
        <w:t xml:space="preserve">notifiable </w:t>
      </w:r>
      <w:r w:rsidR="00121BB3">
        <w:rPr>
          <w:rStyle w:val="CharSectno"/>
        </w:rPr>
        <w:t>instrument be made</w:t>
      </w:r>
    </w:p>
    <w:p w14:paraId="484290B2" w14:textId="66759A9F" w:rsidR="00121BB3" w:rsidRPr="00C24B56" w:rsidRDefault="00121BB3" w:rsidP="00121BB3">
      <w:pPr>
        <w:pStyle w:val="subsection"/>
      </w:pPr>
      <w:r>
        <w:tab/>
        <w:t>(1)</w:t>
      </w:r>
      <w:r>
        <w:tab/>
        <w:t>A person may</w:t>
      </w:r>
      <w:r w:rsidR="00615B50">
        <w:t xml:space="preserve"> apply</w:t>
      </w:r>
      <w:r>
        <w:t>, in writing,</w:t>
      </w:r>
      <w:r w:rsidR="00615B50">
        <w:t xml:space="preserve"> for</w:t>
      </w:r>
      <w:r>
        <w:t xml:space="preserve"> the</w:t>
      </w:r>
      <w:r w:rsidR="00615B50">
        <w:t xml:space="preserve"> </w:t>
      </w:r>
      <w:r>
        <w:t xml:space="preserve">ACMA </w:t>
      </w:r>
      <w:r w:rsidR="00EA0DD1">
        <w:t xml:space="preserve">to </w:t>
      </w:r>
      <w:r>
        <w:t>make an instrument under subclause </w:t>
      </w:r>
      <w:r w:rsidR="001A4311">
        <w:t>1</w:t>
      </w:r>
      <w:r>
        <w:t>(1)</w:t>
      </w:r>
      <w:r w:rsidR="00A344D9">
        <w:t xml:space="preserve"> naming the person for </w:t>
      </w:r>
      <w:r w:rsidR="00A344D9" w:rsidRPr="00C24B56">
        <w:t xml:space="preserve">the purposes of section </w:t>
      </w:r>
      <w:r w:rsidR="007455D2" w:rsidRPr="00C24B56">
        <w:t>9</w:t>
      </w:r>
      <w:r w:rsidR="00F32C41">
        <w:t xml:space="preserve"> and paragraph 11(m)</w:t>
      </w:r>
      <w:r w:rsidRPr="00C24B56">
        <w:t>.</w:t>
      </w:r>
    </w:p>
    <w:p w14:paraId="3CB5D72E" w14:textId="5FD278F8" w:rsidR="00121BB3" w:rsidRDefault="00121BB3" w:rsidP="00474689">
      <w:pPr>
        <w:pStyle w:val="subsection"/>
        <w:keepNext/>
        <w:spacing w:after="120"/>
      </w:pPr>
      <w:r w:rsidRPr="00C24B56">
        <w:tab/>
        <w:t>(2)</w:t>
      </w:r>
      <w:r w:rsidRPr="00C24B56">
        <w:tab/>
        <w:t>A</w:t>
      </w:r>
      <w:r w:rsidR="00615B50" w:rsidRPr="00C24B56">
        <w:t>n application</w:t>
      </w:r>
      <w:r w:rsidRPr="00C24B56">
        <w:t xml:space="preserve"> </w:t>
      </w:r>
      <w:r w:rsidR="008479FB" w:rsidRPr="00C24B56">
        <w:t xml:space="preserve">under subclause (1) </w:t>
      </w:r>
      <w:r w:rsidRPr="00C24B56">
        <w:t>mu</w:t>
      </w:r>
      <w:r>
        <w:t>st be:</w:t>
      </w:r>
    </w:p>
    <w:p w14:paraId="270CC35F" w14:textId="59727835" w:rsidR="00121BB3" w:rsidRDefault="00121BB3" w:rsidP="001A4311">
      <w:pPr>
        <w:pStyle w:val="paragraph"/>
      </w:pPr>
      <w:r>
        <w:tab/>
        <w:t>(a)</w:t>
      </w:r>
      <w:r>
        <w:tab/>
        <w:t xml:space="preserve">in </w:t>
      </w:r>
      <w:r w:rsidR="00AF7019">
        <w:t>a</w:t>
      </w:r>
      <w:r>
        <w:t xml:space="preserve"> form approved by the ACMA (if any);</w:t>
      </w:r>
      <w:r w:rsidR="00461DAC">
        <w:t xml:space="preserve"> and</w:t>
      </w:r>
    </w:p>
    <w:p w14:paraId="0B5105F3" w14:textId="291054B7" w:rsidR="00121BB3" w:rsidRDefault="00121BB3">
      <w:pPr>
        <w:pStyle w:val="paragraph"/>
      </w:pPr>
      <w:r>
        <w:tab/>
        <w:t>(b)</w:t>
      </w:r>
      <w:r>
        <w:tab/>
        <w:t xml:space="preserve">made in </w:t>
      </w:r>
      <w:r w:rsidR="00AF7019">
        <w:t>a</w:t>
      </w:r>
      <w:r>
        <w:t xml:space="preserve"> manner approved by the ACMA (if any).</w:t>
      </w:r>
    </w:p>
    <w:p w14:paraId="4BC49F60" w14:textId="5E4FD2D1" w:rsidR="004A4060" w:rsidRPr="005B270F" w:rsidRDefault="00214D28" w:rsidP="000502AF">
      <w:pPr>
        <w:pStyle w:val="subsection"/>
        <w:spacing w:after="120"/>
      </w:pPr>
      <w:r>
        <w:tab/>
        <w:t>(</w:t>
      </w:r>
      <w:r w:rsidR="00AF7019" w:rsidRPr="005B270F">
        <w:t>3</w:t>
      </w:r>
      <w:r w:rsidRPr="005B270F">
        <w:t>)</w:t>
      </w:r>
      <w:r w:rsidRPr="005B270F">
        <w:tab/>
      </w:r>
      <w:r w:rsidR="00F56838" w:rsidRPr="005B270F">
        <w:t>If a person makes an application under subclause (1), t</w:t>
      </w:r>
      <w:r w:rsidR="00E672D0" w:rsidRPr="005B270F">
        <w:t>he ACMA must</w:t>
      </w:r>
      <w:r w:rsidR="00D40CB0" w:rsidRPr="005B270F">
        <w:t xml:space="preserve"> </w:t>
      </w:r>
      <w:r w:rsidR="008F2AB7" w:rsidRPr="005B270F">
        <w:t>decide</w:t>
      </w:r>
      <w:r w:rsidR="00D50772" w:rsidRPr="005B270F">
        <w:t xml:space="preserve"> </w:t>
      </w:r>
      <w:r w:rsidR="00702915" w:rsidRPr="005B270F">
        <w:t>whether</w:t>
      </w:r>
      <w:r w:rsidR="00F77C2B" w:rsidRPr="005B270F">
        <w:t xml:space="preserve"> </w:t>
      </w:r>
      <w:r w:rsidR="00702915" w:rsidRPr="005B270F">
        <w:t xml:space="preserve">to </w:t>
      </w:r>
      <w:r w:rsidR="004D56D0" w:rsidRPr="005B270F">
        <w:t xml:space="preserve">grant </w:t>
      </w:r>
      <w:r w:rsidR="00F56838" w:rsidRPr="005B270F">
        <w:t>the application</w:t>
      </w:r>
      <w:r w:rsidR="00D40CB0" w:rsidRPr="005B270F">
        <w:t xml:space="preserve"> within </w:t>
      </w:r>
      <w:r w:rsidR="00E27FC6">
        <w:t>90</w:t>
      </w:r>
      <w:r w:rsidR="00D40CB0" w:rsidRPr="002136BC">
        <w:t xml:space="preserve"> days</w:t>
      </w:r>
      <w:r w:rsidR="00D40CB0" w:rsidRPr="005B270F">
        <w:t xml:space="preserve"> after</w:t>
      </w:r>
      <w:r w:rsidR="00D539DD" w:rsidRPr="005B270F">
        <w:t xml:space="preserve"> it is</w:t>
      </w:r>
      <w:r w:rsidR="00D40CB0" w:rsidRPr="005B270F">
        <w:t xml:space="preserve"> </w:t>
      </w:r>
      <w:proofErr w:type="gramStart"/>
      <w:r w:rsidR="00B73D79" w:rsidRPr="005B270F">
        <w:t>made</w:t>
      </w:r>
      <w:proofErr w:type="gramEnd"/>
      <w:r w:rsidR="002E5492" w:rsidRPr="005B270F">
        <w:t xml:space="preserve"> or such longer period</w:t>
      </w:r>
      <w:r w:rsidR="0029156C" w:rsidRPr="005B270F">
        <w:t xml:space="preserve"> as</w:t>
      </w:r>
      <w:r w:rsidR="00C553D7" w:rsidRPr="005B270F">
        <w:t xml:space="preserve"> </w:t>
      </w:r>
      <w:r w:rsidR="00B52DF4" w:rsidRPr="005B270F">
        <w:t xml:space="preserve">agreed between </w:t>
      </w:r>
      <w:r w:rsidR="00C553D7" w:rsidRPr="005B270F">
        <w:t>the</w:t>
      </w:r>
      <w:r w:rsidR="00942F38" w:rsidRPr="005B270F">
        <w:t xml:space="preserve"> ACMA and the</w:t>
      </w:r>
      <w:r w:rsidR="00C553D7" w:rsidRPr="005B270F">
        <w:t xml:space="preserve"> applicant</w:t>
      </w:r>
      <w:r w:rsidR="00650AFE" w:rsidRPr="005B270F">
        <w:t>.</w:t>
      </w:r>
    </w:p>
    <w:p w14:paraId="5031F06A" w14:textId="500B4845" w:rsidR="00A423EB" w:rsidRPr="005B270F" w:rsidRDefault="004A4060" w:rsidP="0093529E">
      <w:pPr>
        <w:pStyle w:val="subsection"/>
        <w:spacing w:after="120"/>
      </w:pPr>
      <w:r w:rsidRPr="005B270F">
        <w:tab/>
        <w:t>(4)</w:t>
      </w:r>
      <w:r w:rsidRPr="005B270F">
        <w:tab/>
      </w:r>
      <w:r w:rsidR="0078169E" w:rsidRPr="005B270F">
        <w:t>T</w:t>
      </w:r>
      <w:r w:rsidR="00214D28" w:rsidRPr="005B270F">
        <w:t>he ACMA must</w:t>
      </w:r>
      <w:r w:rsidR="000E3C46" w:rsidRPr="005B270F">
        <w:t xml:space="preserve">, </w:t>
      </w:r>
      <w:r w:rsidR="00E20395" w:rsidRPr="002767F1">
        <w:t xml:space="preserve">within </w:t>
      </w:r>
      <w:r w:rsidR="00CE7196">
        <w:t>14</w:t>
      </w:r>
      <w:r w:rsidR="00E20395" w:rsidRPr="002767F1">
        <w:t xml:space="preserve"> days</w:t>
      </w:r>
      <w:r w:rsidR="00E20395" w:rsidRPr="005B270F">
        <w:t xml:space="preserve"> </w:t>
      </w:r>
      <w:r w:rsidR="005875CC" w:rsidRPr="005B270F">
        <w:t xml:space="preserve">after </w:t>
      </w:r>
      <w:r w:rsidR="008F6DB5" w:rsidRPr="005B270F">
        <w:t>th</w:t>
      </w:r>
      <w:r w:rsidR="005875CC" w:rsidRPr="005B270F">
        <w:t>e decision</w:t>
      </w:r>
      <w:r w:rsidR="008F6DB5" w:rsidRPr="005B270F">
        <w:t xml:space="preserve"> </w:t>
      </w:r>
      <w:r w:rsidR="00FA491A" w:rsidRPr="005B270F">
        <w:t>under sub</w:t>
      </w:r>
      <w:r w:rsidR="00B63C13" w:rsidRPr="005B270F">
        <w:t xml:space="preserve">clause </w:t>
      </w:r>
      <w:r w:rsidR="00FA491A" w:rsidRPr="005B270F">
        <w:t xml:space="preserve">(3) </w:t>
      </w:r>
      <w:r w:rsidR="008F6DB5" w:rsidRPr="005B270F">
        <w:t>is made</w:t>
      </w:r>
      <w:r w:rsidR="005875CC" w:rsidRPr="005B270F">
        <w:t>,</w:t>
      </w:r>
      <w:r w:rsidR="00214D28" w:rsidRPr="005B270F">
        <w:t xml:space="preserve"> give the applicant </w:t>
      </w:r>
      <w:r w:rsidR="003368CD" w:rsidRPr="005B270F">
        <w:t>a</w:t>
      </w:r>
      <w:r w:rsidR="005B0A4D" w:rsidRPr="005B270F">
        <w:t xml:space="preserve"> </w:t>
      </w:r>
      <w:r w:rsidR="003368CD" w:rsidRPr="005B270F">
        <w:t>written notice of</w:t>
      </w:r>
      <w:r w:rsidR="00AE75AF" w:rsidRPr="005B270F">
        <w:t>:</w:t>
      </w:r>
      <w:r w:rsidR="003368CD" w:rsidRPr="005B270F">
        <w:t xml:space="preserve"> </w:t>
      </w:r>
    </w:p>
    <w:p w14:paraId="612D184C" w14:textId="77777777" w:rsidR="00B63C13" w:rsidRPr="005B270F" w:rsidRDefault="00A423EB" w:rsidP="00A423EB">
      <w:pPr>
        <w:pStyle w:val="paragraph"/>
      </w:pPr>
      <w:r w:rsidRPr="005B270F">
        <w:tab/>
        <w:t>(a)</w:t>
      </w:r>
      <w:r w:rsidRPr="005B270F">
        <w:tab/>
      </w:r>
      <w:r w:rsidR="003368CD" w:rsidRPr="005B270F">
        <w:t>the decision</w:t>
      </w:r>
      <w:r w:rsidR="00B63C13" w:rsidRPr="005B270F">
        <w:t>;</w:t>
      </w:r>
      <w:r w:rsidR="003368CD" w:rsidRPr="005B270F">
        <w:t xml:space="preserve"> and </w:t>
      </w:r>
    </w:p>
    <w:p w14:paraId="3E541349" w14:textId="5B122A9A" w:rsidR="00B63C13" w:rsidRPr="005B270F" w:rsidRDefault="00B63C13" w:rsidP="00A423EB">
      <w:pPr>
        <w:pStyle w:val="paragraph"/>
      </w:pPr>
      <w:r w:rsidRPr="005B270F">
        <w:tab/>
        <w:t>(b)</w:t>
      </w:r>
      <w:r w:rsidRPr="005B270F">
        <w:tab/>
      </w:r>
      <w:r w:rsidR="009A7F8D" w:rsidRPr="005B270F">
        <w:t>if the decision is</w:t>
      </w:r>
      <w:r w:rsidR="00AD09DD" w:rsidRPr="005B270F">
        <w:t xml:space="preserve"> not to grant the application</w:t>
      </w:r>
      <w:r w:rsidR="00870330" w:rsidRPr="005B270F">
        <w:t>:</w:t>
      </w:r>
    </w:p>
    <w:p w14:paraId="7A271181" w14:textId="037702C8" w:rsidR="000A2328" w:rsidRPr="005B270F" w:rsidRDefault="00870330" w:rsidP="0031757B">
      <w:pPr>
        <w:pStyle w:val="paragraphsub"/>
        <w:rPr>
          <w:iCs/>
        </w:rPr>
      </w:pPr>
      <w:r w:rsidRPr="005B270F">
        <w:rPr>
          <w:iCs/>
        </w:rPr>
        <w:tab/>
        <w:t>(i)</w:t>
      </w:r>
      <w:r w:rsidRPr="005B270F">
        <w:rPr>
          <w:iCs/>
        </w:rPr>
        <w:tab/>
      </w:r>
      <w:r w:rsidR="00AC26DD" w:rsidRPr="005B270F">
        <w:t>the</w:t>
      </w:r>
      <w:r w:rsidR="00354EF1" w:rsidRPr="005B270F">
        <w:t xml:space="preserve"> reasons for the decision</w:t>
      </w:r>
      <w:r w:rsidR="00A423EB" w:rsidRPr="005B270F">
        <w:t>; and</w:t>
      </w:r>
    </w:p>
    <w:p w14:paraId="750103A5" w14:textId="11C625DA" w:rsidR="00604CEE" w:rsidRPr="005B270F" w:rsidRDefault="00604CEE" w:rsidP="00604CEE">
      <w:pPr>
        <w:pStyle w:val="paragraphsub"/>
      </w:pPr>
      <w:r w:rsidRPr="005B270F">
        <w:rPr>
          <w:iCs/>
        </w:rPr>
        <w:tab/>
        <w:t>(ii)</w:t>
      </w:r>
      <w:r w:rsidRPr="005B270F">
        <w:rPr>
          <w:iCs/>
        </w:rPr>
        <w:tab/>
      </w:r>
      <w:r w:rsidR="0026366D" w:rsidRPr="005B270F">
        <w:rPr>
          <w:iCs/>
        </w:rPr>
        <w:t>the applicant’s right to request a reconsideration of the decision under clause</w:t>
      </w:r>
      <w:r w:rsidR="00986F43">
        <w:rPr>
          <w:iCs/>
        </w:rPr>
        <w:t> </w:t>
      </w:r>
      <w:r w:rsidR="0026366D" w:rsidRPr="005B270F">
        <w:rPr>
          <w:iCs/>
        </w:rPr>
        <w:t>4</w:t>
      </w:r>
      <w:r w:rsidRPr="005B270F">
        <w:rPr>
          <w:iCs/>
        </w:rPr>
        <w:t>.</w:t>
      </w:r>
      <w:r w:rsidRPr="005B270F">
        <w:t xml:space="preserve"> </w:t>
      </w:r>
    </w:p>
    <w:p w14:paraId="0F7CA9E2" w14:textId="57ADA96B" w:rsidR="008041DB" w:rsidRDefault="008041DB" w:rsidP="008041DB">
      <w:pPr>
        <w:pStyle w:val="subsection"/>
        <w:spacing w:after="120"/>
      </w:pPr>
      <w:r w:rsidRPr="005B270F">
        <w:tab/>
        <w:t>(5)</w:t>
      </w:r>
      <w:r w:rsidRPr="005B270F">
        <w:tab/>
        <w:t xml:space="preserve">If the decision is to grant the application, the ACMA must, </w:t>
      </w:r>
      <w:r w:rsidR="00F8584E">
        <w:t>within 14 days</w:t>
      </w:r>
      <w:r w:rsidRPr="005B270F">
        <w:t xml:space="preserve"> after the decision is made, make an instrument under subclause 1(1) naming the applicant for the purposes of </w:t>
      </w:r>
      <w:r w:rsidRPr="00C24B56">
        <w:t xml:space="preserve">section </w:t>
      </w:r>
      <w:r w:rsidR="007455D2" w:rsidRPr="00C24B56">
        <w:t>9</w:t>
      </w:r>
      <w:r w:rsidR="00F32C41">
        <w:t xml:space="preserve"> and paragraph 11(m)</w:t>
      </w:r>
      <w:r w:rsidRPr="00C24B56">
        <w:t>.</w:t>
      </w:r>
    </w:p>
    <w:p w14:paraId="15921847" w14:textId="72E59FE7" w:rsidR="00B063D6" w:rsidRDefault="00FC3C81" w:rsidP="003D26AC">
      <w:pPr>
        <w:pStyle w:val="Heading2"/>
        <w:rPr>
          <w:rStyle w:val="CharSectno"/>
          <w:rFonts w:asciiTheme="minorHAnsi" w:eastAsiaTheme="minorHAnsi" w:hAnsiTheme="minorHAnsi" w:cstheme="minorBidi"/>
          <w:b w:val="0"/>
          <w:bCs w:val="0"/>
          <w:iCs w:val="0"/>
          <w:sz w:val="18"/>
          <w:szCs w:val="20"/>
          <w:lang w:eastAsia="en-US"/>
        </w:rPr>
      </w:pPr>
      <w:proofErr w:type="gramStart"/>
      <w:r>
        <w:rPr>
          <w:rStyle w:val="CharSectno"/>
        </w:rPr>
        <w:t>4</w:t>
      </w:r>
      <w:r w:rsidR="00B063D6">
        <w:rPr>
          <w:rStyle w:val="CharSectno"/>
        </w:rPr>
        <w:t xml:space="preserve">  </w:t>
      </w:r>
      <w:r w:rsidR="00E31A78">
        <w:rPr>
          <w:rStyle w:val="CharSectno"/>
        </w:rPr>
        <w:t>R</w:t>
      </w:r>
      <w:r w:rsidR="00862983">
        <w:rPr>
          <w:rStyle w:val="CharSectno"/>
        </w:rPr>
        <w:t>ec</w:t>
      </w:r>
      <w:r w:rsidR="001836ED">
        <w:rPr>
          <w:rStyle w:val="CharSectno"/>
        </w:rPr>
        <w:t>onsideration</w:t>
      </w:r>
      <w:proofErr w:type="gramEnd"/>
      <w:r w:rsidR="006F64F7">
        <w:rPr>
          <w:rStyle w:val="CharSectno"/>
        </w:rPr>
        <w:t xml:space="preserve"> </w:t>
      </w:r>
      <w:r w:rsidR="001836ED">
        <w:rPr>
          <w:rStyle w:val="CharSectno"/>
        </w:rPr>
        <w:t xml:space="preserve">and </w:t>
      </w:r>
      <w:r w:rsidR="006F64F7">
        <w:rPr>
          <w:rStyle w:val="CharSectno"/>
        </w:rPr>
        <w:t xml:space="preserve">external </w:t>
      </w:r>
      <w:r w:rsidR="001836ED">
        <w:rPr>
          <w:rStyle w:val="CharSectno"/>
        </w:rPr>
        <w:t>r</w:t>
      </w:r>
      <w:r w:rsidR="00E31A78">
        <w:rPr>
          <w:rStyle w:val="CharSectno"/>
        </w:rPr>
        <w:t>eview of decisions</w:t>
      </w:r>
    </w:p>
    <w:p w14:paraId="35E7AFD3" w14:textId="13AECD9A" w:rsidR="00942461" w:rsidRDefault="007B7D6D" w:rsidP="00487312">
      <w:pPr>
        <w:pStyle w:val="subsection"/>
        <w:keepNext/>
      </w:pPr>
      <w:r>
        <w:tab/>
        <w:t>(</w:t>
      </w:r>
      <w:r w:rsidR="00942461">
        <w:t>1</w:t>
      </w:r>
      <w:r>
        <w:t>)</w:t>
      </w:r>
      <w:r>
        <w:tab/>
      </w:r>
      <w:r w:rsidR="00942461">
        <w:t xml:space="preserve">In this </w:t>
      </w:r>
      <w:r w:rsidR="00192946">
        <w:t>clause</w:t>
      </w:r>
      <w:r w:rsidR="00942461">
        <w:t>:</w:t>
      </w:r>
    </w:p>
    <w:p w14:paraId="145114A3" w14:textId="351A4D59" w:rsidR="00942461" w:rsidRDefault="00720791" w:rsidP="00D01027">
      <w:pPr>
        <w:pStyle w:val="subsection"/>
        <w:keepNext/>
        <w:tabs>
          <w:tab w:val="left" w:pos="1134"/>
        </w:tabs>
        <w:spacing w:after="120"/>
        <w:ind w:left="0" w:firstLine="0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942461" w:rsidRPr="002C3FAC">
        <w:rPr>
          <w:b/>
          <w:bCs/>
          <w:i/>
          <w:iCs/>
        </w:rPr>
        <w:t>affected person</w:t>
      </w:r>
      <w:r w:rsidR="00942461">
        <w:t>, in relation to a relevant decision, means</w:t>
      </w:r>
      <w:r w:rsidR="00F51688">
        <w:t>:</w:t>
      </w:r>
    </w:p>
    <w:p w14:paraId="059162AC" w14:textId="7631C15E" w:rsidR="00942461" w:rsidRDefault="00942461" w:rsidP="00942461">
      <w:pPr>
        <w:pStyle w:val="paragraph"/>
      </w:pPr>
      <w:r>
        <w:tab/>
        <w:t>(a)</w:t>
      </w:r>
      <w:r>
        <w:tab/>
      </w:r>
      <w:r w:rsidR="00C25429">
        <w:t>in the case of</w:t>
      </w:r>
      <w:r>
        <w:t xml:space="preserve"> a decision under subclause 2(1) to revoke an instrument made under subclause 1(1) – the person named in the instrument; and</w:t>
      </w:r>
    </w:p>
    <w:p w14:paraId="1F0FA683" w14:textId="121E8E9A" w:rsidR="005311D8" w:rsidRDefault="00942461" w:rsidP="00C85219">
      <w:pPr>
        <w:pStyle w:val="paragraph"/>
      </w:pPr>
      <w:r>
        <w:lastRenderedPageBreak/>
        <w:tab/>
        <w:t>(b)</w:t>
      </w:r>
      <w:r>
        <w:tab/>
      </w:r>
      <w:r w:rsidR="004A6697">
        <w:t xml:space="preserve">in the case of </w:t>
      </w:r>
      <w:r>
        <w:t>a decision under subclause 3(3) not to grant an application under subclause 3(1) – the applicant.</w:t>
      </w:r>
    </w:p>
    <w:p w14:paraId="004456F3" w14:textId="77777777" w:rsidR="00C629A3" w:rsidRDefault="006B7F73" w:rsidP="00C629A3">
      <w:pPr>
        <w:pStyle w:val="subsection"/>
        <w:spacing w:after="120"/>
        <w:ind w:left="1133" w:firstLine="0"/>
      </w:pPr>
      <w:r w:rsidRPr="005B270F">
        <w:rPr>
          <w:b/>
          <w:bCs/>
          <w:i/>
          <w:iCs/>
        </w:rPr>
        <w:t>reconsidered decision</w:t>
      </w:r>
      <w:r w:rsidRPr="005B270F">
        <w:t xml:space="preserve"> means a decision made under subclause (4).</w:t>
      </w:r>
    </w:p>
    <w:p w14:paraId="3ABCD8B7" w14:textId="20FC0B25" w:rsidR="006773F6" w:rsidRDefault="006773F6" w:rsidP="00C629A3">
      <w:pPr>
        <w:pStyle w:val="subsection"/>
        <w:spacing w:after="120"/>
        <w:ind w:left="1133" w:firstLine="0"/>
      </w:pPr>
      <w:r w:rsidRPr="00472973">
        <w:rPr>
          <w:b/>
          <w:bCs/>
          <w:i/>
          <w:iCs/>
        </w:rPr>
        <w:t>relevant decision</w:t>
      </w:r>
      <w:r>
        <w:t xml:space="preserve"> means:</w:t>
      </w:r>
    </w:p>
    <w:p w14:paraId="79D2AB82" w14:textId="77777777" w:rsidR="006773F6" w:rsidRDefault="006773F6" w:rsidP="006773F6">
      <w:pPr>
        <w:pStyle w:val="paragraph"/>
      </w:pPr>
      <w:r>
        <w:tab/>
        <w:t>(a)</w:t>
      </w:r>
      <w:r>
        <w:tab/>
        <w:t>a decision under subclause 2(1) to revoke an instrument made under subclause 1(1); or</w:t>
      </w:r>
    </w:p>
    <w:p w14:paraId="476A4A04" w14:textId="77777777" w:rsidR="00C629A3" w:rsidRDefault="006773F6" w:rsidP="00C629A3">
      <w:pPr>
        <w:pStyle w:val="paragraph"/>
      </w:pPr>
      <w:r>
        <w:tab/>
        <w:t>(b)</w:t>
      </w:r>
      <w:r>
        <w:tab/>
        <w:t>a decision under subclause 3(3) not to grant an application made under subclause 3(1)</w:t>
      </w:r>
      <w:r w:rsidR="00E41BA0">
        <w:t>.</w:t>
      </w:r>
    </w:p>
    <w:p w14:paraId="1DDCF0BF" w14:textId="0BA4AC15" w:rsidR="00B063D6" w:rsidRDefault="00B063D6" w:rsidP="00C629A3">
      <w:pPr>
        <w:pStyle w:val="subsection"/>
        <w:keepNext/>
        <w:spacing w:after="120"/>
      </w:pPr>
      <w:r>
        <w:tab/>
        <w:t>(</w:t>
      </w:r>
      <w:r w:rsidR="007B7D6D">
        <w:t>2</w:t>
      </w:r>
      <w:r>
        <w:t>)</w:t>
      </w:r>
      <w:r>
        <w:tab/>
        <w:t>A</w:t>
      </w:r>
      <w:r w:rsidR="00D13BE0">
        <w:t>n affected person</w:t>
      </w:r>
      <w:r w:rsidR="00207DA5">
        <w:t xml:space="preserve"> </w:t>
      </w:r>
      <w:r w:rsidR="008C7FB3">
        <w:t>in relation to a re</w:t>
      </w:r>
      <w:r w:rsidR="00010664">
        <w:t>levant</w:t>
      </w:r>
      <w:r w:rsidR="008C7FB3">
        <w:t xml:space="preserve"> decision</w:t>
      </w:r>
      <w:r w:rsidR="00C72387">
        <w:t xml:space="preserve"> may request</w:t>
      </w:r>
      <w:r w:rsidR="00A964D5">
        <w:t xml:space="preserve"> </w:t>
      </w:r>
      <w:r w:rsidR="001C501A">
        <w:t>the ACMA to reconsider the decision</w:t>
      </w:r>
      <w:r w:rsidR="00C56F48">
        <w:t>.</w:t>
      </w:r>
    </w:p>
    <w:p w14:paraId="4C0A9CE6" w14:textId="320AF6C6" w:rsidR="00DE7102" w:rsidRDefault="00DE7102" w:rsidP="00764909">
      <w:pPr>
        <w:pStyle w:val="subsection"/>
        <w:keepNext/>
        <w:spacing w:after="120"/>
      </w:pPr>
      <w:r>
        <w:tab/>
        <w:t>(</w:t>
      </w:r>
      <w:r w:rsidR="00D8504C">
        <w:t>3</w:t>
      </w:r>
      <w:r>
        <w:t>)</w:t>
      </w:r>
      <w:r>
        <w:tab/>
      </w:r>
      <w:r w:rsidR="00BA4712">
        <w:t>A</w:t>
      </w:r>
      <w:r>
        <w:t xml:space="preserve"> request </w:t>
      </w:r>
      <w:r w:rsidR="00BA4712">
        <w:t xml:space="preserve">under subclause (2) </w:t>
      </w:r>
      <w:r>
        <w:t>must be:</w:t>
      </w:r>
    </w:p>
    <w:p w14:paraId="4E31FB72" w14:textId="04E48A0B" w:rsidR="00DE7102" w:rsidRDefault="00DE7102" w:rsidP="00DE7102">
      <w:pPr>
        <w:pStyle w:val="paragraph"/>
      </w:pPr>
      <w:r>
        <w:tab/>
        <w:t>(a)</w:t>
      </w:r>
      <w:r>
        <w:tab/>
        <w:t>made in writing; and</w:t>
      </w:r>
    </w:p>
    <w:p w14:paraId="6B51997E" w14:textId="77777777" w:rsidR="00BA3143" w:rsidRDefault="00DE7102" w:rsidP="00DE7102">
      <w:pPr>
        <w:pStyle w:val="paragraph"/>
      </w:pPr>
      <w:r>
        <w:tab/>
        <w:t>(b)</w:t>
      </w:r>
      <w:r>
        <w:tab/>
      </w:r>
      <w:r w:rsidR="000E7469">
        <w:t>set out the reasons for the request</w:t>
      </w:r>
      <w:r w:rsidR="00BA3143">
        <w:t>; and</w:t>
      </w:r>
    </w:p>
    <w:p w14:paraId="6D71E9FF" w14:textId="3AED5072" w:rsidR="00BA3143" w:rsidRDefault="00BA3143" w:rsidP="00BA3143">
      <w:pPr>
        <w:pStyle w:val="paragraph"/>
      </w:pPr>
      <w:r>
        <w:tab/>
        <w:t>(c)</w:t>
      </w:r>
      <w:r>
        <w:tab/>
        <w:t xml:space="preserve">be given to the ACMA </w:t>
      </w:r>
      <w:r w:rsidR="00271013">
        <w:t>within</w:t>
      </w:r>
      <w:r>
        <w:t xml:space="preserve"> </w:t>
      </w:r>
      <w:r w:rsidR="0064600E">
        <w:t>30</w:t>
      </w:r>
      <w:r>
        <w:t xml:space="preserve"> days after</w:t>
      </w:r>
      <w:r w:rsidR="00BD76A1">
        <w:t xml:space="preserve"> </w:t>
      </w:r>
      <w:r>
        <w:t>the affected person is notified of the</w:t>
      </w:r>
      <w:r w:rsidR="00FB38A3">
        <w:t xml:space="preserve"> re</w:t>
      </w:r>
      <w:r w:rsidR="00682579">
        <w:t>levant</w:t>
      </w:r>
      <w:r>
        <w:t xml:space="preserve"> decision.</w:t>
      </w:r>
    </w:p>
    <w:p w14:paraId="4C1D408D" w14:textId="10AB9D14" w:rsidR="006F655B" w:rsidRDefault="006F655B" w:rsidP="00764909">
      <w:pPr>
        <w:pStyle w:val="subsection"/>
        <w:keepNext/>
        <w:spacing w:after="120"/>
      </w:pPr>
      <w:r>
        <w:tab/>
        <w:t>(</w:t>
      </w:r>
      <w:r w:rsidR="00D8504C">
        <w:t>4</w:t>
      </w:r>
      <w:r>
        <w:t>)</w:t>
      </w:r>
      <w:r>
        <w:tab/>
      </w:r>
      <w:r w:rsidR="00D33451">
        <w:t>T</w:t>
      </w:r>
      <w:r w:rsidR="009147CF">
        <w:t>he ACMA must</w:t>
      </w:r>
      <w:r w:rsidR="00D33451">
        <w:t>,</w:t>
      </w:r>
      <w:r w:rsidR="00A573EC" w:rsidRPr="00A573EC">
        <w:t xml:space="preserve"> </w:t>
      </w:r>
      <w:r w:rsidR="00A573EC">
        <w:t xml:space="preserve">within </w:t>
      </w:r>
      <w:r w:rsidR="0064600E">
        <w:t>90</w:t>
      </w:r>
      <w:r w:rsidR="00A573EC">
        <w:t xml:space="preserve"> days</w:t>
      </w:r>
      <w:r w:rsidR="00D33451">
        <w:t xml:space="preserve"> after the request</w:t>
      </w:r>
      <w:r w:rsidR="00474DC7">
        <w:t xml:space="preserve"> is received</w:t>
      </w:r>
      <w:r w:rsidR="00D33451">
        <w:t>,</w:t>
      </w:r>
      <w:r w:rsidR="00B86434">
        <w:t xml:space="preserve"> reconsider the </w:t>
      </w:r>
      <w:r w:rsidR="006F5B50">
        <w:t>relevant</w:t>
      </w:r>
      <w:r w:rsidR="00BE1D78">
        <w:t xml:space="preserve"> </w:t>
      </w:r>
      <w:r w:rsidR="00227BE8">
        <w:t>decision and</w:t>
      </w:r>
      <w:r>
        <w:t>:</w:t>
      </w:r>
    </w:p>
    <w:p w14:paraId="19423884" w14:textId="0B5F29D0" w:rsidR="006F655B" w:rsidRDefault="006F655B" w:rsidP="006F655B">
      <w:pPr>
        <w:pStyle w:val="paragraph"/>
      </w:pPr>
      <w:r>
        <w:tab/>
        <w:t>(a)</w:t>
      </w:r>
      <w:r>
        <w:tab/>
      </w:r>
      <w:r w:rsidR="00227BE8">
        <w:rPr>
          <w:iCs/>
        </w:rPr>
        <w:t>affirm the decision</w:t>
      </w:r>
      <w:r w:rsidR="00227BE8">
        <w:t xml:space="preserve">; or </w:t>
      </w:r>
    </w:p>
    <w:p w14:paraId="212DEC5E" w14:textId="1A6DD354" w:rsidR="005B45E8" w:rsidRPr="00C24B56" w:rsidRDefault="006F655B" w:rsidP="000F1087">
      <w:pPr>
        <w:pStyle w:val="paragraph"/>
        <w:rPr>
          <w:iCs/>
        </w:rPr>
      </w:pPr>
      <w:r>
        <w:tab/>
        <w:t>(b)</w:t>
      </w:r>
      <w:r>
        <w:tab/>
      </w:r>
      <w:r w:rsidR="000A7E34">
        <w:t xml:space="preserve">make a fresh </w:t>
      </w:r>
      <w:r w:rsidR="000A7E34" w:rsidRPr="005B270F">
        <w:t>decision</w:t>
      </w:r>
      <w:r w:rsidR="001106FA" w:rsidRPr="005B270F">
        <w:t xml:space="preserve"> to the effect that the ACMA must, </w:t>
      </w:r>
      <w:r w:rsidR="00B53FD4">
        <w:t>within 14 days</w:t>
      </w:r>
      <w:r w:rsidR="001106FA" w:rsidRPr="005B270F">
        <w:t xml:space="preserve"> after the decision is made, make an instrument under subclause 1(1) naming the affected person for the purposes of </w:t>
      </w:r>
      <w:r w:rsidR="001106FA" w:rsidRPr="00C24B56">
        <w:t xml:space="preserve">section </w:t>
      </w:r>
      <w:r w:rsidR="007455D2" w:rsidRPr="00C24B56">
        <w:t>9</w:t>
      </w:r>
      <w:r w:rsidR="00F32C41">
        <w:t xml:space="preserve"> and paragraph 11(m)</w:t>
      </w:r>
      <w:r w:rsidR="00F706B7" w:rsidRPr="00C24B56">
        <w:rPr>
          <w:iCs/>
        </w:rPr>
        <w:t>.</w:t>
      </w:r>
    </w:p>
    <w:p w14:paraId="592685E7" w14:textId="275BDEED" w:rsidR="00F8442A" w:rsidRDefault="00F8442A" w:rsidP="00764909">
      <w:pPr>
        <w:pStyle w:val="subsection"/>
        <w:keepNext/>
        <w:spacing w:after="120"/>
      </w:pPr>
      <w:r w:rsidRPr="00C24B56">
        <w:tab/>
        <w:t>(</w:t>
      </w:r>
      <w:r w:rsidR="00D8504C" w:rsidRPr="00C24B56">
        <w:t>5</w:t>
      </w:r>
      <w:r w:rsidRPr="00C24B56">
        <w:t>)</w:t>
      </w:r>
      <w:r w:rsidRPr="00C24B56">
        <w:tab/>
      </w:r>
      <w:r w:rsidR="00B51D26" w:rsidRPr="00C24B56">
        <w:t>T</w:t>
      </w:r>
      <w:r w:rsidR="00585DAB" w:rsidRPr="00C24B56">
        <w:t>he ACMA must</w:t>
      </w:r>
      <w:r w:rsidR="00977AE6" w:rsidRPr="00C24B56">
        <w:t xml:space="preserve">, </w:t>
      </w:r>
      <w:r w:rsidR="00D46B56" w:rsidRPr="00C24B56">
        <w:t xml:space="preserve">within </w:t>
      </w:r>
      <w:r w:rsidR="000D2377" w:rsidRPr="00C24B56">
        <w:t>14</w:t>
      </w:r>
      <w:r w:rsidR="00D46B56" w:rsidRPr="00C24B56">
        <w:t xml:space="preserve"> days</w:t>
      </w:r>
      <w:r w:rsidR="00364F66" w:rsidRPr="00C24B56">
        <w:t xml:space="preserve"> </w:t>
      </w:r>
      <w:r w:rsidR="00977AE6" w:rsidRPr="00C24B56">
        <w:t xml:space="preserve">after </w:t>
      </w:r>
      <w:r w:rsidR="00991A5E" w:rsidRPr="00C24B56">
        <w:t>the</w:t>
      </w:r>
      <w:r w:rsidR="00977AE6" w:rsidRPr="00C24B56">
        <w:t xml:space="preserve"> </w:t>
      </w:r>
      <w:r w:rsidR="008261AF" w:rsidRPr="00C24B56">
        <w:t>recon</w:t>
      </w:r>
      <w:r w:rsidR="00344237" w:rsidRPr="00C24B56">
        <w:t>sidered</w:t>
      </w:r>
      <w:r w:rsidR="00344237" w:rsidRPr="005B270F">
        <w:t xml:space="preserve"> </w:t>
      </w:r>
      <w:r w:rsidR="00977AE6" w:rsidRPr="005B270F">
        <w:t>decision</w:t>
      </w:r>
      <w:r w:rsidR="00034D6D" w:rsidRPr="005B270F">
        <w:t xml:space="preserve"> is made</w:t>
      </w:r>
      <w:r w:rsidR="00977AE6" w:rsidRPr="005B270F">
        <w:t>,</w:t>
      </w:r>
      <w:r w:rsidR="007634E1" w:rsidRPr="005B270F">
        <w:t xml:space="preserve"> give</w:t>
      </w:r>
      <w:r w:rsidR="007634E1">
        <w:t xml:space="preserve"> </w:t>
      </w:r>
      <w:r w:rsidR="00CA5131">
        <w:t xml:space="preserve">the affected person </w:t>
      </w:r>
      <w:r w:rsidR="007634E1">
        <w:t>written notice of</w:t>
      </w:r>
      <w:r>
        <w:t>:</w:t>
      </w:r>
    </w:p>
    <w:p w14:paraId="35EBE65B" w14:textId="251DD08D" w:rsidR="00F8442A" w:rsidRDefault="00F8442A" w:rsidP="00F8442A">
      <w:pPr>
        <w:pStyle w:val="paragraph"/>
      </w:pPr>
      <w:r>
        <w:tab/>
        <w:t>(a)</w:t>
      </w:r>
      <w:r>
        <w:tab/>
        <w:t>the</w:t>
      </w:r>
      <w:r w:rsidR="00C16E72">
        <w:t xml:space="preserve"> reconsidered </w:t>
      </w:r>
      <w:r>
        <w:t>decision; and</w:t>
      </w:r>
    </w:p>
    <w:p w14:paraId="178DC1BB" w14:textId="4D5922BF" w:rsidR="00D75763" w:rsidRDefault="00D75763" w:rsidP="00163E42">
      <w:pPr>
        <w:pStyle w:val="paragraph"/>
      </w:pPr>
      <w:r>
        <w:tab/>
        <w:t>(</w:t>
      </w:r>
      <w:r w:rsidR="006C60A0">
        <w:t>b</w:t>
      </w:r>
      <w:r>
        <w:t>)</w:t>
      </w:r>
      <w:r>
        <w:tab/>
      </w:r>
      <w:r w:rsidR="00163E42">
        <w:t>if the</w:t>
      </w:r>
      <w:r w:rsidR="001D48AF">
        <w:t xml:space="preserve"> reconsidered decision</w:t>
      </w:r>
      <w:r w:rsidR="00E53BC0">
        <w:t xml:space="preserve"> affirm</w:t>
      </w:r>
      <w:r w:rsidR="00523085">
        <w:t>s</w:t>
      </w:r>
      <w:r w:rsidR="00163E42">
        <w:t xml:space="preserve"> the re</w:t>
      </w:r>
      <w:r w:rsidR="003360E8">
        <w:t>levant</w:t>
      </w:r>
      <w:r w:rsidR="00163E42">
        <w:t xml:space="preserve"> decision</w:t>
      </w:r>
      <w:r w:rsidR="006C60A0">
        <w:t>:</w:t>
      </w:r>
    </w:p>
    <w:p w14:paraId="00281BAA" w14:textId="50A794F5" w:rsidR="003557BD" w:rsidRDefault="003557BD" w:rsidP="003557BD">
      <w:pPr>
        <w:pStyle w:val="paragraphsub"/>
        <w:rPr>
          <w:iCs/>
        </w:rPr>
      </w:pPr>
      <w:r>
        <w:rPr>
          <w:iCs/>
        </w:rPr>
        <w:tab/>
        <w:t>(i)</w:t>
      </w:r>
      <w:r>
        <w:rPr>
          <w:iCs/>
        </w:rPr>
        <w:tab/>
      </w:r>
      <w:r w:rsidR="00BE15C9">
        <w:rPr>
          <w:iCs/>
        </w:rPr>
        <w:t xml:space="preserve">the reasons for the </w:t>
      </w:r>
      <w:r w:rsidR="00E53BC0">
        <w:rPr>
          <w:iCs/>
        </w:rPr>
        <w:t xml:space="preserve">reconsidered </w:t>
      </w:r>
      <w:r w:rsidR="00BE15C9">
        <w:rPr>
          <w:iCs/>
        </w:rPr>
        <w:t>decision</w:t>
      </w:r>
      <w:r>
        <w:rPr>
          <w:iCs/>
        </w:rPr>
        <w:t>;</w:t>
      </w:r>
      <w:r>
        <w:t xml:space="preserve"> and  </w:t>
      </w:r>
    </w:p>
    <w:p w14:paraId="1DBA0454" w14:textId="3081C3DF" w:rsidR="003557BD" w:rsidRDefault="003557BD" w:rsidP="003557BD">
      <w:pPr>
        <w:pStyle w:val="paragraphsub"/>
      </w:pPr>
      <w:r>
        <w:rPr>
          <w:iCs/>
        </w:rPr>
        <w:tab/>
        <w:t>(ii)</w:t>
      </w:r>
      <w:r>
        <w:rPr>
          <w:iCs/>
        </w:rPr>
        <w:tab/>
      </w:r>
      <w:r>
        <w:t>the</w:t>
      </w:r>
      <w:r w:rsidR="00486A41">
        <w:t xml:space="preserve"> affected person’s</w:t>
      </w:r>
      <w:r>
        <w:t xml:space="preserve"> right to have the </w:t>
      </w:r>
      <w:r w:rsidR="00E53BC0">
        <w:t xml:space="preserve">reconsidered </w:t>
      </w:r>
      <w:r>
        <w:t>decision reviewed</w:t>
      </w:r>
      <w:r w:rsidR="00EC7FDE">
        <w:t xml:space="preserve"> under subclause (</w:t>
      </w:r>
      <w:r w:rsidR="006010D0">
        <w:t>6</w:t>
      </w:r>
      <w:r w:rsidR="00EC7FDE">
        <w:t>)</w:t>
      </w:r>
      <w:r>
        <w:rPr>
          <w:iCs/>
        </w:rPr>
        <w:t>.</w:t>
      </w:r>
      <w:r>
        <w:t xml:space="preserve"> </w:t>
      </w:r>
    </w:p>
    <w:p w14:paraId="13855970" w14:textId="26D3B8BA" w:rsidR="00BE0629" w:rsidRDefault="00110A4C" w:rsidP="004525D9">
      <w:pPr>
        <w:pStyle w:val="subsection"/>
        <w:spacing w:after="120"/>
      </w:pPr>
      <w:r>
        <w:tab/>
        <w:t>(</w:t>
      </w:r>
      <w:r w:rsidR="006010D0">
        <w:t>6</w:t>
      </w:r>
      <w:r>
        <w:t>)</w:t>
      </w:r>
      <w:r>
        <w:tab/>
      </w:r>
      <w:r w:rsidR="001A7B5A">
        <w:t>If th</w:t>
      </w:r>
      <w:r w:rsidR="006528D8">
        <w:t>e</w:t>
      </w:r>
      <w:r w:rsidR="001A7B5A">
        <w:t xml:space="preserve"> </w:t>
      </w:r>
      <w:r w:rsidR="00A129E9">
        <w:t>reconsidered decision</w:t>
      </w:r>
      <w:r w:rsidR="006528D8">
        <w:t xml:space="preserve"> </w:t>
      </w:r>
      <w:r w:rsidR="001A7B5A">
        <w:t>affirm</w:t>
      </w:r>
      <w:r w:rsidR="006528D8">
        <w:t>s</w:t>
      </w:r>
      <w:r w:rsidR="001A7B5A">
        <w:t xml:space="preserve"> the</w:t>
      </w:r>
      <w:r w:rsidR="00C817DD">
        <w:t xml:space="preserve"> re</w:t>
      </w:r>
      <w:r w:rsidR="00444432">
        <w:t>levant</w:t>
      </w:r>
      <w:r w:rsidR="00C817DD">
        <w:t xml:space="preserve"> decision, the </w:t>
      </w:r>
      <w:r w:rsidR="0060752B">
        <w:t xml:space="preserve">affected person may </w:t>
      </w:r>
      <w:r w:rsidR="00BE4FBF">
        <w:t>apply</w:t>
      </w:r>
      <w:r>
        <w:t xml:space="preserve"> to the </w:t>
      </w:r>
      <w:r w:rsidR="00FB1658">
        <w:t xml:space="preserve">AAT </w:t>
      </w:r>
      <w:r>
        <w:t xml:space="preserve">for review of </w:t>
      </w:r>
      <w:r w:rsidR="00804DD2">
        <w:t>th</w:t>
      </w:r>
      <w:r w:rsidR="00186BF2">
        <w:t>e</w:t>
      </w:r>
      <w:r w:rsidR="00A129E9">
        <w:t xml:space="preserve"> reconsidered decision</w:t>
      </w:r>
      <w:r w:rsidR="00560966">
        <w:t>.</w:t>
      </w:r>
      <w:r>
        <w:t xml:space="preserve"> </w:t>
      </w:r>
    </w:p>
    <w:p w14:paraId="0ECF6177" w14:textId="7FE01FDB" w:rsidR="00623567" w:rsidRPr="00207DA5" w:rsidRDefault="00623567" w:rsidP="004525D9">
      <w:pPr>
        <w:pStyle w:val="subsection"/>
        <w:spacing w:after="120"/>
        <w:rPr>
          <w:b/>
          <w:bCs/>
          <w:iCs/>
        </w:rPr>
      </w:pPr>
    </w:p>
    <w:sectPr w:rsidR="00623567" w:rsidRPr="00207DA5" w:rsidSect="00C629A3">
      <w:pgSz w:w="11906" w:h="16838"/>
      <w:pgMar w:top="1440" w:right="1440" w:bottom="1440" w:left="1440" w:header="708" w:footer="708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265A" w14:textId="77777777" w:rsidR="00105BBD" w:rsidRDefault="00105BBD" w:rsidP="0017734A">
      <w:pPr>
        <w:spacing w:after="0" w:line="240" w:lineRule="auto"/>
      </w:pPr>
      <w:r>
        <w:separator/>
      </w:r>
    </w:p>
  </w:endnote>
  <w:endnote w:type="continuationSeparator" w:id="0">
    <w:p w14:paraId="6AE00CFF" w14:textId="77777777" w:rsidR="00105BBD" w:rsidRDefault="00105BBD" w:rsidP="0017734A">
      <w:pPr>
        <w:spacing w:after="0" w:line="240" w:lineRule="auto"/>
      </w:pPr>
      <w:r>
        <w:continuationSeparator/>
      </w:r>
    </w:p>
  </w:endnote>
  <w:endnote w:type="continuationNotice" w:id="1">
    <w:p w14:paraId="58F688E0" w14:textId="77777777" w:rsidR="00105BBD" w:rsidRDefault="00105B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2AE2" w14:textId="650282D2" w:rsidR="005F2B7E" w:rsidRDefault="005F2B7E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Radiocommunications (</w:t>
    </w:r>
    <w:r w:rsidR="00DB5746">
      <w:rPr>
        <w:rFonts w:ascii="Times New Roman" w:hAnsi="Times New Roman" w:cs="Times New Roman"/>
        <w:i/>
        <w:iCs/>
      </w:rPr>
      <w:t>Exemption</w:t>
    </w:r>
    <w:r>
      <w:rPr>
        <w:rFonts w:ascii="Times New Roman" w:hAnsi="Times New Roman" w:cs="Times New Roman"/>
        <w:i/>
        <w:iCs/>
      </w:rPr>
      <w:t xml:space="preserve">) </w:t>
    </w:r>
    <w:r w:rsidR="00DB5746">
      <w:rPr>
        <w:rFonts w:ascii="Times New Roman" w:hAnsi="Times New Roman" w:cs="Times New Roman"/>
        <w:i/>
        <w:iCs/>
      </w:rPr>
      <w:t>Determination</w:t>
    </w:r>
    <w:r>
      <w:rPr>
        <w:rFonts w:ascii="Times New Roman" w:hAnsi="Times New Roman" w:cs="Times New Roman"/>
        <w:i/>
        <w:iCs/>
      </w:rPr>
      <w:t xml:space="preserve"> 2021</w:t>
    </w:r>
  </w:p>
  <w:p w14:paraId="630BDF91" w14:textId="77777777" w:rsidR="005F2B7E" w:rsidRPr="00BF4061" w:rsidRDefault="005F2B7E" w:rsidP="00BF4061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 w:rsidRPr="00BF4061">
      <w:rPr>
        <w:rFonts w:ascii="Times New Roman" w:hAnsi="Times New Roman" w:cs="Times New Roman"/>
        <w:noProof/>
      </w:rPr>
      <w:t>1</w:t>
    </w:r>
    <w:r w:rsidRPr="00BF4061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F397" w14:textId="77777777" w:rsidR="00EF100F" w:rsidRDefault="00EF100F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Radiocommunications (Exemption) Determination 2021</w:t>
    </w:r>
  </w:p>
  <w:p w14:paraId="1F5856F1" w14:textId="4AA97141" w:rsidR="00EF100F" w:rsidRPr="00BF4061" w:rsidRDefault="00DA03BA" w:rsidP="00BF4061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4031" w14:textId="77777777" w:rsidR="00105BBD" w:rsidRDefault="00105BBD" w:rsidP="0017734A">
      <w:pPr>
        <w:spacing w:after="0" w:line="240" w:lineRule="auto"/>
      </w:pPr>
      <w:r>
        <w:separator/>
      </w:r>
    </w:p>
  </w:footnote>
  <w:footnote w:type="continuationSeparator" w:id="0">
    <w:p w14:paraId="073B9992" w14:textId="77777777" w:rsidR="00105BBD" w:rsidRDefault="00105BBD" w:rsidP="0017734A">
      <w:pPr>
        <w:spacing w:after="0" w:line="240" w:lineRule="auto"/>
      </w:pPr>
      <w:r>
        <w:continuationSeparator/>
      </w:r>
    </w:p>
  </w:footnote>
  <w:footnote w:type="continuationNotice" w:id="1">
    <w:p w14:paraId="6B5D5629" w14:textId="77777777" w:rsidR="00105BBD" w:rsidRDefault="00105B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EA3" w14:textId="10E70058" w:rsidR="005F2B7E" w:rsidRDefault="00105BBD">
    <w:pPr>
      <w:pStyle w:val="Header"/>
    </w:pPr>
    <w:r>
      <w:rPr>
        <w:noProof/>
      </w:rPr>
      <w:pict w14:anchorId="6F14ED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85266" o:spid="_x0000_s2050" type="#_x0000_t136" style="position:absolute;margin-left:0;margin-top:0;width:424.2pt;height:212.1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92C9" w14:textId="27BBFE63" w:rsidR="005F2B7E" w:rsidRDefault="00105BBD">
    <w:pPr>
      <w:pStyle w:val="Header"/>
    </w:pPr>
    <w:r>
      <w:rPr>
        <w:noProof/>
      </w:rPr>
      <w:pict w14:anchorId="68DAAA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85265" o:spid="_x0000_s2049" type="#_x0000_t136" style="position:absolute;margin-left:0;margin-top:0;width:424.2pt;height:21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286E" w14:textId="67470C10" w:rsidR="005F2B7E" w:rsidRDefault="00105BBD">
    <w:pPr>
      <w:pStyle w:val="Header"/>
    </w:pPr>
    <w:r>
      <w:rPr>
        <w:noProof/>
      </w:rPr>
      <w:pict w14:anchorId="1D4125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85272" o:spid="_x0000_s2056" type="#_x0000_t136" style="position:absolute;margin-left:0;margin-top:0;width:424.2pt;height:212.1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C250" w14:textId="3E4AC623" w:rsidR="005F2B7E" w:rsidRPr="00F03566" w:rsidRDefault="005F2B7E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040FB9">
      <w:rPr>
        <w:rFonts w:ascii="Times New Roman" w:hAnsi="Times New Roman" w:cs="Times New Roman"/>
      </w:rPr>
      <w:t xml:space="preserve">Section </w:t>
    </w:r>
    <w:r w:rsidRPr="00040FB9">
      <w:rPr>
        <w:rFonts w:ascii="Times New Roman" w:hAnsi="Times New Roman" w:cs="Times New Roman"/>
      </w:rPr>
      <w:fldChar w:fldCharType="begin"/>
    </w:r>
    <w:r w:rsidRPr="00040FB9">
      <w:rPr>
        <w:rFonts w:ascii="Times New Roman" w:hAnsi="Times New Roman" w:cs="Times New Roman"/>
      </w:rPr>
      <w:instrText xml:space="preserve"> STYLEREF  CharSectno  \* MERGEFORMAT </w:instrText>
    </w:r>
    <w:r w:rsidRPr="00040FB9">
      <w:rPr>
        <w:rFonts w:ascii="Times New Roman" w:hAnsi="Times New Roman" w:cs="Times New Roman"/>
      </w:rPr>
      <w:fldChar w:fldCharType="separate"/>
    </w:r>
    <w:r w:rsidR="004903EF">
      <w:rPr>
        <w:rFonts w:ascii="Times New Roman" w:hAnsi="Times New Roman" w:cs="Times New Roman"/>
        <w:noProof/>
      </w:rPr>
      <w:t>13</w:t>
    </w:r>
    <w:r w:rsidRPr="00040FB9">
      <w:rPr>
        <w:rFonts w:ascii="Times New Roman" w:hAnsi="Times New Roman" w:cs="Times New Roman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6B18" w14:textId="5EAF9D91" w:rsidR="005F2B7E" w:rsidRDefault="00105BBD">
    <w:pPr>
      <w:pStyle w:val="Header"/>
    </w:pPr>
    <w:r>
      <w:rPr>
        <w:noProof/>
      </w:rPr>
      <w:pict w14:anchorId="5ACBFC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85271" o:spid="_x0000_s2055" type="#_x0000_t136" style="position:absolute;margin-left:0;margin-top:0;width:424.2pt;height:212.1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FC56" w14:textId="0652391A" w:rsidR="00C629A3" w:rsidRPr="00F03566" w:rsidRDefault="00C629A3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6A32"/>
    <w:multiLevelType w:val="hybridMultilevel"/>
    <w:tmpl w:val="439C334A"/>
    <w:lvl w:ilvl="0" w:tplc="81F4E568">
      <w:start w:val="1"/>
      <w:numFmt w:val="decimal"/>
      <w:lvlText w:val="(%1)"/>
      <w:lvlJc w:val="left"/>
      <w:pPr>
        <w:ind w:left="1133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8" w:hanging="360"/>
      </w:pPr>
    </w:lvl>
    <w:lvl w:ilvl="2" w:tplc="0C09001B" w:tentative="1">
      <w:start w:val="1"/>
      <w:numFmt w:val="lowerRoman"/>
      <w:lvlText w:val="%3."/>
      <w:lvlJc w:val="right"/>
      <w:pPr>
        <w:ind w:left="2558" w:hanging="180"/>
      </w:pPr>
    </w:lvl>
    <w:lvl w:ilvl="3" w:tplc="0C09000F" w:tentative="1">
      <w:start w:val="1"/>
      <w:numFmt w:val="decimal"/>
      <w:lvlText w:val="%4."/>
      <w:lvlJc w:val="left"/>
      <w:pPr>
        <w:ind w:left="3278" w:hanging="360"/>
      </w:pPr>
    </w:lvl>
    <w:lvl w:ilvl="4" w:tplc="0C090019" w:tentative="1">
      <w:start w:val="1"/>
      <w:numFmt w:val="lowerLetter"/>
      <w:lvlText w:val="%5."/>
      <w:lvlJc w:val="left"/>
      <w:pPr>
        <w:ind w:left="3998" w:hanging="360"/>
      </w:pPr>
    </w:lvl>
    <w:lvl w:ilvl="5" w:tplc="0C09001B" w:tentative="1">
      <w:start w:val="1"/>
      <w:numFmt w:val="lowerRoman"/>
      <w:lvlText w:val="%6."/>
      <w:lvlJc w:val="right"/>
      <w:pPr>
        <w:ind w:left="4718" w:hanging="180"/>
      </w:pPr>
    </w:lvl>
    <w:lvl w:ilvl="6" w:tplc="0C09000F" w:tentative="1">
      <w:start w:val="1"/>
      <w:numFmt w:val="decimal"/>
      <w:lvlText w:val="%7."/>
      <w:lvlJc w:val="left"/>
      <w:pPr>
        <w:ind w:left="5438" w:hanging="360"/>
      </w:pPr>
    </w:lvl>
    <w:lvl w:ilvl="7" w:tplc="0C090019" w:tentative="1">
      <w:start w:val="1"/>
      <w:numFmt w:val="lowerLetter"/>
      <w:lvlText w:val="%8."/>
      <w:lvlJc w:val="left"/>
      <w:pPr>
        <w:ind w:left="6158" w:hanging="360"/>
      </w:pPr>
    </w:lvl>
    <w:lvl w:ilvl="8" w:tplc="0C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E36E0"/>
    <w:multiLevelType w:val="hybridMultilevel"/>
    <w:tmpl w:val="E410ECD8"/>
    <w:lvl w:ilvl="0" w:tplc="5408510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15429"/>
    <w:multiLevelType w:val="hybridMultilevel"/>
    <w:tmpl w:val="D5EA31B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36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3257B"/>
    <w:multiLevelType w:val="hybridMultilevel"/>
    <w:tmpl w:val="EE12B28C"/>
    <w:lvl w:ilvl="0" w:tplc="333C107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E3A77"/>
    <w:multiLevelType w:val="hybridMultilevel"/>
    <w:tmpl w:val="467E9DB2"/>
    <w:lvl w:ilvl="0" w:tplc="0DFCF1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5AF"/>
    <w:rsid w:val="000013F7"/>
    <w:rsid w:val="00001CF9"/>
    <w:rsid w:val="00002284"/>
    <w:rsid w:val="00002D3C"/>
    <w:rsid w:val="00002D97"/>
    <w:rsid w:val="000030D8"/>
    <w:rsid w:val="000036A3"/>
    <w:rsid w:val="00003E09"/>
    <w:rsid w:val="00006070"/>
    <w:rsid w:val="00006E84"/>
    <w:rsid w:val="00007FC8"/>
    <w:rsid w:val="00007FF0"/>
    <w:rsid w:val="00010658"/>
    <w:rsid w:val="00010664"/>
    <w:rsid w:val="000119BD"/>
    <w:rsid w:val="00011A6F"/>
    <w:rsid w:val="00013169"/>
    <w:rsid w:val="00013825"/>
    <w:rsid w:val="0001388E"/>
    <w:rsid w:val="00013B9A"/>
    <w:rsid w:val="00014AA1"/>
    <w:rsid w:val="00014B2B"/>
    <w:rsid w:val="00014DF6"/>
    <w:rsid w:val="00015C39"/>
    <w:rsid w:val="00016B5A"/>
    <w:rsid w:val="000178F5"/>
    <w:rsid w:val="000220C1"/>
    <w:rsid w:val="00022637"/>
    <w:rsid w:val="00022EDF"/>
    <w:rsid w:val="00025E8D"/>
    <w:rsid w:val="0002708B"/>
    <w:rsid w:val="00027AFD"/>
    <w:rsid w:val="00031441"/>
    <w:rsid w:val="00031677"/>
    <w:rsid w:val="00031A39"/>
    <w:rsid w:val="00033900"/>
    <w:rsid w:val="000340E0"/>
    <w:rsid w:val="000341B2"/>
    <w:rsid w:val="00034556"/>
    <w:rsid w:val="0003456F"/>
    <w:rsid w:val="00034D6D"/>
    <w:rsid w:val="00034F6F"/>
    <w:rsid w:val="000354FE"/>
    <w:rsid w:val="00035A54"/>
    <w:rsid w:val="00036992"/>
    <w:rsid w:val="000374A9"/>
    <w:rsid w:val="0004001A"/>
    <w:rsid w:val="00040FB9"/>
    <w:rsid w:val="00042279"/>
    <w:rsid w:val="00043925"/>
    <w:rsid w:val="00044BF6"/>
    <w:rsid w:val="00044E44"/>
    <w:rsid w:val="00046E2C"/>
    <w:rsid w:val="0004700C"/>
    <w:rsid w:val="000502AF"/>
    <w:rsid w:val="0005069D"/>
    <w:rsid w:val="00050C5A"/>
    <w:rsid w:val="00050C6F"/>
    <w:rsid w:val="00051A12"/>
    <w:rsid w:val="00051D9A"/>
    <w:rsid w:val="00051DD0"/>
    <w:rsid w:val="0005276B"/>
    <w:rsid w:val="00052CF2"/>
    <w:rsid w:val="0005452F"/>
    <w:rsid w:val="00055DD5"/>
    <w:rsid w:val="000563AD"/>
    <w:rsid w:val="00057670"/>
    <w:rsid w:val="0005775E"/>
    <w:rsid w:val="00057EDB"/>
    <w:rsid w:val="00060196"/>
    <w:rsid w:val="0006038C"/>
    <w:rsid w:val="00060632"/>
    <w:rsid w:val="000607C7"/>
    <w:rsid w:val="0006085C"/>
    <w:rsid w:val="00060A15"/>
    <w:rsid w:val="000625F4"/>
    <w:rsid w:val="00063499"/>
    <w:rsid w:val="000655D7"/>
    <w:rsid w:val="0006563F"/>
    <w:rsid w:val="00066D72"/>
    <w:rsid w:val="00066E97"/>
    <w:rsid w:val="000703B6"/>
    <w:rsid w:val="00070F59"/>
    <w:rsid w:val="00071567"/>
    <w:rsid w:val="00072927"/>
    <w:rsid w:val="00076FEB"/>
    <w:rsid w:val="0007710B"/>
    <w:rsid w:val="00077358"/>
    <w:rsid w:val="00077C7F"/>
    <w:rsid w:val="00077F80"/>
    <w:rsid w:val="00080357"/>
    <w:rsid w:val="0008080D"/>
    <w:rsid w:val="00080D4D"/>
    <w:rsid w:val="00081B94"/>
    <w:rsid w:val="000825FA"/>
    <w:rsid w:val="00082BBA"/>
    <w:rsid w:val="00083841"/>
    <w:rsid w:val="0008458E"/>
    <w:rsid w:val="000849EF"/>
    <w:rsid w:val="00084E06"/>
    <w:rsid w:val="00085932"/>
    <w:rsid w:val="00085D87"/>
    <w:rsid w:val="00086157"/>
    <w:rsid w:val="00086620"/>
    <w:rsid w:val="00086B4D"/>
    <w:rsid w:val="00086BF0"/>
    <w:rsid w:val="00086C9F"/>
    <w:rsid w:val="00087F5A"/>
    <w:rsid w:val="00091E6D"/>
    <w:rsid w:val="00091F74"/>
    <w:rsid w:val="0009218A"/>
    <w:rsid w:val="00092547"/>
    <w:rsid w:val="0009325B"/>
    <w:rsid w:val="000939BF"/>
    <w:rsid w:val="000941DC"/>
    <w:rsid w:val="0009482E"/>
    <w:rsid w:val="00094969"/>
    <w:rsid w:val="00095002"/>
    <w:rsid w:val="000958AB"/>
    <w:rsid w:val="00096A3D"/>
    <w:rsid w:val="0009778F"/>
    <w:rsid w:val="0009779B"/>
    <w:rsid w:val="00097890"/>
    <w:rsid w:val="00097A3E"/>
    <w:rsid w:val="000A1321"/>
    <w:rsid w:val="000A1FBA"/>
    <w:rsid w:val="000A2328"/>
    <w:rsid w:val="000A2AF5"/>
    <w:rsid w:val="000A35B8"/>
    <w:rsid w:val="000A392A"/>
    <w:rsid w:val="000A3B8B"/>
    <w:rsid w:val="000A3F1A"/>
    <w:rsid w:val="000A4369"/>
    <w:rsid w:val="000A547D"/>
    <w:rsid w:val="000A58E7"/>
    <w:rsid w:val="000A66DD"/>
    <w:rsid w:val="000A6F54"/>
    <w:rsid w:val="000A7E34"/>
    <w:rsid w:val="000B0278"/>
    <w:rsid w:val="000B08C9"/>
    <w:rsid w:val="000B1D69"/>
    <w:rsid w:val="000B226A"/>
    <w:rsid w:val="000B231F"/>
    <w:rsid w:val="000B23DF"/>
    <w:rsid w:val="000B2700"/>
    <w:rsid w:val="000B3B92"/>
    <w:rsid w:val="000B4020"/>
    <w:rsid w:val="000B4863"/>
    <w:rsid w:val="000B49DE"/>
    <w:rsid w:val="000B4C06"/>
    <w:rsid w:val="000B51E3"/>
    <w:rsid w:val="000B5763"/>
    <w:rsid w:val="000B5B6B"/>
    <w:rsid w:val="000B6428"/>
    <w:rsid w:val="000B6512"/>
    <w:rsid w:val="000B65F2"/>
    <w:rsid w:val="000B784E"/>
    <w:rsid w:val="000B7FD2"/>
    <w:rsid w:val="000C0389"/>
    <w:rsid w:val="000C06F6"/>
    <w:rsid w:val="000C0995"/>
    <w:rsid w:val="000C244D"/>
    <w:rsid w:val="000C5113"/>
    <w:rsid w:val="000C51B1"/>
    <w:rsid w:val="000C548E"/>
    <w:rsid w:val="000C73E1"/>
    <w:rsid w:val="000D02A1"/>
    <w:rsid w:val="000D14D6"/>
    <w:rsid w:val="000D2377"/>
    <w:rsid w:val="000D41E1"/>
    <w:rsid w:val="000D48D5"/>
    <w:rsid w:val="000D4903"/>
    <w:rsid w:val="000D4D29"/>
    <w:rsid w:val="000D5BE5"/>
    <w:rsid w:val="000D6066"/>
    <w:rsid w:val="000D676B"/>
    <w:rsid w:val="000D6A84"/>
    <w:rsid w:val="000D7EB0"/>
    <w:rsid w:val="000E248B"/>
    <w:rsid w:val="000E2A21"/>
    <w:rsid w:val="000E2CA1"/>
    <w:rsid w:val="000E35B9"/>
    <w:rsid w:val="000E3B90"/>
    <w:rsid w:val="000E3C46"/>
    <w:rsid w:val="000E4B1E"/>
    <w:rsid w:val="000E4ECC"/>
    <w:rsid w:val="000E5F1F"/>
    <w:rsid w:val="000E6A85"/>
    <w:rsid w:val="000E7469"/>
    <w:rsid w:val="000E7B17"/>
    <w:rsid w:val="000E7C3B"/>
    <w:rsid w:val="000F0D4D"/>
    <w:rsid w:val="000F1010"/>
    <w:rsid w:val="000F1087"/>
    <w:rsid w:val="000F1CE3"/>
    <w:rsid w:val="000F2057"/>
    <w:rsid w:val="000F26E1"/>
    <w:rsid w:val="000F279C"/>
    <w:rsid w:val="000F2E51"/>
    <w:rsid w:val="000F3E53"/>
    <w:rsid w:val="000F4E68"/>
    <w:rsid w:val="000F4F59"/>
    <w:rsid w:val="000F5BC5"/>
    <w:rsid w:val="000F6599"/>
    <w:rsid w:val="000F69C6"/>
    <w:rsid w:val="000F69CA"/>
    <w:rsid w:val="000F6D96"/>
    <w:rsid w:val="000F77CA"/>
    <w:rsid w:val="00100B5B"/>
    <w:rsid w:val="001013E7"/>
    <w:rsid w:val="00101637"/>
    <w:rsid w:val="00102649"/>
    <w:rsid w:val="001026DD"/>
    <w:rsid w:val="00103F8C"/>
    <w:rsid w:val="001049B9"/>
    <w:rsid w:val="001054AB"/>
    <w:rsid w:val="00105BBD"/>
    <w:rsid w:val="00106ED1"/>
    <w:rsid w:val="00107673"/>
    <w:rsid w:val="001106FA"/>
    <w:rsid w:val="00110A4C"/>
    <w:rsid w:val="00111181"/>
    <w:rsid w:val="0011155B"/>
    <w:rsid w:val="00111C65"/>
    <w:rsid w:val="00112947"/>
    <w:rsid w:val="00113177"/>
    <w:rsid w:val="0011372C"/>
    <w:rsid w:val="00113B5F"/>
    <w:rsid w:val="001154A3"/>
    <w:rsid w:val="001164CD"/>
    <w:rsid w:val="00116835"/>
    <w:rsid w:val="00117DB5"/>
    <w:rsid w:val="00120062"/>
    <w:rsid w:val="001214B3"/>
    <w:rsid w:val="00121BB3"/>
    <w:rsid w:val="00121CFC"/>
    <w:rsid w:val="00121F36"/>
    <w:rsid w:val="00123B04"/>
    <w:rsid w:val="001247D7"/>
    <w:rsid w:val="00124E3C"/>
    <w:rsid w:val="001254FE"/>
    <w:rsid w:val="00125CF7"/>
    <w:rsid w:val="00126790"/>
    <w:rsid w:val="001270A3"/>
    <w:rsid w:val="00130D07"/>
    <w:rsid w:val="0013387F"/>
    <w:rsid w:val="001344DD"/>
    <w:rsid w:val="0013610A"/>
    <w:rsid w:val="00136BF2"/>
    <w:rsid w:val="00136E83"/>
    <w:rsid w:val="00137052"/>
    <w:rsid w:val="001370CF"/>
    <w:rsid w:val="00137273"/>
    <w:rsid w:val="00140672"/>
    <w:rsid w:val="001406D9"/>
    <w:rsid w:val="001410E0"/>
    <w:rsid w:val="001412C9"/>
    <w:rsid w:val="00143461"/>
    <w:rsid w:val="0014408F"/>
    <w:rsid w:val="0014416E"/>
    <w:rsid w:val="00144D95"/>
    <w:rsid w:val="00144DF5"/>
    <w:rsid w:val="00145307"/>
    <w:rsid w:val="00146697"/>
    <w:rsid w:val="00147FBB"/>
    <w:rsid w:val="001503AE"/>
    <w:rsid w:val="001503F4"/>
    <w:rsid w:val="0015041E"/>
    <w:rsid w:val="00150876"/>
    <w:rsid w:val="00151609"/>
    <w:rsid w:val="00152CE6"/>
    <w:rsid w:val="00154A05"/>
    <w:rsid w:val="00154D04"/>
    <w:rsid w:val="00154ECC"/>
    <w:rsid w:val="0015618F"/>
    <w:rsid w:val="0015647F"/>
    <w:rsid w:val="00156578"/>
    <w:rsid w:val="00156A50"/>
    <w:rsid w:val="001602CD"/>
    <w:rsid w:val="001604E7"/>
    <w:rsid w:val="00160B4B"/>
    <w:rsid w:val="00160F8E"/>
    <w:rsid w:val="001612C0"/>
    <w:rsid w:val="001617BB"/>
    <w:rsid w:val="00162333"/>
    <w:rsid w:val="00162350"/>
    <w:rsid w:val="00162ECF"/>
    <w:rsid w:val="00163A72"/>
    <w:rsid w:val="00163E42"/>
    <w:rsid w:val="00164062"/>
    <w:rsid w:val="0016462E"/>
    <w:rsid w:val="001657AF"/>
    <w:rsid w:val="00165A30"/>
    <w:rsid w:val="00165A51"/>
    <w:rsid w:val="00166DAE"/>
    <w:rsid w:val="00166EBC"/>
    <w:rsid w:val="00167F06"/>
    <w:rsid w:val="00170543"/>
    <w:rsid w:val="0017075F"/>
    <w:rsid w:val="00171652"/>
    <w:rsid w:val="001719AB"/>
    <w:rsid w:val="00171F3A"/>
    <w:rsid w:val="0017206A"/>
    <w:rsid w:val="00173DF4"/>
    <w:rsid w:val="00173E07"/>
    <w:rsid w:val="00176920"/>
    <w:rsid w:val="00176AEF"/>
    <w:rsid w:val="00176C76"/>
    <w:rsid w:val="0017734A"/>
    <w:rsid w:val="0017740E"/>
    <w:rsid w:val="00177478"/>
    <w:rsid w:val="001775D4"/>
    <w:rsid w:val="0017798D"/>
    <w:rsid w:val="00180371"/>
    <w:rsid w:val="00181A62"/>
    <w:rsid w:val="00182336"/>
    <w:rsid w:val="00183203"/>
    <w:rsid w:val="001836ED"/>
    <w:rsid w:val="00183EE1"/>
    <w:rsid w:val="00183F2C"/>
    <w:rsid w:val="00183F81"/>
    <w:rsid w:val="00184D9B"/>
    <w:rsid w:val="00184ED7"/>
    <w:rsid w:val="00186BF2"/>
    <w:rsid w:val="001870C7"/>
    <w:rsid w:val="001904AC"/>
    <w:rsid w:val="001910A2"/>
    <w:rsid w:val="0019145C"/>
    <w:rsid w:val="001920F7"/>
    <w:rsid w:val="00192946"/>
    <w:rsid w:val="00194701"/>
    <w:rsid w:val="001948FF"/>
    <w:rsid w:val="00195265"/>
    <w:rsid w:val="0019621D"/>
    <w:rsid w:val="001965A7"/>
    <w:rsid w:val="001971B8"/>
    <w:rsid w:val="00197245"/>
    <w:rsid w:val="00197BAB"/>
    <w:rsid w:val="001A0213"/>
    <w:rsid w:val="001A0524"/>
    <w:rsid w:val="001A1A35"/>
    <w:rsid w:val="001A1B72"/>
    <w:rsid w:val="001A2222"/>
    <w:rsid w:val="001A2B69"/>
    <w:rsid w:val="001A2E4B"/>
    <w:rsid w:val="001A4311"/>
    <w:rsid w:val="001A4B39"/>
    <w:rsid w:val="001A4DEA"/>
    <w:rsid w:val="001A70A6"/>
    <w:rsid w:val="001A7250"/>
    <w:rsid w:val="001A7608"/>
    <w:rsid w:val="001A7B5A"/>
    <w:rsid w:val="001A7CDF"/>
    <w:rsid w:val="001B0156"/>
    <w:rsid w:val="001B04C6"/>
    <w:rsid w:val="001B084D"/>
    <w:rsid w:val="001B0BA6"/>
    <w:rsid w:val="001B1E06"/>
    <w:rsid w:val="001B2151"/>
    <w:rsid w:val="001B21B8"/>
    <w:rsid w:val="001B2574"/>
    <w:rsid w:val="001B327F"/>
    <w:rsid w:val="001B34FD"/>
    <w:rsid w:val="001B4E9C"/>
    <w:rsid w:val="001B5A52"/>
    <w:rsid w:val="001B5B81"/>
    <w:rsid w:val="001B7427"/>
    <w:rsid w:val="001B7C10"/>
    <w:rsid w:val="001C2999"/>
    <w:rsid w:val="001C329F"/>
    <w:rsid w:val="001C3336"/>
    <w:rsid w:val="001C3477"/>
    <w:rsid w:val="001C3CE0"/>
    <w:rsid w:val="001C43DC"/>
    <w:rsid w:val="001C447F"/>
    <w:rsid w:val="001C501A"/>
    <w:rsid w:val="001C506E"/>
    <w:rsid w:val="001C50BD"/>
    <w:rsid w:val="001C51D2"/>
    <w:rsid w:val="001C6C26"/>
    <w:rsid w:val="001D03F5"/>
    <w:rsid w:val="001D0CF1"/>
    <w:rsid w:val="001D194F"/>
    <w:rsid w:val="001D2CB7"/>
    <w:rsid w:val="001D48AF"/>
    <w:rsid w:val="001D559D"/>
    <w:rsid w:val="001D5FD2"/>
    <w:rsid w:val="001D6094"/>
    <w:rsid w:val="001D66BE"/>
    <w:rsid w:val="001D7574"/>
    <w:rsid w:val="001D79DC"/>
    <w:rsid w:val="001E0709"/>
    <w:rsid w:val="001E0771"/>
    <w:rsid w:val="001E0E34"/>
    <w:rsid w:val="001E1426"/>
    <w:rsid w:val="001E296A"/>
    <w:rsid w:val="001E33F6"/>
    <w:rsid w:val="001E345B"/>
    <w:rsid w:val="001E45EA"/>
    <w:rsid w:val="001E670D"/>
    <w:rsid w:val="001E67ED"/>
    <w:rsid w:val="001E7DF5"/>
    <w:rsid w:val="001E7F5E"/>
    <w:rsid w:val="001F00CD"/>
    <w:rsid w:val="001F0D46"/>
    <w:rsid w:val="001F1288"/>
    <w:rsid w:val="001F241F"/>
    <w:rsid w:val="001F2B9D"/>
    <w:rsid w:val="001F3419"/>
    <w:rsid w:val="001F3546"/>
    <w:rsid w:val="001F385D"/>
    <w:rsid w:val="001F3CAE"/>
    <w:rsid w:val="001F3FD1"/>
    <w:rsid w:val="001F47FF"/>
    <w:rsid w:val="001F59C0"/>
    <w:rsid w:val="001F66D3"/>
    <w:rsid w:val="001F6D92"/>
    <w:rsid w:val="0020129E"/>
    <w:rsid w:val="002017BB"/>
    <w:rsid w:val="00202429"/>
    <w:rsid w:val="00206341"/>
    <w:rsid w:val="002065AF"/>
    <w:rsid w:val="00207DA5"/>
    <w:rsid w:val="00210316"/>
    <w:rsid w:val="00211382"/>
    <w:rsid w:val="00211F98"/>
    <w:rsid w:val="00212D44"/>
    <w:rsid w:val="002136BC"/>
    <w:rsid w:val="00214753"/>
    <w:rsid w:val="00214D28"/>
    <w:rsid w:val="002151E1"/>
    <w:rsid w:val="00215EB0"/>
    <w:rsid w:val="00215F01"/>
    <w:rsid w:val="0021791B"/>
    <w:rsid w:val="00217A0E"/>
    <w:rsid w:val="00217AF2"/>
    <w:rsid w:val="0022211A"/>
    <w:rsid w:val="00222A18"/>
    <w:rsid w:val="00223405"/>
    <w:rsid w:val="00223C12"/>
    <w:rsid w:val="00224A76"/>
    <w:rsid w:val="002251F4"/>
    <w:rsid w:val="00225764"/>
    <w:rsid w:val="00225F57"/>
    <w:rsid w:val="00226333"/>
    <w:rsid w:val="0022666C"/>
    <w:rsid w:val="0022694D"/>
    <w:rsid w:val="00227512"/>
    <w:rsid w:val="00227BE8"/>
    <w:rsid w:val="0023145D"/>
    <w:rsid w:val="0023184E"/>
    <w:rsid w:val="0023236F"/>
    <w:rsid w:val="00232454"/>
    <w:rsid w:val="00232C53"/>
    <w:rsid w:val="002332A2"/>
    <w:rsid w:val="002333F7"/>
    <w:rsid w:val="00233BF3"/>
    <w:rsid w:val="00234C6C"/>
    <w:rsid w:val="00234E19"/>
    <w:rsid w:val="00234E4F"/>
    <w:rsid w:val="00234ECC"/>
    <w:rsid w:val="002359DE"/>
    <w:rsid w:val="002367C4"/>
    <w:rsid w:val="00236A02"/>
    <w:rsid w:val="00236F7A"/>
    <w:rsid w:val="002379BD"/>
    <w:rsid w:val="00237B33"/>
    <w:rsid w:val="002405D9"/>
    <w:rsid w:val="00240E8B"/>
    <w:rsid w:val="00241CCC"/>
    <w:rsid w:val="002427BA"/>
    <w:rsid w:val="00242806"/>
    <w:rsid w:val="0024303B"/>
    <w:rsid w:val="002434B8"/>
    <w:rsid w:val="00244C34"/>
    <w:rsid w:val="002452D0"/>
    <w:rsid w:val="00245E23"/>
    <w:rsid w:val="002472AE"/>
    <w:rsid w:val="00250F8E"/>
    <w:rsid w:val="0025143E"/>
    <w:rsid w:val="002517EA"/>
    <w:rsid w:val="00251AFE"/>
    <w:rsid w:val="002520FC"/>
    <w:rsid w:val="00252171"/>
    <w:rsid w:val="002522F6"/>
    <w:rsid w:val="00252B94"/>
    <w:rsid w:val="00253465"/>
    <w:rsid w:val="0025352D"/>
    <w:rsid w:val="002539DA"/>
    <w:rsid w:val="00254014"/>
    <w:rsid w:val="002541ED"/>
    <w:rsid w:val="00254D0A"/>
    <w:rsid w:val="0025518F"/>
    <w:rsid w:val="00255F6D"/>
    <w:rsid w:val="0025604D"/>
    <w:rsid w:val="002569B5"/>
    <w:rsid w:val="0025726C"/>
    <w:rsid w:val="00257789"/>
    <w:rsid w:val="002619D2"/>
    <w:rsid w:val="0026366D"/>
    <w:rsid w:val="00263D45"/>
    <w:rsid w:val="002644F2"/>
    <w:rsid w:val="002654A8"/>
    <w:rsid w:val="00265A37"/>
    <w:rsid w:val="00267174"/>
    <w:rsid w:val="00267402"/>
    <w:rsid w:val="0026755B"/>
    <w:rsid w:val="00267732"/>
    <w:rsid w:val="00267E6B"/>
    <w:rsid w:val="002707AF"/>
    <w:rsid w:val="00270CDC"/>
    <w:rsid w:val="00271013"/>
    <w:rsid w:val="00271E9A"/>
    <w:rsid w:val="002725E7"/>
    <w:rsid w:val="00272B6E"/>
    <w:rsid w:val="00275006"/>
    <w:rsid w:val="002753F3"/>
    <w:rsid w:val="00275718"/>
    <w:rsid w:val="002757EE"/>
    <w:rsid w:val="002765D4"/>
    <w:rsid w:val="002767F1"/>
    <w:rsid w:val="00276945"/>
    <w:rsid w:val="00277344"/>
    <w:rsid w:val="00277832"/>
    <w:rsid w:val="00277D7D"/>
    <w:rsid w:val="002815B8"/>
    <w:rsid w:val="00281D30"/>
    <w:rsid w:val="0028320B"/>
    <w:rsid w:val="002844FD"/>
    <w:rsid w:val="00285FA6"/>
    <w:rsid w:val="00287A8A"/>
    <w:rsid w:val="00287C83"/>
    <w:rsid w:val="00290C9A"/>
    <w:rsid w:val="00290E46"/>
    <w:rsid w:val="0029156C"/>
    <w:rsid w:val="00291C8D"/>
    <w:rsid w:val="00291DAE"/>
    <w:rsid w:val="00292782"/>
    <w:rsid w:val="00292F2F"/>
    <w:rsid w:val="00294FC2"/>
    <w:rsid w:val="00297330"/>
    <w:rsid w:val="002A121C"/>
    <w:rsid w:val="002A16B6"/>
    <w:rsid w:val="002A29BF"/>
    <w:rsid w:val="002A3B1A"/>
    <w:rsid w:val="002A3B50"/>
    <w:rsid w:val="002A4640"/>
    <w:rsid w:val="002A5994"/>
    <w:rsid w:val="002A6277"/>
    <w:rsid w:val="002A6996"/>
    <w:rsid w:val="002A7AE8"/>
    <w:rsid w:val="002B0B49"/>
    <w:rsid w:val="002B0BD1"/>
    <w:rsid w:val="002B1DD6"/>
    <w:rsid w:val="002B1F25"/>
    <w:rsid w:val="002B212F"/>
    <w:rsid w:val="002B5F0C"/>
    <w:rsid w:val="002B68F2"/>
    <w:rsid w:val="002B6E6A"/>
    <w:rsid w:val="002B7246"/>
    <w:rsid w:val="002B73D8"/>
    <w:rsid w:val="002C181F"/>
    <w:rsid w:val="002C251C"/>
    <w:rsid w:val="002C3449"/>
    <w:rsid w:val="002C3DF3"/>
    <w:rsid w:val="002C3FAC"/>
    <w:rsid w:val="002C50F6"/>
    <w:rsid w:val="002C5367"/>
    <w:rsid w:val="002C5C18"/>
    <w:rsid w:val="002C5C44"/>
    <w:rsid w:val="002C6B96"/>
    <w:rsid w:val="002C6C26"/>
    <w:rsid w:val="002C790A"/>
    <w:rsid w:val="002C7935"/>
    <w:rsid w:val="002D0B74"/>
    <w:rsid w:val="002D0BCE"/>
    <w:rsid w:val="002D1394"/>
    <w:rsid w:val="002D1AF1"/>
    <w:rsid w:val="002D211B"/>
    <w:rsid w:val="002D3F71"/>
    <w:rsid w:val="002D58A8"/>
    <w:rsid w:val="002D6636"/>
    <w:rsid w:val="002D7286"/>
    <w:rsid w:val="002E02EA"/>
    <w:rsid w:val="002E1267"/>
    <w:rsid w:val="002E1500"/>
    <w:rsid w:val="002E2FC8"/>
    <w:rsid w:val="002E3987"/>
    <w:rsid w:val="002E41DF"/>
    <w:rsid w:val="002E5492"/>
    <w:rsid w:val="002E57A3"/>
    <w:rsid w:val="002E5B01"/>
    <w:rsid w:val="002E5DEB"/>
    <w:rsid w:val="002E5E5A"/>
    <w:rsid w:val="002E62EB"/>
    <w:rsid w:val="002F0E3F"/>
    <w:rsid w:val="002F1CF0"/>
    <w:rsid w:val="002F1F74"/>
    <w:rsid w:val="002F268F"/>
    <w:rsid w:val="002F29EC"/>
    <w:rsid w:val="002F322C"/>
    <w:rsid w:val="002F3393"/>
    <w:rsid w:val="002F33D3"/>
    <w:rsid w:val="002F3D97"/>
    <w:rsid w:val="002F67C9"/>
    <w:rsid w:val="002F69C6"/>
    <w:rsid w:val="002F6AD8"/>
    <w:rsid w:val="002F7598"/>
    <w:rsid w:val="002F775F"/>
    <w:rsid w:val="0030010F"/>
    <w:rsid w:val="00300741"/>
    <w:rsid w:val="00300AC5"/>
    <w:rsid w:val="00304BAA"/>
    <w:rsid w:val="00304E76"/>
    <w:rsid w:val="00304F8B"/>
    <w:rsid w:val="00305A60"/>
    <w:rsid w:val="00306A84"/>
    <w:rsid w:val="00307285"/>
    <w:rsid w:val="00311F24"/>
    <w:rsid w:val="00312C43"/>
    <w:rsid w:val="00313009"/>
    <w:rsid w:val="00314065"/>
    <w:rsid w:val="0031520A"/>
    <w:rsid w:val="00315CD7"/>
    <w:rsid w:val="003166CF"/>
    <w:rsid w:val="00317159"/>
    <w:rsid w:val="00317517"/>
    <w:rsid w:val="0031757B"/>
    <w:rsid w:val="00320212"/>
    <w:rsid w:val="00322C39"/>
    <w:rsid w:val="00323150"/>
    <w:rsid w:val="003232B2"/>
    <w:rsid w:val="00326470"/>
    <w:rsid w:val="00326EB0"/>
    <w:rsid w:val="003272B7"/>
    <w:rsid w:val="00327367"/>
    <w:rsid w:val="003273E0"/>
    <w:rsid w:val="00327455"/>
    <w:rsid w:val="003275C5"/>
    <w:rsid w:val="0032788F"/>
    <w:rsid w:val="0033013E"/>
    <w:rsid w:val="003305B4"/>
    <w:rsid w:val="0033094E"/>
    <w:rsid w:val="00330F0C"/>
    <w:rsid w:val="00332817"/>
    <w:rsid w:val="00334079"/>
    <w:rsid w:val="00335174"/>
    <w:rsid w:val="003360E8"/>
    <w:rsid w:val="003368CD"/>
    <w:rsid w:val="0033692B"/>
    <w:rsid w:val="00336FA4"/>
    <w:rsid w:val="00337152"/>
    <w:rsid w:val="00337BE4"/>
    <w:rsid w:val="00341172"/>
    <w:rsid w:val="00341529"/>
    <w:rsid w:val="00341549"/>
    <w:rsid w:val="003421D6"/>
    <w:rsid w:val="00343409"/>
    <w:rsid w:val="00344237"/>
    <w:rsid w:val="003445F5"/>
    <w:rsid w:val="00344A03"/>
    <w:rsid w:val="00344F05"/>
    <w:rsid w:val="00345908"/>
    <w:rsid w:val="00346C1D"/>
    <w:rsid w:val="00347EB1"/>
    <w:rsid w:val="00350D58"/>
    <w:rsid w:val="003513E9"/>
    <w:rsid w:val="00351CBE"/>
    <w:rsid w:val="003524CF"/>
    <w:rsid w:val="003525F5"/>
    <w:rsid w:val="00352AC9"/>
    <w:rsid w:val="00353625"/>
    <w:rsid w:val="00354BD3"/>
    <w:rsid w:val="00354EF1"/>
    <w:rsid w:val="00355603"/>
    <w:rsid w:val="003557BD"/>
    <w:rsid w:val="00357669"/>
    <w:rsid w:val="00357F1A"/>
    <w:rsid w:val="003626D8"/>
    <w:rsid w:val="0036448D"/>
    <w:rsid w:val="00364F66"/>
    <w:rsid w:val="00365AE3"/>
    <w:rsid w:val="00366793"/>
    <w:rsid w:val="00366DCE"/>
    <w:rsid w:val="00366F3B"/>
    <w:rsid w:val="00367625"/>
    <w:rsid w:val="00367D0B"/>
    <w:rsid w:val="0037205D"/>
    <w:rsid w:val="00372D68"/>
    <w:rsid w:val="003741EA"/>
    <w:rsid w:val="003756A9"/>
    <w:rsid w:val="00375968"/>
    <w:rsid w:val="00375C9F"/>
    <w:rsid w:val="003760A3"/>
    <w:rsid w:val="00376846"/>
    <w:rsid w:val="00376A01"/>
    <w:rsid w:val="003800B4"/>
    <w:rsid w:val="00380325"/>
    <w:rsid w:val="00380617"/>
    <w:rsid w:val="00380903"/>
    <w:rsid w:val="0038131C"/>
    <w:rsid w:val="003813EE"/>
    <w:rsid w:val="003824FC"/>
    <w:rsid w:val="00383CA8"/>
    <w:rsid w:val="00384002"/>
    <w:rsid w:val="00385548"/>
    <w:rsid w:val="00386CD5"/>
    <w:rsid w:val="00387128"/>
    <w:rsid w:val="00390608"/>
    <w:rsid w:val="003907D6"/>
    <w:rsid w:val="00391203"/>
    <w:rsid w:val="003913B7"/>
    <w:rsid w:val="00392E99"/>
    <w:rsid w:val="0039300D"/>
    <w:rsid w:val="00395204"/>
    <w:rsid w:val="003973D0"/>
    <w:rsid w:val="0039750A"/>
    <w:rsid w:val="00397CE1"/>
    <w:rsid w:val="003A0326"/>
    <w:rsid w:val="003A0F02"/>
    <w:rsid w:val="003A178C"/>
    <w:rsid w:val="003A27F5"/>
    <w:rsid w:val="003A38DE"/>
    <w:rsid w:val="003A415B"/>
    <w:rsid w:val="003A43C4"/>
    <w:rsid w:val="003A46C8"/>
    <w:rsid w:val="003A52AA"/>
    <w:rsid w:val="003A57FE"/>
    <w:rsid w:val="003A6895"/>
    <w:rsid w:val="003B0193"/>
    <w:rsid w:val="003B029E"/>
    <w:rsid w:val="003B0784"/>
    <w:rsid w:val="003B261B"/>
    <w:rsid w:val="003B2C48"/>
    <w:rsid w:val="003B3711"/>
    <w:rsid w:val="003B378A"/>
    <w:rsid w:val="003B37D6"/>
    <w:rsid w:val="003B47B5"/>
    <w:rsid w:val="003B49D1"/>
    <w:rsid w:val="003B52E8"/>
    <w:rsid w:val="003B64CF"/>
    <w:rsid w:val="003B6772"/>
    <w:rsid w:val="003B67C4"/>
    <w:rsid w:val="003B7A38"/>
    <w:rsid w:val="003C0010"/>
    <w:rsid w:val="003C0096"/>
    <w:rsid w:val="003C02C5"/>
    <w:rsid w:val="003C056A"/>
    <w:rsid w:val="003C14E3"/>
    <w:rsid w:val="003C1525"/>
    <w:rsid w:val="003C4B94"/>
    <w:rsid w:val="003C5D80"/>
    <w:rsid w:val="003C6609"/>
    <w:rsid w:val="003C71A5"/>
    <w:rsid w:val="003C7A82"/>
    <w:rsid w:val="003D16FE"/>
    <w:rsid w:val="003D176B"/>
    <w:rsid w:val="003D252E"/>
    <w:rsid w:val="003D26AC"/>
    <w:rsid w:val="003D2B0E"/>
    <w:rsid w:val="003D2C37"/>
    <w:rsid w:val="003D34A4"/>
    <w:rsid w:val="003D415E"/>
    <w:rsid w:val="003D423E"/>
    <w:rsid w:val="003D523A"/>
    <w:rsid w:val="003D5DE7"/>
    <w:rsid w:val="003D61BC"/>
    <w:rsid w:val="003D6762"/>
    <w:rsid w:val="003D6E23"/>
    <w:rsid w:val="003D72AB"/>
    <w:rsid w:val="003D749D"/>
    <w:rsid w:val="003E05A2"/>
    <w:rsid w:val="003E2913"/>
    <w:rsid w:val="003E404F"/>
    <w:rsid w:val="003E44A8"/>
    <w:rsid w:val="003E4B1D"/>
    <w:rsid w:val="003E54F2"/>
    <w:rsid w:val="003E56BF"/>
    <w:rsid w:val="003E5C4E"/>
    <w:rsid w:val="003E76CF"/>
    <w:rsid w:val="003E771B"/>
    <w:rsid w:val="003F0940"/>
    <w:rsid w:val="003F0CA6"/>
    <w:rsid w:val="003F255C"/>
    <w:rsid w:val="003F5D4A"/>
    <w:rsid w:val="003F67FF"/>
    <w:rsid w:val="003F70DF"/>
    <w:rsid w:val="003F740E"/>
    <w:rsid w:val="00400287"/>
    <w:rsid w:val="004007EE"/>
    <w:rsid w:val="004009C1"/>
    <w:rsid w:val="00400BB0"/>
    <w:rsid w:val="00401029"/>
    <w:rsid w:val="00401DE0"/>
    <w:rsid w:val="004025F4"/>
    <w:rsid w:val="00402D5F"/>
    <w:rsid w:val="004042B9"/>
    <w:rsid w:val="004047EB"/>
    <w:rsid w:val="004047F1"/>
    <w:rsid w:val="0040774F"/>
    <w:rsid w:val="00407CB6"/>
    <w:rsid w:val="00407D5F"/>
    <w:rsid w:val="0041088A"/>
    <w:rsid w:val="00410FEC"/>
    <w:rsid w:val="0041349A"/>
    <w:rsid w:val="004138EF"/>
    <w:rsid w:val="00415225"/>
    <w:rsid w:val="00415CEA"/>
    <w:rsid w:val="00416E07"/>
    <w:rsid w:val="00417B8B"/>
    <w:rsid w:val="004203F1"/>
    <w:rsid w:val="00421739"/>
    <w:rsid w:val="00421AA3"/>
    <w:rsid w:val="00422712"/>
    <w:rsid w:val="00424038"/>
    <w:rsid w:val="00424619"/>
    <w:rsid w:val="0042638B"/>
    <w:rsid w:val="004305C5"/>
    <w:rsid w:val="0043103D"/>
    <w:rsid w:val="0043355D"/>
    <w:rsid w:val="00433640"/>
    <w:rsid w:val="00433E27"/>
    <w:rsid w:val="00434A76"/>
    <w:rsid w:val="00434B53"/>
    <w:rsid w:val="004361D9"/>
    <w:rsid w:val="00436F01"/>
    <w:rsid w:val="00437C46"/>
    <w:rsid w:val="00440610"/>
    <w:rsid w:val="00440D92"/>
    <w:rsid w:val="00440EA2"/>
    <w:rsid w:val="0044138E"/>
    <w:rsid w:val="00444249"/>
    <w:rsid w:val="00444432"/>
    <w:rsid w:val="00444F19"/>
    <w:rsid w:val="00445410"/>
    <w:rsid w:val="00446E88"/>
    <w:rsid w:val="00447852"/>
    <w:rsid w:val="00450283"/>
    <w:rsid w:val="00450527"/>
    <w:rsid w:val="00451000"/>
    <w:rsid w:val="00451297"/>
    <w:rsid w:val="0045198F"/>
    <w:rsid w:val="00451DE2"/>
    <w:rsid w:val="004525D9"/>
    <w:rsid w:val="00452993"/>
    <w:rsid w:val="00453DD7"/>
    <w:rsid w:val="004542DE"/>
    <w:rsid w:val="00454FD5"/>
    <w:rsid w:val="00455136"/>
    <w:rsid w:val="00455A03"/>
    <w:rsid w:val="00456520"/>
    <w:rsid w:val="00457BAC"/>
    <w:rsid w:val="00460758"/>
    <w:rsid w:val="00460A46"/>
    <w:rsid w:val="00460C95"/>
    <w:rsid w:val="00461644"/>
    <w:rsid w:val="00461DAC"/>
    <w:rsid w:val="004621DD"/>
    <w:rsid w:val="004628F7"/>
    <w:rsid w:val="00463521"/>
    <w:rsid w:val="004655A7"/>
    <w:rsid w:val="004656A7"/>
    <w:rsid w:val="00467240"/>
    <w:rsid w:val="0046757A"/>
    <w:rsid w:val="00467C55"/>
    <w:rsid w:val="00467D2C"/>
    <w:rsid w:val="00471294"/>
    <w:rsid w:val="00471328"/>
    <w:rsid w:val="00471518"/>
    <w:rsid w:val="00472973"/>
    <w:rsid w:val="00472EE9"/>
    <w:rsid w:val="00473C6A"/>
    <w:rsid w:val="00474689"/>
    <w:rsid w:val="00474DC7"/>
    <w:rsid w:val="0047542F"/>
    <w:rsid w:val="00475E52"/>
    <w:rsid w:val="0047610E"/>
    <w:rsid w:val="00480B26"/>
    <w:rsid w:val="00481435"/>
    <w:rsid w:val="00482C34"/>
    <w:rsid w:val="00483321"/>
    <w:rsid w:val="00484C09"/>
    <w:rsid w:val="0048523A"/>
    <w:rsid w:val="0048589C"/>
    <w:rsid w:val="00485C60"/>
    <w:rsid w:val="00486A41"/>
    <w:rsid w:val="00487312"/>
    <w:rsid w:val="00490174"/>
    <w:rsid w:val="004903EF"/>
    <w:rsid w:val="0049058E"/>
    <w:rsid w:val="00490D55"/>
    <w:rsid w:val="00490E00"/>
    <w:rsid w:val="00491F85"/>
    <w:rsid w:val="00492221"/>
    <w:rsid w:val="00493304"/>
    <w:rsid w:val="00494F7A"/>
    <w:rsid w:val="004950B5"/>
    <w:rsid w:val="00495DE9"/>
    <w:rsid w:val="004962BD"/>
    <w:rsid w:val="00496C48"/>
    <w:rsid w:val="004970D1"/>
    <w:rsid w:val="00497F30"/>
    <w:rsid w:val="004A0F44"/>
    <w:rsid w:val="004A2775"/>
    <w:rsid w:val="004A2AB0"/>
    <w:rsid w:val="004A2D15"/>
    <w:rsid w:val="004A2DE5"/>
    <w:rsid w:val="004A2EF8"/>
    <w:rsid w:val="004A4060"/>
    <w:rsid w:val="004A58A6"/>
    <w:rsid w:val="004A6697"/>
    <w:rsid w:val="004A6D44"/>
    <w:rsid w:val="004B15BF"/>
    <w:rsid w:val="004B1FA5"/>
    <w:rsid w:val="004B1FD8"/>
    <w:rsid w:val="004B30BC"/>
    <w:rsid w:val="004B4796"/>
    <w:rsid w:val="004B4AA7"/>
    <w:rsid w:val="004B51CD"/>
    <w:rsid w:val="004B5228"/>
    <w:rsid w:val="004B5F0B"/>
    <w:rsid w:val="004B6736"/>
    <w:rsid w:val="004C06D8"/>
    <w:rsid w:val="004C1227"/>
    <w:rsid w:val="004C2C30"/>
    <w:rsid w:val="004C4C06"/>
    <w:rsid w:val="004C6A70"/>
    <w:rsid w:val="004C6F0F"/>
    <w:rsid w:val="004C6F47"/>
    <w:rsid w:val="004C7792"/>
    <w:rsid w:val="004D0EE0"/>
    <w:rsid w:val="004D102A"/>
    <w:rsid w:val="004D1098"/>
    <w:rsid w:val="004D1121"/>
    <w:rsid w:val="004D23E7"/>
    <w:rsid w:val="004D56BB"/>
    <w:rsid w:val="004D56D0"/>
    <w:rsid w:val="004D57BC"/>
    <w:rsid w:val="004D59F7"/>
    <w:rsid w:val="004D664C"/>
    <w:rsid w:val="004D6B79"/>
    <w:rsid w:val="004E06E4"/>
    <w:rsid w:val="004E18D8"/>
    <w:rsid w:val="004E1A9D"/>
    <w:rsid w:val="004E2076"/>
    <w:rsid w:val="004E233D"/>
    <w:rsid w:val="004E3164"/>
    <w:rsid w:val="004E31B0"/>
    <w:rsid w:val="004E393F"/>
    <w:rsid w:val="004E3C1F"/>
    <w:rsid w:val="004E3FB7"/>
    <w:rsid w:val="004E4D09"/>
    <w:rsid w:val="004E54DC"/>
    <w:rsid w:val="004E58F0"/>
    <w:rsid w:val="004E5AB4"/>
    <w:rsid w:val="004E6520"/>
    <w:rsid w:val="004F0A48"/>
    <w:rsid w:val="004F0F9D"/>
    <w:rsid w:val="004F1654"/>
    <w:rsid w:val="004F1B20"/>
    <w:rsid w:val="004F262D"/>
    <w:rsid w:val="004F35E6"/>
    <w:rsid w:val="004F472D"/>
    <w:rsid w:val="004F4F69"/>
    <w:rsid w:val="004F50E8"/>
    <w:rsid w:val="004F56AE"/>
    <w:rsid w:val="004F58F3"/>
    <w:rsid w:val="004F633B"/>
    <w:rsid w:val="004F6C66"/>
    <w:rsid w:val="004F7A03"/>
    <w:rsid w:val="00500B04"/>
    <w:rsid w:val="00501206"/>
    <w:rsid w:val="00501579"/>
    <w:rsid w:val="00501C6B"/>
    <w:rsid w:val="00502445"/>
    <w:rsid w:val="00502620"/>
    <w:rsid w:val="0050262F"/>
    <w:rsid w:val="00502729"/>
    <w:rsid w:val="00503114"/>
    <w:rsid w:val="005042C9"/>
    <w:rsid w:val="00506CBC"/>
    <w:rsid w:val="00507D03"/>
    <w:rsid w:val="00510031"/>
    <w:rsid w:val="00511131"/>
    <w:rsid w:val="00511DBF"/>
    <w:rsid w:val="00513EDF"/>
    <w:rsid w:val="005149AB"/>
    <w:rsid w:val="00514B75"/>
    <w:rsid w:val="00514DD9"/>
    <w:rsid w:val="00514E0B"/>
    <w:rsid w:val="00514EEB"/>
    <w:rsid w:val="00515391"/>
    <w:rsid w:val="00517FFB"/>
    <w:rsid w:val="005207AF"/>
    <w:rsid w:val="00520B5A"/>
    <w:rsid w:val="00521470"/>
    <w:rsid w:val="0052192D"/>
    <w:rsid w:val="00522E98"/>
    <w:rsid w:val="00523085"/>
    <w:rsid w:val="00523110"/>
    <w:rsid w:val="0052323D"/>
    <w:rsid w:val="005236D8"/>
    <w:rsid w:val="00523781"/>
    <w:rsid w:val="00526026"/>
    <w:rsid w:val="005263AB"/>
    <w:rsid w:val="00526547"/>
    <w:rsid w:val="00526C6A"/>
    <w:rsid w:val="00527341"/>
    <w:rsid w:val="00527B4B"/>
    <w:rsid w:val="00530347"/>
    <w:rsid w:val="005305D3"/>
    <w:rsid w:val="005311D8"/>
    <w:rsid w:val="00531293"/>
    <w:rsid w:val="005317DE"/>
    <w:rsid w:val="005322F4"/>
    <w:rsid w:val="0053247D"/>
    <w:rsid w:val="00532833"/>
    <w:rsid w:val="005329B8"/>
    <w:rsid w:val="00532A7E"/>
    <w:rsid w:val="00532C7A"/>
    <w:rsid w:val="0053317D"/>
    <w:rsid w:val="005340ED"/>
    <w:rsid w:val="00535BEF"/>
    <w:rsid w:val="00535DF4"/>
    <w:rsid w:val="00536078"/>
    <w:rsid w:val="00536931"/>
    <w:rsid w:val="005376D7"/>
    <w:rsid w:val="00537C89"/>
    <w:rsid w:val="00537ED7"/>
    <w:rsid w:val="005410D2"/>
    <w:rsid w:val="00541A87"/>
    <w:rsid w:val="00542077"/>
    <w:rsid w:val="00542986"/>
    <w:rsid w:val="0054402C"/>
    <w:rsid w:val="00544105"/>
    <w:rsid w:val="005460F6"/>
    <w:rsid w:val="00547691"/>
    <w:rsid w:val="005479AC"/>
    <w:rsid w:val="00550312"/>
    <w:rsid w:val="00550433"/>
    <w:rsid w:val="00552FF0"/>
    <w:rsid w:val="00553490"/>
    <w:rsid w:val="00553BA9"/>
    <w:rsid w:val="00554C2F"/>
    <w:rsid w:val="00554DC7"/>
    <w:rsid w:val="00556D9E"/>
    <w:rsid w:val="005600AC"/>
    <w:rsid w:val="00560966"/>
    <w:rsid w:val="00560DA5"/>
    <w:rsid w:val="005616EE"/>
    <w:rsid w:val="00561727"/>
    <w:rsid w:val="00563BCD"/>
    <w:rsid w:val="00563D97"/>
    <w:rsid w:val="005644B5"/>
    <w:rsid w:val="005648A6"/>
    <w:rsid w:val="0056518C"/>
    <w:rsid w:val="00566435"/>
    <w:rsid w:val="00567B59"/>
    <w:rsid w:val="005707A4"/>
    <w:rsid w:val="005708CB"/>
    <w:rsid w:val="00570A40"/>
    <w:rsid w:val="00570E9E"/>
    <w:rsid w:val="0057111B"/>
    <w:rsid w:val="00571243"/>
    <w:rsid w:val="00571538"/>
    <w:rsid w:val="00571D5F"/>
    <w:rsid w:val="00572D92"/>
    <w:rsid w:val="00574036"/>
    <w:rsid w:val="00574307"/>
    <w:rsid w:val="005746AC"/>
    <w:rsid w:val="0057510D"/>
    <w:rsid w:val="00576025"/>
    <w:rsid w:val="00576377"/>
    <w:rsid w:val="00577C19"/>
    <w:rsid w:val="005802A9"/>
    <w:rsid w:val="00580514"/>
    <w:rsid w:val="0058092D"/>
    <w:rsid w:val="00580A0D"/>
    <w:rsid w:val="00581E42"/>
    <w:rsid w:val="00582AAE"/>
    <w:rsid w:val="0058343C"/>
    <w:rsid w:val="00583A89"/>
    <w:rsid w:val="00583F0E"/>
    <w:rsid w:val="005846FD"/>
    <w:rsid w:val="00584D8C"/>
    <w:rsid w:val="00584EF5"/>
    <w:rsid w:val="00585367"/>
    <w:rsid w:val="0058587A"/>
    <w:rsid w:val="00585D0B"/>
    <w:rsid w:val="00585DAB"/>
    <w:rsid w:val="00585DEC"/>
    <w:rsid w:val="005875CC"/>
    <w:rsid w:val="0059290A"/>
    <w:rsid w:val="005948F8"/>
    <w:rsid w:val="00594928"/>
    <w:rsid w:val="005957A6"/>
    <w:rsid w:val="00595F51"/>
    <w:rsid w:val="00596FD1"/>
    <w:rsid w:val="00597147"/>
    <w:rsid w:val="0059765D"/>
    <w:rsid w:val="005A00B0"/>
    <w:rsid w:val="005A0742"/>
    <w:rsid w:val="005A0E49"/>
    <w:rsid w:val="005A27C6"/>
    <w:rsid w:val="005A2A81"/>
    <w:rsid w:val="005A2B5A"/>
    <w:rsid w:val="005A2BB4"/>
    <w:rsid w:val="005A3582"/>
    <w:rsid w:val="005A3B9C"/>
    <w:rsid w:val="005A41BC"/>
    <w:rsid w:val="005A444D"/>
    <w:rsid w:val="005A5267"/>
    <w:rsid w:val="005A53C8"/>
    <w:rsid w:val="005A5784"/>
    <w:rsid w:val="005A5A3C"/>
    <w:rsid w:val="005A5D1E"/>
    <w:rsid w:val="005A5D3F"/>
    <w:rsid w:val="005A7009"/>
    <w:rsid w:val="005A7383"/>
    <w:rsid w:val="005A782D"/>
    <w:rsid w:val="005B039D"/>
    <w:rsid w:val="005B0478"/>
    <w:rsid w:val="005B0A4D"/>
    <w:rsid w:val="005B1915"/>
    <w:rsid w:val="005B1E3A"/>
    <w:rsid w:val="005B270F"/>
    <w:rsid w:val="005B2B1D"/>
    <w:rsid w:val="005B4523"/>
    <w:rsid w:val="005B45E8"/>
    <w:rsid w:val="005B4F22"/>
    <w:rsid w:val="005B6160"/>
    <w:rsid w:val="005B690E"/>
    <w:rsid w:val="005B7604"/>
    <w:rsid w:val="005C0555"/>
    <w:rsid w:val="005C36AE"/>
    <w:rsid w:val="005C3DBE"/>
    <w:rsid w:val="005C4F3C"/>
    <w:rsid w:val="005C56B2"/>
    <w:rsid w:val="005C6444"/>
    <w:rsid w:val="005C6BDA"/>
    <w:rsid w:val="005D066C"/>
    <w:rsid w:val="005D0C16"/>
    <w:rsid w:val="005D0D57"/>
    <w:rsid w:val="005D1753"/>
    <w:rsid w:val="005D291C"/>
    <w:rsid w:val="005D299A"/>
    <w:rsid w:val="005D3F20"/>
    <w:rsid w:val="005D43B5"/>
    <w:rsid w:val="005D5D4C"/>
    <w:rsid w:val="005D5DDE"/>
    <w:rsid w:val="005D6F58"/>
    <w:rsid w:val="005D75EF"/>
    <w:rsid w:val="005D7E45"/>
    <w:rsid w:val="005E167A"/>
    <w:rsid w:val="005E23BD"/>
    <w:rsid w:val="005E32F4"/>
    <w:rsid w:val="005E3873"/>
    <w:rsid w:val="005E3B72"/>
    <w:rsid w:val="005E3F70"/>
    <w:rsid w:val="005E4BAA"/>
    <w:rsid w:val="005E4CE3"/>
    <w:rsid w:val="005F0A3D"/>
    <w:rsid w:val="005F19EC"/>
    <w:rsid w:val="005F1AD5"/>
    <w:rsid w:val="005F1D6B"/>
    <w:rsid w:val="005F299E"/>
    <w:rsid w:val="005F2A8B"/>
    <w:rsid w:val="005F2B7E"/>
    <w:rsid w:val="005F474D"/>
    <w:rsid w:val="005F53E7"/>
    <w:rsid w:val="005F55D5"/>
    <w:rsid w:val="005F5DD0"/>
    <w:rsid w:val="005F5E5F"/>
    <w:rsid w:val="005F6163"/>
    <w:rsid w:val="005F659D"/>
    <w:rsid w:val="005F76A1"/>
    <w:rsid w:val="00600F78"/>
    <w:rsid w:val="0060101F"/>
    <w:rsid w:val="006010D0"/>
    <w:rsid w:val="00601508"/>
    <w:rsid w:val="00602449"/>
    <w:rsid w:val="00602EC2"/>
    <w:rsid w:val="00603F7F"/>
    <w:rsid w:val="00604018"/>
    <w:rsid w:val="00604B21"/>
    <w:rsid w:val="00604CEE"/>
    <w:rsid w:val="00605477"/>
    <w:rsid w:val="0060752B"/>
    <w:rsid w:val="00607891"/>
    <w:rsid w:val="006079B7"/>
    <w:rsid w:val="006112A4"/>
    <w:rsid w:val="00612709"/>
    <w:rsid w:val="0061395F"/>
    <w:rsid w:val="006146C0"/>
    <w:rsid w:val="00614D2C"/>
    <w:rsid w:val="006151D8"/>
    <w:rsid w:val="0061533C"/>
    <w:rsid w:val="00615767"/>
    <w:rsid w:val="00615B50"/>
    <w:rsid w:val="00615DC5"/>
    <w:rsid w:val="00617BD6"/>
    <w:rsid w:val="00617D44"/>
    <w:rsid w:val="00617FF5"/>
    <w:rsid w:val="006208AE"/>
    <w:rsid w:val="00622743"/>
    <w:rsid w:val="00623567"/>
    <w:rsid w:val="0062414E"/>
    <w:rsid w:val="00624176"/>
    <w:rsid w:val="0062444F"/>
    <w:rsid w:val="0062472B"/>
    <w:rsid w:val="006247AC"/>
    <w:rsid w:val="006255CD"/>
    <w:rsid w:val="00625C9D"/>
    <w:rsid w:val="0062630F"/>
    <w:rsid w:val="006265DF"/>
    <w:rsid w:val="00626F9C"/>
    <w:rsid w:val="00627D65"/>
    <w:rsid w:val="00627FAC"/>
    <w:rsid w:val="00630181"/>
    <w:rsid w:val="0063023C"/>
    <w:rsid w:val="006308FC"/>
    <w:rsid w:val="00630E2D"/>
    <w:rsid w:val="00631271"/>
    <w:rsid w:val="00631700"/>
    <w:rsid w:val="00631D3F"/>
    <w:rsid w:val="00633945"/>
    <w:rsid w:val="00633C6E"/>
    <w:rsid w:val="006340B2"/>
    <w:rsid w:val="0063426C"/>
    <w:rsid w:val="00634C64"/>
    <w:rsid w:val="00634EE0"/>
    <w:rsid w:val="00634F14"/>
    <w:rsid w:val="00636CE0"/>
    <w:rsid w:val="00636EDD"/>
    <w:rsid w:val="00640849"/>
    <w:rsid w:val="00641CCB"/>
    <w:rsid w:val="006422B9"/>
    <w:rsid w:val="00642426"/>
    <w:rsid w:val="00642794"/>
    <w:rsid w:val="006437D6"/>
    <w:rsid w:val="006440E7"/>
    <w:rsid w:val="0064451D"/>
    <w:rsid w:val="006453A3"/>
    <w:rsid w:val="00645A6F"/>
    <w:rsid w:val="00645C21"/>
    <w:rsid w:val="0064600E"/>
    <w:rsid w:val="006463A8"/>
    <w:rsid w:val="00646761"/>
    <w:rsid w:val="0064747F"/>
    <w:rsid w:val="006502BB"/>
    <w:rsid w:val="006507B6"/>
    <w:rsid w:val="00650AFE"/>
    <w:rsid w:val="00650E29"/>
    <w:rsid w:val="00650EC5"/>
    <w:rsid w:val="00650F57"/>
    <w:rsid w:val="00651DEC"/>
    <w:rsid w:val="00652573"/>
    <w:rsid w:val="00652709"/>
    <w:rsid w:val="006528D8"/>
    <w:rsid w:val="00652CD2"/>
    <w:rsid w:val="00652FC8"/>
    <w:rsid w:val="006537C9"/>
    <w:rsid w:val="00654C61"/>
    <w:rsid w:val="00654DB9"/>
    <w:rsid w:val="006558A2"/>
    <w:rsid w:val="006575C0"/>
    <w:rsid w:val="006578B4"/>
    <w:rsid w:val="006608EC"/>
    <w:rsid w:val="00661B99"/>
    <w:rsid w:val="00662E09"/>
    <w:rsid w:val="00662E1E"/>
    <w:rsid w:val="00662FFD"/>
    <w:rsid w:val="00663144"/>
    <w:rsid w:val="0066330E"/>
    <w:rsid w:val="00663EDD"/>
    <w:rsid w:val="0066405E"/>
    <w:rsid w:val="006641A2"/>
    <w:rsid w:val="006644B9"/>
    <w:rsid w:val="0066466D"/>
    <w:rsid w:val="00665459"/>
    <w:rsid w:val="00665F35"/>
    <w:rsid w:val="00666142"/>
    <w:rsid w:val="0066640C"/>
    <w:rsid w:val="00666B51"/>
    <w:rsid w:val="00666F31"/>
    <w:rsid w:val="0066709C"/>
    <w:rsid w:val="00667E8A"/>
    <w:rsid w:val="00670C1A"/>
    <w:rsid w:val="00671E67"/>
    <w:rsid w:val="00672316"/>
    <w:rsid w:val="00672A58"/>
    <w:rsid w:val="00673103"/>
    <w:rsid w:val="00673440"/>
    <w:rsid w:val="00675A1C"/>
    <w:rsid w:val="00676ACD"/>
    <w:rsid w:val="006773F6"/>
    <w:rsid w:val="00677F16"/>
    <w:rsid w:val="00680534"/>
    <w:rsid w:val="00681361"/>
    <w:rsid w:val="006817C6"/>
    <w:rsid w:val="006818DE"/>
    <w:rsid w:val="00682183"/>
    <w:rsid w:val="00682579"/>
    <w:rsid w:val="00685108"/>
    <w:rsid w:val="006862E4"/>
    <w:rsid w:val="00687751"/>
    <w:rsid w:val="00690A35"/>
    <w:rsid w:val="00690FF0"/>
    <w:rsid w:val="006913CB"/>
    <w:rsid w:val="00692567"/>
    <w:rsid w:val="006934C3"/>
    <w:rsid w:val="00693D4F"/>
    <w:rsid w:val="006966F3"/>
    <w:rsid w:val="00696DFB"/>
    <w:rsid w:val="00697C55"/>
    <w:rsid w:val="006A073B"/>
    <w:rsid w:val="006A19AA"/>
    <w:rsid w:val="006A2090"/>
    <w:rsid w:val="006A3DB6"/>
    <w:rsid w:val="006A427C"/>
    <w:rsid w:val="006A46AB"/>
    <w:rsid w:val="006A49BF"/>
    <w:rsid w:val="006A623F"/>
    <w:rsid w:val="006A715C"/>
    <w:rsid w:val="006B0013"/>
    <w:rsid w:val="006B051F"/>
    <w:rsid w:val="006B2203"/>
    <w:rsid w:val="006B2465"/>
    <w:rsid w:val="006B2561"/>
    <w:rsid w:val="006B3506"/>
    <w:rsid w:val="006B38DE"/>
    <w:rsid w:val="006B3DF7"/>
    <w:rsid w:val="006B5E7F"/>
    <w:rsid w:val="006B6327"/>
    <w:rsid w:val="006B7F73"/>
    <w:rsid w:val="006C0084"/>
    <w:rsid w:val="006C0251"/>
    <w:rsid w:val="006C0467"/>
    <w:rsid w:val="006C149B"/>
    <w:rsid w:val="006C19A8"/>
    <w:rsid w:val="006C19B3"/>
    <w:rsid w:val="006C33F3"/>
    <w:rsid w:val="006C3AA2"/>
    <w:rsid w:val="006C3B4C"/>
    <w:rsid w:val="006C3D91"/>
    <w:rsid w:val="006C4ACF"/>
    <w:rsid w:val="006C4B55"/>
    <w:rsid w:val="006C4DB9"/>
    <w:rsid w:val="006C60A0"/>
    <w:rsid w:val="006C66B6"/>
    <w:rsid w:val="006C6A45"/>
    <w:rsid w:val="006D06A3"/>
    <w:rsid w:val="006D2C5B"/>
    <w:rsid w:val="006D36DE"/>
    <w:rsid w:val="006D4026"/>
    <w:rsid w:val="006D45F6"/>
    <w:rsid w:val="006D47A3"/>
    <w:rsid w:val="006D4862"/>
    <w:rsid w:val="006D4B39"/>
    <w:rsid w:val="006D4F9D"/>
    <w:rsid w:val="006D5F6D"/>
    <w:rsid w:val="006D65AA"/>
    <w:rsid w:val="006D7488"/>
    <w:rsid w:val="006D759A"/>
    <w:rsid w:val="006D7ACB"/>
    <w:rsid w:val="006D7EC0"/>
    <w:rsid w:val="006D7FCE"/>
    <w:rsid w:val="006E0C36"/>
    <w:rsid w:val="006E0C72"/>
    <w:rsid w:val="006E17C5"/>
    <w:rsid w:val="006E396B"/>
    <w:rsid w:val="006E39CC"/>
    <w:rsid w:val="006E43A9"/>
    <w:rsid w:val="006E4E00"/>
    <w:rsid w:val="006E544F"/>
    <w:rsid w:val="006E5696"/>
    <w:rsid w:val="006E5B82"/>
    <w:rsid w:val="006E6BFD"/>
    <w:rsid w:val="006E7860"/>
    <w:rsid w:val="006F0790"/>
    <w:rsid w:val="006F09B4"/>
    <w:rsid w:val="006F1E86"/>
    <w:rsid w:val="006F395F"/>
    <w:rsid w:val="006F3A04"/>
    <w:rsid w:val="006F4961"/>
    <w:rsid w:val="006F57AD"/>
    <w:rsid w:val="006F5B50"/>
    <w:rsid w:val="006F5CF2"/>
    <w:rsid w:val="006F5F66"/>
    <w:rsid w:val="006F5F7B"/>
    <w:rsid w:val="006F6198"/>
    <w:rsid w:val="006F6251"/>
    <w:rsid w:val="006F64F7"/>
    <w:rsid w:val="006F655B"/>
    <w:rsid w:val="006F662B"/>
    <w:rsid w:val="006F7115"/>
    <w:rsid w:val="00700BBF"/>
    <w:rsid w:val="007010A5"/>
    <w:rsid w:val="0070114A"/>
    <w:rsid w:val="00702915"/>
    <w:rsid w:val="00702DD6"/>
    <w:rsid w:val="00703828"/>
    <w:rsid w:val="0070402B"/>
    <w:rsid w:val="00704A4E"/>
    <w:rsid w:val="00705DD0"/>
    <w:rsid w:val="00706253"/>
    <w:rsid w:val="00706422"/>
    <w:rsid w:val="007075E7"/>
    <w:rsid w:val="007077E7"/>
    <w:rsid w:val="00707BC2"/>
    <w:rsid w:val="00707C12"/>
    <w:rsid w:val="00710847"/>
    <w:rsid w:val="0071142C"/>
    <w:rsid w:val="00711749"/>
    <w:rsid w:val="00711AC0"/>
    <w:rsid w:val="00715987"/>
    <w:rsid w:val="00715AA7"/>
    <w:rsid w:val="00716DE0"/>
    <w:rsid w:val="00717B7D"/>
    <w:rsid w:val="00717D57"/>
    <w:rsid w:val="00720514"/>
    <w:rsid w:val="00720791"/>
    <w:rsid w:val="00720FF8"/>
    <w:rsid w:val="0072100A"/>
    <w:rsid w:val="00721966"/>
    <w:rsid w:val="00721EA3"/>
    <w:rsid w:val="00721F85"/>
    <w:rsid w:val="00722587"/>
    <w:rsid w:val="0072327E"/>
    <w:rsid w:val="00724DE2"/>
    <w:rsid w:val="00725D83"/>
    <w:rsid w:val="00726375"/>
    <w:rsid w:val="007263C1"/>
    <w:rsid w:val="00731773"/>
    <w:rsid w:val="007321E2"/>
    <w:rsid w:val="007330AE"/>
    <w:rsid w:val="00733FB0"/>
    <w:rsid w:val="007341CD"/>
    <w:rsid w:val="0073426E"/>
    <w:rsid w:val="007348C6"/>
    <w:rsid w:val="0073508B"/>
    <w:rsid w:val="00735A25"/>
    <w:rsid w:val="00735E91"/>
    <w:rsid w:val="0073698D"/>
    <w:rsid w:val="0074043A"/>
    <w:rsid w:val="00740784"/>
    <w:rsid w:val="00741337"/>
    <w:rsid w:val="007413BC"/>
    <w:rsid w:val="007415C1"/>
    <w:rsid w:val="00741759"/>
    <w:rsid w:val="00741988"/>
    <w:rsid w:val="0074203F"/>
    <w:rsid w:val="00743519"/>
    <w:rsid w:val="00745321"/>
    <w:rsid w:val="007455D2"/>
    <w:rsid w:val="0074560B"/>
    <w:rsid w:val="00745980"/>
    <w:rsid w:val="0074654A"/>
    <w:rsid w:val="007500ED"/>
    <w:rsid w:val="0075106A"/>
    <w:rsid w:val="007514DA"/>
    <w:rsid w:val="00751EF8"/>
    <w:rsid w:val="00753442"/>
    <w:rsid w:val="00753D6E"/>
    <w:rsid w:val="0075456C"/>
    <w:rsid w:val="00754B28"/>
    <w:rsid w:val="007550D7"/>
    <w:rsid w:val="007557CE"/>
    <w:rsid w:val="0075682F"/>
    <w:rsid w:val="00757952"/>
    <w:rsid w:val="00757AC9"/>
    <w:rsid w:val="007613CB"/>
    <w:rsid w:val="007616FD"/>
    <w:rsid w:val="00761F1D"/>
    <w:rsid w:val="00761FF5"/>
    <w:rsid w:val="007627E1"/>
    <w:rsid w:val="0076289D"/>
    <w:rsid w:val="00762ED2"/>
    <w:rsid w:val="00763288"/>
    <w:rsid w:val="007634E1"/>
    <w:rsid w:val="00763502"/>
    <w:rsid w:val="00763880"/>
    <w:rsid w:val="00763BFB"/>
    <w:rsid w:val="007644E8"/>
    <w:rsid w:val="00764909"/>
    <w:rsid w:val="00766E55"/>
    <w:rsid w:val="00767D7C"/>
    <w:rsid w:val="00770264"/>
    <w:rsid w:val="00771276"/>
    <w:rsid w:val="00771508"/>
    <w:rsid w:val="00773545"/>
    <w:rsid w:val="00773F19"/>
    <w:rsid w:val="00774245"/>
    <w:rsid w:val="007747F6"/>
    <w:rsid w:val="0077675F"/>
    <w:rsid w:val="007778B9"/>
    <w:rsid w:val="00777C0C"/>
    <w:rsid w:val="00777CAE"/>
    <w:rsid w:val="007805F8"/>
    <w:rsid w:val="0078169E"/>
    <w:rsid w:val="00782ADA"/>
    <w:rsid w:val="007833EE"/>
    <w:rsid w:val="007835AA"/>
    <w:rsid w:val="007836D8"/>
    <w:rsid w:val="00783876"/>
    <w:rsid w:val="00785681"/>
    <w:rsid w:val="00785DAC"/>
    <w:rsid w:val="00786DBE"/>
    <w:rsid w:val="00787D94"/>
    <w:rsid w:val="007910DC"/>
    <w:rsid w:val="0079222A"/>
    <w:rsid w:val="00793F69"/>
    <w:rsid w:val="00794805"/>
    <w:rsid w:val="0079487A"/>
    <w:rsid w:val="00794A11"/>
    <w:rsid w:val="00795588"/>
    <w:rsid w:val="00795BD1"/>
    <w:rsid w:val="00795DD2"/>
    <w:rsid w:val="00795E42"/>
    <w:rsid w:val="00796032"/>
    <w:rsid w:val="00796378"/>
    <w:rsid w:val="00796B14"/>
    <w:rsid w:val="00797408"/>
    <w:rsid w:val="007A1663"/>
    <w:rsid w:val="007A4A58"/>
    <w:rsid w:val="007A4B80"/>
    <w:rsid w:val="007A585D"/>
    <w:rsid w:val="007A5A25"/>
    <w:rsid w:val="007B1157"/>
    <w:rsid w:val="007B1D0C"/>
    <w:rsid w:val="007B2D8D"/>
    <w:rsid w:val="007B5485"/>
    <w:rsid w:val="007B5A38"/>
    <w:rsid w:val="007B5C76"/>
    <w:rsid w:val="007B6782"/>
    <w:rsid w:val="007B7AD8"/>
    <w:rsid w:val="007B7D6D"/>
    <w:rsid w:val="007C08F3"/>
    <w:rsid w:val="007C0E95"/>
    <w:rsid w:val="007C19DE"/>
    <w:rsid w:val="007C1AC6"/>
    <w:rsid w:val="007C43AB"/>
    <w:rsid w:val="007C4B88"/>
    <w:rsid w:val="007C52D9"/>
    <w:rsid w:val="007C6CE2"/>
    <w:rsid w:val="007C6F72"/>
    <w:rsid w:val="007C7BE5"/>
    <w:rsid w:val="007D0830"/>
    <w:rsid w:val="007D093E"/>
    <w:rsid w:val="007D0BCF"/>
    <w:rsid w:val="007D10E5"/>
    <w:rsid w:val="007D1253"/>
    <w:rsid w:val="007D1DC5"/>
    <w:rsid w:val="007D270A"/>
    <w:rsid w:val="007D3917"/>
    <w:rsid w:val="007D5537"/>
    <w:rsid w:val="007D5AAB"/>
    <w:rsid w:val="007D5ECA"/>
    <w:rsid w:val="007D7474"/>
    <w:rsid w:val="007E09C8"/>
    <w:rsid w:val="007E1D5B"/>
    <w:rsid w:val="007E2632"/>
    <w:rsid w:val="007E2850"/>
    <w:rsid w:val="007E2A37"/>
    <w:rsid w:val="007E2C96"/>
    <w:rsid w:val="007E3B9D"/>
    <w:rsid w:val="007E41F2"/>
    <w:rsid w:val="007E525E"/>
    <w:rsid w:val="007E56EC"/>
    <w:rsid w:val="007E61C9"/>
    <w:rsid w:val="007E6A67"/>
    <w:rsid w:val="007F0780"/>
    <w:rsid w:val="007F1118"/>
    <w:rsid w:val="007F1992"/>
    <w:rsid w:val="007F2850"/>
    <w:rsid w:val="007F3010"/>
    <w:rsid w:val="007F3A95"/>
    <w:rsid w:val="007F3BAE"/>
    <w:rsid w:val="007F4218"/>
    <w:rsid w:val="007F45E2"/>
    <w:rsid w:val="007F4A0E"/>
    <w:rsid w:val="007F57F4"/>
    <w:rsid w:val="007F61E5"/>
    <w:rsid w:val="0080078A"/>
    <w:rsid w:val="00800926"/>
    <w:rsid w:val="0080161D"/>
    <w:rsid w:val="00802155"/>
    <w:rsid w:val="00802B14"/>
    <w:rsid w:val="00803883"/>
    <w:rsid w:val="008041DB"/>
    <w:rsid w:val="00804DD2"/>
    <w:rsid w:val="0080542B"/>
    <w:rsid w:val="00805715"/>
    <w:rsid w:val="008060EC"/>
    <w:rsid w:val="0080618A"/>
    <w:rsid w:val="00806AA9"/>
    <w:rsid w:val="00806C8A"/>
    <w:rsid w:val="00807D67"/>
    <w:rsid w:val="00810187"/>
    <w:rsid w:val="00810DAE"/>
    <w:rsid w:val="00810FC1"/>
    <w:rsid w:val="0081244E"/>
    <w:rsid w:val="00812A22"/>
    <w:rsid w:val="00813024"/>
    <w:rsid w:val="0081367C"/>
    <w:rsid w:val="00814030"/>
    <w:rsid w:val="00814838"/>
    <w:rsid w:val="00814CA9"/>
    <w:rsid w:val="00814D31"/>
    <w:rsid w:val="00815346"/>
    <w:rsid w:val="008158B3"/>
    <w:rsid w:val="008169EA"/>
    <w:rsid w:val="008175DC"/>
    <w:rsid w:val="00817939"/>
    <w:rsid w:val="008209B1"/>
    <w:rsid w:val="00820CC1"/>
    <w:rsid w:val="00822544"/>
    <w:rsid w:val="00822F2E"/>
    <w:rsid w:val="008239F7"/>
    <w:rsid w:val="008241F4"/>
    <w:rsid w:val="008248BD"/>
    <w:rsid w:val="00824C04"/>
    <w:rsid w:val="00825F18"/>
    <w:rsid w:val="008261AF"/>
    <w:rsid w:val="00826AB4"/>
    <w:rsid w:val="00827260"/>
    <w:rsid w:val="008279D3"/>
    <w:rsid w:val="00827BB6"/>
    <w:rsid w:val="0083008D"/>
    <w:rsid w:val="00830319"/>
    <w:rsid w:val="00830440"/>
    <w:rsid w:val="00833A96"/>
    <w:rsid w:val="008341D7"/>
    <w:rsid w:val="00834304"/>
    <w:rsid w:val="00834492"/>
    <w:rsid w:val="00834B8F"/>
    <w:rsid w:val="00836CC9"/>
    <w:rsid w:val="008402C1"/>
    <w:rsid w:val="00840B77"/>
    <w:rsid w:val="0084204C"/>
    <w:rsid w:val="008423FF"/>
    <w:rsid w:val="0084278F"/>
    <w:rsid w:val="00842910"/>
    <w:rsid w:val="00842ABF"/>
    <w:rsid w:val="00842B02"/>
    <w:rsid w:val="00842C29"/>
    <w:rsid w:val="00842ED5"/>
    <w:rsid w:val="008431B2"/>
    <w:rsid w:val="00843BC1"/>
    <w:rsid w:val="00844A55"/>
    <w:rsid w:val="0084546F"/>
    <w:rsid w:val="00845A37"/>
    <w:rsid w:val="00846681"/>
    <w:rsid w:val="00847974"/>
    <w:rsid w:val="008479FB"/>
    <w:rsid w:val="00850C7A"/>
    <w:rsid w:val="00850D07"/>
    <w:rsid w:val="0085124E"/>
    <w:rsid w:val="0085266D"/>
    <w:rsid w:val="00852D5F"/>
    <w:rsid w:val="00853F3E"/>
    <w:rsid w:val="00854E86"/>
    <w:rsid w:val="0085649F"/>
    <w:rsid w:val="00857809"/>
    <w:rsid w:val="00857BA5"/>
    <w:rsid w:val="00860342"/>
    <w:rsid w:val="0086042D"/>
    <w:rsid w:val="00860DD8"/>
    <w:rsid w:val="00861EA7"/>
    <w:rsid w:val="0086239F"/>
    <w:rsid w:val="008624F1"/>
    <w:rsid w:val="00862983"/>
    <w:rsid w:val="00862C97"/>
    <w:rsid w:val="0086422E"/>
    <w:rsid w:val="00864BE9"/>
    <w:rsid w:val="0086524C"/>
    <w:rsid w:val="00865C4F"/>
    <w:rsid w:val="008664E3"/>
    <w:rsid w:val="008670E1"/>
    <w:rsid w:val="008671D5"/>
    <w:rsid w:val="00870270"/>
    <w:rsid w:val="00870330"/>
    <w:rsid w:val="008704B6"/>
    <w:rsid w:val="00870FEA"/>
    <w:rsid w:val="00871015"/>
    <w:rsid w:val="008714EE"/>
    <w:rsid w:val="00872344"/>
    <w:rsid w:val="0087281E"/>
    <w:rsid w:val="008728ED"/>
    <w:rsid w:val="00872BE1"/>
    <w:rsid w:val="00872F80"/>
    <w:rsid w:val="00873EB4"/>
    <w:rsid w:val="00873EED"/>
    <w:rsid w:val="00873F40"/>
    <w:rsid w:val="008745FD"/>
    <w:rsid w:val="008754F0"/>
    <w:rsid w:val="0087576E"/>
    <w:rsid w:val="00876C6A"/>
    <w:rsid w:val="008775D4"/>
    <w:rsid w:val="00880DC3"/>
    <w:rsid w:val="00881A4A"/>
    <w:rsid w:val="00882867"/>
    <w:rsid w:val="00883941"/>
    <w:rsid w:val="00883E39"/>
    <w:rsid w:val="008854EF"/>
    <w:rsid w:val="00886BF4"/>
    <w:rsid w:val="00891173"/>
    <w:rsid w:val="0089149F"/>
    <w:rsid w:val="00892659"/>
    <w:rsid w:val="0089278F"/>
    <w:rsid w:val="008930FC"/>
    <w:rsid w:val="0089568B"/>
    <w:rsid w:val="00895DCA"/>
    <w:rsid w:val="00895EE2"/>
    <w:rsid w:val="00896A23"/>
    <w:rsid w:val="00896A94"/>
    <w:rsid w:val="008971AD"/>
    <w:rsid w:val="008976B4"/>
    <w:rsid w:val="00897C3D"/>
    <w:rsid w:val="00897D34"/>
    <w:rsid w:val="00897F1C"/>
    <w:rsid w:val="008A03D2"/>
    <w:rsid w:val="008A148C"/>
    <w:rsid w:val="008A1CD9"/>
    <w:rsid w:val="008A1DAF"/>
    <w:rsid w:val="008A2254"/>
    <w:rsid w:val="008A2812"/>
    <w:rsid w:val="008A2CE6"/>
    <w:rsid w:val="008A3257"/>
    <w:rsid w:val="008A326A"/>
    <w:rsid w:val="008A3521"/>
    <w:rsid w:val="008A4131"/>
    <w:rsid w:val="008A4625"/>
    <w:rsid w:val="008A5386"/>
    <w:rsid w:val="008A591B"/>
    <w:rsid w:val="008A694B"/>
    <w:rsid w:val="008A7FB5"/>
    <w:rsid w:val="008B115A"/>
    <w:rsid w:val="008B1C8F"/>
    <w:rsid w:val="008B23CF"/>
    <w:rsid w:val="008B269E"/>
    <w:rsid w:val="008B2B2C"/>
    <w:rsid w:val="008B2DCF"/>
    <w:rsid w:val="008B523A"/>
    <w:rsid w:val="008B5369"/>
    <w:rsid w:val="008B6A25"/>
    <w:rsid w:val="008B6EA6"/>
    <w:rsid w:val="008B7CF6"/>
    <w:rsid w:val="008C07B0"/>
    <w:rsid w:val="008C0BAC"/>
    <w:rsid w:val="008C0C1B"/>
    <w:rsid w:val="008C13F8"/>
    <w:rsid w:val="008C14C1"/>
    <w:rsid w:val="008C1709"/>
    <w:rsid w:val="008C1D7A"/>
    <w:rsid w:val="008C1EB0"/>
    <w:rsid w:val="008C3078"/>
    <w:rsid w:val="008C350B"/>
    <w:rsid w:val="008C450B"/>
    <w:rsid w:val="008C5252"/>
    <w:rsid w:val="008C5C6E"/>
    <w:rsid w:val="008C5FC8"/>
    <w:rsid w:val="008C7FB3"/>
    <w:rsid w:val="008D0199"/>
    <w:rsid w:val="008D048F"/>
    <w:rsid w:val="008D064B"/>
    <w:rsid w:val="008D1170"/>
    <w:rsid w:val="008D1AAE"/>
    <w:rsid w:val="008D1BE6"/>
    <w:rsid w:val="008D33A5"/>
    <w:rsid w:val="008D3AD4"/>
    <w:rsid w:val="008D4D2E"/>
    <w:rsid w:val="008D4E4E"/>
    <w:rsid w:val="008D62FE"/>
    <w:rsid w:val="008D63EE"/>
    <w:rsid w:val="008D642E"/>
    <w:rsid w:val="008E03AE"/>
    <w:rsid w:val="008E045C"/>
    <w:rsid w:val="008E0733"/>
    <w:rsid w:val="008E176B"/>
    <w:rsid w:val="008E1AC6"/>
    <w:rsid w:val="008E22AA"/>
    <w:rsid w:val="008E2502"/>
    <w:rsid w:val="008E3E60"/>
    <w:rsid w:val="008E41B7"/>
    <w:rsid w:val="008E4768"/>
    <w:rsid w:val="008E5B60"/>
    <w:rsid w:val="008E5CF6"/>
    <w:rsid w:val="008E5D57"/>
    <w:rsid w:val="008E605E"/>
    <w:rsid w:val="008E6CB1"/>
    <w:rsid w:val="008F015D"/>
    <w:rsid w:val="008F0D09"/>
    <w:rsid w:val="008F0F30"/>
    <w:rsid w:val="008F13B4"/>
    <w:rsid w:val="008F295F"/>
    <w:rsid w:val="008F2AB7"/>
    <w:rsid w:val="008F2CB6"/>
    <w:rsid w:val="008F2F2C"/>
    <w:rsid w:val="008F372A"/>
    <w:rsid w:val="008F4260"/>
    <w:rsid w:val="008F647F"/>
    <w:rsid w:val="008F6DB5"/>
    <w:rsid w:val="008F729F"/>
    <w:rsid w:val="00901EAF"/>
    <w:rsid w:val="009024A1"/>
    <w:rsid w:val="0090295C"/>
    <w:rsid w:val="009029FC"/>
    <w:rsid w:val="009034B2"/>
    <w:rsid w:val="00903870"/>
    <w:rsid w:val="0090394B"/>
    <w:rsid w:val="00903FFA"/>
    <w:rsid w:val="009052DE"/>
    <w:rsid w:val="00905B6C"/>
    <w:rsid w:val="0090765D"/>
    <w:rsid w:val="00907CE3"/>
    <w:rsid w:val="00907DAF"/>
    <w:rsid w:val="0091011D"/>
    <w:rsid w:val="009113E1"/>
    <w:rsid w:val="00911BF3"/>
    <w:rsid w:val="009147CF"/>
    <w:rsid w:val="00916A61"/>
    <w:rsid w:val="009174E8"/>
    <w:rsid w:val="0091792E"/>
    <w:rsid w:val="0092009F"/>
    <w:rsid w:val="00920A95"/>
    <w:rsid w:val="00920F9B"/>
    <w:rsid w:val="00922850"/>
    <w:rsid w:val="00922A23"/>
    <w:rsid w:val="00922E93"/>
    <w:rsid w:val="0092382D"/>
    <w:rsid w:val="00923A57"/>
    <w:rsid w:val="00923F38"/>
    <w:rsid w:val="009248C6"/>
    <w:rsid w:val="00925553"/>
    <w:rsid w:val="0092568C"/>
    <w:rsid w:val="00925822"/>
    <w:rsid w:val="0092704D"/>
    <w:rsid w:val="009305CC"/>
    <w:rsid w:val="009316AB"/>
    <w:rsid w:val="00931FB4"/>
    <w:rsid w:val="0093359F"/>
    <w:rsid w:val="00933DC3"/>
    <w:rsid w:val="00934377"/>
    <w:rsid w:val="009345BF"/>
    <w:rsid w:val="00934BAB"/>
    <w:rsid w:val="0093529E"/>
    <w:rsid w:val="00936525"/>
    <w:rsid w:val="00936E66"/>
    <w:rsid w:val="00940C58"/>
    <w:rsid w:val="00940EB7"/>
    <w:rsid w:val="00941942"/>
    <w:rsid w:val="00942461"/>
    <w:rsid w:val="009426E0"/>
    <w:rsid w:val="00942C81"/>
    <w:rsid w:val="00942F38"/>
    <w:rsid w:val="009430A9"/>
    <w:rsid w:val="0094465A"/>
    <w:rsid w:val="00944B5C"/>
    <w:rsid w:val="0094543F"/>
    <w:rsid w:val="00946648"/>
    <w:rsid w:val="00950566"/>
    <w:rsid w:val="00950665"/>
    <w:rsid w:val="009519E9"/>
    <w:rsid w:val="0095226E"/>
    <w:rsid w:val="00953734"/>
    <w:rsid w:val="00953BC6"/>
    <w:rsid w:val="00953F9D"/>
    <w:rsid w:val="00954745"/>
    <w:rsid w:val="00954B44"/>
    <w:rsid w:val="00954F0C"/>
    <w:rsid w:val="00955056"/>
    <w:rsid w:val="00955764"/>
    <w:rsid w:val="00957210"/>
    <w:rsid w:val="009577A3"/>
    <w:rsid w:val="00960C13"/>
    <w:rsid w:val="009610B0"/>
    <w:rsid w:val="00961381"/>
    <w:rsid w:val="00963147"/>
    <w:rsid w:val="0096371D"/>
    <w:rsid w:val="009637DB"/>
    <w:rsid w:val="00963B9C"/>
    <w:rsid w:val="00963CBC"/>
    <w:rsid w:val="009646B0"/>
    <w:rsid w:val="009654A2"/>
    <w:rsid w:val="00965D9F"/>
    <w:rsid w:val="00966602"/>
    <w:rsid w:val="00966DA5"/>
    <w:rsid w:val="0096782B"/>
    <w:rsid w:val="009711B6"/>
    <w:rsid w:val="009712FE"/>
    <w:rsid w:val="0097228D"/>
    <w:rsid w:val="00972868"/>
    <w:rsid w:val="00972E1A"/>
    <w:rsid w:val="00973448"/>
    <w:rsid w:val="009736E6"/>
    <w:rsid w:val="00973C20"/>
    <w:rsid w:val="00973D3E"/>
    <w:rsid w:val="0097480B"/>
    <w:rsid w:val="00974C3F"/>
    <w:rsid w:val="00976C9F"/>
    <w:rsid w:val="00976D24"/>
    <w:rsid w:val="00977A79"/>
    <w:rsid w:val="00977AE6"/>
    <w:rsid w:val="0098061A"/>
    <w:rsid w:val="009828E5"/>
    <w:rsid w:val="00982B23"/>
    <w:rsid w:val="00983C26"/>
    <w:rsid w:val="00983F73"/>
    <w:rsid w:val="0098479F"/>
    <w:rsid w:val="009853BF"/>
    <w:rsid w:val="009855C7"/>
    <w:rsid w:val="00986C66"/>
    <w:rsid w:val="00986F43"/>
    <w:rsid w:val="00987453"/>
    <w:rsid w:val="00987A3C"/>
    <w:rsid w:val="00987A5F"/>
    <w:rsid w:val="00990154"/>
    <w:rsid w:val="00990F1D"/>
    <w:rsid w:val="009914BB"/>
    <w:rsid w:val="0099192C"/>
    <w:rsid w:val="00991A5E"/>
    <w:rsid w:val="00992B8A"/>
    <w:rsid w:val="00992E9D"/>
    <w:rsid w:val="00993896"/>
    <w:rsid w:val="00994542"/>
    <w:rsid w:val="009948B4"/>
    <w:rsid w:val="00994CCF"/>
    <w:rsid w:val="00995BA5"/>
    <w:rsid w:val="0099602A"/>
    <w:rsid w:val="00996B78"/>
    <w:rsid w:val="00996EDF"/>
    <w:rsid w:val="00997635"/>
    <w:rsid w:val="009A175A"/>
    <w:rsid w:val="009A1B27"/>
    <w:rsid w:val="009A3509"/>
    <w:rsid w:val="009A4361"/>
    <w:rsid w:val="009A4A3C"/>
    <w:rsid w:val="009A5071"/>
    <w:rsid w:val="009A54BF"/>
    <w:rsid w:val="009A697C"/>
    <w:rsid w:val="009A7F7D"/>
    <w:rsid w:val="009A7F8D"/>
    <w:rsid w:val="009B196B"/>
    <w:rsid w:val="009B3E70"/>
    <w:rsid w:val="009B4DDF"/>
    <w:rsid w:val="009B5A45"/>
    <w:rsid w:val="009B6832"/>
    <w:rsid w:val="009B72A8"/>
    <w:rsid w:val="009B7816"/>
    <w:rsid w:val="009C163C"/>
    <w:rsid w:val="009C18D4"/>
    <w:rsid w:val="009C21A3"/>
    <w:rsid w:val="009C3C47"/>
    <w:rsid w:val="009C4BD1"/>
    <w:rsid w:val="009C4E2F"/>
    <w:rsid w:val="009C5226"/>
    <w:rsid w:val="009C5613"/>
    <w:rsid w:val="009C561C"/>
    <w:rsid w:val="009C5E31"/>
    <w:rsid w:val="009C61C4"/>
    <w:rsid w:val="009C70F1"/>
    <w:rsid w:val="009C7883"/>
    <w:rsid w:val="009D0271"/>
    <w:rsid w:val="009D050F"/>
    <w:rsid w:val="009D1F26"/>
    <w:rsid w:val="009D1FCF"/>
    <w:rsid w:val="009D200C"/>
    <w:rsid w:val="009D2BAB"/>
    <w:rsid w:val="009D420D"/>
    <w:rsid w:val="009D43C9"/>
    <w:rsid w:val="009D5D1E"/>
    <w:rsid w:val="009D640C"/>
    <w:rsid w:val="009D6F59"/>
    <w:rsid w:val="009D7A1E"/>
    <w:rsid w:val="009E0231"/>
    <w:rsid w:val="009E0D04"/>
    <w:rsid w:val="009E0E44"/>
    <w:rsid w:val="009E2417"/>
    <w:rsid w:val="009E2D1C"/>
    <w:rsid w:val="009E30D0"/>
    <w:rsid w:val="009E3110"/>
    <w:rsid w:val="009E34C7"/>
    <w:rsid w:val="009E3A61"/>
    <w:rsid w:val="009E4A99"/>
    <w:rsid w:val="009E6C7C"/>
    <w:rsid w:val="009E72B5"/>
    <w:rsid w:val="009E759B"/>
    <w:rsid w:val="009E7749"/>
    <w:rsid w:val="009F0185"/>
    <w:rsid w:val="009F036D"/>
    <w:rsid w:val="009F04F0"/>
    <w:rsid w:val="009F0C56"/>
    <w:rsid w:val="009F5BD3"/>
    <w:rsid w:val="009F650A"/>
    <w:rsid w:val="009F6CA4"/>
    <w:rsid w:val="009F77CD"/>
    <w:rsid w:val="009F7E4F"/>
    <w:rsid w:val="00A0190A"/>
    <w:rsid w:val="00A01A10"/>
    <w:rsid w:val="00A02649"/>
    <w:rsid w:val="00A026E8"/>
    <w:rsid w:val="00A02A17"/>
    <w:rsid w:val="00A03DB3"/>
    <w:rsid w:val="00A07CB2"/>
    <w:rsid w:val="00A105A8"/>
    <w:rsid w:val="00A12381"/>
    <w:rsid w:val="00A129C0"/>
    <w:rsid w:val="00A129E9"/>
    <w:rsid w:val="00A1482B"/>
    <w:rsid w:val="00A1592B"/>
    <w:rsid w:val="00A163D5"/>
    <w:rsid w:val="00A16D92"/>
    <w:rsid w:val="00A17856"/>
    <w:rsid w:val="00A17905"/>
    <w:rsid w:val="00A17BCB"/>
    <w:rsid w:val="00A17EA0"/>
    <w:rsid w:val="00A20C78"/>
    <w:rsid w:val="00A21B17"/>
    <w:rsid w:val="00A22F74"/>
    <w:rsid w:val="00A24149"/>
    <w:rsid w:val="00A244C8"/>
    <w:rsid w:val="00A24A08"/>
    <w:rsid w:val="00A24CF9"/>
    <w:rsid w:val="00A25176"/>
    <w:rsid w:val="00A25FB7"/>
    <w:rsid w:val="00A26950"/>
    <w:rsid w:val="00A26D53"/>
    <w:rsid w:val="00A26E9C"/>
    <w:rsid w:val="00A300F4"/>
    <w:rsid w:val="00A30921"/>
    <w:rsid w:val="00A31350"/>
    <w:rsid w:val="00A344CF"/>
    <w:rsid w:val="00A344D9"/>
    <w:rsid w:val="00A35082"/>
    <w:rsid w:val="00A35F24"/>
    <w:rsid w:val="00A36499"/>
    <w:rsid w:val="00A3660B"/>
    <w:rsid w:val="00A366E4"/>
    <w:rsid w:val="00A37C61"/>
    <w:rsid w:val="00A4010E"/>
    <w:rsid w:val="00A40748"/>
    <w:rsid w:val="00A40914"/>
    <w:rsid w:val="00A4109E"/>
    <w:rsid w:val="00A423EB"/>
    <w:rsid w:val="00A425B7"/>
    <w:rsid w:val="00A432F9"/>
    <w:rsid w:val="00A442B2"/>
    <w:rsid w:val="00A44CDB"/>
    <w:rsid w:val="00A45AEC"/>
    <w:rsid w:val="00A45DA9"/>
    <w:rsid w:val="00A45E85"/>
    <w:rsid w:val="00A50705"/>
    <w:rsid w:val="00A50BF8"/>
    <w:rsid w:val="00A524E6"/>
    <w:rsid w:val="00A533E4"/>
    <w:rsid w:val="00A53D82"/>
    <w:rsid w:val="00A548FA"/>
    <w:rsid w:val="00A54916"/>
    <w:rsid w:val="00A54A6B"/>
    <w:rsid w:val="00A56371"/>
    <w:rsid w:val="00A57138"/>
    <w:rsid w:val="00A573EC"/>
    <w:rsid w:val="00A601B5"/>
    <w:rsid w:val="00A614E8"/>
    <w:rsid w:val="00A62293"/>
    <w:rsid w:val="00A637F8"/>
    <w:rsid w:val="00A64DC8"/>
    <w:rsid w:val="00A653FB"/>
    <w:rsid w:val="00A65C02"/>
    <w:rsid w:val="00A667B1"/>
    <w:rsid w:val="00A667E2"/>
    <w:rsid w:val="00A6699A"/>
    <w:rsid w:val="00A66E43"/>
    <w:rsid w:val="00A67111"/>
    <w:rsid w:val="00A708F9"/>
    <w:rsid w:val="00A70B90"/>
    <w:rsid w:val="00A70EBA"/>
    <w:rsid w:val="00A717A9"/>
    <w:rsid w:val="00A718DA"/>
    <w:rsid w:val="00A7192B"/>
    <w:rsid w:val="00A71F94"/>
    <w:rsid w:val="00A7261D"/>
    <w:rsid w:val="00A72654"/>
    <w:rsid w:val="00A73544"/>
    <w:rsid w:val="00A7391C"/>
    <w:rsid w:val="00A73CEB"/>
    <w:rsid w:val="00A74E1E"/>
    <w:rsid w:val="00A7508A"/>
    <w:rsid w:val="00A750DB"/>
    <w:rsid w:val="00A75736"/>
    <w:rsid w:val="00A75A6C"/>
    <w:rsid w:val="00A76B87"/>
    <w:rsid w:val="00A80A17"/>
    <w:rsid w:val="00A80DA8"/>
    <w:rsid w:val="00A81052"/>
    <w:rsid w:val="00A816D6"/>
    <w:rsid w:val="00A829A9"/>
    <w:rsid w:val="00A831CD"/>
    <w:rsid w:val="00A836FC"/>
    <w:rsid w:val="00A85636"/>
    <w:rsid w:val="00A85D51"/>
    <w:rsid w:val="00A86851"/>
    <w:rsid w:val="00A86E19"/>
    <w:rsid w:val="00A87309"/>
    <w:rsid w:val="00A90BFF"/>
    <w:rsid w:val="00A93A0B"/>
    <w:rsid w:val="00A940B2"/>
    <w:rsid w:val="00A94248"/>
    <w:rsid w:val="00A942A2"/>
    <w:rsid w:val="00A944B3"/>
    <w:rsid w:val="00A9457A"/>
    <w:rsid w:val="00A945C3"/>
    <w:rsid w:val="00A964D5"/>
    <w:rsid w:val="00A965A3"/>
    <w:rsid w:val="00A969AC"/>
    <w:rsid w:val="00AA036A"/>
    <w:rsid w:val="00AA03DE"/>
    <w:rsid w:val="00AA0E26"/>
    <w:rsid w:val="00AA1E0A"/>
    <w:rsid w:val="00AA28A8"/>
    <w:rsid w:val="00AA43DE"/>
    <w:rsid w:val="00AA5F07"/>
    <w:rsid w:val="00AA6135"/>
    <w:rsid w:val="00AA6D41"/>
    <w:rsid w:val="00AB0A52"/>
    <w:rsid w:val="00AB1A1E"/>
    <w:rsid w:val="00AB2A9C"/>
    <w:rsid w:val="00AB36DE"/>
    <w:rsid w:val="00AB36F4"/>
    <w:rsid w:val="00AB4350"/>
    <w:rsid w:val="00AB4353"/>
    <w:rsid w:val="00AB4872"/>
    <w:rsid w:val="00AB5022"/>
    <w:rsid w:val="00AB56BB"/>
    <w:rsid w:val="00AB6F9B"/>
    <w:rsid w:val="00AB79EA"/>
    <w:rsid w:val="00AC08D6"/>
    <w:rsid w:val="00AC14C0"/>
    <w:rsid w:val="00AC15FC"/>
    <w:rsid w:val="00AC1EA4"/>
    <w:rsid w:val="00AC2103"/>
    <w:rsid w:val="00AC24BD"/>
    <w:rsid w:val="00AC2554"/>
    <w:rsid w:val="00AC26DD"/>
    <w:rsid w:val="00AC2F77"/>
    <w:rsid w:val="00AC399F"/>
    <w:rsid w:val="00AC4C02"/>
    <w:rsid w:val="00AC4FEC"/>
    <w:rsid w:val="00AC56B3"/>
    <w:rsid w:val="00AC5FC8"/>
    <w:rsid w:val="00AC66AA"/>
    <w:rsid w:val="00AC7332"/>
    <w:rsid w:val="00AD07A2"/>
    <w:rsid w:val="00AD0851"/>
    <w:rsid w:val="00AD09DD"/>
    <w:rsid w:val="00AD0A88"/>
    <w:rsid w:val="00AD14AA"/>
    <w:rsid w:val="00AD1EEA"/>
    <w:rsid w:val="00AD26AD"/>
    <w:rsid w:val="00AD3709"/>
    <w:rsid w:val="00AD3C4A"/>
    <w:rsid w:val="00AD3EB3"/>
    <w:rsid w:val="00AD52FB"/>
    <w:rsid w:val="00AD5558"/>
    <w:rsid w:val="00AD5874"/>
    <w:rsid w:val="00AD5D10"/>
    <w:rsid w:val="00AD64D1"/>
    <w:rsid w:val="00AD651F"/>
    <w:rsid w:val="00AD72AC"/>
    <w:rsid w:val="00AD73A4"/>
    <w:rsid w:val="00AE0971"/>
    <w:rsid w:val="00AE0DA1"/>
    <w:rsid w:val="00AE1C17"/>
    <w:rsid w:val="00AE1ECA"/>
    <w:rsid w:val="00AE2317"/>
    <w:rsid w:val="00AE26B9"/>
    <w:rsid w:val="00AE2A5C"/>
    <w:rsid w:val="00AE2DB8"/>
    <w:rsid w:val="00AE33F8"/>
    <w:rsid w:val="00AE42E7"/>
    <w:rsid w:val="00AE4ED1"/>
    <w:rsid w:val="00AE50D5"/>
    <w:rsid w:val="00AE5911"/>
    <w:rsid w:val="00AE7366"/>
    <w:rsid w:val="00AE75AF"/>
    <w:rsid w:val="00AE7F95"/>
    <w:rsid w:val="00AF0C9A"/>
    <w:rsid w:val="00AF1EC2"/>
    <w:rsid w:val="00AF284F"/>
    <w:rsid w:val="00AF3F51"/>
    <w:rsid w:val="00AF47AA"/>
    <w:rsid w:val="00AF4851"/>
    <w:rsid w:val="00AF50CF"/>
    <w:rsid w:val="00AF699D"/>
    <w:rsid w:val="00AF6F17"/>
    <w:rsid w:val="00AF7019"/>
    <w:rsid w:val="00B00089"/>
    <w:rsid w:val="00B01D4B"/>
    <w:rsid w:val="00B047AC"/>
    <w:rsid w:val="00B0586B"/>
    <w:rsid w:val="00B05A34"/>
    <w:rsid w:val="00B063D6"/>
    <w:rsid w:val="00B06471"/>
    <w:rsid w:val="00B108FF"/>
    <w:rsid w:val="00B10E4D"/>
    <w:rsid w:val="00B11A9A"/>
    <w:rsid w:val="00B1263E"/>
    <w:rsid w:val="00B12A28"/>
    <w:rsid w:val="00B13B65"/>
    <w:rsid w:val="00B149B3"/>
    <w:rsid w:val="00B15977"/>
    <w:rsid w:val="00B161D3"/>
    <w:rsid w:val="00B16596"/>
    <w:rsid w:val="00B177EF"/>
    <w:rsid w:val="00B17854"/>
    <w:rsid w:val="00B20320"/>
    <w:rsid w:val="00B20D15"/>
    <w:rsid w:val="00B2259F"/>
    <w:rsid w:val="00B22717"/>
    <w:rsid w:val="00B22FA4"/>
    <w:rsid w:val="00B237BF"/>
    <w:rsid w:val="00B23A2D"/>
    <w:rsid w:val="00B24CDF"/>
    <w:rsid w:val="00B24EC7"/>
    <w:rsid w:val="00B263BE"/>
    <w:rsid w:val="00B26B47"/>
    <w:rsid w:val="00B3039B"/>
    <w:rsid w:val="00B305BE"/>
    <w:rsid w:val="00B30E43"/>
    <w:rsid w:val="00B31012"/>
    <w:rsid w:val="00B313AF"/>
    <w:rsid w:val="00B32F93"/>
    <w:rsid w:val="00B33252"/>
    <w:rsid w:val="00B34011"/>
    <w:rsid w:val="00B34A4D"/>
    <w:rsid w:val="00B35762"/>
    <w:rsid w:val="00B35DD4"/>
    <w:rsid w:val="00B3696F"/>
    <w:rsid w:val="00B3734E"/>
    <w:rsid w:val="00B37F35"/>
    <w:rsid w:val="00B40BFB"/>
    <w:rsid w:val="00B40CF4"/>
    <w:rsid w:val="00B419EB"/>
    <w:rsid w:val="00B41B0B"/>
    <w:rsid w:val="00B42E97"/>
    <w:rsid w:val="00B44226"/>
    <w:rsid w:val="00B45375"/>
    <w:rsid w:val="00B4548E"/>
    <w:rsid w:val="00B45625"/>
    <w:rsid w:val="00B4593B"/>
    <w:rsid w:val="00B45D74"/>
    <w:rsid w:val="00B45DE9"/>
    <w:rsid w:val="00B46F0E"/>
    <w:rsid w:val="00B47178"/>
    <w:rsid w:val="00B475D8"/>
    <w:rsid w:val="00B508D1"/>
    <w:rsid w:val="00B510D8"/>
    <w:rsid w:val="00B51D26"/>
    <w:rsid w:val="00B524EE"/>
    <w:rsid w:val="00B52795"/>
    <w:rsid w:val="00B52DF4"/>
    <w:rsid w:val="00B5385C"/>
    <w:rsid w:val="00B53A4C"/>
    <w:rsid w:val="00B53B1F"/>
    <w:rsid w:val="00B53F1A"/>
    <w:rsid w:val="00B53FD4"/>
    <w:rsid w:val="00B544F3"/>
    <w:rsid w:val="00B54D43"/>
    <w:rsid w:val="00B55897"/>
    <w:rsid w:val="00B564B6"/>
    <w:rsid w:val="00B57357"/>
    <w:rsid w:val="00B5759B"/>
    <w:rsid w:val="00B57D79"/>
    <w:rsid w:val="00B60E8D"/>
    <w:rsid w:val="00B63C13"/>
    <w:rsid w:val="00B63ECD"/>
    <w:rsid w:val="00B63ED1"/>
    <w:rsid w:val="00B64AB8"/>
    <w:rsid w:val="00B65EC4"/>
    <w:rsid w:val="00B66306"/>
    <w:rsid w:val="00B6704B"/>
    <w:rsid w:val="00B676E3"/>
    <w:rsid w:val="00B6781E"/>
    <w:rsid w:val="00B67E4C"/>
    <w:rsid w:val="00B70300"/>
    <w:rsid w:val="00B70D99"/>
    <w:rsid w:val="00B71459"/>
    <w:rsid w:val="00B718ED"/>
    <w:rsid w:val="00B7359B"/>
    <w:rsid w:val="00B73D79"/>
    <w:rsid w:val="00B73F2E"/>
    <w:rsid w:val="00B7439B"/>
    <w:rsid w:val="00B7460D"/>
    <w:rsid w:val="00B749E2"/>
    <w:rsid w:val="00B74CF0"/>
    <w:rsid w:val="00B759CE"/>
    <w:rsid w:val="00B76BB1"/>
    <w:rsid w:val="00B7708D"/>
    <w:rsid w:val="00B7720A"/>
    <w:rsid w:val="00B772DA"/>
    <w:rsid w:val="00B77645"/>
    <w:rsid w:val="00B77E57"/>
    <w:rsid w:val="00B802ED"/>
    <w:rsid w:val="00B80A5D"/>
    <w:rsid w:val="00B8187D"/>
    <w:rsid w:val="00B826A0"/>
    <w:rsid w:val="00B83F3A"/>
    <w:rsid w:val="00B845F6"/>
    <w:rsid w:val="00B847A8"/>
    <w:rsid w:val="00B8493A"/>
    <w:rsid w:val="00B85138"/>
    <w:rsid w:val="00B85234"/>
    <w:rsid w:val="00B8577B"/>
    <w:rsid w:val="00B859BC"/>
    <w:rsid w:val="00B859D9"/>
    <w:rsid w:val="00B85A68"/>
    <w:rsid w:val="00B8629F"/>
    <w:rsid w:val="00B86434"/>
    <w:rsid w:val="00B86ABC"/>
    <w:rsid w:val="00B87FBC"/>
    <w:rsid w:val="00B90A33"/>
    <w:rsid w:val="00B90F17"/>
    <w:rsid w:val="00B928A5"/>
    <w:rsid w:val="00B92AD9"/>
    <w:rsid w:val="00B94518"/>
    <w:rsid w:val="00B94EDF"/>
    <w:rsid w:val="00B9578D"/>
    <w:rsid w:val="00B95832"/>
    <w:rsid w:val="00B95F1E"/>
    <w:rsid w:val="00B97789"/>
    <w:rsid w:val="00BA0846"/>
    <w:rsid w:val="00BA13F9"/>
    <w:rsid w:val="00BA15DA"/>
    <w:rsid w:val="00BA2D5D"/>
    <w:rsid w:val="00BA3143"/>
    <w:rsid w:val="00BA34A2"/>
    <w:rsid w:val="00BA3DDB"/>
    <w:rsid w:val="00BA4326"/>
    <w:rsid w:val="00BA4712"/>
    <w:rsid w:val="00BA6547"/>
    <w:rsid w:val="00BA65A2"/>
    <w:rsid w:val="00BA6B12"/>
    <w:rsid w:val="00BA6FEA"/>
    <w:rsid w:val="00BA7C0D"/>
    <w:rsid w:val="00BA7DB7"/>
    <w:rsid w:val="00BB026C"/>
    <w:rsid w:val="00BB0337"/>
    <w:rsid w:val="00BB1084"/>
    <w:rsid w:val="00BB12E3"/>
    <w:rsid w:val="00BB1ABE"/>
    <w:rsid w:val="00BB2F1C"/>
    <w:rsid w:val="00BB3F97"/>
    <w:rsid w:val="00BB3FB4"/>
    <w:rsid w:val="00BB4421"/>
    <w:rsid w:val="00BB4DAE"/>
    <w:rsid w:val="00BB4E31"/>
    <w:rsid w:val="00BB54D8"/>
    <w:rsid w:val="00BB59B2"/>
    <w:rsid w:val="00BB5B8B"/>
    <w:rsid w:val="00BB5C6B"/>
    <w:rsid w:val="00BB6C64"/>
    <w:rsid w:val="00BC1297"/>
    <w:rsid w:val="00BC16BF"/>
    <w:rsid w:val="00BC1C06"/>
    <w:rsid w:val="00BC30F7"/>
    <w:rsid w:val="00BC4DA2"/>
    <w:rsid w:val="00BC50CF"/>
    <w:rsid w:val="00BC5117"/>
    <w:rsid w:val="00BC6280"/>
    <w:rsid w:val="00BC6C23"/>
    <w:rsid w:val="00BC70DE"/>
    <w:rsid w:val="00BC772B"/>
    <w:rsid w:val="00BC7B51"/>
    <w:rsid w:val="00BD2431"/>
    <w:rsid w:val="00BD280D"/>
    <w:rsid w:val="00BD44CE"/>
    <w:rsid w:val="00BD6B80"/>
    <w:rsid w:val="00BD6F53"/>
    <w:rsid w:val="00BD7109"/>
    <w:rsid w:val="00BD7289"/>
    <w:rsid w:val="00BD750B"/>
    <w:rsid w:val="00BD76A1"/>
    <w:rsid w:val="00BD77C9"/>
    <w:rsid w:val="00BD7E51"/>
    <w:rsid w:val="00BE026E"/>
    <w:rsid w:val="00BE0629"/>
    <w:rsid w:val="00BE095C"/>
    <w:rsid w:val="00BE1487"/>
    <w:rsid w:val="00BE15C9"/>
    <w:rsid w:val="00BE183E"/>
    <w:rsid w:val="00BE1D78"/>
    <w:rsid w:val="00BE2C56"/>
    <w:rsid w:val="00BE2E19"/>
    <w:rsid w:val="00BE3E3D"/>
    <w:rsid w:val="00BE43E1"/>
    <w:rsid w:val="00BE4BC7"/>
    <w:rsid w:val="00BE4C34"/>
    <w:rsid w:val="00BE4FBF"/>
    <w:rsid w:val="00BE5458"/>
    <w:rsid w:val="00BE55F6"/>
    <w:rsid w:val="00BE6CF0"/>
    <w:rsid w:val="00BF0923"/>
    <w:rsid w:val="00BF22C7"/>
    <w:rsid w:val="00BF245C"/>
    <w:rsid w:val="00BF2BC0"/>
    <w:rsid w:val="00BF3527"/>
    <w:rsid w:val="00BF3E66"/>
    <w:rsid w:val="00BF4061"/>
    <w:rsid w:val="00BF4285"/>
    <w:rsid w:val="00BF435D"/>
    <w:rsid w:val="00BF4973"/>
    <w:rsid w:val="00BF4AD5"/>
    <w:rsid w:val="00BF5C4E"/>
    <w:rsid w:val="00BF5EED"/>
    <w:rsid w:val="00BF6820"/>
    <w:rsid w:val="00C000FF"/>
    <w:rsid w:val="00C00840"/>
    <w:rsid w:val="00C00BD4"/>
    <w:rsid w:val="00C00D96"/>
    <w:rsid w:val="00C00EC3"/>
    <w:rsid w:val="00C01CC7"/>
    <w:rsid w:val="00C01F15"/>
    <w:rsid w:val="00C02031"/>
    <w:rsid w:val="00C0367F"/>
    <w:rsid w:val="00C03AA7"/>
    <w:rsid w:val="00C03B70"/>
    <w:rsid w:val="00C03DE7"/>
    <w:rsid w:val="00C04402"/>
    <w:rsid w:val="00C04855"/>
    <w:rsid w:val="00C04BC4"/>
    <w:rsid w:val="00C0587F"/>
    <w:rsid w:val="00C0695C"/>
    <w:rsid w:val="00C1006A"/>
    <w:rsid w:val="00C1261D"/>
    <w:rsid w:val="00C12659"/>
    <w:rsid w:val="00C12999"/>
    <w:rsid w:val="00C13BC2"/>
    <w:rsid w:val="00C141D5"/>
    <w:rsid w:val="00C14789"/>
    <w:rsid w:val="00C14F1B"/>
    <w:rsid w:val="00C15E19"/>
    <w:rsid w:val="00C15FDE"/>
    <w:rsid w:val="00C1655E"/>
    <w:rsid w:val="00C16E72"/>
    <w:rsid w:val="00C178C7"/>
    <w:rsid w:val="00C2235C"/>
    <w:rsid w:val="00C227FB"/>
    <w:rsid w:val="00C232BE"/>
    <w:rsid w:val="00C239B9"/>
    <w:rsid w:val="00C24B56"/>
    <w:rsid w:val="00C250B7"/>
    <w:rsid w:val="00C25429"/>
    <w:rsid w:val="00C25DB4"/>
    <w:rsid w:val="00C26A49"/>
    <w:rsid w:val="00C26B2E"/>
    <w:rsid w:val="00C27B68"/>
    <w:rsid w:val="00C303CD"/>
    <w:rsid w:val="00C3064F"/>
    <w:rsid w:val="00C30B49"/>
    <w:rsid w:val="00C30F0F"/>
    <w:rsid w:val="00C32BBB"/>
    <w:rsid w:val="00C33700"/>
    <w:rsid w:val="00C33D5D"/>
    <w:rsid w:val="00C3462B"/>
    <w:rsid w:val="00C34CDB"/>
    <w:rsid w:val="00C35476"/>
    <w:rsid w:val="00C36268"/>
    <w:rsid w:val="00C3633E"/>
    <w:rsid w:val="00C364D8"/>
    <w:rsid w:val="00C36D8C"/>
    <w:rsid w:val="00C37A4E"/>
    <w:rsid w:val="00C4009E"/>
    <w:rsid w:val="00C402A0"/>
    <w:rsid w:val="00C42463"/>
    <w:rsid w:val="00C43128"/>
    <w:rsid w:val="00C43518"/>
    <w:rsid w:val="00C43B9A"/>
    <w:rsid w:val="00C43DB4"/>
    <w:rsid w:val="00C43EBD"/>
    <w:rsid w:val="00C440D9"/>
    <w:rsid w:val="00C45310"/>
    <w:rsid w:val="00C46CA2"/>
    <w:rsid w:val="00C4773A"/>
    <w:rsid w:val="00C50937"/>
    <w:rsid w:val="00C5287B"/>
    <w:rsid w:val="00C529D9"/>
    <w:rsid w:val="00C529F0"/>
    <w:rsid w:val="00C5320A"/>
    <w:rsid w:val="00C53BB7"/>
    <w:rsid w:val="00C54100"/>
    <w:rsid w:val="00C54208"/>
    <w:rsid w:val="00C54D76"/>
    <w:rsid w:val="00C553D7"/>
    <w:rsid w:val="00C55477"/>
    <w:rsid w:val="00C55639"/>
    <w:rsid w:val="00C56554"/>
    <w:rsid w:val="00C56F48"/>
    <w:rsid w:val="00C61A4D"/>
    <w:rsid w:val="00C6205D"/>
    <w:rsid w:val="00C625FE"/>
    <w:rsid w:val="00C62706"/>
    <w:rsid w:val="00C62770"/>
    <w:rsid w:val="00C6281E"/>
    <w:rsid w:val="00C629A3"/>
    <w:rsid w:val="00C636F8"/>
    <w:rsid w:val="00C63A44"/>
    <w:rsid w:val="00C63FC1"/>
    <w:rsid w:val="00C645CB"/>
    <w:rsid w:val="00C6505C"/>
    <w:rsid w:val="00C654FA"/>
    <w:rsid w:val="00C66843"/>
    <w:rsid w:val="00C672E5"/>
    <w:rsid w:val="00C6787C"/>
    <w:rsid w:val="00C71D3D"/>
    <w:rsid w:val="00C7219F"/>
    <w:rsid w:val="00C72387"/>
    <w:rsid w:val="00C73DD7"/>
    <w:rsid w:val="00C749F7"/>
    <w:rsid w:val="00C74A64"/>
    <w:rsid w:val="00C75A2B"/>
    <w:rsid w:val="00C76374"/>
    <w:rsid w:val="00C7657B"/>
    <w:rsid w:val="00C76B64"/>
    <w:rsid w:val="00C76D9C"/>
    <w:rsid w:val="00C771BF"/>
    <w:rsid w:val="00C806D8"/>
    <w:rsid w:val="00C80DE6"/>
    <w:rsid w:val="00C817DD"/>
    <w:rsid w:val="00C81A46"/>
    <w:rsid w:val="00C81CB5"/>
    <w:rsid w:val="00C82085"/>
    <w:rsid w:val="00C8250E"/>
    <w:rsid w:val="00C82F3E"/>
    <w:rsid w:val="00C833C6"/>
    <w:rsid w:val="00C835F0"/>
    <w:rsid w:val="00C8363E"/>
    <w:rsid w:val="00C845BB"/>
    <w:rsid w:val="00C848D4"/>
    <w:rsid w:val="00C85219"/>
    <w:rsid w:val="00C860CF"/>
    <w:rsid w:val="00C86402"/>
    <w:rsid w:val="00C86D04"/>
    <w:rsid w:val="00C87421"/>
    <w:rsid w:val="00C90C0A"/>
    <w:rsid w:val="00C90C84"/>
    <w:rsid w:val="00C913F2"/>
    <w:rsid w:val="00C928CF"/>
    <w:rsid w:val="00C933F9"/>
    <w:rsid w:val="00C93FC6"/>
    <w:rsid w:val="00C9448D"/>
    <w:rsid w:val="00C94D4B"/>
    <w:rsid w:val="00C955E6"/>
    <w:rsid w:val="00C95EA4"/>
    <w:rsid w:val="00C95FA4"/>
    <w:rsid w:val="00C96BDD"/>
    <w:rsid w:val="00C97622"/>
    <w:rsid w:val="00C978E8"/>
    <w:rsid w:val="00C97F2C"/>
    <w:rsid w:val="00CA0BEF"/>
    <w:rsid w:val="00CA1A6D"/>
    <w:rsid w:val="00CA203A"/>
    <w:rsid w:val="00CA2E7F"/>
    <w:rsid w:val="00CA39F9"/>
    <w:rsid w:val="00CA3ADB"/>
    <w:rsid w:val="00CA3B92"/>
    <w:rsid w:val="00CA5131"/>
    <w:rsid w:val="00CA644A"/>
    <w:rsid w:val="00CA663B"/>
    <w:rsid w:val="00CB16A0"/>
    <w:rsid w:val="00CB1C62"/>
    <w:rsid w:val="00CB30AB"/>
    <w:rsid w:val="00CB44C4"/>
    <w:rsid w:val="00CB5AEB"/>
    <w:rsid w:val="00CB5F4D"/>
    <w:rsid w:val="00CB7288"/>
    <w:rsid w:val="00CB76B1"/>
    <w:rsid w:val="00CB7756"/>
    <w:rsid w:val="00CC0E48"/>
    <w:rsid w:val="00CC2758"/>
    <w:rsid w:val="00CC30EC"/>
    <w:rsid w:val="00CC317F"/>
    <w:rsid w:val="00CC34DF"/>
    <w:rsid w:val="00CC4D0A"/>
    <w:rsid w:val="00CC64DD"/>
    <w:rsid w:val="00CC66A6"/>
    <w:rsid w:val="00CC6ECD"/>
    <w:rsid w:val="00CC741A"/>
    <w:rsid w:val="00CD0972"/>
    <w:rsid w:val="00CD1B7F"/>
    <w:rsid w:val="00CD1EF8"/>
    <w:rsid w:val="00CD1FF4"/>
    <w:rsid w:val="00CD293A"/>
    <w:rsid w:val="00CD2FCD"/>
    <w:rsid w:val="00CD35CD"/>
    <w:rsid w:val="00CD3D47"/>
    <w:rsid w:val="00CD3F0E"/>
    <w:rsid w:val="00CD47EB"/>
    <w:rsid w:val="00CD5A4E"/>
    <w:rsid w:val="00CD5D31"/>
    <w:rsid w:val="00CD6716"/>
    <w:rsid w:val="00CD672C"/>
    <w:rsid w:val="00CD68EF"/>
    <w:rsid w:val="00CD6D9D"/>
    <w:rsid w:val="00CE1660"/>
    <w:rsid w:val="00CE28F4"/>
    <w:rsid w:val="00CE324B"/>
    <w:rsid w:val="00CE42FE"/>
    <w:rsid w:val="00CE5D8E"/>
    <w:rsid w:val="00CE6142"/>
    <w:rsid w:val="00CE685E"/>
    <w:rsid w:val="00CE7196"/>
    <w:rsid w:val="00CE73FC"/>
    <w:rsid w:val="00CE76B7"/>
    <w:rsid w:val="00CF12D6"/>
    <w:rsid w:val="00CF1319"/>
    <w:rsid w:val="00CF15DD"/>
    <w:rsid w:val="00CF367F"/>
    <w:rsid w:val="00CF3856"/>
    <w:rsid w:val="00CF4A41"/>
    <w:rsid w:val="00CF4D0D"/>
    <w:rsid w:val="00CF62B7"/>
    <w:rsid w:val="00CF6E47"/>
    <w:rsid w:val="00CF713E"/>
    <w:rsid w:val="00CF71C5"/>
    <w:rsid w:val="00CF7CA3"/>
    <w:rsid w:val="00D001A2"/>
    <w:rsid w:val="00D0064A"/>
    <w:rsid w:val="00D00F5F"/>
    <w:rsid w:val="00D01027"/>
    <w:rsid w:val="00D0102F"/>
    <w:rsid w:val="00D01270"/>
    <w:rsid w:val="00D01EA1"/>
    <w:rsid w:val="00D01F8A"/>
    <w:rsid w:val="00D02EEF"/>
    <w:rsid w:val="00D03B2A"/>
    <w:rsid w:val="00D046AB"/>
    <w:rsid w:val="00D055E1"/>
    <w:rsid w:val="00D0630E"/>
    <w:rsid w:val="00D06694"/>
    <w:rsid w:val="00D069B0"/>
    <w:rsid w:val="00D06C98"/>
    <w:rsid w:val="00D11754"/>
    <w:rsid w:val="00D1339E"/>
    <w:rsid w:val="00D13BE0"/>
    <w:rsid w:val="00D1432B"/>
    <w:rsid w:val="00D14F4E"/>
    <w:rsid w:val="00D1568C"/>
    <w:rsid w:val="00D15825"/>
    <w:rsid w:val="00D168B3"/>
    <w:rsid w:val="00D2041E"/>
    <w:rsid w:val="00D239EB"/>
    <w:rsid w:val="00D23B0E"/>
    <w:rsid w:val="00D24A4B"/>
    <w:rsid w:val="00D26F25"/>
    <w:rsid w:val="00D27345"/>
    <w:rsid w:val="00D27483"/>
    <w:rsid w:val="00D31031"/>
    <w:rsid w:val="00D31F3F"/>
    <w:rsid w:val="00D31FFC"/>
    <w:rsid w:val="00D321A5"/>
    <w:rsid w:val="00D33451"/>
    <w:rsid w:val="00D33840"/>
    <w:rsid w:val="00D339E0"/>
    <w:rsid w:val="00D34240"/>
    <w:rsid w:val="00D3589A"/>
    <w:rsid w:val="00D3599B"/>
    <w:rsid w:val="00D359CC"/>
    <w:rsid w:val="00D35B2A"/>
    <w:rsid w:val="00D361CD"/>
    <w:rsid w:val="00D36692"/>
    <w:rsid w:val="00D368B9"/>
    <w:rsid w:val="00D36921"/>
    <w:rsid w:val="00D37127"/>
    <w:rsid w:val="00D371F1"/>
    <w:rsid w:val="00D37C0B"/>
    <w:rsid w:val="00D37D1B"/>
    <w:rsid w:val="00D40CB0"/>
    <w:rsid w:val="00D4104B"/>
    <w:rsid w:val="00D41EC5"/>
    <w:rsid w:val="00D42B0A"/>
    <w:rsid w:val="00D42C0A"/>
    <w:rsid w:val="00D43299"/>
    <w:rsid w:val="00D43DCA"/>
    <w:rsid w:val="00D4487B"/>
    <w:rsid w:val="00D45D6C"/>
    <w:rsid w:val="00D45F13"/>
    <w:rsid w:val="00D46443"/>
    <w:rsid w:val="00D46B56"/>
    <w:rsid w:val="00D46FE4"/>
    <w:rsid w:val="00D5061E"/>
    <w:rsid w:val="00D50772"/>
    <w:rsid w:val="00D5081D"/>
    <w:rsid w:val="00D510ED"/>
    <w:rsid w:val="00D539DD"/>
    <w:rsid w:val="00D54D7A"/>
    <w:rsid w:val="00D551EE"/>
    <w:rsid w:val="00D55903"/>
    <w:rsid w:val="00D55DDB"/>
    <w:rsid w:val="00D56913"/>
    <w:rsid w:val="00D56CCA"/>
    <w:rsid w:val="00D6090D"/>
    <w:rsid w:val="00D60BC6"/>
    <w:rsid w:val="00D60F71"/>
    <w:rsid w:val="00D60FAE"/>
    <w:rsid w:val="00D6108E"/>
    <w:rsid w:val="00D6131F"/>
    <w:rsid w:val="00D617DF"/>
    <w:rsid w:val="00D6267A"/>
    <w:rsid w:val="00D629B3"/>
    <w:rsid w:val="00D62B3B"/>
    <w:rsid w:val="00D62DCD"/>
    <w:rsid w:val="00D63F2D"/>
    <w:rsid w:val="00D64553"/>
    <w:rsid w:val="00D647BE"/>
    <w:rsid w:val="00D647E8"/>
    <w:rsid w:val="00D64A87"/>
    <w:rsid w:val="00D65F59"/>
    <w:rsid w:val="00D66455"/>
    <w:rsid w:val="00D66948"/>
    <w:rsid w:val="00D70C55"/>
    <w:rsid w:val="00D71167"/>
    <w:rsid w:val="00D71333"/>
    <w:rsid w:val="00D7235D"/>
    <w:rsid w:val="00D724F8"/>
    <w:rsid w:val="00D73194"/>
    <w:rsid w:val="00D73471"/>
    <w:rsid w:val="00D73B30"/>
    <w:rsid w:val="00D745D3"/>
    <w:rsid w:val="00D75763"/>
    <w:rsid w:val="00D763AD"/>
    <w:rsid w:val="00D76DD0"/>
    <w:rsid w:val="00D80B9B"/>
    <w:rsid w:val="00D81295"/>
    <w:rsid w:val="00D8248E"/>
    <w:rsid w:val="00D83802"/>
    <w:rsid w:val="00D84887"/>
    <w:rsid w:val="00D849F3"/>
    <w:rsid w:val="00D8504C"/>
    <w:rsid w:val="00D85F0E"/>
    <w:rsid w:val="00D90658"/>
    <w:rsid w:val="00D90747"/>
    <w:rsid w:val="00D9197A"/>
    <w:rsid w:val="00D94340"/>
    <w:rsid w:val="00D9461D"/>
    <w:rsid w:val="00D94C49"/>
    <w:rsid w:val="00D95206"/>
    <w:rsid w:val="00D95792"/>
    <w:rsid w:val="00D969CF"/>
    <w:rsid w:val="00D96CAF"/>
    <w:rsid w:val="00D97B49"/>
    <w:rsid w:val="00D97CC8"/>
    <w:rsid w:val="00DA00D5"/>
    <w:rsid w:val="00DA03BA"/>
    <w:rsid w:val="00DA171E"/>
    <w:rsid w:val="00DA1AFF"/>
    <w:rsid w:val="00DA2A2F"/>
    <w:rsid w:val="00DA2D1A"/>
    <w:rsid w:val="00DA33A1"/>
    <w:rsid w:val="00DA3F1E"/>
    <w:rsid w:val="00DA50B4"/>
    <w:rsid w:val="00DA5164"/>
    <w:rsid w:val="00DA55B1"/>
    <w:rsid w:val="00DA578C"/>
    <w:rsid w:val="00DA6191"/>
    <w:rsid w:val="00DA6A3A"/>
    <w:rsid w:val="00DA6C1B"/>
    <w:rsid w:val="00DA6E57"/>
    <w:rsid w:val="00DA6F50"/>
    <w:rsid w:val="00DA6FCB"/>
    <w:rsid w:val="00DB0569"/>
    <w:rsid w:val="00DB0701"/>
    <w:rsid w:val="00DB0991"/>
    <w:rsid w:val="00DB0F05"/>
    <w:rsid w:val="00DB1B6C"/>
    <w:rsid w:val="00DB2F47"/>
    <w:rsid w:val="00DB3B93"/>
    <w:rsid w:val="00DB3C8F"/>
    <w:rsid w:val="00DB4040"/>
    <w:rsid w:val="00DB448E"/>
    <w:rsid w:val="00DB5746"/>
    <w:rsid w:val="00DB6DED"/>
    <w:rsid w:val="00DC0BB7"/>
    <w:rsid w:val="00DC0CDF"/>
    <w:rsid w:val="00DC0FD7"/>
    <w:rsid w:val="00DC1030"/>
    <w:rsid w:val="00DC15C3"/>
    <w:rsid w:val="00DC19EC"/>
    <w:rsid w:val="00DC1FB0"/>
    <w:rsid w:val="00DC226B"/>
    <w:rsid w:val="00DC24B0"/>
    <w:rsid w:val="00DC307A"/>
    <w:rsid w:val="00DC31AF"/>
    <w:rsid w:val="00DC5272"/>
    <w:rsid w:val="00DC5F3D"/>
    <w:rsid w:val="00DC6E84"/>
    <w:rsid w:val="00DC7A5F"/>
    <w:rsid w:val="00DD028E"/>
    <w:rsid w:val="00DD02DF"/>
    <w:rsid w:val="00DD0F53"/>
    <w:rsid w:val="00DD106F"/>
    <w:rsid w:val="00DD12B4"/>
    <w:rsid w:val="00DD1C12"/>
    <w:rsid w:val="00DD2F2C"/>
    <w:rsid w:val="00DD3A8E"/>
    <w:rsid w:val="00DD6475"/>
    <w:rsid w:val="00DD684D"/>
    <w:rsid w:val="00DD776C"/>
    <w:rsid w:val="00DD7CB0"/>
    <w:rsid w:val="00DE0492"/>
    <w:rsid w:val="00DE0937"/>
    <w:rsid w:val="00DE0B90"/>
    <w:rsid w:val="00DE1648"/>
    <w:rsid w:val="00DE4154"/>
    <w:rsid w:val="00DE4531"/>
    <w:rsid w:val="00DE51B1"/>
    <w:rsid w:val="00DE5747"/>
    <w:rsid w:val="00DE599F"/>
    <w:rsid w:val="00DE67FD"/>
    <w:rsid w:val="00DE7102"/>
    <w:rsid w:val="00DE713E"/>
    <w:rsid w:val="00DE716D"/>
    <w:rsid w:val="00DE7E53"/>
    <w:rsid w:val="00DF293F"/>
    <w:rsid w:val="00DF2AE4"/>
    <w:rsid w:val="00DF2D1D"/>
    <w:rsid w:val="00DF32FD"/>
    <w:rsid w:val="00DF4425"/>
    <w:rsid w:val="00DF663F"/>
    <w:rsid w:val="00DF67E9"/>
    <w:rsid w:val="00DF6828"/>
    <w:rsid w:val="00DF736B"/>
    <w:rsid w:val="00DF7918"/>
    <w:rsid w:val="00DF7A89"/>
    <w:rsid w:val="00DF7B3B"/>
    <w:rsid w:val="00E00473"/>
    <w:rsid w:val="00E005D9"/>
    <w:rsid w:val="00E00767"/>
    <w:rsid w:val="00E008C6"/>
    <w:rsid w:val="00E00B07"/>
    <w:rsid w:val="00E00C90"/>
    <w:rsid w:val="00E0111E"/>
    <w:rsid w:val="00E0122C"/>
    <w:rsid w:val="00E020DB"/>
    <w:rsid w:val="00E023E8"/>
    <w:rsid w:val="00E033E9"/>
    <w:rsid w:val="00E037D6"/>
    <w:rsid w:val="00E03A09"/>
    <w:rsid w:val="00E03ABF"/>
    <w:rsid w:val="00E04EED"/>
    <w:rsid w:val="00E05AA6"/>
    <w:rsid w:val="00E072EF"/>
    <w:rsid w:val="00E075E2"/>
    <w:rsid w:val="00E078FB"/>
    <w:rsid w:val="00E10694"/>
    <w:rsid w:val="00E114A5"/>
    <w:rsid w:val="00E11816"/>
    <w:rsid w:val="00E1191F"/>
    <w:rsid w:val="00E11B4B"/>
    <w:rsid w:val="00E12E29"/>
    <w:rsid w:val="00E12FC7"/>
    <w:rsid w:val="00E13076"/>
    <w:rsid w:val="00E13491"/>
    <w:rsid w:val="00E1388F"/>
    <w:rsid w:val="00E1583F"/>
    <w:rsid w:val="00E16199"/>
    <w:rsid w:val="00E174DC"/>
    <w:rsid w:val="00E20395"/>
    <w:rsid w:val="00E20C20"/>
    <w:rsid w:val="00E21A40"/>
    <w:rsid w:val="00E22D89"/>
    <w:rsid w:val="00E23FBF"/>
    <w:rsid w:val="00E240CB"/>
    <w:rsid w:val="00E251C5"/>
    <w:rsid w:val="00E26835"/>
    <w:rsid w:val="00E2790F"/>
    <w:rsid w:val="00E27C33"/>
    <w:rsid w:val="00E27FC6"/>
    <w:rsid w:val="00E302CE"/>
    <w:rsid w:val="00E3058F"/>
    <w:rsid w:val="00E31803"/>
    <w:rsid w:val="00E318F7"/>
    <w:rsid w:val="00E31A78"/>
    <w:rsid w:val="00E31C9A"/>
    <w:rsid w:val="00E33D61"/>
    <w:rsid w:val="00E36E39"/>
    <w:rsid w:val="00E36ECC"/>
    <w:rsid w:val="00E415A1"/>
    <w:rsid w:val="00E41AD1"/>
    <w:rsid w:val="00E41BA0"/>
    <w:rsid w:val="00E4280E"/>
    <w:rsid w:val="00E42DA5"/>
    <w:rsid w:val="00E43B50"/>
    <w:rsid w:val="00E43CFB"/>
    <w:rsid w:val="00E458FD"/>
    <w:rsid w:val="00E45B94"/>
    <w:rsid w:val="00E46004"/>
    <w:rsid w:val="00E469AF"/>
    <w:rsid w:val="00E47AEA"/>
    <w:rsid w:val="00E50192"/>
    <w:rsid w:val="00E506FA"/>
    <w:rsid w:val="00E51BD3"/>
    <w:rsid w:val="00E52044"/>
    <w:rsid w:val="00E53BC0"/>
    <w:rsid w:val="00E545A0"/>
    <w:rsid w:val="00E55069"/>
    <w:rsid w:val="00E56997"/>
    <w:rsid w:val="00E56B5B"/>
    <w:rsid w:val="00E57C18"/>
    <w:rsid w:val="00E615E2"/>
    <w:rsid w:val="00E618B6"/>
    <w:rsid w:val="00E61EEC"/>
    <w:rsid w:val="00E62233"/>
    <w:rsid w:val="00E6448D"/>
    <w:rsid w:val="00E64651"/>
    <w:rsid w:val="00E64690"/>
    <w:rsid w:val="00E64C64"/>
    <w:rsid w:val="00E66472"/>
    <w:rsid w:val="00E672D0"/>
    <w:rsid w:val="00E67A28"/>
    <w:rsid w:val="00E70E0F"/>
    <w:rsid w:val="00E71C07"/>
    <w:rsid w:val="00E71CB4"/>
    <w:rsid w:val="00E726A8"/>
    <w:rsid w:val="00E73170"/>
    <w:rsid w:val="00E7332E"/>
    <w:rsid w:val="00E735CF"/>
    <w:rsid w:val="00E7366D"/>
    <w:rsid w:val="00E73678"/>
    <w:rsid w:val="00E760D1"/>
    <w:rsid w:val="00E770BA"/>
    <w:rsid w:val="00E77616"/>
    <w:rsid w:val="00E779A2"/>
    <w:rsid w:val="00E77E65"/>
    <w:rsid w:val="00E815FB"/>
    <w:rsid w:val="00E8252F"/>
    <w:rsid w:val="00E828CB"/>
    <w:rsid w:val="00E83A46"/>
    <w:rsid w:val="00E83C74"/>
    <w:rsid w:val="00E83D85"/>
    <w:rsid w:val="00E840AC"/>
    <w:rsid w:val="00E84FD3"/>
    <w:rsid w:val="00E84FF9"/>
    <w:rsid w:val="00E86606"/>
    <w:rsid w:val="00E86A3F"/>
    <w:rsid w:val="00E87A99"/>
    <w:rsid w:val="00E87BA7"/>
    <w:rsid w:val="00E90B30"/>
    <w:rsid w:val="00E90FD1"/>
    <w:rsid w:val="00E91C74"/>
    <w:rsid w:val="00E91E2C"/>
    <w:rsid w:val="00E92778"/>
    <w:rsid w:val="00E934DA"/>
    <w:rsid w:val="00E93F23"/>
    <w:rsid w:val="00E94114"/>
    <w:rsid w:val="00E94265"/>
    <w:rsid w:val="00E9467E"/>
    <w:rsid w:val="00E95087"/>
    <w:rsid w:val="00E96AE6"/>
    <w:rsid w:val="00E97F50"/>
    <w:rsid w:val="00EA0DD1"/>
    <w:rsid w:val="00EA128F"/>
    <w:rsid w:val="00EA1AAB"/>
    <w:rsid w:val="00EA1CF8"/>
    <w:rsid w:val="00EA1DE3"/>
    <w:rsid w:val="00EA20B7"/>
    <w:rsid w:val="00EA2392"/>
    <w:rsid w:val="00EA27CC"/>
    <w:rsid w:val="00EA316B"/>
    <w:rsid w:val="00EA3CB5"/>
    <w:rsid w:val="00EA3DCF"/>
    <w:rsid w:val="00EA3E58"/>
    <w:rsid w:val="00EA400B"/>
    <w:rsid w:val="00EA4750"/>
    <w:rsid w:val="00EA49FD"/>
    <w:rsid w:val="00EA4D76"/>
    <w:rsid w:val="00EA4DE1"/>
    <w:rsid w:val="00EA5836"/>
    <w:rsid w:val="00EA73C4"/>
    <w:rsid w:val="00EA7619"/>
    <w:rsid w:val="00EA77F4"/>
    <w:rsid w:val="00EA7A20"/>
    <w:rsid w:val="00EA7FBB"/>
    <w:rsid w:val="00EB16B1"/>
    <w:rsid w:val="00EB1CE6"/>
    <w:rsid w:val="00EB1E03"/>
    <w:rsid w:val="00EB3270"/>
    <w:rsid w:val="00EB44CC"/>
    <w:rsid w:val="00EB5AB6"/>
    <w:rsid w:val="00EB61E6"/>
    <w:rsid w:val="00EB66A0"/>
    <w:rsid w:val="00EB67AF"/>
    <w:rsid w:val="00EB67F4"/>
    <w:rsid w:val="00EB6863"/>
    <w:rsid w:val="00EB7A72"/>
    <w:rsid w:val="00EC1735"/>
    <w:rsid w:val="00EC1B69"/>
    <w:rsid w:val="00EC2E39"/>
    <w:rsid w:val="00EC3D30"/>
    <w:rsid w:val="00EC4096"/>
    <w:rsid w:val="00EC54C3"/>
    <w:rsid w:val="00EC5B45"/>
    <w:rsid w:val="00EC5BDE"/>
    <w:rsid w:val="00EC6FEB"/>
    <w:rsid w:val="00EC7128"/>
    <w:rsid w:val="00EC7178"/>
    <w:rsid w:val="00EC7B23"/>
    <w:rsid w:val="00EC7FDE"/>
    <w:rsid w:val="00ED033A"/>
    <w:rsid w:val="00ED094A"/>
    <w:rsid w:val="00ED18F1"/>
    <w:rsid w:val="00ED1A0B"/>
    <w:rsid w:val="00ED2190"/>
    <w:rsid w:val="00ED252D"/>
    <w:rsid w:val="00ED2668"/>
    <w:rsid w:val="00ED2E8B"/>
    <w:rsid w:val="00ED41FD"/>
    <w:rsid w:val="00ED4340"/>
    <w:rsid w:val="00ED4583"/>
    <w:rsid w:val="00ED60CB"/>
    <w:rsid w:val="00ED6A30"/>
    <w:rsid w:val="00ED7A01"/>
    <w:rsid w:val="00EE16DF"/>
    <w:rsid w:val="00EE2350"/>
    <w:rsid w:val="00EE27F6"/>
    <w:rsid w:val="00EE3786"/>
    <w:rsid w:val="00EE5AF6"/>
    <w:rsid w:val="00EE5FFD"/>
    <w:rsid w:val="00EE6E24"/>
    <w:rsid w:val="00EE79B9"/>
    <w:rsid w:val="00EE79DB"/>
    <w:rsid w:val="00EF00D5"/>
    <w:rsid w:val="00EF100F"/>
    <w:rsid w:val="00EF17EE"/>
    <w:rsid w:val="00EF2930"/>
    <w:rsid w:val="00EF29FC"/>
    <w:rsid w:val="00EF3760"/>
    <w:rsid w:val="00EF3F27"/>
    <w:rsid w:val="00EF45CC"/>
    <w:rsid w:val="00EF46F8"/>
    <w:rsid w:val="00EF48A6"/>
    <w:rsid w:val="00EF492D"/>
    <w:rsid w:val="00EF49FB"/>
    <w:rsid w:val="00EF504A"/>
    <w:rsid w:val="00EF5D2F"/>
    <w:rsid w:val="00EF71D3"/>
    <w:rsid w:val="00EF78F0"/>
    <w:rsid w:val="00F00025"/>
    <w:rsid w:val="00F0040F"/>
    <w:rsid w:val="00F0089A"/>
    <w:rsid w:val="00F0098F"/>
    <w:rsid w:val="00F01AA5"/>
    <w:rsid w:val="00F022FA"/>
    <w:rsid w:val="00F025C7"/>
    <w:rsid w:val="00F03566"/>
    <w:rsid w:val="00F038E4"/>
    <w:rsid w:val="00F03B1F"/>
    <w:rsid w:val="00F03E64"/>
    <w:rsid w:val="00F0486E"/>
    <w:rsid w:val="00F04DDE"/>
    <w:rsid w:val="00F05430"/>
    <w:rsid w:val="00F05E92"/>
    <w:rsid w:val="00F07A2C"/>
    <w:rsid w:val="00F1043D"/>
    <w:rsid w:val="00F108D4"/>
    <w:rsid w:val="00F112B5"/>
    <w:rsid w:val="00F1162C"/>
    <w:rsid w:val="00F11736"/>
    <w:rsid w:val="00F12895"/>
    <w:rsid w:val="00F137FC"/>
    <w:rsid w:val="00F13ED2"/>
    <w:rsid w:val="00F143AC"/>
    <w:rsid w:val="00F1448E"/>
    <w:rsid w:val="00F151D5"/>
    <w:rsid w:val="00F162E6"/>
    <w:rsid w:val="00F16723"/>
    <w:rsid w:val="00F1685B"/>
    <w:rsid w:val="00F16AFD"/>
    <w:rsid w:val="00F16C57"/>
    <w:rsid w:val="00F210A2"/>
    <w:rsid w:val="00F226BD"/>
    <w:rsid w:val="00F2279C"/>
    <w:rsid w:val="00F2283C"/>
    <w:rsid w:val="00F23CA7"/>
    <w:rsid w:val="00F249FD"/>
    <w:rsid w:val="00F253E0"/>
    <w:rsid w:val="00F256D7"/>
    <w:rsid w:val="00F2774D"/>
    <w:rsid w:val="00F27B22"/>
    <w:rsid w:val="00F30C94"/>
    <w:rsid w:val="00F313D4"/>
    <w:rsid w:val="00F31C79"/>
    <w:rsid w:val="00F31EC9"/>
    <w:rsid w:val="00F32C41"/>
    <w:rsid w:val="00F35D81"/>
    <w:rsid w:val="00F3668D"/>
    <w:rsid w:val="00F36D48"/>
    <w:rsid w:val="00F36D87"/>
    <w:rsid w:val="00F36F41"/>
    <w:rsid w:val="00F406C1"/>
    <w:rsid w:val="00F41798"/>
    <w:rsid w:val="00F42409"/>
    <w:rsid w:val="00F42810"/>
    <w:rsid w:val="00F430A5"/>
    <w:rsid w:val="00F43F49"/>
    <w:rsid w:val="00F44C02"/>
    <w:rsid w:val="00F46376"/>
    <w:rsid w:val="00F46FC3"/>
    <w:rsid w:val="00F47194"/>
    <w:rsid w:val="00F47753"/>
    <w:rsid w:val="00F47778"/>
    <w:rsid w:val="00F47A8A"/>
    <w:rsid w:val="00F50103"/>
    <w:rsid w:val="00F50377"/>
    <w:rsid w:val="00F5141C"/>
    <w:rsid w:val="00F51688"/>
    <w:rsid w:val="00F51A25"/>
    <w:rsid w:val="00F53535"/>
    <w:rsid w:val="00F53D61"/>
    <w:rsid w:val="00F54470"/>
    <w:rsid w:val="00F54851"/>
    <w:rsid w:val="00F55566"/>
    <w:rsid w:val="00F56822"/>
    <w:rsid w:val="00F56838"/>
    <w:rsid w:val="00F5702F"/>
    <w:rsid w:val="00F60FA5"/>
    <w:rsid w:val="00F62C1E"/>
    <w:rsid w:val="00F63280"/>
    <w:rsid w:val="00F645D5"/>
    <w:rsid w:val="00F6597F"/>
    <w:rsid w:val="00F67B33"/>
    <w:rsid w:val="00F706B7"/>
    <w:rsid w:val="00F72738"/>
    <w:rsid w:val="00F72EE5"/>
    <w:rsid w:val="00F748E1"/>
    <w:rsid w:val="00F74EFD"/>
    <w:rsid w:val="00F75005"/>
    <w:rsid w:val="00F7756F"/>
    <w:rsid w:val="00F775E0"/>
    <w:rsid w:val="00F777A7"/>
    <w:rsid w:val="00F77B1E"/>
    <w:rsid w:val="00F77B84"/>
    <w:rsid w:val="00F77C2B"/>
    <w:rsid w:val="00F77DB5"/>
    <w:rsid w:val="00F80B91"/>
    <w:rsid w:val="00F81916"/>
    <w:rsid w:val="00F82AC0"/>
    <w:rsid w:val="00F82FEE"/>
    <w:rsid w:val="00F8442A"/>
    <w:rsid w:val="00F849FF"/>
    <w:rsid w:val="00F856A6"/>
    <w:rsid w:val="00F8584E"/>
    <w:rsid w:val="00F85ED9"/>
    <w:rsid w:val="00F86C39"/>
    <w:rsid w:val="00F86D44"/>
    <w:rsid w:val="00F87563"/>
    <w:rsid w:val="00F877F0"/>
    <w:rsid w:val="00F87ADC"/>
    <w:rsid w:val="00F87D34"/>
    <w:rsid w:val="00F905B8"/>
    <w:rsid w:val="00F90642"/>
    <w:rsid w:val="00F91869"/>
    <w:rsid w:val="00F91FA6"/>
    <w:rsid w:val="00F921FB"/>
    <w:rsid w:val="00F927C2"/>
    <w:rsid w:val="00F9331A"/>
    <w:rsid w:val="00F9384F"/>
    <w:rsid w:val="00F93D4F"/>
    <w:rsid w:val="00F942C7"/>
    <w:rsid w:val="00F944F2"/>
    <w:rsid w:val="00F94CEF"/>
    <w:rsid w:val="00F94E69"/>
    <w:rsid w:val="00F95ADA"/>
    <w:rsid w:val="00F95AEC"/>
    <w:rsid w:val="00F96107"/>
    <w:rsid w:val="00F96C4F"/>
    <w:rsid w:val="00F975CD"/>
    <w:rsid w:val="00F97B90"/>
    <w:rsid w:val="00F97FBF"/>
    <w:rsid w:val="00FA123A"/>
    <w:rsid w:val="00FA1E6A"/>
    <w:rsid w:val="00FA1FA8"/>
    <w:rsid w:val="00FA373F"/>
    <w:rsid w:val="00FA43EB"/>
    <w:rsid w:val="00FA491A"/>
    <w:rsid w:val="00FA4B04"/>
    <w:rsid w:val="00FA4DD1"/>
    <w:rsid w:val="00FA634B"/>
    <w:rsid w:val="00FA79B6"/>
    <w:rsid w:val="00FA7A59"/>
    <w:rsid w:val="00FB0B6C"/>
    <w:rsid w:val="00FB1145"/>
    <w:rsid w:val="00FB1426"/>
    <w:rsid w:val="00FB1658"/>
    <w:rsid w:val="00FB1FAC"/>
    <w:rsid w:val="00FB228D"/>
    <w:rsid w:val="00FB38A3"/>
    <w:rsid w:val="00FB3D40"/>
    <w:rsid w:val="00FB4509"/>
    <w:rsid w:val="00FB458E"/>
    <w:rsid w:val="00FB50B2"/>
    <w:rsid w:val="00FB59A1"/>
    <w:rsid w:val="00FB59C1"/>
    <w:rsid w:val="00FB5C6D"/>
    <w:rsid w:val="00FB6B27"/>
    <w:rsid w:val="00FB7DD2"/>
    <w:rsid w:val="00FB7EDC"/>
    <w:rsid w:val="00FC2C54"/>
    <w:rsid w:val="00FC2F23"/>
    <w:rsid w:val="00FC3C81"/>
    <w:rsid w:val="00FC5C8C"/>
    <w:rsid w:val="00FC69E6"/>
    <w:rsid w:val="00FD0689"/>
    <w:rsid w:val="00FD0928"/>
    <w:rsid w:val="00FD0C5A"/>
    <w:rsid w:val="00FD18E1"/>
    <w:rsid w:val="00FD1CFF"/>
    <w:rsid w:val="00FD283E"/>
    <w:rsid w:val="00FD323F"/>
    <w:rsid w:val="00FD37AE"/>
    <w:rsid w:val="00FD42D8"/>
    <w:rsid w:val="00FD4DBA"/>
    <w:rsid w:val="00FD4E7D"/>
    <w:rsid w:val="00FD537F"/>
    <w:rsid w:val="00FD5A55"/>
    <w:rsid w:val="00FD7138"/>
    <w:rsid w:val="00FD7935"/>
    <w:rsid w:val="00FE19B7"/>
    <w:rsid w:val="00FE1D5F"/>
    <w:rsid w:val="00FE1E11"/>
    <w:rsid w:val="00FE2C41"/>
    <w:rsid w:val="00FE38AD"/>
    <w:rsid w:val="00FE3E3B"/>
    <w:rsid w:val="00FE4F99"/>
    <w:rsid w:val="00FE5BE0"/>
    <w:rsid w:val="00FE5DD6"/>
    <w:rsid w:val="00FE7B6C"/>
    <w:rsid w:val="00FE7C7F"/>
    <w:rsid w:val="00FF059F"/>
    <w:rsid w:val="00FF070B"/>
    <w:rsid w:val="00FF078C"/>
    <w:rsid w:val="00FF41EB"/>
    <w:rsid w:val="00FF65AC"/>
    <w:rsid w:val="00FF7780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1FEA5BEE"/>
  <w15:chartTrackingRefBased/>
  <w15:docId w15:val="{74411F62-BA4C-49EB-B643-859552BD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3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semiHidden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31520A"/>
    <w:rPr>
      <w:rFonts w:ascii="Times New Roman" w:eastAsia="Times New Roman" w:hAnsi="Times New Roman" w:cs="Times New Roman"/>
      <w:szCs w:val="20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567B59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C73DD7"/>
    <w:pPr>
      <w:tabs>
        <w:tab w:val="right" w:leader="dot" w:pos="9016"/>
      </w:tabs>
      <w:spacing w:after="100"/>
    </w:pPr>
  </w:style>
  <w:style w:type="character" w:customStyle="1" w:styleId="Heading1Char">
    <w:name w:val="Heading 1 Char"/>
    <w:basedOn w:val="DefaultParagraphFont"/>
    <w:link w:val="Heading1"/>
    <w:uiPriority w:val="9"/>
    <w:rsid w:val="00C73D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60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01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6B78"/>
    <w:rPr>
      <w:color w:val="954F72" w:themeColor="followedHyperlink"/>
      <w:u w:val="single"/>
    </w:rPr>
  </w:style>
  <w:style w:type="character" w:customStyle="1" w:styleId="ssprior">
    <w:name w:val="ss_prior"/>
    <w:basedOn w:val="DefaultParagraphFont"/>
    <w:rsid w:val="004E4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arpansa.gov.au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legislation.gov.au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147E7279724581487018DE8E8B00" ma:contentTypeVersion="2" ma:contentTypeDescription="Create a new document." ma:contentTypeScope="" ma:versionID="280c1a84055fe67a69639ab140b7cd9f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UQVA7MFFXVNW-343728570-1500</_dlc_DocId>
    <_dlc_DocIdUrl xmlns="04b8ec43-391f-4ce4-8841-d6a482add564">
      <Url>http://collaboration/organisation/auth/Chair/Auth/_layouts/15/DocIdRedir.aspx?ID=UQVA7MFFXVNW-343728570-1500</Url>
      <Description>UQVA7MFFXVNW-343728570-1500</Description>
    </_dlc_DocIdUrl>
  </documentManagement>
</p:properties>
</file>

<file path=customXml/itemProps1.xml><?xml version="1.0" encoding="utf-8"?>
<ds:datastoreItem xmlns:ds="http://schemas.openxmlformats.org/officeDocument/2006/customXml" ds:itemID="{7DE9AD22-7FB0-4B0C-A1DE-107FF9DEE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C71E3-4C23-4E6D-B6B3-D9C076A22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879746-819B-43C6-BC1A-5931AF2A3D4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12D3F6-DE0F-480D-939B-754B9671B6CD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20088</CharactersWithSpaces>
  <SharedDoc>false</SharedDoc>
  <HLinks>
    <vt:vector size="24" baseType="variant">
      <vt:variant>
        <vt:i4>6946858</vt:i4>
      </vt:variant>
      <vt:variant>
        <vt:i4>3</vt:i4>
      </vt:variant>
      <vt:variant>
        <vt:i4>0</vt:i4>
      </vt:variant>
      <vt:variant>
        <vt:i4>5</vt:i4>
      </vt:variant>
      <vt:variant>
        <vt:lpwstr>http://www.arpansa.gov.au/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1310724</vt:i4>
      </vt:variant>
      <vt:variant>
        <vt:i4>3</vt:i4>
      </vt:variant>
      <vt:variant>
        <vt:i4>0</vt:i4>
      </vt:variant>
      <vt:variant>
        <vt:i4>5</vt:i4>
      </vt:variant>
      <vt:variant>
        <vt:lpwstr>https://standards.ieee.org/standard/299-2006.html</vt:lpwstr>
      </vt:variant>
      <vt:variant>
        <vt:lpwstr/>
      </vt:variant>
      <vt:variant>
        <vt:i4>393305</vt:i4>
      </vt:variant>
      <vt:variant>
        <vt:i4>0</vt:i4>
      </vt:variant>
      <vt:variant>
        <vt:i4>0</vt:i4>
      </vt:variant>
      <vt:variant>
        <vt:i4>5</vt:i4>
      </vt:variant>
      <vt:variant>
        <vt:lpwstr>https://www.arpansa.gov.au/regulation-and-licensing/licensing/information-for-licence-applicants/do-i-need-a-licence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Belton</dc:creator>
  <cp:keywords/>
  <dc:description/>
  <cp:lastModifiedBy>Morgan Vaudrey</cp:lastModifiedBy>
  <cp:revision>5</cp:revision>
  <dcterms:created xsi:type="dcterms:W3CDTF">2021-08-24T00:33:00Z</dcterms:created>
  <dcterms:modified xsi:type="dcterms:W3CDTF">2021-08-27T00:01:00Z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0x010100E2EB147E7279724581487018DE8E8B00</vt:lpwstr>
  </property>
  <property fmtid="{D5CDD505-2E9C-101B-9397-08002B2CF9AE}" pid="3" name="_dlc_DocIdItemGuid">
    <vt:lpwstr>29a50aca-c69c-4be4-be9d-0187de712147</vt:lpwstr>
  </property>
</Properties>
</file>