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45CE" w14:textId="77777777" w:rsidR="005B2BCE" w:rsidRPr="002527D9" w:rsidRDefault="005B2BCE" w:rsidP="005B2BCE">
      <w:pPr>
        <w:shd w:val="clear" w:color="auto" w:fill="FFFFFF"/>
        <w:spacing w:line="233" w:lineRule="atLeast"/>
        <w:jc w:val="center"/>
        <w:rPr>
          <w:rFonts w:ascii="Calibri" w:eastAsia="Times New Roman" w:hAnsi="Calibri" w:cs="Calibri"/>
          <w:color w:val="000000"/>
          <w:lang w:eastAsia="en-AU"/>
        </w:rPr>
      </w:pPr>
      <w:r w:rsidRPr="002527D9">
        <w:rPr>
          <w:rFonts w:ascii="Times New Roman" w:eastAsia="Times New Roman" w:hAnsi="Times New Roman" w:cs="Times New Roman"/>
          <w:b/>
          <w:bCs/>
          <w:color w:val="000000"/>
          <w:sz w:val="28"/>
          <w:szCs w:val="28"/>
          <w:lang w:eastAsia="en-AU"/>
        </w:rPr>
        <w:t>EXPLANATORY STATEMENT</w:t>
      </w:r>
    </w:p>
    <w:p w14:paraId="39FEB5AB" w14:textId="77777777" w:rsidR="005B2BCE" w:rsidRPr="002527D9" w:rsidRDefault="005B2BCE" w:rsidP="005B2BCE">
      <w:pPr>
        <w:shd w:val="clear" w:color="auto" w:fill="FFFFFF"/>
        <w:spacing w:line="233" w:lineRule="atLeast"/>
        <w:jc w:val="center"/>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Approved by the Australian Communications and Media Authority</w:t>
      </w:r>
    </w:p>
    <w:p w14:paraId="7B8C460C" w14:textId="77777777" w:rsidR="005B2BCE" w:rsidRPr="002527D9" w:rsidRDefault="005B2BCE" w:rsidP="005B2BCE">
      <w:pPr>
        <w:shd w:val="clear" w:color="auto" w:fill="FFFFFF"/>
        <w:spacing w:line="233" w:lineRule="atLeast"/>
        <w:jc w:val="center"/>
        <w:rPr>
          <w:rFonts w:ascii="Calibri" w:eastAsia="Times New Roman" w:hAnsi="Calibri" w:cs="Calibri"/>
          <w:color w:val="000000"/>
          <w:lang w:eastAsia="en-AU"/>
        </w:rPr>
      </w:pPr>
      <w:r w:rsidRPr="002527D9">
        <w:rPr>
          <w:rFonts w:ascii="Times New Roman" w:eastAsia="Times New Roman" w:hAnsi="Times New Roman" w:cs="Times New Roman"/>
          <w:i/>
          <w:iCs/>
          <w:color w:val="000000"/>
          <w:lang w:eastAsia="en-AU"/>
        </w:rPr>
        <w:t>Radiocommunications Act 1992</w:t>
      </w:r>
    </w:p>
    <w:p w14:paraId="4F682DE6" w14:textId="77777777" w:rsidR="005B2BCE" w:rsidRPr="002527D9" w:rsidRDefault="005B2BCE" w:rsidP="005B2BCE">
      <w:pPr>
        <w:shd w:val="clear" w:color="auto" w:fill="FFFFFF"/>
        <w:spacing w:line="233" w:lineRule="atLeast"/>
        <w:jc w:val="center"/>
        <w:rPr>
          <w:rFonts w:ascii="Calibri" w:eastAsia="Times New Roman" w:hAnsi="Calibri" w:cs="Calibri"/>
          <w:color w:val="000000"/>
          <w:lang w:eastAsia="en-AU"/>
        </w:rPr>
      </w:pPr>
      <w:r w:rsidRPr="002527D9">
        <w:rPr>
          <w:rFonts w:ascii="Times New Roman" w:eastAsia="Times New Roman" w:hAnsi="Times New Roman" w:cs="Times New Roman"/>
          <w:b/>
          <w:bCs/>
          <w:i/>
          <w:iCs/>
          <w:color w:val="000000"/>
          <w:lang w:eastAsia="en-AU"/>
        </w:rPr>
        <w:t xml:space="preserve">Radiocommunications (Unacceptable Levels of Interference – </w:t>
      </w:r>
      <w:r>
        <w:rPr>
          <w:rFonts w:ascii="Times New Roman" w:eastAsia="Times New Roman" w:hAnsi="Times New Roman" w:cs="Times New Roman"/>
          <w:b/>
          <w:bCs/>
          <w:i/>
          <w:iCs/>
          <w:color w:val="000000"/>
          <w:lang w:eastAsia="en-AU"/>
        </w:rPr>
        <w:t>850/900 MHz</w:t>
      </w:r>
      <w:r w:rsidRPr="002527D9">
        <w:rPr>
          <w:rFonts w:ascii="Times New Roman" w:eastAsia="Times New Roman" w:hAnsi="Times New Roman" w:cs="Times New Roman"/>
          <w:b/>
          <w:bCs/>
          <w:i/>
          <w:iCs/>
          <w:color w:val="000000"/>
          <w:lang w:eastAsia="en-AU"/>
        </w:rPr>
        <w:t xml:space="preserve"> Band) Determination</w:t>
      </w:r>
      <w:r>
        <w:rPr>
          <w:rFonts w:ascii="Times New Roman" w:eastAsia="Times New Roman" w:hAnsi="Times New Roman" w:cs="Times New Roman"/>
          <w:b/>
          <w:bCs/>
          <w:i/>
          <w:iCs/>
          <w:color w:val="000000"/>
          <w:lang w:eastAsia="en-AU"/>
        </w:rPr>
        <w:t> </w:t>
      </w:r>
      <w:r w:rsidRPr="002527D9">
        <w:rPr>
          <w:rFonts w:ascii="Times New Roman" w:eastAsia="Times New Roman" w:hAnsi="Times New Roman" w:cs="Times New Roman"/>
          <w:b/>
          <w:bCs/>
          <w:i/>
          <w:iCs/>
          <w:color w:val="000000"/>
          <w:lang w:eastAsia="en-AU"/>
        </w:rPr>
        <w:t>202</w:t>
      </w:r>
      <w:r>
        <w:rPr>
          <w:rFonts w:ascii="Times New Roman" w:eastAsia="Times New Roman" w:hAnsi="Times New Roman" w:cs="Times New Roman"/>
          <w:b/>
          <w:bCs/>
          <w:i/>
          <w:iCs/>
          <w:color w:val="000000"/>
          <w:lang w:eastAsia="en-AU"/>
        </w:rPr>
        <w:t>1</w:t>
      </w:r>
    </w:p>
    <w:p w14:paraId="6AB5ADFD" w14:textId="77777777" w:rsidR="005B2BCE" w:rsidRPr="002527D9" w:rsidRDefault="005B2BCE" w:rsidP="005B2BCE">
      <w:pPr>
        <w:shd w:val="clear" w:color="auto" w:fill="FFFFFF"/>
        <w:spacing w:before="280"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Authority</w:t>
      </w:r>
    </w:p>
    <w:p w14:paraId="56E0B028" w14:textId="2C2FCCEA"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The Australian Communications and Media Authority (</w:t>
      </w:r>
      <w:r w:rsidRPr="002527D9">
        <w:rPr>
          <w:rFonts w:ascii="Times New Roman" w:eastAsia="Times New Roman" w:hAnsi="Times New Roman" w:cs="Times New Roman"/>
          <w:b/>
          <w:bCs/>
          <w:color w:val="000000"/>
          <w:lang w:eastAsia="en-AU"/>
        </w:rPr>
        <w:t>the ACMA</w:t>
      </w:r>
      <w:r w:rsidRPr="002527D9">
        <w:rPr>
          <w:rFonts w:ascii="Times New Roman" w:eastAsia="Times New Roman" w:hAnsi="Times New Roman" w:cs="Times New Roman"/>
          <w:color w:val="000000"/>
          <w:lang w:eastAsia="en-AU"/>
        </w:rPr>
        <w:t>) has made the</w:t>
      </w:r>
      <w:r w:rsidR="00D178C7">
        <w:rPr>
          <w:rFonts w:ascii="Times New Roman" w:eastAsia="Times New Roman" w:hAnsi="Times New Roman" w:cs="Times New Roman"/>
          <w:color w:val="000000"/>
          <w:lang w:eastAsia="en-AU"/>
        </w:rPr>
        <w:t xml:space="preserve"> </w:t>
      </w:r>
      <w:r w:rsidRPr="002527D9">
        <w:rPr>
          <w:rFonts w:ascii="Times New Roman" w:eastAsia="Times New Roman" w:hAnsi="Times New Roman" w:cs="Times New Roman"/>
          <w:i/>
          <w:iCs/>
          <w:color w:val="000000"/>
          <w:lang w:eastAsia="en-AU"/>
        </w:rPr>
        <w:t xml:space="preserve">Radiocommunications (Unacceptable Levels of Interference – </w:t>
      </w:r>
      <w:r>
        <w:rPr>
          <w:rFonts w:ascii="Times New Roman" w:eastAsia="Times New Roman" w:hAnsi="Times New Roman" w:cs="Times New Roman"/>
          <w:i/>
          <w:iCs/>
          <w:color w:val="000000"/>
          <w:lang w:eastAsia="en-AU"/>
        </w:rPr>
        <w:t>850/900 MHz</w:t>
      </w:r>
      <w:r w:rsidRPr="002527D9">
        <w:rPr>
          <w:rFonts w:ascii="Times New Roman" w:eastAsia="Times New Roman" w:hAnsi="Times New Roman" w:cs="Times New Roman"/>
          <w:i/>
          <w:iCs/>
          <w:color w:val="000000"/>
          <w:lang w:eastAsia="en-AU"/>
        </w:rPr>
        <w:t xml:space="preserve"> Band) Determination</w:t>
      </w:r>
      <w:r w:rsidR="00D178C7">
        <w:rPr>
          <w:rFonts w:ascii="Times New Roman" w:eastAsia="Times New Roman" w:hAnsi="Times New Roman" w:cs="Times New Roman"/>
          <w:i/>
          <w:iCs/>
          <w:color w:val="000000"/>
          <w:lang w:eastAsia="en-AU"/>
        </w:rPr>
        <w:t xml:space="preserve"> </w:t>
      </w:r>
      <w:r w:rsidRPr="002527D9">
        <w:rPr>
          <w:rFonts w:ascii="Times New Roman" w:eastAsia="Times New Roman" w:hAnsi="Times New Roman" w:cs="Times New Roman"/>
          <w:i/>
          <w:iCs/>
          <w:color w:val="000000"/>
          <w:lang w:eastAsia="en-AU"/>
        </w:rPr>
        <w:t>202</w:t>
      </w:r>
      <w:r>
        <w:rPr>
          <w:rFonts w:ascii="Times New Roman" w:eastAsia="Times New Roman" w:hAnsi="Times New Roman" w:cs="Times New Roman"/>
          <w:i/>
          <w:iCs/>
          <w:color w:val="000000"/>
          <w:lang w:eastAsia="en-AU"/>
        </w:rPr>
        <w:t>1</w:t>
      </w:r>
      <w:r w:rsidR="00D178C7">
        <w:rPr>
          <w:rFonts w:ascii="Times New Roman" w:eastAsia="Times New Roman" w:hAnsi="Times New Roman" w:cs="Times New Roman"/>
          <w:i/>
          <w:iCs/>
          <w:color w:val="000000"/>
          <w:lang w:eastAsia="en-AU"/>
        </w:rPr>
        <w:t xml:space="preserve"> </w:t>
      </w:r>
      <w:r w:rsidRPr="002527D9">
        <w:rPr>
          <w:rFonts w:ascii="Times New Roman" w:eastAsia="Times New Roman" w:hAnsi="Times New Roman" w:cs="Times New Roman"/>
          <w:color w:val="000000"/>
          <w:lang w:eastAsia="en-AU"/>
        </w:rPr>
        <w:t>(</w:t>
      </w:r>
      <w:r w:rsidRPr="002527D9">
        <w:rPr>
          <w:rFonts w:ascii="Times New Roman" w:eastAsia="Times New Roman" w:hAnsi="Times New Roman" w:cs="Times New Roman"/>
          <w:b/>
          <w:bCs/>
          <w:color w:val="000000"/>
          <w:lang w:eastAsia="en-AU"/>
        </w:rPr>
        <w:t>the instrument</w:t>
      </w:r>
      <w:r w:rsidRPr="002527D9">
        <w:rPr>
          <w:rFonts w:ascii="Times New Roman" w:eastAsia="Times New Roman" w:hAnsi="Times New Roman" w:cs="Times New Roman"/>
          <w:color w:val="000000"/>
          <w:lang w:eastAsia="en-AU"/>
        </w:rPr>
        <w:t>) under subsection 145(4) of the </w:t>
      </w:r>
      <w:r w:rsidRPr="002527D9">
        <w:rPr>
          <w:rFonts w:ascii="Times New Roman" w:eastAsia="Times New Roman" w:hAnsi="Times New Roman" w:cs="Times New Roman"/>
          <w:i/>
          <w:iCs/>
          <w:color w:val="000000"/>
          <w:lang w:eastAsia="en-AU"/>
        </w:rPr>
        <w:t>Radiocommunications Act 1992</w:t>
      </w:r>
      <w:r w:rsidRPr="002527D9">
        <w:rPr>
          <w:rFonts w:ascii="Times New Roman" w:eastAsia="Times New Roman" w:hAnsi="Times New Roman" w:cs="Times New Roman"/>
          <w:color w:val="000000"/>
          <w:lang w:eastAsia="en-AU"/>
        </w:rPr>
        <w:t> (</w:t>
      </w:r>
      <w:r w:rsidRPr="002527D9">
        <w:rPr>
          <w:rFonts w:ascii="Times New Roman" w:eastAsia="Times New Roman" w:hAnsi="Times New Roman" w:cs="Times New Roman"/>
          <w:b/>
          <w:bCs/>
          <w:color w:val="000000"/>
          <w:lang w:eastAsia="en-AU"/>
        </w:rPr>
        <w:t>the Act</w:t>
      </w:r>
      <w:r w:rsidRPr="002527D9">
        <w:rPr>
          <w:rFonts w:ascii="Times New Roman" w:eastAsia="Times New Roman" w:hAnsi="Times New Roman" w:cs="Times New Roman"/>
          <w:color w:val="000000"/>
          <w:lang w:eastAsia="en-AU"/>
        </w:rPr>
        <w:t>)</w:t>
      </w:r>
      <w:r w:rsidR="00B123FD">
        <w:rPr>
          <w:rFonts w:ascii="Times New Roman" w:eastAsia="Times New Roman" w:hAnsi="Times New Roman" w:cs="Times New Roman"/>
          <w:color w:val="000000"/>
          <w:lang w:eastAsia="en-AU"/>
        </w:rPr>
        <w:t xml:space="preserve"> and subsection 33(3) of the </w:t>
      </w:r>
      <w:r w:rsidR="00B123FD">
        <w:rPr>
          <w:rFonts w:ascii="Times New Roman" w:eastAsia="Times New Roman" w:hAnsi="Times New Roman" w:cs="Times New Roman"/>
          <w:i/>
          <w:iCs/>
          <w:color w:val="000000"/>
          <w:lang w:eastAsia="en-AU"/>
        </w:rPr>
        <w:t xml:space="preserve">Acts Interpretation Act 1901 </w:t>
      </w:r>
      <w:r w:rsidR="00B123FD">
        <w:rPr>
          <w:rFonts w:ascii="Times New Roman" w:eastAsia="Times New Roman" w:hAnsi="Times New Roman" w:cs="Times New Roman"/>
          <w:color w:val="000000"/>
          <w:lang w:eastAsia="en-AU"/>
        </w:rPr>
        <w:t>(</w:t>
      </w:r>
      <w:r w:rsidR="00B123FD" w:rsidRPr="00D57278">
        <w:rPr>
          <w:rFonts w:ascii="Times New Roman" w:eastAsia="Times New Roman" w:hAnsi="Times New Roman" w:cs="Times New Roman"/>
          <w:b/>
          <w:bCs/>
          <w:color w:val="000000"/>
          <w:lang w:eastAsia="en-AU"/>
        </w:rPr>
        <w:t>AIA</w:t>
      </w:r>
      <w:r w:rsidR="00B123FD">
        <w:rPr>
          <w:rFonts w:ascii="Times New Roman" w:eastAsia="Times New Roman" w:hAnsi="Times New Roman" w:cs="Times New Roman"/>
          <w:color w:val="000000"/>
          <w:lang w:eastAsia="en-AU"/>
        </w:rPr>
        <w:t>)</w:t>
      </w:r>
      <w:r w:rsidRPr="002527D9">
        <w:rPr>
          <w:rFonts w:ascii="Times New Roman" w:eastAsia="Times New Roman" w:hAnsi="Times New Roman" w:cs="Times New Roman"/>
          <w:color w:val="000000"/>
          <w:lang w:eastAsia="en-AU"/>
        </w:rPr>
        <w:t>.</w:t>
      </w:r>
    </w:p>
    <w:p w14:paraId="04D2C1EE" w14:textId="216C4C86" w:rsidR="005B2BCE" w:rsidRDefault="005B2BCE" w:rsidP="005B2BCE">
      <w:pPr>
        <w:shd w:val="clear" w:color="auto" w:fill="FFFFFF"/>
        <w:spacing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Section 145 of the Act provides that the ACMA may refuse to include details of a radiocommunications transmitter that is proposed to be operated under a spectrum licence in the Register of Radiocommunications Licences</w:t>
      </w:r>
      <w:r w:rsidR="00B53E18">
        <w:rPr>
          <w:rFonts w:ascii="Times New Roman" w:eastAsia="Times New Roman" w:hAnsi="Times New Roman" w:cs="Times New Roman"/>
          <w:color w:val="000000"/>
          <w:lang w:eastAsia="en-AU"/>
        </w:rPr>
        <w:t xml:space="preserve"> (</w:t>
      </w:r>
      <w:r w:rsidR="00B53E18" w:rsidRPr="00D57278">
        <w:rPr>
          <w:rFonts w:ascii="Times New Roman" w:eastAsia="Times New Roman" w:hAnsi="Times New Roman" w:cs="Times New Roman"/>
          <w:b/>
          <w:bCs/>
          <w:color w:val="000000"/>
          <w:lang w:eastAsia="en-AU"/>
        </w:rPr>
        <w:t>Register</w:t>
      </w:r>
      <w:r w:rsidR="00B53E18">
        <w:rPr>
          <w:rFonts w:ascii="Times New Roman" w:eastAsia="Times New Roman" w:hAnsi="Times New Roman" w:cs="Times New Roman"/>
          <w:color w:val="000000"/>
          <w:lang w:eastAsia="en-AU"/>
        </w:rPr>
        <w:t>)</w:t>
      </w:r>
      <w:r w:rsidRPr="002527D9">
        <w:rPr>
          <w:rFonts w:ascii="Times New Roman" w:eastAsia="Times New Roman" w:hAnsi="Times New Roman" w:cs="Times New Roman"/>
          <w:color w:val="000000"/>
          <w:lang w:eastAsia="en-AU"/>
        </w:rPr>
        <w:t>, maintained by the ACMA under Part 3.5 of the Act. The ACMA may so refuse where it is satisfied that the transmitter could cause an unacceptable level of interference to the operation of other radiocommunications devices under that spectrum licence or any other licence. Subsection 145(4) of the Act provides that the ACMA may determine, by written instrument, what are unacceptable levels of interference for the purposes of section 145 of the Act.</w:t>
      </w:r>
    </w:p>
    <w:p w14:paraId="4C6F0ED0" w14:textId="72B17484" w:rsidR="00B123FD" w:rsidRPr="002527D9" w:rsidRDefault="00B123FD" w:rsidP="005B2BCE">
      <w:pPr>
        <w:shd w:val="clear" w:color="auto" w:fill="FFFFFF"/>
        <w:spacing w:line="233" w:lineRule="atLeast"/>
        <w:rPr>
          <w:rFonts w:ascii="Calibri" w:eastAsia="Times New Roman" w:hAnsi="Calibri" w:cs="Calibri"/>
          <w:color w:val="000000"/>
          <w:lang w:eastAsia="en-AU"/>
        </w:rPr>
      </w:pPr>
      <w:r>
        <w:rPr>
          <w:rFonts w:ascii="Times New Roman" w:eastAsia="Times New Roman" w:hAnsi="Times New Roman" w:cs="Times New Roman"/>
          <w:color w:val="000000"/>
          <w:lang w:eastAsia="en-AU"/>
        </w:rPr>
        <w:t>Subsection 33(3) of the AIA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2466814F"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Purpose and operation of the instrument</w:t>
      </w:r>
    </w:p>
    <w:p w14:paraId="0B7B6FDF"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A spectrum licence permits a licensee, subject to specified conditions, to operate radiocommunications devices within a particular spectrum space, defined by a frequency band and a geographic area. Interference occurring between adjacent spectrum licences consists of in-band interference, across the geographic boundaries, and out-of-band interference, across the frequency boundaries. Interference can also occur between spectrum licensed services and services operating under apparatus and class licensing arrangements. </w:t>
      </w:r>
    </w:p>
    <w:p w14:paraId="197F6C05"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Section 69 of the Act requires each spectrum licence to include a condition that a radiocommunications transmitter must not be operated under the licence unless the requirements of the ACMA under Part 3.5 of the Act for registration of transmitters have been met.</w:t>
      </w:r>
    </w:p>
    <w:p w14:paraId="0F424989" w14:textId="1DCF9B3B" w:rsidR="00EE5F3A" w:rsidRDefault="005B2BCE" w:rsidP="005B2BCE">
      <w:pPr>
        <w:rPr>
          <w:rFonts w:ascii="Times New Roman" w:eastAsia="Times New Roman" w:hAnsi="Times New Roman" w:cs="Times New Roman"/>
          <w:color w:val="000000"/>
          <w:lang w:eastAsia="en-AU"/>
        </w:rPr>
      </w:pPr>
      <w:r w:rsidRPr="00782983">
        <w:rPr>
          <w:rFonts w:ascii="Times New Roman" w:eastAsia="Times New Roman" w:hAnsi="Times New Roman" w:cs="Times New Roman"/>
          <w:color w:val="000000"/>
          <w:lang w:eastAsia="en-AU"/>
        </w:rPr>
        <w:t xml:space="preserve">The instrument aims to ensure that high levels of emission from radiocommunications transmitters operated under a spectrum licence issued in the </w:t>
      </w:r>
      <w:r w:rsidR="00EE5F3A">
        <w:rPr>
          <w:rFonts w:ascii="Times New Roman" w:eastAsia="Times New Roman" w:hAnsi="Times New Roman" w:cs="Times New Roman"/>
          <w:color w:val="000000"/>
          <w:lang w:eastAsia="en-AU"/>
        </w:rPr>
        <w:t xml:space="preserve">following </w:t>
      </w:r>
      <w:r w:rsidRPr="00782983">
        <w:rPr>
          <w:rFonts w:ascii="Times New Roman" w:eastAsia="Times New Roman" w:hAnsi="Times New Roman" w:cs="Times New Roman"/>
          <w:color w:val="000000"/>
          <w:lang w:eastAsia="en-AU"/>
        </w:rPr>
        <w:t>part</w:t>
      </w:r>
      <w:r w:rsidR="00EE5F3A">
        <w:rPr>
          <w:rFonts w:ascii="Times New Roman" w:eastAsia="Times New Roman" w:hAnsi="Times New Roman" w:cs="Times New Roman"/>
          <w:color w:val="000000"/>
          <w:lang w:eastAsia="en-AU"/>
        </w:rPr>
        <w:t>s</w:t>
      </w:r>
      <w:r w:rsidRPr="00782983">
        <w:rPr>
          <w:rFonts w:ascii="Times New Roman" w:eastAsia="Times New Roman" w:hAnsi="Times New Roman" w:cs="Times New Roman"/>
          <w:color w:val="000000"/>
          <w:lang w:eastAsia="en-AU"/>
        </w:rPr>
        <w:t xml:space="preserve"> of the spectrum</w:t>
      </w:r>
      <w:r w:rsidR="006029D9">
        <w:rPr>
          <w:rFonts w:ascii="Times New Roman" w:eastAsia="Times New Roman" w:hAnsi="Times New Roman" w:cs="Times New Roman"/>
          <w:color w:val="000000"/>
          <w:lang w:eastAsia="en-AU"/>
        </w:rPr>
        <w:t xml:space="preserve"> (collectively, the </w:t>
      </w:r>
      <w:r w:rsidR="006029D9" w:rsidRPr="00175FDF">
        <w:rPr>
          <w:rFonts w:ascii="Times New Roman" w:eastAsia="Times New Roman" w:hAnsi="Times New Roman" w:cs="Times New Roman"/>
          <w:b/>
          <w:bCs/>
          <w:color w:val="000000"/>
          <w:lang w:eastAsia="en-AU"/>
        </w:rPr>
        <w:t>850/900 MHz band</w:t>
      </w:r>
      <w:r w:rsidR="006029D9">
        <w:rPr>
          <w:rFonts w:ascii="Times New Roman" w:eastAsia="Times New Roman" w:hAnsi="Times New Roman" w:cs="Times New Roman"/>
          <w:color w:val="000000"/>
          <w:lang w:eastAsia="en-AU"/>
        </w:rPr>
        <w:t>)</w:t>
      </w:r>
      <w:r w:rsidR="00EE5F3A">
        <w:rPr>
          <w:rFonts w:ascii="Times New Roman" w:eastAsia="Times New Roman" w:hAnsi="Times New Roman" w:cs="Times New Roman"/>
          <w:color w:val="000000"/>
          <w:lang w:eastAsia="en-AU"/>
        </w:rPr>
        <w:t>:</w:t>
      </w:r>
    </w:p>
    <w:p w14:paraId="769BE592" w14:textId="4629F360" w:rsidR="00EE5F3A" w:rsidRDefault="005B2BCE" w:rsidP="00EE5F3A">
      <w:pPr>
        <w:pStyle w:val="ListParagraph"/>
        <w:numPr>
          <w:ilvl w:val="0"/>
          <w:numId w:val="23"/>
        </w:numPr>
        <w:rPr>
          <w:rFonts w:ascii="Times New Roman" w:eastAsia="Times New Roman" w:hAnsi="Times New Roman" w:cs="Times New Roman"/>
          <w:color w:val="000000"/>
          <w:lang w:eastAsia="en-AU"/>
        </w:rPr>
      </w:pPr>
      <w:r w:rsidRPr="00175FDF">
        <w:rPr>
          <w:rFonts w:ascii="Times New Roman" w:eastAsia="Times New Roman" w:hAnsi="Times New Roman" w:cs="Times New Roman"/>
          <w:color w:val="000000"/>
          <w:lang w:eastAsia="en-AU"/>
        </w:rPr>
        <w:t>the 850 MHz Lower Band (814 MHz to 845 MHz)</w:t>
      </w:r>
      <w:r w:rsidR="00EE5F3A">
        <w:rPr>
          <w:rFonts w:ascii="Times New Roman" w:eastAsia="Times New Roman" w:hAnsi="Times New Roman" w:cs="Times New Roman"/>
          <w:color w:val="000000"/>
          <w:lang w:eastAsia="en-AU"/>
        </w:rPr>
        <w:t>;</w:t>
      </w:r>
    </w:p>
    <w:p w14:paraId="175D9A51" w14:textId="5D42DE85" w:rsidR="00EE5F3A" w:rsidRDefault="00EE5F3A" w:rsidP="00EE5F3A">
      <w:pPr>
        <w:pStyle w:val="ListParagraph"/>
        <w:numPr>
          <w:ilvl w:val="0"/>
          <w:numId w:val="23"/>
        </w:num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w:t>
      </w:r>
      <w:r w:rsidR="005B2BCE" w:rsidRPr="00175FDF">
        <w:rPr>
          <w:rFonts w:ascii="Times New Roman" w:eastAsia="Times New Roman" w:hAnsi="Times New Roman" w:cs="Times New Roman"/>
          <w:color w:val="000000"/>
          <w:lang w:eastAsia="en-AU"/>
        </w:rPr>
        <w:t>850 MHz Upper Band (859 MHz to 890 MHz)</w:t>
      </w:r>
      <w:r>
        <w:rPr>
          <w:rFonts w:ascii="Times New Roman" w:eastAsia="Times New Roman" w:hAnsi="Times New Roman" w:cs="Times New Roman"/>
          <w:color w:val="000000"/>
          <w:lang w:eastAsia="en-AU"/>
        </w:rPr>
        <w:t>;</w:t>
      </w:r>
    </w:p>
    <w:p w14:paraId="4B9EEA7D" w14:textId="166A0ACF" w:rsidR="00EE5F3A" w:rsidRDefault="00EE5F3A" w:rsidP="00EE5F3A">
      <w:pPr>
        <w:pStyle w:val="ListParagraph"/>
        <w:numPr>
          <w:ilvl w:val="0"/>
          <w:numId w:val="23"/>
        </w:num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the</w:t>
      </w:r>
      <w:r w:rsidR="005B2BCE" w:rsidRPr="00175FDF">
        <w:rPr>
          <w:rFonts w:ascii="Times New Roman" w:eastAsia="Times New Roman" w:hAnsi="Times New Roman" w:cs="Times New Roman"/>
          <w:color w:val="000000"/>
          <w:lang w:eastAsia="en-AU"/>
        </w:rPr>
        <w:t xml:space="preserve"> 900 MHz Lower Band (</w:t>
      </w:r>
      <w:r w:rsidRPr="00175FDF">
        <w:rPr>
          <w:rFonts w:ascii="Times New Roman" w:eastAsia="Times New Roman" w:hAnsi="Times New Roman" w:cs="Times New Roman"/>
          <w:color w:val="000000"/>
          <w:lang w:eastAsia="en-AU"/>
        </w:rPr>
        <w:t>890 </w:t>
      </w:r>
      <w:r w:rsidR="005B2BCE" w:rsidRPr="00175FDF">
        <w:rPr>
          <w:rFonts w:ascii="Times New Roman" w:eastAsia="Times New Roman" w:hAnsi="Times New Roman" w:cs="Times New Roman"/>
          <w:color w:val="000000"/>
          <w:lang w:eastAsia="en-AU"/>
        </w:rPr>
        <w:t>MHz to 915 MHz)</w:t>
      </w:r>
      <w:r>
        <w:rPr>
          <w:rFonts w:ascii="Times New Roman" w:eastAsia="Times New Roman" w:hAnsi="Times New Roman" w:cs="Times New Roman"/>
          <w:color w:val="000000"/>
          <w:lang w:eastAsia="en-AU"/>
        </w:rPr>
        <w:t>;</w:t>
      </w:r>
    </w:p>
    <w:p w14:paraId="485FC386" w14:textId="3A5EFB5A" w:rsidR="005B2BCE" w:rsidRPr="00175FDF" w:rsidRDefault="005B2BCE" w:rsidP="00D57278">
      <w:pPr>
        <w:pStyle w:val="ListParagraph"/>
        <w:numPr>
          <w:ilvl w:val="0"/>
          <w:numId w:val="23"/>
        </w:numPr>
        <w:rPr>
          <w:rFonts w:ascii="Times New Roman" w:eastAsia="Times New Roman" w:hAnsi="Times New Roman" w:cs="Times New Roman"/>
          <w:color w:val="000000"/>
          <w:lang w:eastAsia="en-AU"/>
        </w:rPr>
      </w:pPr>
      <w:r w:rsidRPr="00175FDF">
        <w:rPr>
          <w:rFonts w:ascii="Times New Roman" w:eastAsia="Times New Roman" w:hAnsi="Times New Roman" w:cs="Times New Roman"/>
          <w:color w:val="000000"/>
          <w:lang w:eastAsia="en-AU"/>
        </w:rPr>
        <w:t>the 900 MHz Upper Band (935 MHz to 960 MHz)</w:t>
      </w:r>
      <w:r w:rsidR="00127C17">
        <w:rPr>
          <w:rFonts w:ascii="Times New Roman" w:eastAsia="Times New Roman" w:hAnsi="Times New Roman" w:cs="Times New Roman"/>
          <w:color w:val="000000"/>
          <w:lang w:eastAsia="en-AU"/>
        </w:rPr>
        <w:t>;</w:t>
      </w:r>
    </w:p>
    <w:p w14:paraId="4977257C" w14:textId="364F125E" w:rsidR="00127C17" w:rsidRDefault="00127C17" w:rsidP="005B2BCE">
      <w:pPr>
        <w:shd w:val="clear" w:color="auto" w:fill="FFFFFF"/>
        <w:spacing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do not cause </w:t>
      </w:r>
      <w:r w:rsidR="00E34E9B">
        <w:rPr>
          <w:rFonts w:ascii="Times New Roman" w:eastAsia="Times New Roman" w:hAnsi="Times New Roman" w:cs="Times New Roman"/>
          <w:color w:val="000000"/>
          <w:lang w:eastAsia="en-AU"/>
        </w:rPr>
        <w:t>an unacceptable level of interference to radiocommunications.</w:t>
      </w:r>
    </w:p>
    <w:p w14:paraId="1CDCBF01" w14:textId="70495CB9"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 xml:space="preserve">The instrument sets out what is meant by an ‘unacceptable level of interference’ in relation to a radiocommunications transmitter operated under a spectrum licence issued in the </w:t>
      </w:r>
      <w:r>
        <w:rPr>
          <w:rFonts w:ascii="Times New Roman" w:eastAsia="Times New Roman" w:hAnsi="Times New Roman" w:cs="Times New Roman"/>
          <w:color w:val="000000"/>
          <w:lang w:eastAsia="en-AU"/>
        </w:rPr>
        <w:t>850/900 MHz</w:t>
      </w:r>
      <w:r w:rsidRPr="002527D9">
        <w:rPr>
          <w:rFonts w:ascii="Times New Roman" w:eastAsia="Times New Roman" w:hAnsi="Times New Roman" w:cs="Times New Roman"/>
          <w:color w:val="000000"/>
          <w:lang w:eastAsia="en-AU"/>
        </w:rPr>
        <w:t xml:space="preserve"> band. If the ACMA is satisfied that the operation of the radiocommunications transmitter could cause interference of the kind set out in the instrument, the ACMA will be able to refuse to register a </w:t>
      </w:r>
      <w:r w:rsidRPr="002527D9">
        <w:rPr>
          <w:rFonts w:ascii="Times New Roman" w:eastAsia="Times New Roman" w:hAnsi="Times New Roman" w:cs="Times New Roman"/>
          <w:color w:val="000000"/>
          <w:lang w:eastAsia="en-AU"/>
        </w:rPr>
        <w:lastRenderedPageBreak/>
        <w:t>radiocommunications transmitter.</w:t>
      </w:r>
      <w:r w:rsidR="003945A4">
        <w:rPr>
          <w:rFonts w:ascii="Times New Roman" w:eastAsia="Times New Roman" w:hAnsi="Times New Roman" w:cs="Times New Roman"/>
          <w:color w:val="000000"/>
          <w:lang w:eastAsia="en-AU"/>
        </w:rPr>
        <w:t xml:space="preserve"> Refusal to register a radiocommunications transmitter is subject to internal reconsideration and review by the Administrative Appeals Tribunal (see </w:t>
      </w:r>
      <w:r w:rsidR="0001084F">
        <w:rPr>
          <w:rFonts w:ascii="Times New Roman" w:eastAsia="Times New Roman" w:hAnsi="Times New Roman" w:cs="Times New Roman"/>
          <w:color w:val="000000"/>
          <w:lang w:eastAsia="en-AU"/>
        </w:rPr>
        <w:t>paragraph</w:t>
      </w:r>
      <w:r w:rsidR="003945A4">
        <w:rPr>
          <w:rFonts w:ascii="Times New Roman" w:eastAsia="Times New Roman" w:hAnsi="Times New Roman" w:cs="Times New Roman"/>
          <w:color w:val="000000"/>
          <w:lang w:eastAsia="en-AU"/>
        </w:rPr>
        <w:t xml:space="preserve"> 285</w:t>
      </w:r>
      <w:r w:rsidR="0001084F">
        <w:rPr>
          <w:rFonts w:ascii="Times New Roman" w:eastAsia="Times New Roman" w:hAnsi="Times New Roman" w:cs="Times New Roman"/>
          <w:color w:val="000000"/>
          <w:lang w:eastAsia="en-AU"/>
        </w:rPr>
        <w:t>(n)</w:t>
      </w:r>
      <w:r w:rsidR="003945A4">
        <w:rPr>
          <w:rFonts w:ascii="Times New Roman" w:eastAsia="Times New Roman" w:hAnsi="Times New Roman" w:cs="Times New Roman"/>
          <w:color w:val="000000"/>
          <w:lang w:eastAsia="en-AU"/>
        </w:rPr>
        <w:t xml:space="preserve"> of the Act).</w:t>
      </w:r>
    </w:p>
    <w:p w14:paraId="5B983C3D"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A provision-by-provision description of the instrument is set out in the notes at </w:t>
      </w:r>
      <w:r w:rsidRPr="002527D9">
        <w:rPr>
          <w:rFonts w:ascii="Times New Roman" w:eastAsia="Times New Roman" w:hAnsi="Times New Roman" w:cs="Times New Roman"/>
          <w:b/>
          <w:bCs/>
          <w:color w:val="000000"/>
          <w:lang w:eastAsia="en-AU"/>
        </w:rPr>
        <w:t>Attachment A</w:t>
      </w:r>
      <w:r w:rsidRPr="002527D9">
        <w:rPr>
          <w:rFonts w:ascii="Times New Roman" w:eastAsia="Times New Roman" w:hAnsi="Times New Roman" w:cs="Times New Roman"/>
          <w:color w:val="000000"/>
          <w:lang w:eastAsia="en-AU"/>
        </w:rPr>
        <w:t>.</w:t>
      </w:r>
    </w:p>
    <w:p w14:paraId="7A4BD6CF" w14:textId="32D8607B"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The instrument is a disallowable legislative instrument for the purposes of the </w:t>
      </w:r>
      <w:r w:rsidRPr="002527D9">
        <w:rPr>
          <w:rFonts w:ascii="Times New Roman" w:eastAsia="Times New Roman" w:hAnsi="Times New Roman" w:cs="Times New Roman"/>
          <w:i/>
          <w:iCs/>
          <w:color w:val="000000"/>
          <w:lang w:eastAsia="en-AU"/>
        </w:rPr>
        <w:t>Legislation Act</w:t>
      </w:r>
      <w:r>
        <w:rPr>
          <w:rFonts w:ascii="Times New Roman" w:eastAsia="Times New Roman" w:hAnsi="Times New Roman" w:cs="Times New Roman"/>
          <w:i/>
          <w:iCs/>
          <w:color w:val="000000"/>
          <w:lang w:eastAsia="en-AU"/>
        </w:rPr>
        <w:t> </w:t>
      </w:r>
      <w:r w:rsidRPr="002527D9">
        <w:rPr>
          <w:rFonts w:ascii="Times New Roman" w:eastAsia="Times New Roman" w:hAnsi="Times New Roman" w:cs="Times New Roman"/>
          <w:i/>
          <w:iCs/>
          <w:color w:val="000000"/>
          <w:lang w:eastAsia="en-AU"/>
        </w:rPr>
        <w:t>2003 </w:t>
      </w:r>
      <w:r w:rsidRPr="002527D9">
        <w:rPr>
          <w:rFonts w:ascii="Times New Roman" w:eastAsia="Times New Roman" w:hAnsi="Times New Roman" w:cs="Times New Roman"/>
          <w:color w:val="000000"/>
          <w:lang w:eastAsia="en-AU"/>
        </w:rPr>
        <w:t>(</w:t>
      </w:r>
      <w:r w:rsidRPr="002527D9">
        <w:rPr>
          <w:rFonts w:ascii="Times New Roman" w:eastAsia="Times New Roman" w:hAnsi="Times New Roman" w:cs="Times New Roman"/>
          <w:b/>
          <w:bCs/>
          <w:color w:val="000000"/>
          <w:lang w:eastAsia="en-AU"/>
        </w:rPr>
        <w:t>the LA</w:t>
      </w:r>
      <w:r w:rsidRPr="002527D9">
        <w:rPr>
          <w:rFonts w:ascii="Times New Roman" w:eastAsia="Times New Roman" w:hAnsi="Times New Roman" w:cs="Times New Roman"/>
          <w:color w:val="000000"/>
          <w:lang w:eastAsia="en-AU"/>
        </w:rPr>
        <w:t>).</w:t>
      </w:r>
      <w:r w:rsidR="003945A4">
        <w:rPr>
          <w:rFonts w:ascii="Times New Roman" w:eastAsia="Times New Roman" w:hAnsi="Times New Roman" w:cs="Times New Roman"/>
          <w:color w:val="000000"/>
          <w:lang w:eastAsia="en-AU"/>
        </w:rPr>
        <w:t xml:space="preserve"> The instrument is </w:t>
      </w:r>
      <w:r w:rsidR="00E34E9B">
        <w:rPr>
          <w:rFonts w:ascii="Times New Roman" w:eastAsia="Times New Roman" w:hAnsi="Times New Roman" w:cs="Times New Roman"/>
          <w:color w:val="000000"/>
          <w:lang w:eastAsia="en-AU"/>
        </w:rPr>
        <w:t xml:space="preserve">also </w:t>
      </w:r>
      <w:r w:rsidR="003945A4">
        <w:rPr>
          <w:rFonts w:ascii="Times New Roman" w:eastAsia="Times New Roman" w:hAnsi="Times New Roman" w:cs="Times New Roman"/>
          <w:color w:val="000000"/>
          <w:lang w:eastAsia="en-AU"/>
        </w:rPr>
        <w:t>subject t</w:t>
      </w:r>
      <w:r w:rsidR="0001084F">
        <w:rPr>
          <w:rFonts w:ascii="Times New Roman" w:eastAsia="Times New Roman" w:hAnsi="Times New Roman" w:cs="Times New Roman"/>
          <w:color w:val="000000"/>
          <w:lang w:eastAsia="en-AU"/>
        </w:rPr>
        <w:t>o the sunsetting provisions of the LA.</w:t>
      </w:r>
    </w:p>
    <w:p w14:paraId="4A7CBD8F" w14:textId="77777777" w:rsidR="005B2BCE" w:rsidRPr="002527D9" w:rsidRDefault="005B2BCE" w:rsidP="005B2BCE">
      <w:pPr>
        <w:shd w:val="clear" w:color="auto" w:fill="FFFFFF"/>
        <w:spacing w:line="235"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Documents incorporated by reference</w:t>
      </w:r>
    </w:p>
    <w:p w14:paraId="2E80E241" w14:textId="77777777" w:rsidR="005B2BCE" w:rsidRPr="002527D9" w:rsidRDefault="005B2BCE" w:rsidP="005B2BCE">
      <w:pPr>
        <w:shd w:val="clear" w:color="auto" w:fill="FFFFFF"/>
        <w:spacing w:line="235"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Subsection 314A(2)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The instrument incorporates the following by reference, as existing from time to time:</w:t>
      </w:r>
    </w:p>
    <w:p w14:paraId="2174A025" w14:textId="5EB31460" w:rsidR="005B2BCE" w:rsidRPr="00B53E18" w:rsidRDefault="005B2BCE" w:rsidP="00D57278">
      <w:pPr>
        <w:pStyle w:val="ListParagraph"/>
        <w:numPr>
          <w:ilvl w:val="0"/>
          <w:numId w:val="23"/>
        </w:numPr>
        <w:shd w:val="clear" w:color="auto" w:fill="FFFFFF"/>
        <w:spacing w:after="0"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3 Second SRTM Derived Digital Elevation Model (DEM) Version 1.0 (</w:t>
      </w:r>
      <w:r w:rsidRPr="00D57278">
        <w:rPr>
          <w:rFonts w:ascii="Times New Roman" w:eastAsia="Times New Roman" w:hAnsi="Times New Roman" w:cs="Times New Roman"/>
          <w:b/>
          <w:bCs/>
          <w:color w:val="000000"/>
          <w:lang w:eastAsia="en-AU"/>
        </w:rPr>
        <w:t>DEM-3S</w:t>
      </w:r>
      <w:r w:rsidRPr="00D57278">
        <w:rPr>
          <w:rFonts w:ascii="Times New Roman" w:eastAsia="Times New Roman" w:hAnsi="Times New Roman" w:cs="Times New Roman"/>
          <w:color w:val="000000"/>
          <w:lang w:eastAsia="en-AU"/>
        </w:rPr>
        <w:t>), created by Geoscience Australia, and available free of charge from its website at</w:t>
      </w:r>
      <w:r w:rsidR="004F19EE">
        <w:rPr>
          <w:rFonts w:ascii="Times New Roman" w:eastAsia="Times New Roman" w:hAnsi="Times New Roman" w:cs="Times New Roman"/>
          <w:color w:val="000000"/>
          <w:lang w:eastAsia="en-AU"/>
        </w:rPr>
        <w:t xml:space="preserve"> </w:t>
      </w:r>
      <w:hyperlink r:id="rId12" w:history="1">
        <w:r w:rsidR="004F19EE" w:rsidRPr="00292EF5">
          <w:rPr>
            <w:rStyle w:val="Hyperlink"/>
            <w:rFonts w:ascii="Times New Roman" w:eastAsia="Times New Roman" w:hAnsi="Times New Roman" w:cs="Times New Roman"/>
            <w:lang w:eastAsia="en-AU"/>
          </w:rPr>
          <w:t>www.ga.gov.au</w:t>
        </w:r>
      </w:hyperlink>
      <w:r w:rsidR="00AC4F25">
        <w:t xml:space="preserve"> </w:t>
      </w:r>
      <w:r w:rsidR="00AC4F25" w:rsidRPr="00B53E18">
        <w:rPr>
          <w:rFonts w:ascii="Times New Roman" w:eastAsia="Times New Roman" w:hAnsi="Times New Roman" w:cs="Times New Roman"/>
          <w:color w:val="000000"/>
          <w:lang w:eastAsia="en-AU"/>
        </w:rPr>
        <w:t xml:space="preserve">(Geoscience Australia has </w:t>
      </w:r>
      <w:r w:rsidR="00AC4F25">
        <w:rPr>
          <w:rFonts w:ascii="Times New Roman" w:eastAsia="Times New Roman" w:hAnsi="Times New Roman" w:cs="Times New Roman"/>
          <w:color w:val="000000"/>
          <w:lang w:eastAsia="en-AU"/>
        </w:rPr>
        <w:t xml:space="preserve">also published a smoothed variation of </w:t>
      </w:r>
      <w:r w:rsidR="001F7C9B">
        <w:rPr>
          <w:rFonts w:ascii="Times New Roman" w:eastAsia="Times New Roman" w:hAnsi="Times New Roman" w:cs="Times New Roman"/>
          <w:color w:val="000000"/>
          <w:lang w:eastAsia="en-AU"/>
        </w:rPr>
        <w:t>DEM-3S. This smoothed variation contains different elevation data than DEM-3S and is not to be used for the purposes of this instrument)</w:t>
      </w:r>
      <w:r w:rsidRPr="00D57278">
        <w:rPr>
          <w:rFonts w:ascii="Times New Roman" w:eastAsia="Times New Roman" w:hAnsi="Times New Roman" w:cs="Times New Roman"/>
          <w:color w:val="000000"/>
          <w:lang w:eastAsia="en-AU"/>
        </w:rPr>
        <w:t>;</w:t>
      </w:r>
    </w:p>
    <w:p w14:paraId="12307EB1" w14:textId="1CFD98E7" w:rsidR="005B2BCE" w:rsidRPr="00B53E18" w:rsidRDefault="005B2BCE" w:rsidP="00D57278">
      <w:pPr>
        <w:pStyle w:val="ListParagraph"/>
        <w:numPr>
          <w:ilvl w:val="0"/>
          <w:numId w:val="23"/>
        </w:numPr>
        <w:shd w:val="clear" w:color="auto" w:fill="FFFFFF"/>
        <w:spacing w:after="0"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the Australian Spectrum Map Grid 2012, published by the ACMA, and available free of charge from its website at</w:t>
      </w:r>
      <w:r w:rsidR="00962A64">
        <w:rPr>
          <w:rFonts w:ascii="Times New Roman" w:eastAsia="Times New Roman" w:hAnsi="Times New Roman" w:cs="Times New Roman"/>
          <w:color w:val="000000"/>
          <w:lang w:eastAsia="en-AU"/>
        </w:rPr>
        <w:t xml:space="preserve"> </w:t>
      </w:r>
      <w:hyperlink r:id="rId13" w:history="1">
        <w:r w:rsidR="00962A64" w:rsidRPr="00292EF5">
          <w:rPr>
            <w:rStyle w:val="Hyperlink"/>
            <w:rFonts w:ascii="Times New Roman" w:eastAsia="Times New Roman" w:hAnsi="Times New Roman" w:cs="Times New Roman"/>
            <w:lang w:eastAsia="en-AU"/>
          </w:rPr>
          <w:t>www.acma.gov.au</w:t>
        </w:r>
      </w:hyperlink>
      <w:r w:rsidR="00962A64">
        <w:rPr>
          <w:rFonts w:ascii="Times New Roman" w:eastAsia="Times New Roman" w:hAnsi="Times New Roman" w:cs="Times New Roman"/>
          <w:color w:val="000000"/>
          <w:lang w:eastAsia="en-AU"/>
        </w:rPr>
        <w:t xml:space="preserve">; </w:t>
      </w:r>
    </w:p>
    <w:p w14:paraId="6978F835" w14:textId="6349F203" w:rsidR="005B2BCE" w:rsidRDefault="005B2BCE" w:rsidP="00DE379D">
      <w:pPr>
        <w:pStyle w:val="ListParagraph"/>
        <w:numPr>
          <w:ilvl w:val="0"/>
          <w:numId w:val="23"/>
        </w:numPr>
        <w:shd w:val="clear" w:color="auto" w:fill="FFFFFF"/>
        <w:spacing w:after="0" w:line="233" w:lineRule="atLeast"/>
        <w:rPr>
          <w:rFonts w:ascii="Times New Roman" w:eastAsia="Times New Roman" w:hAnsi="Times New Roman" w:cs="Times New Roman"/>
          <w:color w:val="000000"/>
          <w:lang w:eastAsia="en-AU"/>
        </w:rPr>
      </w:pPr>
      <w:r w:rsidRPr="00D57278">
        <w:rPr>
          <w:rFonts w:ascii="Times New Roman" w:eastAsia="Times New Roman" w:hAnsi="Times New Roman" w:cs="Times New Roman"/>
          <w:color w:val="000000"/>
          <w:lang w:eastAsia="en-AU"/>
        </w:rPr>
        <w:t>the Radio Regulations, published by the International Telecommunication Union (</w:t>
      </w:r>
      <w:r w:rsidRPr="00D57278">
        <w:rPr>
          <w:rFonts w:ascii="Times New Roman" w:eastAsia="Times New Roman" w:hAnsi="Times New Roman" w:cs="Times New Roman"/>
          <w:b/>
          <w:bCs/>
          <w:color w:val="000000"/>
          <w:lang w:eastAsia="en-AU"/>
        </w:rPr>
        <w:t>ITU</w:t>
      </w:r>
      <w:r w:rsidRPr="00D57278">
        <w:rPr>
          <w:rFonts w:ascii="Times New Roman" w:eastAsia="Times New Roman" w:hAnsi="Times New Roman" w:cs="Times New Roman"/>
          <w:color w:val="000000"/>
          <w:lang w:eastAsia="en-AU"/>
        </w:rPr>
        <w:t>). The Radio Regulations contains Articles, Appendices, Resolutions and Recommendations of the ITU relating to international radiocommunications coordination. The Radio Regulations are available, free of charge, from the ITU’s website at </w:t>
      </w:r>
      <w:hyperlink r:id="rId14" w:history="1">
        <w:r w:rsidRPr="00B53E18">
          <w:rPr>
            <w:rFonts w:ascii="Times New Roman" w:eastAsia="Times New Roman" w:hAnsi="Times New Roman" w:cs="Times New Roman"/>
            <w:color w:val="0F569E"/>
            <w:u w:val="single"/>
            <w:lang w:eastAsia="en-AU"/>
          </w:rPr>
          <w:t>www.itu.int</w:t>
        </w:r>
      </w:hyperlink>
      <w:r w:rsidR="00AF6BEC">
        <w:rPr>
          <w:rFonts w:ascii="Times New Roman" w:eastAsia="Times New Roman" w:hAnsi="Times New Roman" w:cs="Times New Roman"/>
          <w:color w:val="000000"/>
          <w:lang w:eastAsia="en-AU"/>
        </w:rPr>
        <w:t>.</w:t>
      </w:r>
    </w:p>
    <w:p w14:paraId="315C842A" w14:textId="36481F93" w:rsidR="005B2BCE" w:rsidRDefault="005B2BCE" w:rsidP="00D57278">
      <w:pPr>
        <w:shd w:val="clear" w:color="auto" w:fill="FFFFFF"/>
        <w:spacing w:before="120"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The instrument also incorporates</w:t>
      </w:r>
      <w:r w:rsidR="000D5743">
        <w:rPr>
          <w:rFonts w:ascii="Times New Roman" w:eastAsia="Times New Roman" w:hAnsi="Times New Roman" w:cs="Times New Roman"/>
          <w:color w:val="000000"/>
          <w:lang w:eastAsia="en-AU"/>
        </w:rPr>
        <w:t xml:space="preserve"> </w:t>
      </w:r>
      <w:r w:rsidRPr="002527D9" w:rsidDel="00F83553">
        <w:rPr>
          <w:rFonts w:ascii="Times New Roman" w:eastAsia="Times New Roman" w:hAnsi="Times New Roman" w:cs="Times New Roman"/>
          <w:color w:val="000000"/>
          <w:lang w:eastAsia="en-AU"/>
        </w:rPr>
        <w:t>the designation of the Geocentric Datum of Australia in Commonwealth of Australia </w:t>
      </w:r>
      <w:r w:rsidRPr="002527D9" w:rsidDel="00F83553">
        <w:rPr>
          <w:rFonts w:ascii="Times New Roman" w:eastAsia="Times New Roman" w:hAnsi="Times New Roman" w:cs="Times New Roman"/>
          <w:i/>
          <w:iCs/>
          <w:color w:val="000000"/>
          <w:lang w:eastAsia="en-AU"/>
        </w:rPr>
        <w:t>Gazette</w:t>
      </w:r>
      <w:r w:rsidRPr="002527D9" w:rsidDel="00F83553">
        <w:rPr>
          <w:rFonts w:ascii="Times New Roman" w:eastAsia="Times New Roman" w:hAnsi="Times New Roman" w:cs="Times New Roman"/>
          <w:color w:val="000000"/>
          <w:lang w:eastAsia="en-AU"/>
        </w:rPr>
        <w:t> GN 35, dated 6 September 1995 (</w:t>
      </w:r>
      <w:r w:rsidRPr="002527D9" w:rsidDel="00F83553">
        <w:rPr>
          <w:rFonts w:ascii="Times New Roman" w:eastAsia="Times New Roman" w:hAnsi="Times New Roman" w:cs="Times New Roman"/>
          <w:b/>
          <w:bCs/>
          <w:color w:val="000000"/>
          <w:lang w:eastAsia="en-AU"/>
        </w:rPr>
        <w:t>GDA94</w:t>
      </w:r>
      <w:r w:rsidRPr="002527D9" w:rsidDel="00F83553">
        <w:rPr>
          <w:rFonts w:ascii="Times New Roman" w:eastAsia="Times New Roman" w:hAnsi="Times New Roman" w:cs="Times New Roman"/>
          <w:color w:val="000000"/>
          <w:lang w:eastAsia="en-AU"/>
        </w:rPr>
        <w:t>), as in existence on that date. Gazette GN 35 is available, free of charge, from the Federal Register of Legislation</w:t>
      </w:r>
      <w:r w:rsidDel="00F83553">
        <w:rPr>
          <w:rFonts w:ascii="Times New Roman" w:eastAsia="Times New Roman" w:hAnsi="Times New Roman" w:cs="Times New Roman"/>
          <w:color w:val="000000"/>
          <w:lang w:eastAsia="en-AU"/>
        </w:rPr>
        <w:t xml:space="preserve"> at</w:t>
      </w:r>
      <w:r w:rsidRPr="002527D9" w:rsidDel="00F83553">
        <w:rPr>
          <w:rFonts w:ascii="Times New Roman" w:eastAsia="Times New Roman" w:hAnsi="Times New Roman" w:cs="Times New Roman"/>
          <w:color w:val="000000"/>
          <w:lang w:eastAsia="en-AU"/>
        </w:rPr>
        <w:t> </w:t>
      </w:r>
      <w:hyperlink r:id="rId15" w:history="1">
        <w:r w:rsidRPr="002527D9" w:rsidDel="00F83553">
          <w:rPr>
            <w:rFonts w:ascii="Times New Roman" w:eastAsia="Times New Roman" w:hAnsi="Times New Roman" w:cs="Times New Roman"/>
            <w:color w:val="0F569E"/>
            <w:u w:val="single"/>
            <w:lang w:eastAsia="en-AU"/>
          </w:rPr>
          <w:t>www.legislation.gov.au</w:t>
        </w:r>
      </w:hyperlink>
      <w:r w:rsidRPr="002527D9" w:rsidDel="00F83553">
        <w:rPr>
          <w:rFonts w:ascii="Times New Roman" w:eastAsia="Times New Roman" w:hAnsi="Times New Roman" w:cs="Times New Roman"/>
          <w:color w:val="000000"/>
          <w:lang w:eastAsia="en-AU"/>
        </w:rPr>
        <w:t>.</w:t>
      </w:r>
    </w:p>
    <w:p w14:paraId="2D2D752B" w14:textId="3CBF26E8" w:rsidR="00C116D5" w:rsidRPr="00B53E18" w:rsidRDefault="00025B22" w:rsidP="00B53E18">
      <w:pPr>
        <w:shd w:val="clear" w:color="auto" w:fill="FFFFFF"/>
        <w:spacing w:after="120"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instrument also incorporates </w:t>
      </w:r>
      <w:r w:rsidR="000D5743" w:rsidRPr="00B53E18">
        <w:rPr>
          <w:rFonts w:ascii="Times New Roman" w:eastAsia="Times New Roman" w:hAnsi="Times New Roman" w:cs="Times New Roman"/>
          <w:color w:val="000000"/>
          <w:lang w:eastAsia="en-AU"/>
        </w:rPr>
        <w:t xml:space="preserve">the following Acts as in force from time to time </w:t>
      </w:r>
    </w:p>
    <w:p w14:paraId="47965882" w14:textId="0FCDA795" w:rsidR="00C116D5" w:rsidRDefault="00025B22" w:rsidP="00C116D5">
      <w:pPr>
        <w:pStyle w:val="ListParagraph"/>
        <w:numPr>
          <w:ilvl w:val="0"/>
          <w:numId w:val="23"/>
        </w:numPr>
        <w:shd w:val="clear" w:color="auto" w:fill="FFFFFF"/>
        <w:spacing w:after="120" w:line="233" w:lineRule="atLeast"/>
        <w:ind w:left="777" w:hanging="357"/>
        <w:rPr>
          <w:rFonts w:ascii="Times New Roman" w:eastAsia="Times New Roman" w:hAnsi="Times New Roman" w:cs="Times New Roman"/>
          <w:color w:val="000000"/>
          <w:lang w:eastAsia="en-AU"/>
        </w:rPr>
      </w:pPr>
      <w:r w:rsidRPr="00817264">
        <w:rPr>
          <w:rFonts w:ascii="Times New Roman" w:eastAsia="Times New Roman" w:hAnsi="Times New Roman" w:cs="Times New Roman"/>
          <w:color w:val="000000"/>
          <w:lang w:eastAsia="en-AU"/>
        </w:rPr>
        <w:t>the Act;</w:t>
      </w:r>
    </w:p>
    <w:p w14:paraId="5B9A6662" w14:textId="3013A53D" w:rsidR="00025B22" w:rsidRDefault="00025B22" w:rsidP="00C116D5">
      <w:pPr>
        <w:pStyle w:val="ListParagraph"/>
        <w:numPr>
          <w:ilvl w:val="0"/>
          <w:numId w:val="23"/>
        </w:numPr>
        <w:shd w:val="clear" w:color="auto" w:fill="FFFFFF"/>
        <w:spacing w:after="120" w:line="233" w:lineRule="atLeast"/>
        <w:ind w:left="777" w:hanging="357"/>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w:t>
      </w:r>
      <w:r>
        <w:rPr>
          <w:rFonts w:ascii="Times New Roman" w:eastAsia="Times New Roman" w:hAnsi="Times New Roman" w:cs="Times New Roman"/>
          <w:i/>
          <w:iCs/>
          <w:color w:val="000000"/>
          <w:lang w:eastAsia="en-AU"/>
        </w:rPr>
        <w:t>Seas and Submerged Lands Act 1973</w:t>
      </w:r>
      <w:r w:rsidR="00AF6BEC">
        <w:rPr>
          <w:rFonts w:ascii="Times New Roman" w:eastAsia="Times New Roman" w:hAnsi="Times New Roman" w:cs="Times New Roman"/>
          <w:color w:val="000000"/>
          <w:lang w:eastAsia="en-AU"/>
        </w:rPr>
        <w:t>.</w:t>
      </w:r>
    </w:p>
    <w:p w14:paraId="05C04D0C" w14:textId="18E802F9" w:rsidR="00D567F0" w:rsidRDefault="00D567F0" w:rsidP="00D567F0">
      <w:pPr>
        <w:shd w:val="clear" w:color="auto" w:fill="FFFFFF"/>
        <w:spacing w:after="120"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instrument also incorporates the </w:t>
      </w:r>
      <w:r>
        <w:rPr>
          <w:rFonts w:ascii="Times New Roman" w:eastAsia="Times New Roman" w:hAnsi="Times New Roman" w:cs="Times New Roman"/>
          <w:i/>
          <w:iCs/>
          <w:color w:val="000000"/>
          <w:lang w:eastAsia="en-AU"/>
        </w:rPr>
        <w:t>Radiocommunications (Unacceptable Levels of Interference – 800 MHz Band) Determination 2012</w:t>
      </w:r>
      <w:r w:rsidR="00382346">
        <w:rPr>
          <w:rFonts w:ascii="Times New Roman" w:eastAsia="Times New Roman" w:hAnsi="Times New Roman" w:cs="Times New Roman"/>
          <w:color w:val="000000"/>
          <w:lang w:eastAsia="en-AU"/>
        </w:rPr>
        <w:t xml:space="preserve"> (</w:t>
      </w:r>
      <w:r w:rsidR="00382346" w:rsidRPr="00B53E18">
        <w:rPr>
          <w:rFonts w:ascii="Times New Roman" w:eastAsia="Times New Roman" w:hAnsi="Times New Roman" w:cs="Times New Roman"/>
          <w:b/>
          <w:bCs/>
          <w:color w:val="000000"/>
          <w:lang w:eastAsia="en-AU"/>
        </w:rPr>
        <w:t>the previous determination</w:t>
      </w:r>
      <w:r w:rsidR="00382346">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w:t>
      </w:r>
      <w:r w:rsidR="00382346">
        <w:rPr>
          <w:rFonts w:ascii="Times New Roman" w:eastAsia="Times New Roman" w:hAnsi="Times New Roman" w:cs="Times New Roman"/>
          <w:color w:val="000000"/>
          <w:lang w:eastAsia="en-AU"/>
        </w:rPr>
        <w:t xml:space="preserve">The effect of the previous determination is saved in relation to radiocommunications transmitters included on the Register before the commencement of the instrument, and is incorporated as in force </w:t>
      </w:r>
      <w:r w:rsidR="00B53E18">
        <w:rPr>
          <w:rFonts w:ascii="Times New Roman" w:eastAsia="Times New Roman" w:hAnsi="Times New Roman" w:cs="Times New Roman"/>
          <w:color w:val="000000"/>
          <w:lang w:eastAsia="en-AU"/>
        </w:rPr>
        <w:t>at the time each such transmitter was included on the Register.</w:t>
      </w:r>
    </w:p>
    <w:p w14:paraId="17C6C80E" w14:textId="4D0B3C3B" w:rsidR="00B53E18" w:rsidRPr="00B53E18" w:rsidRDefault="00B53E18" w:rsidP="00B53E18">
      <w:pPr>
        <w:shd w:val="clear" w:color="auto" w:fill="FFFFFF"/>
        <w:spacing w:after="120"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Acts and legislative instrument </w:t>
      </w:r>
      <w:r w:rsidR="00AF6BEC">
        <w:rPr>
          <w:rFonts w:ascii="Times New Roman" w:eastAsia="Times New Roman" w:hAnsi="Times New Roman" w:cs="Times New Roman"/>
          <w:color w:val="000000"/>
          <w:lang w:eastAsia="en-AU"/>
        </w:rPr>
        <w:t>mentioned above may be obtained from the Federal Register of Legislation (</w:t>
      </w:r>
      <w:hyperlink r:id="rId16" w:history="1">
        <w:r w:rsidR="00AF6BEC" w:rsidRPr="00292EF5">
          <w:rPr>
            <w:rStyle w:val="Hyperlink"/>
            <w:rFonts w:ascii="Times New Roman" w:eastAsia="Times New Roman" w:hAnsi="Times New Roman" w:cs="Times New Roman"/>
            <w:lang w:eastAsia="en-AU"/>
          </w:rPr>
          <w:t>www.legislative.gov.au</w:t>
        </w:r>
      </w:hyperlink>
      <w:r w:rsidR="00AF6BEC">
        <w:rPr>
          <w:rFonts w:ascii="Times New Roman" w:eastAsia="Times New Roman" w:hAnsi="Times New Roman" w:cs="Times New Roman"/>
          <w:color w:val="000000"/>
          <w:lang w:eastAsia="en-AU"/>
        </w:rPr>
        <w:t xml:space="preserve">). </w:t>
      </w:r>
    </w:p>
    <w:p w14:paraId="45470E02"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Consultation</w:t>
      </w:r>
    </w:p>
    <w:p w14:paraId="51F138E5"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Before the instrument was made, the ACMA was satisfied that consultation was undertaken to the extent appropriate and reasonably practicable, in accordance with section 17 of the LA. </w:t>
      </w:r>
    </w:p>
    <w:p w14:paraId="2E207EB0" w14:textId="68DD8695" w:rsidR="005B2BCE" w:rsidRPr="00063359" w:rsidRDefault="005B2BCE" w:rsidP="005B2BCE">
      <w:pPr>
        <w:shd w:val="clear" w:color="auto" w:fill="FFFFFF"/>
        <w:spacing w:line="233" w:lineRule="atLeast"/>
        <w:rPr>
          <w:rFonts w:ascii="Calibri" w:eastAsia="Times New Roman" w:hAnsi="Calibri" w:cs="Calibri"/>
          <w:color w:val="000000"/>
          <w:lang w:eastAsia="en-AU"/>
        </w:rPr>
      </w:pPr>
      <w:bookmarkStart w:id="0" w:name="_Hlk50103483"/>
      <w:r w:rsidRPr="00063359">
        <w:rPr>
          <w:rFonts w:ascii="Times New Roman" w:eastAsia="Times New Roman" w:hAnsi="Times New Roman" w:cs="Times New Roman"/>
          <w:color w:val="000000"/>
          <w:lang w:eastAsia="en-AU"/>
        </w:rPr>
        <w:t>In December 2020, the ACMA set up a short-term industry technical liaison group (</w:t>
      </w:r>
      <w:r w:rsidRPr="00063359">
        <w:rPr>
          <w:rFonts w:ascii="Times New Roman" w:eastAsia="Times New Roman" w:hAnsi="Times New Roman" w:cs="Times New Roman"/>
          <w:b/>
          <w:bCs/>
          <w:color w:val="000000"/>
          <w:lang w:eastAsia="en-AU"/>
        </w:rPr>
        <w:t>TLG</w:t>
      </w:r>
      <w:r w:rsidRPr="00063359">
        <w:rPr>
          <w:rFonts w:ascii="Times New Roman" w:eastAsia="Times New Roman" w:hAnsi="Times New Roman" w:cs="Times New Roman"/>
          <w:color w:val="000000"/>
          <w:lang w:eastAsia="en-AU"/>
        </w:rPr>
        <w:t>) to support the development of a technical framework for use in the 850/900 MHz band.</w:t>
      </w:r>
      <w:bookmarkEnd w:id="0"/>
    </w:p>
    <w:p w14:paraId="2FA8E315" w14:textId="77777777" w:rsidR="005B2BCE" w:rsidRPr="00063359" w:rsidRDefault="005B2BCE" w:rsidP="0084604A">
      <w:pPr>
        <w:keepNext/>
        <w:shd w:val="clear" w:color="auto" w:fill="FFFFFF"/>
        <w:spacing w:line="233" w:lineRule="atLeast"/>
        <w:rPr>
          <w:rFonts w:ascii="Calibri" w:eastAsia="Times New Roman" w:hAnsi="Calibri" w:cs="Calibri"/>
          <w:color w:val="000000"/>
          <w:lang w:eastAsia="en-AU"/>
        </w:rPr>
      </w:pPr>
      <w:r w:rsidRPr="00063359">
        <w:rPr>
          <w:rFonts w:ascii="Times New Roman" w:eastAsia="Times New Roman" w:hAnsi="Times New Roman" w:cs="Times New Roman"/>
          <w:color w:val="000000"/>
          <w:lang w:eastAsia="en-AU"/>
        </w:rPr>
        <w:lastRenderedPageBreak/>
        <w:t>The TLG was asked to consider and provide advice to the ACMA on technical aspects required for the development of the spectrum licence technical framework in the 850/900 MHz band. These included:</w:t>
      </w:r>
    </w:p>
    <w:p w14:paraId="1470E691" w14:textId="52765F7C" w:rsidR="00A62043" w:rsidRPr="00D57278" w:rsidRDefault="00A62043" w:rsidP="00D1441F">
      <w:pPr>
        <w:pStyle w:val="ListParagraph"/>
        <w:numPr>
          <w:ilvl w:val="0"/>
          <w:numId w:val="23"/>
        </w:numPr>
        <w:shd w:val="clear" w:color="auto" w:fill="FFFFFF"/>
        <w:spacing w:after="0" w:line="233" w:lineRule="atLeast"/>
        <w:rPr>
          <w:rFonts w:ascii="Times New Roman" w:eastAsia="Times New Roman" w:hAnsi="Times New Roman" w:cs="Times New Roman"/>
          <w:color w:val="000000"/>
          <w:lang w:eastAsia="en-AU"/>
        </w:rPr>
      </w:pPr>
      <w:r w:rsidRPr="00D57278">
        <w:rPr>
          <w:rFonts w:ascii="Times New Roman" w:eastAsia="Times New Roman" w:hAnsi="Times New Roman" w:cs="Times New Roman"/>
          <w:color w:val="000000"/>
          <w:lang w:eastAsia="en-AU"/>
        </w:rPr>
        <w:t>identifying</w:t>
      </w:r>
      <w:r>
        <w:rPr>
          <w:rFonts w:ascii="Times New Roman" w:eastAsia="Times New Roman" w:hAnsi="Times New Roman" w:cs="Times New Roman"/>
          <w:color w:val="000000"/>
          <w:lang w:eastAsia="en-AU"/>
        </w:rPr>
        <w:t xml:space="preserve"> relevant reference technologies;</w:t>
      </w:r>
    </w:p>
    <w:p w14:paraId="7D1C587E" w14:textId="232C8A61" w:rsidR="005B2BCE" w:rsidRPr="00D57278" w:rsidRDefault="005B2BCE" w:rsidP="00D57278">
      <w:pPr>
        <w:pStyle w:val="ListParagraph"/>
        <w:numPr>
          <w:ilvl w:val="0"/>
          <w:numId w:val="23"/>
        </w:numPr>
        <w:shd w:val="clear" w:color="auto" w:fill="FFFFFF"/>
        <w:spacing w:after="0"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the development of the core conditions of the spectrum licensed band in accordance with section 66 of the Act;</w:t>
      </w:r>
    </w:p>
    <w:p w14:paraId="437BDEFF" w14:textId="75B279EF" w:rsidR="005B2BCE" w:rsidRPr="00D57278" w:rsidRDefault="005B2BCE" w:rsidP="00D57278">
      <w:pPr>
        <w:pStyle w:val="ListParagraph"/>
        <w:numPr>
          <w:ilvl w:val="0"/>
          <w:numId w:val="23"/>
        </w:numPr>
        <w:shd w:val="clear" w:color="auto" w:fill="FFFFFF"/>
        <w:spacing w:after="0"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the development of the instrument;</w:t>
      </w:r>
    </w:p>
    <w:p w14:paraId="21F9BA95" w14:textId="4BB8E29E" w:rsidR="005B2BCE" w:rsidRPr="00D57278" w:rsidRDefault="005B2BCE" w:rsidP="00D57278">
      <w:pPr>
        <w:pStyle w:val="ListParagraph"/>
        <w:numPr>
          <w:ilvl w:val="0"/>
          <w:numId w:val="23"/>
        </w:numPr>
        <w:shd w:val="clear" w:color="auto" w:fill="FFFFFF"/>
        <w:spacing w:after="0"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the development of any associated advisory guidelines to be made under section 262 of the Act;</w:t>
      </w:r>
      <w:r w:rsidR="00AE64FB" w:rsidRPr="001D0D67">
        <w:rPr>
          <w:rFonts w:ascii="Times New Roman" w:eastAsia="Times New Roman" w:hAnsi="Times New Roman" w:cs="Times New Roman"/>
          <w:color w:val="000000"/>
          <w:lang w:eastAsia="en-AU"/>
        </w:rPr>
        <w:t xml:space="preserve"> </w:t>
      </w:r>
      <w:r w:rsidRPr="00D57278">
        <w:rPr>
          <w:rFonts w:ascii="Times New Roman" w:eastAsia="Times New Roman" w:hAnsi="Times New Roman" w:cs="Times New Roman"/>
          <w:color w:val="000000"/>
          <w:lang w:eastAsia="en-AU"/>
        </w:rPr>
        <w:t>and</w:t>
      </w:r>
    </w:p>
    <w:p w14:paraId="04779EDB" w14:textId="75D2A289" w:rsidR="005B2BCE" w:rsidRPr="00D57278" w:rsidRDefault="005B2BCE" w:rsidP="00D57278">
      <w:pPr>
        <w:pStyle w:val="ListParagraph"/>
        <w:numPr>
          <w:ilvl w:val="0"/>
          <w:numId w:val="23"/>
        </w:numPr>
        <w:shd w:val="clear" w:color="auto" w:fill="FFFFFF"/>
        <w:spacing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the development of a minimum contiguous bandwidth for spectrum licences in the 850/900 MHz band.</w:t>
      </w:r>
    </w:p>
    <w:p w14:paraId="7C15EEED" w14:textId="2CB24CFE" w:rsidR="005B2BCE" w:rsidRPr="002527D9" w:rsidRDefault="005B2BCE" w:rsidP="005B2BCE">
      <w:pPr>
        <w:shd w:val="clear" w:color="auto" w:fill="FFFFFF"/>
        <w:spacing w:line="233" w:lineRule="atLeast"/>
        <w:rPr>
          <w:rFonts w:ascii="Calibri" w:eastAsia="Times New Roman" w:hAnsi="Calibri" w:cs="Calibri"/>
          <w:color w:val="000000"/>
          <w:lang w:eastAsia="en-AU"/>
        </w:rPr>
      </w:pPr>
      <w:bookmarkStart w:id="1" w:name="_Hlk50103581"/>
      <w:r w:rsidRPr="002527D9">
        <w:rPr>
          <w:rFonts w:ascii="Times New Roman" w:eastAsia="Times New Roman" w:hAnsi="Times New Roman" w:cs="Times New Roman"/>
          <w:color w:val="000000"/>
          <w:lang w:eastAsia="en-AU"/>
        </w:rPr>
        <w:t xml:space="preserve">The ACMA developed papers which outlined its proposed approach to the spectrum licensing framework for the </w:t>
      </w:r>
      <w:r>
        <w:rPr>
          <w:rFonts w:ascii="Times New Roman" w:eastAsia="Times New Roman" w:hAnsi="Times New Roman" w:cs="Times New Roman"/>
          <w:color w:val="000000"/>
          <w:lang w:eastAsia="en-AU"/>
        </w:rPr>
        <w:t>850/900 MHz</w:t>
      </w:r>
      <w:r w:rsidRPr="002527D9">
        <w:rPr>
          <w:rFonts w:ascii="Times New Roman" w:eastAsia="Times New Roman" w:hAnsi="Times New Roman" w:cs="Times New Roman"/>
          <w:color w:val="000000"/>
          <w:lang w:eastAsia="en-AU"/>
        </w:rPr>
        <w:t xml:space="preserve"> band. These papers were made available by the ACMA to the TLG members for comment. These papers can be found on the ACMA’s website. The ACMA had regard to the views expressed by the TLG members when preparing the instrument.</w:t>
      </w:r>
      <w:bookmarkEnd w:id="1"/>
    </w:p>
    <w:p w14:paraId="707C0337" w14:textId="513D5E94" w:rsidR="005B2BCE" w:rsidRDefault="005B2BCE" w:rsidP="005B2BCE">
      <w:pPr>
        <w:shd w:val="clear" w:color="auto" w:fill="FFFFFF"/>
        <w:spacing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 xml:space="preserve">A draft version of the instrument was released for public consultation on </w:t>
      </w:r>
      <w:r>
        <w:rPr>
          <w:rFonts w:ascii="Times New Roman" w:eastAsia="Times New Roman" w:hAnsi="Times New Roman" w:cs="Times New Roman"/>
          <w:color w:val="000000"/>
          <w:lang w:eastAsia="en-AU"/>
        </w:rPr>
        <w:t>27 April 2021</w:t>
      </w:r>
      <w:r w:rsidRPr="002527D9">
        <w:rPr>
          <w:rFonts w:ascii="Times New Roman" w:eastAsia="Times New Roman" w:hAnsi="Times New Roman" w:cs="Times New Roman"/>
          <w:color w:val="000000"/>
          <w:lang w:eastAsia="en-AU"/>
        </w:rPr>
        <w:t>, together with the consultation paper</w:t>
      </w:r>
      <w:r w:rsidR="00F87858">
        <w:rPr>
          <w:rFonts w:ascii="Times New Roman" w:eastAsia="Times New Roman" w:hAnsi="Times New Roman" w:cs="Times New Roman"/>
          <w:color w:val="000000"/>
          <w:lang w:eastAsia="en-AU"/>
        </w:rPr>
        <w:t xml:space="preserve"> </w:t>
      </w:r>
      <w:r w:rsidR="009F2956">
        <w:rPr>
          <w:rFonts w:ascii="Times New Roman" w:eastAsia="Times New Roman" w:hAnsi="Times New Roman" w:cs="Times New Roman"/>
          <w:i/>
          <w:iCs/>
          <w:color w:val="000000"/>
          <w:lang w:eastAsia="en-AU"/>
        </w:rPr>
        <w:t>Draft instruments for the 850/900 MHz band auction</w:t>
      </w:r>
      <w:r w:rsidRPr="002527D9">
        <w:rPr>
          <w:rFonts w:ascii="Times New Roman" w:eastAsia="Times New Roman" w:hAnsi="Times New Roman" w:cs="Times New Roman"/>
          <w:color w:val="000000"/>
          <w:lang w:eastAsia="en-AU"/>
        </w:rPr>
        <w:t xml:space="preserve">. Consultation closed on </w:t>
      </w:r>
      <w:r>
        <w:rPr>
          <w:rFonts w:ascii="Times New Roman" w:eastAsia="Times New Roman" w:hAnsi="Times New Roman" w:cs="Times New Roman"/>
          <w:color w:val="000000"/>
          <w:lang w:eastAsia="en-AU"/>
        </w:rPr>
        <w:t>24 May 2021</w:t>
      </w:r>
      <w:r w:rsidRPr="002527D9">
        <w:rPr>
          <w:rFonts w:ascii="Times New Roman" w:eastAsia="Times New Roman" w:hAnsi="Times New Roman" w:cs="Times New Roman"/>
          <w:color w:val="000000"/>
          <w:lang w:eastAsia="en-AU"/>
        </w:rPr>
        <w:t>.</w:t>
      </w:r>
    </w:p>
    <w:p w14:paraId="60943E67" w14:textId="4C4B2842" w:rsidR="005B2BCE" w:rsidRPr="002527D9" w:rsidRDefault="005B2BCE" w:rsidP="005B2BCE">
      <w:pPr>
        <w:shd w:val="clear" w:color="auto" w:fill="FFFFFF"/>
        <w:spacing w:line="233" w:lineRule="atLeast"/>
        <w:rPr>
          <w:rFonts w:ascii="Calibri" w:eastAsia="Times New Roman" w:hAnsi="Calibri" w:cs="Calibri"/>
          <w:color w:val="000000"/>
          <w:lang w:eastAsia="en-AU"/>
        </w:rPr>
      </w:pPr>
      <w:r>
        <w:rPr>
          <w:rFonts w:ascii="Times New Roman" w:eastAsia="Times New Roman" w:hAnsi="Times New Roman" w:cs="Times New Roman"/>
          <w:color w:val="000000"/>
          <w:lang w:eastAsia="en-AU"/>
        </w:rPr>
        <w:t xml:space="preserve">As a result of that consultation, there </w:t>
      </w:r>
      <w:r w:rsidR="00EA290E">
        <w:rPr>
          <w:rFonts w:ascii="Times New Roman" w:eastAsia="Times New Roman" w:hAnsi="Times New Roman" w:cs="Times New Roman"/>
          <w:color w:val="000000"/>
          <w:lang w:eastAsia="en-AU"/>
        </w:rPr>
        <w:t>were minor</w:t>
      </w:r>
      <w:r w:rsidR="009C2B4A">
        <w:rPr>
          <w:rFonts w:ascii="Times New Roman" w:eastAsia="Times New Roman" w:hAnsi="Times New Roman" w:cs="Times New Roman"/>
          <w:color w:val="000000"/>
          <w:lang w:eastAsia="en-AU"/>
        </w:rPr>
        <w:t xml:space="preserve"> changes</w:t>
      </w:r>
      <w:r w:rsidR="00EA290E">
        <w:rPr>
          <w:rFonts w:ascii="Times New Roman" w:eastAsia="Times New Roman" w:hAnsi="Times New Roman" w:cs="Times New Roman"/>
          <w:color w:val="000000"/>
          <w:lang w:eastAsia="en-AU"/>
        </w:rPr>
        <w:t xml:space="preserve"> to align </w:t>
      </w:r>
      <w:r w:rsidR="006D535D">
        <w:rPr>
          <w:rFonts w:ascii="Times New Roman" w:eastAsia="Times New Roman" w:hAnsi="Times New Roman" w:cs="Times New Roman"/>
          <w:color w:val="000000"/>
          <w:lang w:eastAsia="en-AU"/>
        </w:rPr>
        <w:t>t</w:t>
      </w:r>
      <w:r w:rsidR="00C970FE">
        <w:rPr>
          <w:rFonts w:ascii="Times New Roman" w:eastAsia="Times New Roman" w:hAnsi="Times New Roman" w:cs="Times New Roman"/>
          <w:color w:val="000000"/>
          <w:lang w:eastAsia="en-AU"/>
        </w:rPr>
        <w:t xml:space="preserve">he language </w:t>
      </w:r>
      <w:r w:rsidR="00132EF2">
        <w:rPr>
          <w:rFonts w:ascii="Times New Roman" w:eastAsia="Times New Roman" w:hAnsi="Times New Roman" w:cs="Times New Roman"/>
          <w:color w:val="000000"/>
          <w:lang w:eastAsia="en-AU"/>
        </w:rPr>
        <w:t>in</w:t>
      </w:r>
      <w:r w:rsidR="00C970FE">
        <w:rPr>
          <w:rFonts w:ascii="Times New Roman" w:eastAsia="Times New Roman" w:hAnsi="Times New Roman" w:cs="Times New Roman"/>
          <w:color w:val="000000"/>
          <w:lang w:eastAsia="en-AU"/>
        </w:rPr>
        <w:t xml:space="preserve"> </w:t>
      </w:r>
      <w:r w:rsidR="00E66A5B">
        <w:rPr>
          <w:rFonts w:ascii="Times New Roman" w:eastAsia="Times New Roman" w:hAnsi="Times New Roman" w:cs="Times New Roman"/>
          <w:color w:val="000000"/>
          <w:lang w:eastAsia="en-AU"/>
        </w:rPr>
        <w:t>the</w:t>
      </w:r>
      <w:r w:rsidR="00FF5C7C">
        <w:rPr>
          <w:rFonts w:ascii="Times New Roman" w:eastAsia="Times New Roman" w:hAnsi="Times New Roman" w:cs="Times New Roman"/>
          <w:color w:val="000000"/>
          <w:lang w:eastAsia="en-AU"/>
        </w:rPr>
        <w:t xml:space="preserve"> instrument</w:t>
      </w:r>
      <w:r w:rsidR="00E66A5B">
        <w:rPr>
          <w:rFonts w:ascii="Times New Roman" w:eastAsia="Times New Roman" w:hAnsi="Times New Roman" w:cs="Times New Roman"/>
          <w:color w:val="000000"/>
          <w:lang w:eastAsia="en-AU"/>
        </w:rPr>
        <w:t xml:space="preserve"> </w:t>
      </w:r>
      <w:r w:rsidR="00EA290E">
        <w:rPr>
          <w:rFonts w:ascii="Times New Roman" w:eastAsia="Times New Roman" w:hAnsi="Times New Roman" w:cs="Times New Roman"/>
          <w:color w:val="000000"/>
          <w:lang w:eastAsia="en-AU"/>
        </w:rPr>
        <w:t xml:space="preserve">with </w:t>
      </w:r>
      <w:r w:rsidR="00A749CF">
        <w:rPr>
          <w:rFonts w:ascii="Times New Roman" w:eastAsia="Times New Roman" w:hAnsi="Times New Roman" w:cs="Times New Roman"/>
          <w:color w:val="000000"/>
          <w:lang w:eastAsia="en-AU"/>
        </w:rPr>
        <w:t>similar</w:t>
      </w:r>
      <w:r w:rsidR="000953AD">
        <w:rPr>
          <w:rFonts w:ascii="Times New Roman" w:eastAsia="Times New Roman" w:hAnsi="Times New Roman" w:cs="Times New Roman"/>
          <w:color w:val="000000"/>
          <w:lang w:eastAsia="en-AU"/>
        </w:rPr>
        <w:t xml:space="preserve"> instruments</w:t>
      </w:r>
      <w:r w:rsidR="00042DCA">
        <w:rPr>
          <w:rFonts w:ascii="Times New Roman" w:eastAsia="Times New Roman" w:hAnsi="Times New Roman" w:cs="Times New Roman"/>
          <w:color w:val="000000"/>
          <w:lang w:eastAsia="en-AU"/>
        </w:rPr>
        <w:t xml:space="preserve"> dealing with unacceptable levels of interference</w:t>
      </w:r>
      <w:r w:rsidR="009470D3">
        <w:rPr>
          <w:rFonts w:ascii="Times New Roman" w:eastAsia="Times New Roman" w:hAnsi="Times New Roman" w:cs="Times New Roman"/>
          <w:color w:val="000000"/>
          <w:lang w:eastAsia="en-AU"/>
        </w:rPr>
        <w:t xml:space="preserve">, such as the </w:t>
      </w:r>
      <w:r w:rsidR="00F07865">
        <w:rPr>
          <w:rFonts w:ascii="Times New Roman" w:eastAsia="Times New Roman" w:hAnsi="Times New Roman" w:cs="Times New Roman"/>
          <w:i/>
          <w:iCs/>
          <w:color w:val="000000"/>
          <w:lang w:eastAsia="en-AU"/>
        </w:rPr>
        <w:t xml:space="preserve">Radiocommunications (Unacceptable Levels of </w:t>
      </w:r>
      <w:r w:rsidR="007D63D9">
        <w:rPr>
          <w:rFonts w:ascii="Times New Roman" w:eastAsia="Times New Roman" w:hAnsi="Times New Roman" w:cs="Times New Roman"/>
          <w:i/>
          <w:iCs/>
          <w:color w:val="000000"/>
          <w:lang w:eastAsia="en-AU"/>
        </w:rPr>
        <w:t xml:space="preserve">Interference </w:t>
      </w:r>
      <w:r w:rsidR="007D63D9" w:rsidRPr="002527D9">
        <w:rPr>
          <w:rFonts w:ascii="Times New Roman" w:eastAsia="Times New Roman" w:hAnsi="Times New Roman" w:cs="Times New Roman"/>
          <w:i/>
          <w:iCs/>
          <w:color w:val="000000"/>
          <w:lang w:eastAsia="en-AU"/>
        </w:rPr>
        <w:t>–</w:t>
      </w:r>
      <w:r w:rsidR="00F07865" w:rsidRPr="002527D9">
        <w:rPr>
          <w:rFonts w:ascii="Times New Roman" w:eastAsia="Times New Roman" w:hAnsi="Times New Roman" w:cs="Times New Roman"/>
          <w:i/>
          <w:iCs/>
          <w:color w:val="000000"/>
          <w:lang w:eastAsia="en-AU"/>
        </w:rPr>
        <w:t xml:space="preserve"> </w:t>
      </w:r>
      <w:r w:rsidR="00042DCA">
        <w:rPr>
          <w:rFonts w:ascii="Times New Roman" w:eastAsia="Times New Roman" w:hAnsi="Times New Roman" w:cs="Times New Roman"/>
          <w:i/>
          <w:iCs/>
          <w:color w:val="000000"/>
          <w:lang w:eastAsia="en-AU"/>
        </w:rPr>
        <w:t>26 GHz</w:t>
      </w:r>
      <w:r w:rsidR="00AC3B30">
        <w:rPr>
          <w:rFonts w:ascii="Times New Roman" w:eastAsia="Times New Roman" w:hAnsi="Times New Roman" w:cs="Times New Roman"/>
          <w:i/>
          <w:iCs/>
          <w:color w:val="000000"/>
          <w:lang w:eastAsia="en-AU"/>
        </w:rPr>
        <w:t xml:space="preserve"> Band</w:t>
      </w:r>
      <w:r w:rsidR="00042DCA">
        <w:rPr>
          <w:rFonts w:ascii="Times New Roman" w:eastAsia="Times New Roman" w:hAnsi="Times New Roman" w:cs="Times New Roman"/>
          <w:i/>
          <w:iCs/>
          <w:color w:val="000000"/>
          <w:lang w:eastAsia="en-AU"/>
        </w:rPr>
        <w:t>) Determination 2020</w:t>
      </w:r>
      <w:r w:rsidR="00FF7CC1">
        <w:rPr>
          <w:rFonts w:ascii="Times New Roman" w:eastAsia="Times New Roman" w:hAnsi="Times New Roman" w:cs="Times New Roman"/>
          <w:color w:val="000000"/>
          <w:lang w:eastAsia="en-AU"/>
        </w:rPr>
        <w:t>.</w:t>
      </w:r>
      <w:r w:rsidR="006F7CBC">
        <w:rPr>
          <w:rFonts w:ascii="Times New Roman" w:eastAsia="Times New Roman" w:hAnsi="Times New Roman" w:cs="Times New Roman"/>
          <w:color w:val="000000"/>
          <w:lang w:eastAsia="en-AU"/>
        </w:rPr>
        <w:t xml:space="preserve"> </w:t>
      </w:r>
      <w:r w:rsidR="00FB6908">
        <w:rPr>
          <w:rFonts w:ascii="Times New Roman" w:eastAsia="Times New Roman" w:hAnsi="Times New Roman" w:cs="Times New Roman"/>
          <w:color w:val="000000"/>
          <w:lang w:eastAsia="en-AU"/>
        </w:rPr>
        <w:t xml:space="preserve">The use of similar language, as appropriate, </w:t>
      </w:r>
      <w:r w:rsidR="00023F96">
        <w:rPr>
          <w:rFonts w:ascii="Times New Roman" w:eastAsia="Times New Roman" w:hAnsi="Times New Roman" w:cs="Times New Roman"/>
          <w:color w:val="000000"/>
          <w:lang w:eastAsia="en-AU"/>
        </w:rPr>
        <w:t xml:space="preserve">provides consistency </w:t>
      </w:r>
      <w:r w:rsidR="00B15AE9">
        <w:rPr>
          <w:rFonts w:ascii="Times New Roman" w:eastAsia="Times New Roman" w:hAnsi="Times New Roman" w:cs="Times New Roman"/>
          <w:color w:val="000000"/>
          <w:lang w:eastAsia="en-AU"/>
        </w:rPr>
        <w:t xml:space="preserve">for users of </w:t>
      </w:r>
      <w:r w:rsidR="002E00D2">
        <w:rPr>
          <w:rFonts w:ascii="Times New Roman" w:eastAsia="Times New Roman" w:hAnsi="Times New Roman" w:cs="Times New Roman"/>
          <w:color w:val="000000"/>
          <w:lang w:eastAsia="en-AU"/>
        </w:rPr>
        <w:t xml:space="preserve">this </w:t>
      </w:r>
      <w:r w:rsidR="00AC5326">
        <w:rPr>
          <w:rFonts w:ascii="Times New Roman" w:eastAsia="Times New Roman" w:hAnsi="Times New Roman" w:cs="Times New Roman"/>
          <w:color w:val="000000"/>
          <w:lang w:eastAsia="en-AU"/>
        </w:rPr>
        <w:t>type of</w:t>
      </w:r>
      <w:r w:rsidR="00023F96">
        <w:rPr>
          <w:rFonts w:ascii="Times New Roman" w:eastAsia="Times New Roman" w:hAnsi="Times New Roman" w:cs="Times New Roman"/>
          <w:color w:val="000000"/>
          <w:lang w:eastAsia="en-AU"/>
        </w:rPr>
        <w:t xml:space="preserve"> instrument</w:t>
      </w:r>
      <w:r w:rsidR="0098395F">
        <w:rPr>
          <w:rFonts w:ascii="Times New Roman" w:eastAsia="Times New Roman" w:hAnsi="Times New Roman" w:cs="Times New Roman"/>
          <w:color w:val="000000"/>
          <w:lang w:eastAsia="en-AU"/>
        </w:rPr>
        <w:t>.</w:t>
      </w:r>
    </w:p>
    <w:p w14:paraId="322AE523"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Regulatory impact assessment</w:t>
      </w:r>
    </w:p>
    <w:p w14:paraId="32A542E3" w14:textId="6A32E81C"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EF5683">
        <w:rPr>
          <w:rFonts w:ascii="Times New Roman" w:eastAsia="Times New Roman" w:hAnsi="Times New Roman" w:cs="Times New Roman"/>
          <w:color w:val="000000"/>
          <w:lang w:eastAsia="en-AU"/>
        </w:rPr>
        <w:t>A preliminary assessment of the proposal to make the instrument was conducted by the Office of Best Practice Regulation (</w:t>
      </w:r>
      <w:r w:rsidRPr="00EF5683">
        <w:rPr>
          <w:rFonts w:ascii="Times New Roman" w:eastAsia="Times New Roman" w:hAnsi="Times New Roman" w:cs="Times New Roman"/>
          <w:b/>
          <w:color w:val="000000"/>
          <w:lang w:eastAsia="en-AU"/>
        </w:rPr>
        <w:t>OBPR</w:t>
      </w:r>
      <w:r w:rsidRPr="00EF5683">
        <w:rPr>
          <w:rFonts w:ascii="Times New Roman" w:eastAsia="Times New Roman" w:hAnsi="Times New Roman" w:cs="Times New Roman"/>
          <w:color w:val="000000"/>
          <w:lang w:eastAsia="en-AU"/>
        </w:rPr>
        <w:t>), based on information provided by the ACMA, for the purposes of determining whether a Regulation Impact Statement (</w:t>
      </w:r>
      <w:r w:rsidRPr="00EF5683">
        <w:rPr>
          <w:rFonts w:ascii="Times New Roman" w:eastAsia="Times New Roman" w:hAnsi="Times New Roman" w:cs="Times New Roman"/>
          <w:b/>
          <w:color w:val="000000"/>
          <w:lang w:eastAsia="en-AU"/>
        </w:rPr>
        <w:t>RIS</w:t>
      </w:r>
      <w:r w:rsidRPr="00EF5683">
        <w:rPr>
          <w:rFonts w:ascii="Times New Roman" w:eastAsia="Times New Roman" w:hAnsi="Times New Roman" w:cs="Times New Roman"/>
          <w:color w:val="000000"/>
          <w:lang w:eastAsia="en-AU"/>
        </w:rPr>
        <w:t xml:space="preserve">) would be required. OBPR advised that a RIS would not be required because the proposed regulatory change is minor or machinery in nature – OBPR reference number </w:t>
      </w:r>
      <w:r w:rsidR="00EA290E" w:rsidRPr="00766153">
        <w:rPr>
          <w:rFonts w:ascii="Times New Roman" w:hAnsi="Times New Roman" w:cs="Times New Roman"/>
        </w:rPr>
        <w:t>43548</w:t>
      </w:r>
      <w:r w:rsidRPr="00EF5683">
        <w:rPr>
          <w:rFonts w:ascii="Times New Roman" w:eastAsia="Times New Roman" w:hAnsi="Times New Roman" w:cs="Times New Roman"/>
          <w:color w:val="000000"/>
          <w:lang w:eastAsia="en-AU"/>
        </w:rPr>
        <w:t>.</w:t>
      </w:r>
    </w:p>
    <w:p w14:paraId="0903C9C5"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Statement of compatibility with human rights</w:t>
      </w:r>
    </w:p>
    <w:p w14:paraId="71605318"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Subsection 9(1) of the </w:t>
      </w:r>
      <w:r w:rsidRPr="002527D9">
        <w:rPr>
          <w:rFonts w:ascii="Times New Roman" w:eastAsia="Times New Roman" w:hAnsi="Times New Roman" w:cs="Times New Roman"/>
          <w:i/>
          <w:iCs/>
          <w:color w:val="000000"/>
          <w:lang w:eastAsia="en-AU"/>
        </w:rPr>
        <w:t>Human Rights (Parliamentary Scrutiny) Act 2011</w:t>
      </w:r>
      <w:r w:rsidRPr="002527D9">
        <w:rPr>
          <w:rFonts w:ascii="Times New Roman" w:eastAsia="Times New Roman" w:hAnsi="Times New Roman" w:cs="Times New Roman"/>
          <w:color w:val="000000"/>
          <w:lang w:eastAsia="en-AU"/>
        </w:rPr>
        <w:t> requires the rule-maker in relation to a legislative instrument to which section 42 (disallowance) of the LA applies</w:t>
      </w:r>
      <w:r>
        <w:rPr>
          <w:rFonts w:ascii="Times New Roman" w:eastAsia="Times New Roman" w:hAnsi="Times New Roman" w:cs="Times New Roman"/>
          <w:color w:val="000000"/>
          <w:lang w:eastAsia="en-AU"/>
        </w:rPr>
        <w:t>,</w:t>
      </w:r>
      <w:r w:rsidRPr="002527D9">
        <w:rPr>
          <w:rFonts w:ascii="Times New Roman" w:eastAsia="Times New Roman" w:hAnsi="Times New Roman" w:cs="Times New Roman"/>
          <w:color w:val="000000"/>
          <w:lang w:eastAsia="en-AU"/>
        </w:rPr>
        <w:t xml:space="preserve"> to cause a statement of compatibility with human rights to be prepared in respect of that legislative instrument. </w:t>
      </w:r>
    </w:p>
    <w:p w14:paraId="1760B955"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The statement of compatibility set out below has been prepared to meet that requirement.</w:t>
      </w:r>
    </w:p>
    <w:p w14:paraId="74B29DDC" w14:textId="77777777" w:rsidR="005B2BCE" w:rsidRPr="002527D9" w:rsidDel="00FF1251" w:rsidRDefault="005B2BCE" w:rsidP="005B2BCE">
      <w:pPr>
        <w:shd w:val="clear" w:color="auto" w:fill="FFFFFF"/>
        <w:spacing w:line="233" w:lineRule="atLeast"/>
        <w:rPr>
          <w:rFonts w:ascii="Calibri" w:eastAsia="Times New Roman" w:hAnsi="Calibri" w:cs="Calibri"/>
          <w:color w:val="000000"/>
          <w:lang w:eastAsia="en-AU"/>
        </w:rPr>
      </w:pPr>
      <w:r w:rsidRPr="002527D9" w:rsidDel="00FF1251">
        <w:rPr>
          <w:rFonts w:ascii="Times New Roman" w:eastAsia="Times New Roman" w:hAnsi="Times New Roman" w:cs="Times New Roman"/>
          <w:b/>
          <w:bCs/>
          <w:i/>
          <w:iCs/>
          <w:color w:val="000000"/>
          <w:lang w:eastAsia="en-AU"/>
        </w:rPr>
        <w:t>Overview of the instrument</w:t>
      </w:r>
    </w:p>
    <w:p w14:paraId="035EF2AB" w14:textId="77777777" w:rsidR="005B2BCE" w:rsidRPr="002527D9" w:rsidDel="00FF1251" w:rsidRDefault="005B2BCE" w:rsidP="005B2BCE">
      <w:pPr>
        <w:shd w:val="clear" w:color="auto" w:fill="FFFFFF"/>
        <w:spacing w:line="233" w:lineRule="atLeast"/>
        <w:rPr>
          <w:rFonts w:ascii="Calibri" w:eastAsia="Times New Roman" w:hAnsi="Calibri" w:cs="Calibri"/>
          <w:color w:val="000000"/>
          <w:lang w:eastAsia="en-AU"/>
        </w:rPr>
      </w:pPr>
      <w:r w:rsidRPr="002527D9" w:rsidDel="00FF1251">
        <w:rPr>
          <w:rFonts w:ascii="Times New Roman" w:eastAsia="Times New Roman" w:hAnsi="Times New Roman" w:cs="Times New Roman"/>
          <w:color w:val="000000"/>
          <w:lang w:eastAsia="en-AU"/>
        </w:rPr>
        <w:t>Section 69 of the Act requires each spectrum licence to include a condition which specifies that a radiocommunications transmitter must not be operated under the licence unless the requirements of the ACMA under Part 3.5 of the Act for registration of transmitters have been met.</w:t>
      </w:r>
    </w:p>
    <w:p w14:paraId="6C903367" w14:textId="4A08AEBA" w:rsidR="005B2BCE" w:rsidRPr="002527D9" w:rsidDel="00FF1251" w:rsidRDefault="005B2BCE" w:rsidP="005B2BCE">
      <w:pPr>
        <w:shd w:val="clear" w:color="auto" w:fill="FFFFFF"/>
        <w:spacing w:line="233" w:lineRule="atLeast"/>
        <w:rPr>
          <w:rFonts w:ascii="Calibri" w:eastAsia="Times New Roman" w:hAnsi="Calibri" w:cs="Calibri"/>
          <w:color w:val="000000"/>
          <w:lang w:eastAsia="en-AU"/>
        </w:rPr>
      </w:pPr>
      <w:r w:rsidRPr="002527D9" w:rsidDel="00FF1251">
        <w:rPr>
          <w:rFonts w:ascii="Times New Roman" w:eastAsia="Times New Roman" w:hAnsi="Times New Roman" w:cs="Times New Roman"/>
          <w:color w:val="000000"/>
          <w:lang w:eastAsia="en-AU"/>
        </w:rPr>
        <w:t xml:space="preserve">Under subsection 145(1) of the Act, the ACMA may, if it is satisfied that the operation of a radiocommunications transmitter could cause an unacceptable level of interference to other radiocommunications devices, refuse to register the transmitter. The instrument sets out what is meant by an ‘unacceptable level of interference’ in relation to a radiocommunications transmitter operated under a spectrum licence issued in </w:t>
      </w:r>
      <w:r w:rsidRPr="002527D9">
        <w:rPr>
          <w:rFonts w:ascii="Times New Roman" w:eastAsia="Times New Roman" w:hAnsi="Times New Roman" w:cs="Times New Roman"/>
          <w:color w:val="000000"/>
          <w:lang w:eastAsia="en-AU"/>
        </w:rPr>
        <w:t xml:space="preserve">the </w:t>
      </w:r>
      <w:r>
        <w:rPr>
          <w:rFonts w:ascii="Times New Roman" w:eastAsia="Times New Roman" w:hAnsi="Times New Roman" w:cs="Times New Roman"/>
          <w:color w:val="000000"/>
          <w:lang w:eastAsia="en-AU"/>
        </w:rPr>
        <w:t>850/900 MHz</w:t>
      </w:r>
      <w:r w:rsidRPr="002527D9">
        <w:rPr>
          <w:rFonts w:ascii="Times New Roman" w:eastAsia="Times New Roman" w:hAnsi="Times New Roman" w:cs="Times New Roman"/>
          <w:color w:val="000000"/>
          <w:lang w:eastAsia="en-AU"/>
        </w:rPr>
        <w:t xml:space="preserve"> band</w:t>
      </w:r>
      <w:r w:rsidRPr="002527D9" w:rsidDel="00FF1251">
        <w:rPr>
          <w:rFonts w:ascii="Times New Roman" w:eastAsia="Times New Roman" w:hAnsi="Times New Roman" w:cs="Times New Roman"/>
          <w:color w:val="000000"/>
          <w:lang w:eastAsia="en-AU"/>
        </w:rPr>
        <w:t xml:space="preserve">. The requirements provided in the instrument only apply in relation to </w:t>
      </w:r>
      <w:r>
        <w:rPr>
          <w:rFonts w:ascii="Times New Roman" w:eastAsia="Times New Roman" w:hAnsi="Times New Roman" w:cs="Times New Roman"/>
          <w:color w:val="000000"/>
          <w:lang w:eastAsia="en-AU"/>
        </w:rPr>
        <w:t>850/900 MHz</w:t>
      </w:r>
      <w:r w:rsidRPr="002527D9">
        <w:rPr>
          <w:rFonts w:ascii="Times New Roman" w:eastAsia="Times New Roman" w:hAnsi="Times New Roman" w:cs="Times New Roman"/>
          <w:color w:val="000000"/>
          <w:lang w:eastAsia="en-AU"/>
        </w:rPr>
        <w:t xml:space="preserve"> band spectrum licensees</w:t>
      </w:r>
      <w:r w:rsidRPr="002527D9" w:rsidDel="00FF1251">
        <w:rPr>
          <w:rFonts w:ascii="Times New Roman" w:eastAsia="Times New Roman" w:hAnsi="Times New Roman" w:cs="Times New Roman"/>
          <w:color w:val="000000"/>
          <w:lang w:eastAsia="en-AU"/>
        </w:rPr>
        <w:t>.</w:t>
      </w:r>
    </w:p>
    <w:p w14:paraId="7310F9D7" w14:textId="77777777" w:rsidR="005B2BCE" w:rsidRPr="002527D9" w:rsidRDefault="005B2BCE" w:rsidP="0084604A">
      <w:pPr>
        <w:keepNext/>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i/>
          <w:iCs/>
          <w:color w:val="000000"/>
          <w:lang w:eastAsia="en-AU"/>
        </w:rPr>
        <w:lastRenderedPageBreak/>
        <w:t>Human rights implications</w:t>
      </w:r>
    </w:p>
    <w:p w14:paraId="6D4D9E05"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The ACMA has assessed whether the instrument is compatible with human rights, being the rights and freedoms recognised or declared by the international instruments listed in subsection 3(1) of the</w:t>
      </w:r>
      <w:r w:rsidRPr="002527D9">
        <w:rPr>
          <w:rFonts w:ascii="Times New Roman" w:eastAsia="Times New Roman" w:hAnsi="Times New Roman" w:cs="Times New Roman"/>
          <w:i/>
          <w:iCs/>
          <w:color w:val="000000"/>
          <w:lang w:eastAsia="en-AU"/>
        </w:rPr>
        <w:t> Human Rights (Parliamentary Scrutiny) Act 2011 </w:t>
      </w:r>
      <w:r w:rsidRPr="002527D9">
        <w:rPr>
          <w:rFonts w:ascii="Times New Roman" w:eastAsia="Times New Roman" w:hAnsi="Times New Roman" w:cs="Times New Roman"/>
          <w:color w:val="000000"/>
          <w:lang w:eastAsia="en-AU"/>
        </w:rPr>
        <w:t>as they apply to Australia.</w:t>
      </w:r>
    </w:p>
    <w:p w14:paraId="55B41BD4"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Having considered the likely impact of the instrument and the nature of the applicable rights and freedoms, the ACMA has formed the view that the instrument does not engage any of those rights or freedoms. </w:t>
      </w:r>
    </w:p>
    <w:p w14:paraId="799C7126" w14:textId="77777777" w:rsidR="005B2BCE" w:rsidRPr="002527D9" w:rsidRDefault="005B2BCE" w:rsidP="005B2BCE">
      <w:pPr>
        <w:shd w:val="clear" w:color="auto" w:fill="FFFFFF"/>
        <w:spacing w:line="235" w:lineRule="atLeast"/>
        <w:rPr>
          <w:rFonts w:ascii="Calibri" w:eastAsia="Times New Roman" w:hAnsi="Calibri" w:cs="Calibri"/>
          <w:color w:val="000000"/>
          <w:lang w:eastAsia="en-AU"/>
        </w:rPr>
      </w:pPr>
      <w:r w:rsidRPr="002527D9">
        <w:rPr>
          <w:rFonts w:ascii="Times New Roman" w:eastAsia="Times New Roman" w:hAnsi="Times New Roman" w:cs="Times New Roman"/>
          <w:b/>
          <w:bCs/>
          <w:i/>
          <w:iCs/>
          <w:color w:val="000000"/>
          <w:lang w:eastAsia="en-AU"/>
        </w:rPr>
        <w:t>Conclusion</w:t>
      </w:r>
    </w:p>
    <w:p w14:paraId="01ADB68B" w14:textId="77777777" w:rsidR="005B2BCE" w:rsidRPr="002527D9" w:rsidRDefault="005B2BCE" w:rsidP="005B2BCE">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The instrument is compatible with human rights as it does not raise any human rights issues.</w:t>
      </w:r>
    </w:p>
    <w:p w14:paraId="5B55C777" w14:textId="77777777" w:rsidR="004C58B9" w:rsidRDefault="004C58B9" w:rsidP="004C58B9">
      <w:pPr>
        <w:rPr>
          <w:rFonts w:ascii="Times New Roman" w:hAnsi="Times New Roman" w:cs="Times New Roman"/>
        </w:rPr>
      </w:pP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1822A654"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29763A" w:rsidRPr="005638AF">
        <w:rPr>
          <w:rFonts w:ascii="Times New Roman" w:hAnsi="Times New Roman" w:cs="Times New Roman"/>
          <w:b/>
          <w:i/>
          <w:iCs/>
          <w:sz w:val="28"/>
          <w:szCs w:val="28"/>
        </w:rPr>
        <w:t>Radiocommunications (Unacceptable Levels of Interference</w:t>
      </w:r>
      <w:r w:rsidR="0064138E">
        <w:rPr>
          <w:rFonts w:ascii="Times New Roman" w:hAnsi="Times New Roman" w:cs="Times New Roman"/>
          <w:b/>
          <w:i/>
          <w:iCs/>
          <w:sz w:val="28"/>
          <w:szCs w:val="28"/>
        </w:rPr>
        <w:t> </w:t>
      </w:r>
      <w:r w:rsidR="0029763A" w:rsidRPr="005638AF">
        <w:rPr>
          <w:rFonts w:ascii="Times New Roman" w:hAnsi="Times New Roman" w:cs="Times New Roman"/>
          <w:b/>
          <w:i/>
          <w:iCs/>
          <w:sz w:val="28"/>
          <w:szCs w:val="28"/>
        </w:rPr>
        <w:t>–</w:t>
      </w:r>
      <w:r w:rsidR="0064138E">
        <w:rPr>
          <w:rFonts w:ascii="Times New Roman" w:hAnsi="Times New Roman" w:cs="Times New Roman"/>
          <w:b/>
          <w:i/>
          <w:iCs/>
          <w:sz w:val="28"/>
          <w:szCs w:val="28"/>
        </w:rPr>
        <w:t> 850/900</w:t>
      </w:r>
      <w:r w:rsidR="00134042">
        <w:rPr>
          <w:rFonts w:ascii="Times New Roman" w:hAnsi="Times New Roman" w:cs="Times New Roman"/>
          <w:b/>
          <w:i/>
          <w:iCs/>
          <w:sz w:val="28"/>
          <w:szCs w:val="28"/>
        </w:rPr>
        <w:t xml:space="preserve"> M</w:t>
      </w:r>
      <w:r w:rsidR="0029763A" w:rsidRPr="005638AF">
        <w:rPr>
          <w:rFonts w:ascii="Times New Roman" w:hAnsi="Times New Roman" w:cs="Times New Roman"/>
          <w:b/>
          <w:i/>
          <w:iCs/>
          <w:sz w:val="28"/>
          <w:szCs w:val="28"/>
        </w:rPr>
        <w:t>Hz Band) Determination 202</w:t>
      </w:r>
      <w:r w:rsidR="00134042">
        <w:rPr>
          <w:rFonts w:ascii="Times New Roman" w:hAnsi="Times New Roman" w:cs="Times New Roman"/>
          <w:b/>
          <w:i/>
          <w:iCs/>
          <w:sz w:val="28"/>
          <w:szCs w:val="28"/>
        </w:rPr>
        <w:t>1</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1D962E55" w:rsidR="004C58B9" w:rsidRPr="00384BD6" w:rsidRDefault="004C58B9" w:rsidP="004C58B9">
      <w:pPr>
        <w:rPr>
          <w:rFonts w:ascii="Times New Roman" w:hAnsi="Times New Roman" w:cs="Times New Roman"/>
          <w:iCs/>
        </w:rPr>
      </w:pPr>
      <w:r>
        <w:rPr>
          <w:rFonts w:ascii="Times New Roman" w:hAnsi="Times New Roman" w:cs="Times New Roman"/>
        </w:rPr>
        <w:t xml:space="preserve">This section provides for the instrument to be cited as the </w:t>
      </w:r>
      <w:r w:rsidR="00A34402" w:rsidRPr="00A34402">
        <w:rPr>
          <w:rFonts w:ascii="Times New Roman" w:hAnsi="Times New Roman" w:cs="Times New Roman"/>
          <w:i/>
        </w:rPr>
        <w:t xml:space="preserve">Radiocommunications (Unacceptable Levels of Interference – </w:t>
      </w:r>
      <w:r w:rsidR="007D117B">
        <w:rPr>
          <w:rFonts w:ascii="Times New Roman" w:hAnsi="Times New Roman" w:cs="Times New Roman"/>
          <w:i/>
        </w:rPr>
        <w:t>850/900</w:t>
      </w:r>
      <w:r w:rsidR="00A34402" w:rsidRPr="00A34402">
        <w:rPr>
          <w:rFonts w:ascii="Times New Roman" w:hAnsi="Times New Roman" w:cs="Times New Roman"/>
          <w:i/>
        </w:rPr>
        <w:t xml:space="preserve"> </w:t>
      </w:r>
      <w:r w:rsidR="007D117B">
        <w:rPr>
          <w:rFonts w:ascii="Times New Roman" w:hAnsi="Times New Roman" w:cs="Times New Roman"/>
          <w:i/>
        </w:rPr>
        <w:t>M</w:t>
      </w:r>
      <w:r w:rsidR="00A34402" w:rsidRPr="00A34402">
        <w:rPr>
          <w:rFonts w:ascii="Times New Roman" w:hAnsi="Times New Roman" w:cs="Times New Roman"/>
          <w:i/>
        </w:rPr>
        <w:t>Hz Band) Determination 202</w:t>
      </w:r>
      <w:r w:rsidR="00632AB1">
        <w:rPr>
          <w:rFonts w:ascii="Times New Roman" w:hAnsi="Times New Roman" w:cs="Times New Roman"/>
          <w:i/>
        </w:rPr>
        <w:t>1</w:t>
      </w:r>
      <w:r w:rsidR="00384BD6">
        <w:rPr>
          <w:rFonts w:ascii="Times New Roman" w:hAnsi="Times New Roman" w:cs="Times New Roman"/>
          <w:iCs/>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77777777"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at the start of the day after the day it is registered on the Federal Register of Legislation.  </w:t>
      </w:r>
    </w:p>
    <w:p w14:paraId="2E195494" w14:textId="630B02AA" w:rsidR="004C58B9" w:rsidRDefault="004C58B9" w:rsidP="004C58B9">
      <w:pPr>
        <w:rPr>
          <w:rFonts w:ascii="Times New Roman" w:hAnsi="Times New Roman" w:cs="Times New Roman"/>
        </w:rPr>
      </w:pPr>
      <w:r>
        <w:rPr>
          <w:rFonts w:ascii="Times New Roman" w:hAnsi="Times New Roman" w:cs="Times New Roman"/>
        </w:rPr>
        <w:t>The Federal Register of Legislation may be accessed</w:t>
      </w:r>
      <w:r w:rsidR="00632AB1">
        <w:rPr>
          <w:rFonts w:ascii="Times New Roman" w:hAnsi="Times New Roman" w:cs="Times New Roman"/>
        </w:rPr>
        <w:t>,</w:t>
      </w:r>
      <w:r>
        <w:rPr>
          <w:rFonts w:ascii="Times New Roman" w:hAnsi="Times New Roman" w:cs="Times New Roman"/>
        </w:rPr>
        <w:t xml:space="preserve"> free of charge</w:t>
      </w:r>
      <w:r w:rsidR="00632AB1">
        <w:rPr>
          <w:rFonts w:ascii="Times New Roman" w:hAnsi="Times New Roman" w:cs="Times New Roman"/>
        </w:rPr>
        <w:t>,</w:t>
      </w:r>
      <w:r>
        <w:rPr>
          <w:rFonts w:ascii="Times New Roman" w:hAnsi="Times New Roman" w:cs="Times New Roman"/>
        </w:rPr>
        <w:t xml:space="preserve"> at </w:t>
      </w:r>
      <w:hyperlink r:id="rId17" w:history="1">
        <w:r w:rsidR="00A72849" w:rsidRPr="00E950D4">
          <w:rPr>
            <w:rStyle w:val="Hyperlink"/>
            <w:rFonts w:ascii="Times New Roman" w:hAnsi="Times New Roman" w:cs="Times New Roman"/>
          </w:rPr>
          <w:t>www.legislation.gov.au</w:t>
        </w:r>
      </w:hyperlink>
      <w:r>
        <w:rPr>
          <w:rFonts w:ascii="Times New Roman" w:hAnsi="Times New Roman" w:cs="Times New Roman"/>
        </w:rPr>
        <w:t>.</w:t>
      </w:r>
    </w:p>
    <w:p w14:paraId="1CCE7953" w14:textId="572C66F3"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r>
      <w:r w:rsidR="001D5353">
        <w:rPr>
          <w:rFonts w:ascii="Times New Roman" w:hAnsi="Times New Roman" w:cs="Times New Roman"/>
          <w:b/>
        </w:rPr>
        <w:t>Revocation</w:t>
      </w:r>
    </w:p>
    <w:p w14:paraId="03268317" w14:textId="77777777" w:rsidR="007C1170" w:rsidRPr="00D77143" w:rsidRDefault="007C1170" w:rsidP="007C1170">
      <w:pPr>
        <w:shd w:val="clear" w:color="auto" w:fill="FFFFFF"/>
        <w:spacing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This section revokes the </w:t>
      </w:r>
      <w:r w:rsidRPr="008B1AD8">
        <w:rPr>
          <w:rFonts w:ascii="Times New Roman" w:eastAsia="Times New Roman" w:hAnsi="Times New Roman" w:cs="Times New Roman"/>
          <w:i/>
          <w:iCs/>
          <w:color w:val="000000"/>
          <w:lang w:eastAsia="en-AU"/>
        </w:rPr>
        <w:t>Radiocommunications (Unacceptable Levels of Interference — 800 MHz Band) Determination 2012</w:t>
      </w:r>
      <w:r w:rsidRPr="00D77143">
        <w:rPr>
          <w:rFonts w:ascii="Times New Roman" w:eastAsia="Times New Roman" w:hAnsi="Times New Roman" w:cs="Times New Roman"/>
          <w:color w:val="000000"/>
          <w:lang w:eastAsia="en-AU"/>
        </w:rPr>
        <w:t xml:space="preserve"> (F2012L01777).</w:t>
      </w:r>
    </w:p>
    <w:p w14:paraId="09C16B06" w14:textId="6E6C07E0" w:rsidR="004A488F" w:rsidRPr="002527D9" w:rsidRDefault="004A488F" w:rsidP="004A488F">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 xml:space="preserve">Section </w:t>
      </w:r>
      <w:r>
        <w:rPr>
          <w:rFonts w:ascii="Times New Roman" w:eastAsia="Times New Roman" w:hAnsi="Times New Roman" w:cs="Times New Roman"/>
          <w:b/>
          <w:bCs/>
          <w:color w:val="000000"/>
          <w:lang w:eastAsia="en-AU"/>
        </w:rPr>
        <w:t>4</w:t>
      </w:r>
      <w:r w:rsidR="0009351F">
        <w:rPr>
          <w:rFonts w:ascii="Times New Roman" w:eastAsia="Times New Roman" w:hAnsi="Times New Roman" w:cs="Times New Roman"/>
          <w:b/>
          <w:bCs/>
          <w:color w:val="000000"/>
          <w:lang w:eastAsia="en-AU"/>
        </w:rPr>
        <w:tab/>
      </w:r>
      <w:r w:rsidRPr="002527D9">
        <w:rPr>
          <w:rFonts w:ascii="Times New Roman" w:eastAsia="Times New Roman" w:hAnsi="Times New Roman" w:cs="Times New Roman"/>
          <w:b/>
          <w:bCs/>
          <w:color w:val="000000"/>
          <w:lang w:eastAsia="en-AU"/>
        </w:rPr>
        <w:t>Authority</w:t>
      </w:r>
    </w:p>
    <w:p w14:paraId="5C337728" w14:textId="26A1E6A2" w:rsidR="004A488F" w:rsidRPr="002527D9" w:rsidRDefault="004A488F" w:rsidP="004A488F">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This section identifies the provision of the Act that authorises the making of the instrument, namely subsection 145(4) of the</w:t>
      </w:r>
      <w:r w:rsidR="0021177D">
        <w:rPr>
          <w:rFonts w:ascii="Times New Roman" w:eastAsia="Times New Roman" w:hAnsi="Times New Roman" w:cs="Times New Roman"/>
          <w:color w:val="000000"/>
          <w:lang w:eastAsia="en-AU"/>
        </w:rPr>
        <w:t xml:space="preserve"> Act</w:t>
      </w:r>
      <w:r w:rsidRPr="002527D9">
        <w:rPr>
          <w:rFonts w:ascii="Times New Roman" w:eastAsia="Times New Roman" w:hAnsi="Times New Roman" w:cs="Times New Roman"/>
          <w:color w:val="000000"/>
          <w:lang w:eastAsia="en-AU"/>
        </w:rPr>
        <w:t>.</w:t>
      </w:r>
    </w:p>
    <w:p w14:paraId="76957666" w14:textId="6F97963F" w:rsidR="0072116F" w:rsidRPr="002527D9" w:rsidRDefault="0072116F" w:rsidP="0072116F">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 xml:space="preserve">Section </w:t>
      </w:r>
      <w:r w:rsidR="001D0D67">
        <w:rPr>
          <w:rFonts w:ascii="Times New Roman" w:eastAsia="Times New Roman" w:hAnsi="Times New Roman" w:cs="Times New Roman"/>
          <w:b/>
          <w:bCs/>
          <w:color w:val="000000"/>
          <w:lang w:eastAsia="en-AU"/>
        </w:rPr>
        <w:t>5</w:t>
      </w:r>
      <w:r w:rsidR="001D0D67">
        <w:rPr>
          <w:rFonts w:ascii="Times New Roman" w:eastAsia="Times New Roman" w:hAnsi="Times New Roman" w:cs="Times New Roman"/>
          <w:b/>
          <w:bCs/>
          <w:color w:val="000000"/>
          <w:lang w:eastAsia="en-AU"/>
        </w:rPr>
        <w:tab/>
      </w:r>
      <w:r w:rsidRPr="002527D9">
        <w:rPr>
          <w:rFonts w:ascii="Times New Roman" w:eastAsia="Times New Roman" w:hAnsi="Times New Roman" w:cs="Times New Roman"/>
          <w:b/>
          <w:bCs/>
          <w:color w:val="000000"/>
          <w:lang w:eastAsia="en-AU"/>
        </w:rPr>
        <w:t>Definitions</w:t>
      </w:r>
    </w:p>
    <w:p w14:paraId="5EEC2515" w14:textId="77777777" w:rsidR="0072116F" w:rsidRPr="002527D9" w:rsidRDefault="0072116F" w:rsidP="0072116F">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This section defines a number of key terms used throughout the instrument.  It also provides that the range of numbers that identifies a frequency band includes the higher, but not the lower, number.</w:t>
      </w:r>
    </w:p>
    <w:p w14:paraId="6A65622D" w14:textId="77777777" w:rsidR="004C58B9" w:rsidRDefault="004C58B9" w:rsidP="004C58B9">
      <w:pPr>
        <w:rPr>
          <w:rFonts w:ascii="Times New Roman" w:hAnsi="Times New Roman" w:cs="Times New Roman"/>
        </w:rPr>
      </w:pPr>
      <w:r>
        <w:rPr>
          <w:rFonts w:ascii="Times New Roman" w:hAnsi="Times New Roman" w:cs="Times New Roman"/>
        </w:rPr>
        <w:t>A number of other expressions used in the instrument are defined in the Act.</w:t>
      </w:r>
    </w:p>
    <w:p w14:paraId="4E744EA9" w14:textId="14C0F307" w:rsidR="004C58B9" w:rsidRDefault="004C58B9" w:rsidP="004C58B9">
      <w:pPr>
        <w:rPr>
          <w:rFonts w:ascii="Times New Roman" w:hAnsi="Times New Roman" w:cs="Times New Roman"/>
          <w:b/>
        </w:rPr>
      </w:pPr>
      <w:r>
        <w:rPr>
          <w:rFonts w:ascii="Times New Roman" w:hAnsi="Times New Roman" w:cs="Times New Roman"/>
          <w:b/>
        </w:rPr>
        <w:t xml:space="preserve">Section </w:t>
      </w:r>
      <w:r w:rsidR="009A1719">
        <w:rPr>
          <w:rFonts w:ascii="Times New Roman" w:hAnsi="Times New Roman" w:cs="Times New Roman"/>
          <w:b/>
        </w:rPr>
        <w:t>6</w:t>
      </w:r>
      <w:r>
        <w:rPr>
          <w:rFonts w:ascii="Times New Roman" w:hAnsi="Times New Roman" w:cs="Times New Roman"/>
          <w:b/>
        </w:rPr>
        <w:tab/>
        <w:t>References to other instruments</w:t>
      </w:r>
    </w:p>
    <w:p w14:paraId="5EFA7BF7" w14:textId="77777777" w:rsidR="004C58B9" w:rsidRDefault="004C58B9" w:rsidP="004C58B9">
      <w:pPr>
        <w:spacing w:after="40"/>
        <w:rPr>
          <w:rFonts w:ascii="Times New Roman" w:hAnsi="Times New Roman" w:cs="Times New Roman"/>
        </w:rPr>
      </w:pPr>
      <w:r>
        <w:rPr>
          <w:rFonts w:ascii="Times New Roman" w:hAnsi="Times New Roman" w:cs="Times New Roman"/>
        </w:rPr>
        <w:t>This section provides that in the instrument, unless the contrary intention appears:</w:t>
      </w:r>
    </w:p>
    <w:p w14:paraId="4A729303" w14:textId="77777777"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3DC3DC86" w14:textId="768948BE" w:rsidR="001D0D67" w:rsidRPr="001D0D67" w:rsidRDefault="004C58B9" w:rsidP="001D0D67">
      <w:pPr>
        <w:pStyle w:val="ListParagraph"/>
        <w:numPr>
          <w:ilvl w:val="0"/>
          <w:numId w:val="15"/>
        </w:numPr>
      </w:pPr>
      <w:r w:rsidRPr="001D0D67">
        <w:rPr>
          <w:rFonts w:ascii="Times New Roman" w:hAnsi="Times New Roman" w:cs="Times New Roman"/>
        </w:rPr>
        <w:t>a reference to any other kind of instrument is a reference to that other instrument as in force from time to time</w:t>
      </w:r>
      <w:r w:rsidR="003463BA" w:rsidRPr="001D0D67">
        <w:rPr>
          <w:rFonts w:ascii="Times New Roman" w:hAnsi="Times New Roman" w:cs="Times New Roman"/>
        </w:rPr>
        <w:t xml:space="preserve"> or existing from time to time</w:t>
      </w:r>
      <w:r w:rsidRPr="001D0D67">
        <w:rPr>
          <w:rFonts w:ascii="Times New Roman" w:hAnsi="Times New Roman" w:cs="Times New Roman"/>
        </w:rPr>
        <w:t>.</w:t>
      </w:r>
    </w:p>
    <w:p w14:paraId="16021B66" w14:textId="492E3C98" w:rsidR="004C46F8" w:rsidRDefault="004C46F8" w:rsidP="004C46F8">
      <w:pPr>
        <w:rPr>
          <w:rFonts w:ascii="Times New Roman" w:hAnsi="Times New Roman" w:cs="Times New Roman"/>
          <w:b/>
        </w:rPr>
      </w:pPr>
      <w:r>
        <w:rPr>
          <w:rFonts w:ascii="Times New Roman" w:hAnsi="Times New Roman" w:cs="Times New Roman"/>
          <w:b/>
        </w:rPr>
        <w:t xml:space="preserve">Section </w:t>
      </w:r>
      <w:r w:rsidR="00724AE4">
        <w:rPr>
          <w:rFonts w:ascii="Times New Roman" w:hAnsi="Times New Roman" w:cs="Times New Roman"/>
          <w:b/>
        </w:rPr>
        <w:t>7</w:t>
      </w:r>
      <w:r>
        <w:rPr>
          <w:rFonts w:ascii="Times New Roman" w:hAnsi="Times New Roman" w:cs="Times New Roman"/>
          <w:b/>
        </w:rPr>
        <w:tab/>
        <w:t>Emission designator</w:t>
      </w:r>
    </w:p>
    <w:p w14:paraId="3C3C3F96" w14:textId="1CEB421E" w:rsidR="00724AE4" w:rsidRPr="002527D9" w:rsidRDefault="00724AE4" w:rsidP="00724AE4">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This section provides that the designation of a radiocommunications transmitter’s emission is to be worked out using the methods set out in the Radio Regulations, made by the</w:t>
      </w:r>
      <w:r w:rsidR="0021177D">
        <w:rPr>
          <w:rFonts w:ascii="Times New Roman" w:eastAsia="Times New Roman" w:hAnsi="Times New Roman" w:cs="Times New Roman"/>
          <w:color w:val="000000"/>
          <w:lang w:eastAsia="en-AU"/>
        </w:rPr>
        <w:t xml:space="preserve"> ITU</w:t>
      </w:r>
      <w:r w:rsidRPr="002527D9">
        <w:rPr>
          <w:rFonts w:ascii="Times New Roman" w:eastAsia="Times New Roman" w:hAnsi="Times New Roman" w:cs="Times New Roman"/>
          <w:color w:val="000000"/>
          <w:lang w:eastAsia="en-AU"/>
        </w:rPr>
        <w:t>. It also provides that, for the purposes of determining th</w:t>
      </w:r>
      <w:r w:rsidR="00AF29AE">
        <w:rPr>
          <w:rFonts w:ascii="Times New Roman" w:eastAsia="Times New Roman" w:hAnsi="Times New Roman" w:cs="Times New Roman"/>
          <w:color w:val="000000"/>
          <w:lang w:eastAsia="en-AU"/>
        </w:rPr>
        <w:t>e emission</w:t>
      </w:r>
      <w:r w:rsidRPr="002527D9">
        <w:rPr>
          <w:rFonts w:ascii="Times New Roman" w:eastAsia="Times New Roman" w:hAnsi="Times New Roman" w:cs="Times New Roman"/>
          <w:color w:val="000000"/>
          <w:lang w:eastAsia="en-AU"/>
        </w:rPr>
        <w:t xml:space="preserve"> designation</w:t>
      </w:r>
      <w:r w:rsidR="00B2419C">
        <w:rPr>
          <w:rFonts w:ascii="Times New Roman" w:eastAsia="Times New Roman" w:hAnsi="Times New Roman" w:cs="Times New Roman"/>
          <w:color w:val="000000"/>
          <w:lang w:eastAsia="en-AU"/>
        </w:rPr>
        <w:t xml:space="preserve"> of a </w:t>
      </w:r>
      <w:r w:rsidR="00CD3DBE">
        <w:rPr>
          <w:rFonts w:ascii="Times New Roman" w:eastAsia="Times New Roman" w:hAnsi="Times New Roman" w:cs="Times New Roman"/>
          <w:color w:val="000000"/>
          <w:lang w:eastAsia="en-AU"/>
        </w:rPr>
        <w:t>radiocommuni</w:t>
      </w:r>
      <w:r w:rsidR="002C12EF">
        <w:rPr>
          <w:rFonts w:ascii="Times New Roman" w:eastAsia="Times New Roman" w:hAnsi="Times New Roman" w:cs="Times New Roman"/>
          <w:color w:val="000000"/>
          <w:lang w:eastAsia="en-AU"/>
        </w:rPr>
        <w:t>cations transmitter using the Radio Regulations</w:t>
      </w:r>
      <w:r w:rsidR="00D541A0">
        <w:rPr>
          <w:rFonts w:ascii="Times New Roman" w:eastAsia="Times New Roman" w:hAnsi="Times New Roman" w:cs="Times New Roman"/>
          <w:color w:val="000000"/>
          <w:lang w:eastAsia="en-AU"/>
        </w:rPr>
        <w:t>,</w:t>
      </w:r>
      <w:r w:rsidR="002C12EF">
        <w:rPr>
          <w:rFonts w:ascii="Times New Roman" w:eastAsia="Times New Roman" w:hAnsi="Times New Roman" w:cs="Times New Roman"/>
          <w:color w:val="000000"/>
          <w:lang w:eastAsia="en-AU"/>
        </w:rPr>
        <w:t xml:space="preserve"> a reference to </w:t>
      </w:r>
      <w:r w:rsidR="008E11C3">
        <w:rPr>
          <w:rFonts w:ascii="Times New Roman" w:eastAsia="Times New Roman" w:hAnsi="Times New Roman" w:cs="Times New Roman"/>
          <w:color w:val="000000"/>
          <w:lang w:eastAsia="en-AU"/>
        </w:rPr>
        <w:t>“</w:t>
      </w:r>
      <w:r w:rsidR="002C12EF">
        <w:rPr>
          <w:rFonts w:ascii="Times New Roman" w:eastAsia="Times New Roman" w:hAnsi="Times New Roman" w:cs="Times New Roman"/>
          <w:color w:val="000000"/>
          <w:lang w:eastAsia="en-AU"/>
        </w:rPr>
        <w:t xml:space="preserve">necessary </w:t>
      </w:r>
      <w:r w:rsidR="00A84ACC">
        <w:rPr>
          <w:rFonts w:ascii="Times New Roman" w:eastAsia="Times New Roman" w:hAnsi="Times New Roman" w:cs="Times New Roman"/>
          <w:color w:val="000000"/>
          <w:lang w:eastAsia="en-AU"/>
        </w:rPr>
        <w:t>bandwidth</w:t>
      </w:r>
      <w:r w:rsidR="008E11C3">
        <w:rPr>
          <w:rFonts w:ascii="Times New Roman" w:eastAsia="Times New Roman" w:hAnsi="Times New Roman" w:cs="Times New Roman"/>
          <w:color w:val="000000"/>
          <w:lang w:eastAsia="en-AU"/>
        </w:rPr>
        <w:t>”</w:t>
      </w:r>
      <w:r w:rsidR="00A84ACC">
        <w:rPr>
          <w:rFonts w:ascii="Times New Roman" w:eastAsia="Times New Roman" w:hAnsi="Times New Roman" w:cs="Times New Roman"/>
          <w:color w:val="000000"/>
          <w:lang w:eastAsia="en-AU"/>
        </w:rPr>
        <w:t xml:space="preserve"> in those Regulations for a given </w:t>
      </w:r>
      <w:r w:rsidR="00C74F97">
        <w:rPr>
          <w:rFonts w:ascii="Times New Roman" w:eastAsia="Times New Roman" w:hAnsi="Times New Roman" w:cs="Times New Roman"/>
          <w:color w:val="000000"/>
          <w:lang w:eastAsia="en-AU"/>
        </w:rPr>
        <w:t>c</w:t>
      </w:r>
      <w:r w:rsidR="00A84ACC">
        <w:rPr>
          <w:rFonts w:ascii="Times New Roman" w:eastAsia="Times New Roman" w:hAnsi="Times New Roman" w:cs="Times New Roman"/>
          <w:color w:val="000000"/>
          <w:lang w:eastAsia="en-AU"/>
        </w:rPr>
        <w:t xml:space="preserve">lass of emission </w:t>
      </w:r>
      <w:r w:rsidR="00C74F97">
        <w:rPr>
          <w:rFonts w:ascii="Times New Roman" w:eastAsia="Times New Roman" w:hAnsi="Times New Roman" w:cs="Times New Roman"/>
          <w:color w:val="000000"/>
          <w:lang w:eastAsia="en-AU"/>
        </w:rPr>
        <w:t>is</w:t>
      </w:r>
      <w:r w:rsidR="00A84ACC">
        <w:rPr>
          <w:rFonts w:ascii="Times New Roman" w:eastAsia="Times New Roman" w:hAnsi="Times New Roman" w:cs="Times New Roman"/>
          <w:color w:val="000000"/>
          <w:lang w:eastAsia="en-AU"/>
        </w:rPr>
        <w:t xml:space="preserve"> taken to be </w:t>
      </w:r>
      <w:r w:rsidR="00C74F97">
        <w:rPr>
          <w:rFonts w:ascii="Times New Roman" w:eastAsia="Times New Roman" w:hAnsi="Times New Roman" w:cs="Times New Roman"/>
          <w:color w:val="000000"/>
          <w:lang w:eastAsia="en-AU"/>
        </w:rPr>
        <w:t xml:space="preserve">a </w:t>
      </w:r>
      <w:r w:rsidR="00A84ACC">
        <w:rPr>
          <w:rFonts w:ascii="Times New Roman" w:eastAsia="Times New Roman" w:hAnsi="Times New Roman" w:cs="Times New Roman"/>
          <w:color w:val="000000"/>
          <w:lang w:eastAsia="en-AU"/>
        </w:rPr>
        <w:t>reference to the occupied band</w:t>
      </w:r>
      <w:r w:rsidRPr="002527D9">
        <w:rPr>
          <w:rFonts w:ascii="Times New Roman" w:eastAsia="Times New Roman" w:hAnsi="Times New Roman" w:cs="Times New Roman"/>
          <w:color w:val="000000"/>
          <w:lang w:eastAsia="en-AU"/>
        </w:rPr>
        <w:t>width of the transmitter. The designation of a radiocommunications transmitter’s emission is relevant for the coordination and identification of radio emissions and is also used when determining whether two or more fixed transmitters are a group of radiocommunications transmitters under section</w:t>
      </w:r>
      <w:r>
        <w:rPr>
          <w:rFonts w:ascii="Times New Roman" w:eastAsia="Times New Roman" w:hAnsi="Times New Roman" w:cs="Times New Roman"/>
          <w:color w:val="000000"/>
          <w:lang w:eastAsia="en-AU"/>
        </w:rPr>
        <w:t> 8</w:t>
      </w:r>
      <w:r w:rsidRPr="002527D9">
        <w:rPr>
          <w:rFonts w:ascii="Times New Roman" w:eastAsia="Times New Roman" w:hAnsi="Times New Roman" w:cs="Times New Roman"/>
          <w:color w:val="000000"/>
          <w:lang w:eastAsia="en-AU"/>
        </w:rPr>
        <w:t xml:space="preserve"> of the instrument.</w:t>
      </w:r>
    </w:p>
    <w:p w14:paraId="2ECADB63" w14:textId="5C2AA269" w:rsidR="004C46F8" w:rsidRDefault="004C46F8" w:rsidP="00D57278">
      <w:pPr>
        <w:keepNext/>
        <w:spacing w:line="257" w:lineRule="auto"/>
        <w:rPr>
          <w:rFonts w:ascii="Times New Roman" w:hAnsi="Times New Roman" w:cs="Times New Roman"/>
          <w:b/>
        </w:rPr>
      </w:pPr>
      <w:r>
        <w:rPr>
          <w:rFonts w:ascii="Times New Roman" w:hAnsi="Times New Roman" w:cs="Times New Roman"/>
          <w:b/>
        </w:rPr>
        <w:lastRenderedPageBreak/>
        <w:t xml:space="preserve">Section </w:t>
      </w:r>
      <w:r w:rsidR="00724AE4">
        <w:rPr>
          <w:rFonts w:ascii="Times New Roman" w:hAnsi="Times New Roman" w:cs="Times New Roman"/>
          <w:b/>
        </w:rPr>
        <w:t>8</w:t>
      </w:r>
      <w:r>
        <w:rPr>
          <w:rFonts w:ascii="Times New Roman" w:hAnsi="Times New Roman" w:cs="Times New Roman"/>
          <w:b/>
        </w:rPr>
        <w:tab/>
        <w:t>Group of radiocommunications transmitters</w:t>
      </w:r>
    </w:p>
    <w:p w14:paraId="6F769AFD" w14:textId="2C9038B5" w:rsidR="004C46F8" w:rsidRPr="004F1D39" w:rsidRDefault="004F1D39" w:rsidP="00D57278">
      <w:pPr>
        <w:keepLines/>
        <w:spacing w:line="257" w:lineRule="auto"/>
        <w:rPr>
          <w:rFonts w:ascii="Times New Roman" w:hAnsi="Times New Roman" w:cs="Times New Roman"/>
        </w:rPr>
      </w:pPr>
      <w:r w:rsidRPr="004F1D39">
        <w:rPr>
          <w:rFonts w:ascii="Times New Roman" w:hAnsi="Times New Roman" w:cs="Times New Roman"/>
        </w:rPr>
        <w:t xml:space="preserve">This section defines what ‘a group of radiocommunications transmitters’ is for the purpose of the </w:t>
      </w:r>
      <w:r>
        <w:rPr>
          <w:rFonts w:ascii="Times New Roman" w:hAnsi="Times New Roman" w:cs="Times New Roman"/>
        </w:rPr>
        <w:t>instrument</w:t>
      </w:r>
      <w:r w:rsidRPr="004F1D39">
        <w:rPr>
          <w:rFonts w:ascii="Times New Roman" w:hAnsi="Times New Roman" w:cs="Times New Roman"/>
        </w:rPr>
        <w:t xml:space="preserve">. A group of radiocommunications transmitters consists of two or more fixed transmitters at a common site that have common features. </w:t>
      </w:r>
      <w:r w:rsidR="006F513D">
        <w:rPr>
          <w:rFonts w:ascii="Times New Roman" w:hAnsi="Times New Roman" w:cs="Times New Roman"/>
        </w:rPr>
        <w:t>Including</w:t>
      </w:r>
      <w:r w:rsidRPr="004F1D39">
        <w:rPr>
          <w:rFonts w:ascii="Times New Roman" w:hAnsi="Times New Roman" w:cs="Times New Roman"/>
        </w:rPr>
        <w:t xml:space="preserve"> radiocommunications transmitters </w:t>
      </w:r>
      <w:r w:rsidR="006F513D">
        <w:rPr>
          <w:rFonts w:ascii="Times New Roman" w:hAnsi="Times New Roman" w:cs="Times New Roman"/>
        </w:rPr>
        <w:t>within</w:t>
      </w:r>
      <w:r w:rsidR="006F513D" w:rsidRPr="004F1D39">
        <w:rPr>
          <w:rFonts w:ascii="Times New Roman" w:hAnsi="Times New Roman" w:cs="Times New Roman"/>
        </w:rPr>
        <w:t xml:space="preserve"> </w:t>
      </w:r>
      <w:r w:rsidRPr="004F1D39">
        <w:rPr>
          <w:rFonts w:ascii="Times New Roman" w:hAnsi="Times New Roman" w:cs="Times New Roman"/>
        </w:rPr>
        <w:t>a group may make registration of devices easier for licensees.</w:t>
      </w:r>
    </w:p>
    <w:p w14:paraId="691CBC83" w14:textId="6872381F" w:rsidR="004C46F8" w:rsidRDefault="004C46F8" w:rsidP="004C46F8">
      <w:pPr>
        <w:rPr>
          <w:rFonts w:ascii="Times New Roman" w:hAnsi="Times New Roman" w:cs="Times New Roman"/>
          <w:b/>
        </w:rPr>
      </w:pPr>
      <w:r>
        <w:rPr>
          <w:rFonts w:ascii="Times New Roman" w:hAnsi="Times New Roman" w:cs="Times New Roman"/>
          <w:b/>
        </w:rPr>
        <w:t xml:space="preserve">Section </w:t>
      </w:r>
      <w:r w:rsidR="008554AC">
        <w:rPr>
          <w:rFonts w:ascii="Times New Roman" w:hAnsi="Times New Roman" w:cs="Times New Roman"/>
          <w:b/>
        </w:rPr>
        <w:t>9</w:t>
      </w:r>
      <w:r>
        <w:rPr>
          <w:rFonts w:ascii="Times New Roman" w:hAnsi="Times New Roman" w:cs="Times New Roman"/>
          <w:b/>
        </w:rPr>
        <w:tab/>
        <w:t>Group of radiocommunications receivers</w:t>
      </w:r>
    </w:p>
    <w:p w14:paraId="4843F82B" w14:textId="124F60F8" w:rsidR="00AD7D71" w:rsidRPr="002527D9" w:rsidRDefault="00AD7D71" w:rsidP="00AD7D71">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This section defines what ‘a group of radiocommunications receivers’ is for the purpose of the instrument.  A group of radiocommunications receivers consists of two or more fixed receivers at a common site that have certain features in common. Inclusion of radiocommunications receivers within a group may make registration of devices easier for licensees.</w:t>
      </w:r>
    </w:p>
    <w:p w14:paraId="42763689" w14:textId="2EFC9BC2" w:rsidR="004C46F8" w:rsidRDefault="004C46F8" w:rsidP="004C46F8">
      <w:pPr>
        <w:rPr>
          <w:rFonts w:ascii="Times New Roman" w:hAnsi="Times New Roman" w:cs="Times New Roman"/>
          <w:b/>
        </w:rPr>
      </w:pPr>
      <w:r>
        <w:rPr>
          <w:rFonts w:ascii="Times New Roman" w:hAnsi="Times New Roman" w:cs="Times New Roman"/>
          <w:b/>
        </w:rPr>
        <w:t xml:space="preserve">Section </w:t>
      </w:r>
      <w:r w:rsidR="00AD7D71">
        <w:rPr>
          <w:rFonts w:ascii="Times New Roman" w:hAnsi="Times New Roman" w:cs="Times New Roman"/>
          <w:b/>
        </w:rPr>
        <w:t>10</w:t>
      </w:r>
      <w:r>
        <w:rPr>
          <w:rFonts w:ascii="Times New Roman" w:hAnsi="Times New Roman" w:cs="Times New Roman"/>
          <w:b/>
        </w:rPr>
        <w:tab/>
        <w:t>Unacceptable level of interference</w:t>
      </w:r>
    </w:p>
    <w:p w14:paraId="2F456EE9" w14:textId="13B41459" w:rsidR="004C0ADB" w:rsidRPr="002527D9" w:rsidRDefault="004C0ADB" w:rsidP="004C0ADB">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 xml:space="preserve">This section provides the technical definition of what will be deemed unacceptable levels of interference for the purpose of interference management in the </w:t>
      </w:r>
      <w:r>
        <w:rPr>
          <w:rFonts w:ascii="Times New Roman" w:eastAsia="Times New Roman" w:hAnsi="Times New Roman" w:cs="Times New Roman"/>
          <w:color w:val="000000"/>
          <w:lang w:eastAsia="en-AU"/>
        </w:rPr>
        <w:t>850/900 MHz</w:t>
      </w:r>
      <w:r w:rsidRPr="002527D9">
        <w:rPr>
          <w:rFonts w:ascii="Times New Roman" w:eastAsia="Times New Roman" w:hAnsi="Times New Roman" w:cs="Times New Roman"/>
          <w:color w:val="000000"/>
          <w:lang w:eastAsia="en-AU"/>
        </w:rPr>
        <w:t xml:space="preserve"> band. A radiocommunications transmitter producing emissions that are found to cause unacceptable levels of interference to other services will, in most circumstances, not be registered on the Register of Radiocommunications Licenses for operation under a spectrum licence in the band, in accordance with subsection 145(1) of the Act. Licensees who operate such devices without registration will be in breach of the condition included in the licence because of section 69 of the Act and may become subject to further compliance action under the Act.</w:t>
      </w:r>
      <w:r w:rsidR="009544ED">
        <w:rPr>
          <w:rFonts w:ascii="Times New Roman" w:eastAsia="Times New Roman" w:hAnsi="Times New Roman" w:cs="Times New Roman"/>
          <w:color w:val="000000"/>
          <w:lang w:eastAsia="en-AU"/>
        </w:rPr>
        <w:t xml:space="preserve"> It is an offence, and subject to a civil penalty, to operate a radiocommunications device otherwise than as authorised by a spectrum licence (see </w:t>
      </w:r>
      <w:r w:rsidR="00E71B30">
        <w:rPr>
          <w:rFonts w:ascii="Times New Roman" w:eastAsia="Times New Roman" w:hAnsi="Times New Roman" w:cs="Times New Roman"/>
          <w:color w:val="000000"/>
          <w:lang w:eastAsia="en-AU"/>
        </w:rPr>
        <w:t>Part</w:t>
      </w:r>
      <w:r w:rsidR="00D57278">
        <w:rPr>
          <w:rFonts w:ascii="Times New Roman" w:eastAsia="Times New Roman" w:hAnsi="Times New Roman" w:cs="Times New Roman"/>
          <w:color w:val="000000"/>
          <w:lang w:eastAsia="en-AU"/>
        </w:rPr>
        <w:t> </w:t>
      </w:r>
      <w:r w:rsidR="00E71B30">
        <w:rPr>
          <w:rFonts w:ascii="Times New Roman" w:eastAsia="Times New Roman" w:hAnsi="Times New Roman" w:cs="Times New Roman"/>
          <w:color w:val="000000"/>
          <w:lang w:eastAsia="en-AU"/>
        </w:rPr>
        <w:t>3.1 of the Act).</w:t>
      </w:r>
      <w:r w:rsidR="00820E31">
        <w:rPr>
          <w:rFonts w:ascii="Times New Roman" w:eastAsia="Times New Roman" w:hAnsi="Times New Roman" w:cs="Times New Roman"/>
          <w:color w:val="000000"/>
          <w:lang w:eastAsia="en-AU"/>
        </w:rPr>
        <w:t xml:space="preserve"> </w:t>
      </w:r>
      <w:r w:rsidR="00AD7191">
        <w:rPr>
          <w:rFonts w:ascii="Times New Roman" w:eastAsia="Times New Roman" w:hAnsi="Times New Roman" w:cs="Times New Roman"/>
          <w:color w:val="000000"/>
          <w:lang w:eastAsia="en-AU"/>
        </w:rPr>
        <w:t>The maximum penalty for the offence is 2 years imprisonment for an individual, or 1500 penalty units (</w:t>
      </w:r>
      <w:r w:rsidR="00D66D83">
        <w:rPr>
          <w:rFonts w:ascii="Times New Roman" w:eastAsia="Times New Roman" w:hAnsi="Times New Roman" w:cs="Times New Roman"/>
          <w:color w:val="000000"/>
          <w:lang w:eastAsia="en-AU"/>
        </w:rPr>
        <w:t xml:space="preserve">$333,000 on the current value of a penalty unit) where the radiocommunications device is a radiocommunications transmitter. </w:t>
      </w:r>
      <w:r w:rsidR="007066D5">
        <w:rPr>
          <w:rFonts w:ascii="Times New Roman" w:eastAsia="Times New Roman" w:hAnsi="Times New Roman" w:cs="Times New Roman"/>
          <w:color w:val="000000"/>
          <w:lang w:eastAsia="en-AU"/>
        </w:rPr>
        <w:t xml:space="preserve">The maximum civil penalty is 300 penalty units ($66,600 on the current value of a penalty unit) where the radiocommunications device is a radiocommunications transmitter. </w:t>
      </w:r>
      <w:r w:rsidR="00820E31">
        <w:rPr>
          <w:rFonts w:ascii="Times New Roman" w:eastAsia="Times New Roman" w:hAnsi="Times New Roman" w:cs="Times New Roman"/>
          <w:color w:val="000000"/>
          <w:lang w:eastAsia="en-AU"/>
        </w:rPr>
        <w:t>Operation of a radiocommunications device is not authorised by a spectrum licence if it is not in accordance with the conditions of the licence (subsection 64(2) of the Act).</w:t>
      </w:r>
    </w:p>
    <w:p w14:paraId="113F8851" w14:textId="6709B815" w:rsidR="00446439" w:rsidRPr="002527D9" w:rsidRDefault="00446439" w:rsidP="00446439">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 xml:space="preserve">Under </w:t>
      </w:r>
      <w:r>
        <w:rPr>
          <w:rFonts w:ascii="Times New Roman" w:eastAsia="Times New Roman" w:hAnsi="Times New Roman" w:cs="Times New Roman"/>
          <w:color w:val="000000"/>
          <w:lang w:eastAsia="en-AU"/>
        </w:rPr>
        <w:t>sub</w:t>
      </w:r>
      <w:r w:rsidRPr="002527D9">
        <w:rPr>
          <w:rFonts w:ascii="Times New Roman" w:eastAsia="Times New Roman" w:hAnsi="Times New Roman" w:cs="Times New Roman"/>
          <w:color w:val="000000"/>
          <w:lang w:eastAsia="en-AU"/>
        </w:rPr>
        <w:t xml:space="preserve">section </w:t>
      </w:r>
      <w:r>
        <w:rPr>
          <w:rFonts w:ascii="Times New Roman" w:eastAsia="Times New Roman" w:hAnsi="Times New Roman" w:cs="Times New Roman"/>
          <w:color w:val="000000"/>
          <w:lang w:eastAsia="en-AU"/>
        </w:rPr>
        <w:t>10(1)</w:t>
      </w:r>
      <w:r w:rsidRPr="002527D9">
        <w:rPr>
          <w:rFonts w:ascii="Times New Roman" w:eastAsia="Times New Roman" w:hAnsi="Times New Roman" w:cs="Times New Roman"/>
          <w:color w:val="000000"/>
          <w:lang w:eastAsia="en-AU"/>
        </w:rPr>
        <w:t xml:space="preserve">, a </w:t>
      </w:r>
      <w:r w:rsidR="005F3B97">
        <w:rPr>
          <w:rFonts w:ascii="Times New Roman" w:eastAsia="Times New Roman" w:hAnsi="Times New Roman" w:cs="Times New Roman"/>
          <w:color w:val="000000"/>
          <w:lang w:eastAsia="en-AU"/>
        </w:rPr>
        <w:t xml:space="preserve">radiocommunications </w:t>
      </w:r>
      <w:r w:rsidRPr="002527D9">
        <w:rPr>
          <w:rFonts w:ascii="Times New Roman" w:eastAsia="Times New Roman" w:hAnsi="Times New Roman" w:cs="Times New Roman"/>
          <w:color w:val="000000"/>
          <w:lang w:eastAsia="en-AU"/>
        </w:rPr>
        <w:t xml:space="preserve">transmitter </w:t>
      </w:r>
      <w:r w:rsidR="005F3B97">
        <w:rPr>
          <w:rFonts w:ascii="Times New Roman" w:eastAsia="Times New Roman" w:hAnsi="Times New Roman" w:cs="Times New Roman"/>
          <w:color w:val="000000"/>
          <w:lang w:eastAsia="en-AU"/>
        </w:rPr>
        <w:t xml:space="preserve">operated under a spectrum licence </w:t>
      </w:r>
      <w:r w:rsidRPr="002527D9">
        <w:rPr>
          <w:rFonts w:ascii="Times New Roman" w:eastAsia="Times New Roman" w:hAnsi="Times New Roman" w:cs="Times New Roman"/>
          <w:color w:val="000000"/>
          <w:lang w:eastAsia="en-AU"/>
        </w:rPr>
        <w:t>is taken to be causing unacceptable interference if:</w:t>
      </w:r>
    </w:p>
    <w:p w14:paraId="4D5D360F" w14:textId="1E924EE7" w:rsidR="00446439" w:rsidRPr="00820E31" w:rsidRDefault="00446439" w:rsidP="00D57278">
      <w:pPr>
        <w:pStyle w:val="ListParagraph"/>
        <w:numPr>
          <w:ilvl w:val="0"/>
          <w:numId w:val="15"/>
        </w:numPr>
        <w:shd w:val="clear" w:color="auto" w:fill="FFFFFF"/>
        <w:spacing w:after="0"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the operation of the transmitter breaches the core conditions of the licence relating to the maximum permitted level of radio emissions from the radiocommunications transmitter outside the geographic and frequency boundaries of the licence; or</w:t>
      </w:r>
    </w:p>
    <w:p w14:paraId="0BEFC4DB" w14:textId="39BEA8BB" w:rsidR="00446439" w:rsidRPr="00D57278" w:rsidRDefault="00446439" w:rsidP="00D57278">
      <w:pPr>
        <w:pStyle w:val="ListParagraph"/>
        <w:numPr>
          <w:ilvl w:val="0"/>
          <w:numId w:val="15"/>
        </w:numPr>
        <w:shd w:val="clear" w:color="auto" w:fill="FFFFFF"/>
        <w:spacing w:after="0" w:line="233" w:lineRule="atLeast"/>
        <w:rPr>
          <w:rFonts w:ascii="Times New Roman" w:eastAsia="Times New Roman" w:hAnsi="Times New Roman" w:cs="Times New Roman"/>
          <w:color w:val="000000"/>
          <w:lang w:eastAsia="en-AU"/>
        </w:rPr>
      </w:pPr>
      <w:r w:rsidRPr="00D57278">
        <w:rPr>
          <w:rFonts w:ascii="Times New Roman" w:eastAsia="Times New Roman" w:hAnsi="Times New Roman" w:cs="Times New Roman"/>
          <w:color w:val="000000"/>
          <w:lang w:eastAsia="en-AU"/>
        </w:rPr>
        <w:t>subject to the exceptions below, any part of the ‘device boundary’ of the transmitter lies outside the geographic area of the licence. The ‘device boundary’ is a theoretical boundary calculated around the device using the methodology set out in the Schedules to the instrument; or</w:t>
      </w:r>
    </w:p>
    <w:p w14:paraId="085FAC27" w14:textId="2274266A" w:rsidR="00446439" w:rsidRPr="00820E31" w:rsidRDefault="00446439" w:rsidP="00D57278">
      <w:pPr>
        <w:pStyle w:val="ListParagraph"/>
        <w:numPr>
          <w:ilvl w:val="0"/>
          <w:numId w:val="15"/>
        </w:numPr>
        <w:shd w:val="clear" w:color="auto" w:fill="FFFFFF"/>
        <w:spacing w:after="0"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 xml:space="preserve">the transmitter </w:t>
      </w:r>
      <w:r w:rsidR="009A7280">
        <w:rPr>
          <w:rFonts w:ascii="Times New Roman" w:eastAsia="Times New Roman" w:hAnsi="Times New Roman" w:cs="Times New Roman"/>
          <w:color w:val="000000"/>
          <w:lang w:eastAsia="en-AU"/>
        </w:rPr>
        <w:t>has an</w:t>
      </w:r>
      <w:r w:rsidRPr="00D57278">
        <w:rPr>
          <w:rFonts w:ascii="Times New Roman" w:eastAsia="Times New Roman" w:hAnsi="Times New Roman" w:cs="Times New Roman"/>
          <w:color w:val="000000"/>
          <w:lang w:eastAsia="en-AU"/>
        </w:rPr>
        <w:t xml:space="preserve"> effective antenna height </w:t>
      </w:r>
      <w:r w:rsidR="009A7280">
        <w:rPr>
          <w:rFonts w:ascii="Times New Roman" w:eastAsia="Times New Roman" w:hAnsi="Times New Roman" w:cs="Times New Roman"/>
          <w:color w:val="000000"/>
          <w:lang w:eastAsia="en-AU"/>
        </w:rPr>
        <w:t>greater than 10 metres</w:t>
      </w:r>
      <w:r w:rsidRPr="00D57278">
        <w:rPr>
          <w:rFonts w:ascii="Times New Roman" w:eastAsia="Times New Roman" w:hAnsi="Times New Roman" w:cs="Times New Roman"/>
          <w:color w:val="000000"/>
          <w:lang w:eastAsia="en-AU"/>
        </w:rPr>
        <w:t>; or</w:t>
      </w:r>
    </w:p>
    <w:p w14:paraId="595BF62F" w14:textId="5EA9D5E6" w:rsidR="00446439" w:rsidRPr="00820E31" w:rsidRDefault="00446439" w:rsidP="00D57278">
      <w:pPr>
        <w:pStyle w:val="ListParagraph"/>
        <w:numPr>
          <w:ilvl w:val="0"/>
          <w:numId w:val="15"/>
        </w:numPr>
        <w:shd w:val="clear" w:color="auto" w:fill="FFFFFF"/>
        <w:spacing w:line="233" w:lineRule="atLeast"/>
        <w:rPr>
          <w:rFonts w:ascii="Calibri" w:eastAsia="Times New Roman" w:hAnsi="Calibri" w:cs="Calibri"/>
          <w:color w:val="000000"/>
          <w:lang w:eastAsia="en-AU"/>
        </w:rPr>
      </w:pPr>
      <w:r w:rsidRPr="00D57278">
        <w:rPr>
          <w:rFonts w:ascii="Times New Roman" w:eastAsia="Times New Roman" w:hAnsi="Times New Roman" w:cs="Times New Roman"/>
          <w:color w:val="000000"/>
          <w:lang w:eastAsia="en-AU"/>
        </w:rPr>
        <w:t>the device boundary of the transmitter cannot be calculated in accordance with Part 1 of Schedule 2 to the instrument.</w:t>
      </w:r>
    </w:p>
    <w:p w14:paraId="12C3CE74" w14:textId="77777777" w:rsidR="00F744B4" w:rsidRPr="00F110A8" w:rsidRDefault="00F744B4" w:rsidP="00F744B4">
      <w:pPr>
        <w:shd w:val="clear" w:color="auto" w:fill="FFFFFF"/>
        <w:spacing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 xml:space="preserve">Subsection </w:t>
      </w:r>
      <w:r>
        <w:rPr>
          <w:rFonts w:ascii="Times New Roman" w:eastAsia="Times New Roman" w:hAnsi="Times New Roman" w:cs="Times New Roman"/>
          <w:color w:val="000000"/>
          <w:lang w:eastAsia="en-AU"/>
        </w:rPr>
        <w:t>10</w:t>
      </w:r>
      <w:r w:rsidRPr="002527D9">
        <w:rPr>
          <w:rFonts w:ascii="Times New Roman" w:eastAsia="Times New Roman" w:hAnsi="Times New Roman" w:cs="Times New Roman"/>
          <w:color w:val="000000"/>
          <w:lang w:eastAsia="en-AU"/>
        </w:rPr>
        <w:t xml:space="preserve">(2) provides </w:t>
      </w:r>
      <w:r>
        <w:rPr>
          <w:rFonts w:ascii="Times New Roman" w:eastAsia="Times New Roman" w:hAnsi="Times New Roman" w:cs="Times New Roman"/>
          <w:color w:val="000000"/>
          <w:lang w:eastAsia="en-AU"/>
        </w:rPr>
        <w:t xml:space="preserve">that a level of interference mentioned in paragraph 10(1)(b) of the instrument is not unacceptable </w:t>
      </w:r>
      <w:r w:rsidRPr="002527D9">
        <w:rPr>
          <w:rFonts w:ascii="Times New Roman" w:eastAsia="Times New Roman" w:hAnsi="Times New Roman" w:cs="Times New Roman"/>
          <w:color w:val="000000"/>
          <w:lang w:eastAsia="en-AU"/>
        </w:rPr>
        <w:t>in the case wher</w:t>
      </w:r>
      <w:r>
        <w:rPr>
          <w:rFonts w:ascii="Times New Roman" w:eastAsia="Times New Roman" w:hAnsi="Times New Roman" w:cs="Times New Roman"/>
          <w:color w:val="000000"/>
          <w:lang w:eastAsia="en-AU"/>
        </w:rPr>
        <w:t>e</w:t>
      </w:r>
      <w:r w:rsidRPr="00F110A8">
        <w:t xml:space="preserve"> </w:t>
      </w:r>
      <w:r w:rsidRPr="00F110A8">
        <w:rPr>
          <w:rFonts w:ascii="Times New Roman" w:eastAsia="Times New Roman" w:hAnsi="Times New Roman" w:cs="Times New Roman"/>
          <w:color w:val="000000"/>
          <w:lang w:eastAsia="en-AU"/>
        </w:rPr>
        <w:t>device boundary</w:t>
      </w:r>
      <w:r>
        <w:rPr>
          <w:rFonts w:ascii="Times New Roman" w:eastAsia="Times New Roman" w:hAnsi="Times New Roman" w:cs="Times New Roman"/>
          <w:color w:val="000000"/>
          <w:lang w:eastAsia="en-AU"/>
        </w:rPr>
        <w:t xml:space="preserve"> </w:t>
      </w:r>
      <w:r w:rsidRPr="00F110A8">
        <w:rPr>
          <w:rFonts w:ascii="Times New Roman" w:eastAsia="Times New Roman" w:hAnsi="Times New Roman" w:cs="Times New Roman"/>
          <w:color w:val="000000"/>
          <w:lang w:eastAsia="en-AU"/>
        </w:rPr>
        <w:t>lies outside the boundary of the ASMG</w:t>
      </w:r>
      <w:r>
        <w:rPr>
          <w:rFonts w:ascii="Times New Roman" w:eastAsia="Times New Roman" w:hAnsi="Times New Roman" w:cs="Times New Roman"/>
          <w:color w:val="000000"/>
          <w:lang w:eastAsia="en-AU"/>
        </w:rPr>
        <w:t xml:space="preserve"> and </w:t>
      </w:r>
      <w:r w:rsidRPr="00F110A8">
        <w:rPr>
          <w:rFonts w:ascii="Times New Roman" w:eastAsia="Times New Roman" w:hAnsi="Times New Roman" w:cs="Times New Roman"/>
          <w:color w:val="000000"/>
          <w:lang w:eastAsia="en-AU"/>
        </w:rPr>
        <w:t>is connected to a radial mentioned in Part 1 of Schedule 2 and</w:t>
      </w:r>
      <w:r>
        <w:rPr>
          <w:rFonts w:ascii="Times New Roman" w:eastAsia="Times New Roman" w:hAnsi="Times New Roman" w:cs="Times New Roman"/>
          <w:color w:val="000000"/>
          <w:lang w:eastAsia="en-AU"/>
        </w:rPr>
        <w:t xml:space="preserve"> </w:t>
      </w:r>
      <w:r w:rsidRPr="00F110A8">
        <w:rPr>
          <w:rFonts w:ascii="Times New Roman" w:eastAsia="Times New Roman" w:hAnsi="Times New Roman" w:cs="Times New Roman"/>
          <w:color w:val="000000"/>
          <w:lang w:eastAsia="en-AU"/>
        </w:rPr>
        <w:t>does not cross the geographic area of another spectrum licence in the 850/900 MHz band.</w:t>
      </w:r>
    </w:p>
    <w:p w14:paraId="6DB7D057" w14:textId="5351913A" w:rsidR="00710541" w:rsidRDefault="0038730A" w:rsidP="0084604A">
      <w:pPr>
        <w:keepNext/>
        <w:shd w:val="clear" w:color="auto" w:fill="FFFFFF"/>
        <w:spacing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lastRenderedPageBreak/>
        <w:t>Subsection 10</w:t>
      </w:r>
      <w:r w:rsidRPr="00F110A8">
        <w:rPr>
          <w:rFonts w:ascii="Times New Roman" w:eastAsia="Times New Roman" w:hAnsi="Times New Roman" w:cs="Times New Roman"/>
          <w:color w:val="000000"/>
          <w:lang w:eastAsia="en-AU"/>
        </w:rPr>
        <w:t>(3)</w:t>
      </w:r>
      <w:r>
        <w:rPr>
          <w:rFonts w:ascii="Times New Roman" w:eastAsia="Times New Roman" w:hAnsi="Times New Roman" w:cs="Times New Roman"/>
          <w:color w:val="000000"/>
          <w:lang w:eastAsia="en-AU"/>
        </w:rPr>
        <w:t xml:space="preserve"> provides that a</w:t>
      </w:r>
      <w:r w:rsidRPr="00F110A8">
        <w:rPr>
          <w:rFonts w:ascii="Times New Roman" w:eastAsia="Times New Roman" w:hAnsi="Times New Roman" w:cs="Times New Roman"/>
          <w:color w:val="000000"/>
          <w:lang w:eastAsia="en-AU"/>
        </w:rPr>
        <w:t xml:space="preserve"> level of interference mentioned in paragraph </w:t>
      </w:r>
      <w:r w:rsidR="00CF08FC">
        <w:rPr>
          <w:rFonts w:ascii="Times New Roman" w:eastAsia="Times New Roman" w:hAnsi="Times New Roman" w:cs="Times New Roman"/>
          <w:color w:val="000000"/>
          <w:lang w:eastAsia="en-AU"/>
        </w:rPr>
        <w:t>10</w:t>
      </w:r>
      <w:r w:rsidRPr="00F110A8">
        <w:rPr>
          <w:rFonts w:ascii="Times New Roman" w:eastAsia="Times New Roman" w:hAnsi="Times New Roman" w:cs="Times New Roman"/>
          <w:color w:val="000000"/>
          <w:lang w:eastAsia="en-AU"/>
        </w:rPr>
        <w:t>(1)(b) is not unacceptable in relation to a part of the device boundary that</w:t>
      </w:r>
      <w:r>
        <w:rPr>
          <w:rFonts w:ascii="Times New Roman" w:eastAsia="Times New Roman" w:hAnsi="Times New Roman" w:cs="Times New Roman"/>
          <w:color w:val="000000"/>
          <w:lang w:eastAsia="en-AU"/>
        </w:rPr>
        <w:t xml:space="preserve"> </w:t>
      </w:r>
      <w:r w:rsidRPr="00F110A8">
        <w:rPr>
          <w:rFonts w:ascii="Times New Roman" w:eastAsia="Times New Roman" w:hAnsi="Times New Roman" w:cs="Times New Roman"/>
          <w:color w:val="000000"/>
          <w:lang w:eastAsia="en-AU"/>
        </w:rPr>
        <w:t>lies outside the geographic area of the licence</w:t>
      </w:r>
      <w:r>
        <w:rPr>
          <w:rFonts w:ascii="Times New Roman" w:eastAsia="Times New Roman" w:hAnsi="Times New Roman" w:cs="Times New Roman"/>
          <w:color w:val="000000"/>
          <w:lang w:eastAsia="en-AU"/>
        </w:rPr>
        <w:t>,</w:t>
      </w:r>
      <w:r w:rsidR="00CF08FC">
        <w:rPr>
          <w:rFonts w:ascii="Times New Roman" w:eastAsia="Times New Roman" w:hAnsi="Times New Roman" w:cs="Times New Roman"/>
          <w:color w:val="000000"/>
          <w:lang w:eastAsia="en-AU"/>
        </w:rPr>
        <w:t xml:space="preserve"> and that</w:t>
      </w:r>
      <w:r>
        <w:rPr>
          <w:rFonts w:ascii="Times New Roman" w:eastAsia="Times New Roman" w:hAnsi="Times New Roman" w:cs="Times New Roman"/>
          <w:color w:val="000000"/>
          <w:lang w:eastAsia="en-AU"/>
        </w:rPr>
        <w:t xml:space="preserve"> </w:t>
      </w:r>
      <w:r w:rsidRPr="00F110A8">
        <w:rPr>
          <w:rFonts w:ascii="Times New Roman" w:eastAsia="Times New Roman" w:hAnsi="Times New Roman" w:cs="Times New Roman"/>
          <w:color w:val="000000"/>
          <w:lang w:eastAsia="en-AU"/>
        </w:rPr>
        <w:t>is connected to a radial that</w:t>
      </w:r>
      <w:r w:rsidR="00710541">
        <w:rPr>
          <w:rFonts w:ascii="Times New Roman" w:eastAsia="Times New Roman" w:hAnsi="Times New Roman" w:cs="Times New Roman"/>
          <w:color w:val="000000"/>
          <w:lang w:eastAsia="en-AU"/>
        </w:rPr>
        <w:t>:</w:t>
      </w:r>
    </w:p>
    <w:p w14:paraId="320957E6" w14:textId="347FD3D0" w:rsidR="00710541" w:rsidRDefault="0038730A" w:rsidP="00710541">
      <w:pPr>
        <w:pStyle w:val="ListParagraph"/>
        <w:numPr>
          <w:ilvl w:val="0"/>
          <w:numId w:val="28"/>
        </w:numPr>
        <w:shd w:val="clear" w:color="auto" w:fill="FFFFFF"/>
        <w:spacing w:line="233" w:lineRule="atLeast"/>
        <w:rPr>
          <w:rFonts w:ascii="Times New Roman" w:eastAsia="Times New Roman" w:hAnsi="Times New Roman" w:cs="Times New Roman"/>
          <w:color w:val="000000"/>
          <w:lang w:eastAsia="en-AU"/>
        </w:rPr>
      </w:pPr>
      <w:r w:rsidRPr="00710541">
        <w:rPr>
          <w:rFonts w:ascii="Times New Roman" w:eastAsia="Times New Roman" w:hAnsi="Times New Roman" w:cs="Times New Roman"/>
          <w:color w:val="000000"/>
          <w:lang w:eastAsia="en-AU"/>
        </w:rPr>
        <w:t>is mentioned in Part 1 of Schedule 2</w:t>
      </w:r>
      <w:r w:rsidR="00710541">
        <w:rPr>
          <w:rFonts w:ascii="Times New Roman" w:eastAsia="Times New Roman" w:hAnsi="Times New Roman" w:cs="Times New Roman"/>
          <w:color w:val="000000"/>
          <w:lang w:eastAsia="en-AU"/>
        </w:rPr>
        <w:t>;</w:t>
      </w:r>
    </w:p>
    <w:p w14:paraId="4770FD80" w14:textId="26EDA4B0" w:rsidR="00710541" w:rsidRDefault="0038730A" w:rsidP="00710541">
      <w:pPr>
        <w:pStyle w:val="ListParagraph"/>
        <w:numPr>
          <w:ilvl w:val="0"/>
          <w:numId w:val="28"/>
        </w:numPr>
        <w:shd w:val="clear" w:color="auto" w:fill="FFFFFF"/>
        <w:spacing w:line="233" w:lineRule="atLeast"/>
        <w:rPr>
          <w:rFonts w:ascii="Times New Roman" w:eastAsia="Times New Roman" w:hAnsi="Times New Roman" w:cs="Times New Roman"/>
          <w:color w:val="000000"/>
          <w:lang w:eastAsia="en-AU"/>
        </w:rPr>
      </w:pPr>
      <w:r w:rsidRPr="00710541">
        <w:rPr>
          <w:rFonts w:ascii="Times New Roman" w:eastAsia="Times New Roman" w:hAnsi="Times New Roman" w:cs="Times New Roman"/>
          <w:color w:val="000000"/>
          <w:lang w:eastAsia="en-AU"/>
        </w:rPr>
        <w:t>does not cross over the land outside the geographic area of the licence that is permanently above the Australian territorial sea baseline</w:t>
      </w:r>
      <w:r w:rsidR="00710541">
        <w:rPr>
          <w:rFonts w:ascii="Times New Roman" w:eastAsia="Times New Roman" w:hAnsi="Times New Roman" w:cs="Times New Roman"/>
          <w:color w:val="000000"/>
          <w:lang w:eastAsia="en-AU"/>
        </w:rPr>
        <w:t>;</w:t>
      </w:r>
      <w:r w:rsidRPr="00710541">
        <w:rPr>
          <w:rFonts w:ascii="Times New Roman" w:eastAsia="Times New Roman" w:hAnsi="Times New Roman" w:cs="Times New Roman"/>
          <w:color w:val="000000"/>
          <w:lang w:eastAsia="en-AU"/>
        </w:rPr>
        <w:t xml:space="preserve"> and </w:t>
      </w:r>
    </w:p>
    <w:p w14:paraId="0F95B458" w14:textId="085439B7" w:rsidR="0038730A" w:rsidRPr="00710541" w:rsidRDefault="0038730A" w:rsidP="00D57278">
      <w:pPr>
        <w:pStyle w:val="ListParagraph"/>
        <w:numPr>
          <w:ilvl w:val="0"/>
          <w:numId w:val="28"/>
        </w:numPr>
        <w:shd w:val="clear" w:color="auto" w:fill="FFFFFF"/>
        <w:spacing w:line="233" w:lineRule="atLeast"/>
        <w:rPr>
          <w:rFonts w:ascii="Times New Roman" w:eastAsia="Times New Roman" w:hAnsi="Times New Roman" w:cs="Times New Roman"/>
          <w:color w:val="000000"/>
          <w:lang w:eastAsia="en-AU"/>
        </w:rPr>
      </w:pPr>
      <w:r w:rsidRPr="00710541">
        <w:rPr>
          <w:rFonts w:ascii="Times New Roman" w:eastAsia="Times New Roman" w:hAnsi="Times New Roman" w:cs="Times New Roman"/>
          <w:color w:val="000000"/>
          <w:lang w:eastAsia="en-AU"/>
        </w:rPr>
        <w:t xml:space="preserve">does not cross over an area within any of the </w:t>
      </w:r>
      <w:r w:rsidR="003B003E">
        <w:rPr>
          <w:rFonts w:ascii="Times New Roman" w:eastAsia="Times New Roman" w:hAnsi="Times New Roman" w:cs="Times New Roman"/>
          <w:color w:val="000000"/>
          <w:lang w:eastAsia="en-AU"/>
        </w:rPr>
        <w:t>hierarchical cell identification scheme (</w:t>
      </w:r>
      <w:r w:rsidRPr="00D57278">
        <w:rPr>
          <w:rFonts w:ascii="Times New Roman" w:eastAsia="Times New Roman" w:hAnsi="Times New Roman" w:cs="Times New Roman"/>
          <w:b/>
          <w:bCs/>
          <w:color w:val="000000"/>
          <w:lang w:eastAsia="en-AU"/>
        </w:rPr>
        <w:t>HCIS</w:t>
      </w:r>
      <w:r w:rsidR="003B003E">
        <w:rPr>
          <w:rFonts w:ascii="Times New Roman" w:eastAsia="Times New Roman" w:hAnsi="Times New Roman" w:cs="Times New Roman"/>
          <w:color w:val="000000"/>
          <w:lang w:eastAsia="en-AU"/>
        </w:rPr>
        <w:t>)</w:t>
      </w:r>
      <w:r w:rsidRPr="00710541">
        <w:rPr>
          <w:rFonts w:ascii="Times New Roman" w:eastAsia="Times New Roman" w:hAnsi="Times New Roman" w:cs="Times New Roman"/>
          <w:color w:val="000000"/>
          <w:lang w:eastAsia="en-AU"/>
        </w:rPr>
        <w:t xml:space="preserve"> identifiers IW3E, IW3I, IW3M, IW6A, IW6E, KX9, LX7, LX8</w:t>
      </w:r>
      <w:r w:rsidR="00CF08FC">
        <w:rPr>
          <w:rFonts w:ascii="Times New Roman" w:eastAsia="Times New Roman" w:hAnsi="Times New Roman" w:cs="Times New Roman"/>
          <w:color w:val="000000"/>
          <w:lang w:eastAsia="en-AU"/>
        </w:rPr>
        <w:t xml:space="preserve"> or</w:t>
      </w:r>
      <w:r w:rsidRPr="00710541">
        <w:rPr>
          <w:rFonts w:ascii="Times New Roman" w:eastAsia="Times New Roman" w:hAnsi="Times New Roman" w:cs="Times New Roman"/>
          <w:color w:val="000000"/>
          <w:lang w:eastAsia="en-AU"/>
        </w:rPr>
        <w:t xml:space="preserve"> LX9.</w:t>
      </w:r>
    </w:p>
    <w:p w14:paraId="7A475F09" w14:textId="1E1F6CF1" w:rsidR="000854E3" w:rsidRDefault="000854E3" w:rsidP="00F9433A">
      <w:pPr>
        <w:shd w:val="clear" w:color="auto" w:fill="FFFFFF"/>
        <w:spacing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In each of these </w:t>
      </w:r>
      <w:r w:rsidR="00805C8B">
        <w:rPr>
          <w:rFonts w:ascii="Times New Roman" w:eastAsia="Times New Roman" w:hAnsi="Times New Roman" w:cs="Times New Roman"/>
          <w:color w:val="000000"/>
          <w:lang w:eastAsia="en-AU"/>
        </w:rPr>
        <w:t>cases, the fact that the device boundary is located outside of the geographic area of the licence does not mean that the transmitter is taken to be causing unacceptable interference. (The transmitter may, however, be taken to be causing unacc</w:t>
      </w:r>
      <w:r w:rsidR="00545EF5">
        <w:rPr>
          <w:rFonts w:ascii="Times New Roman" w:eastAsia="Times New Roman" w:hAnsi="Times New Roman" w:cs="Times New Roman"/>
          <w:color w:val="000000"/>
          <w:lang w:eastAsia="en-AU"/>
        </w:rPr>
        <w:t xml:space="preserve">eptable interference for other reasons.) </w:t>
      </w:r>
    </w:p>
    <w:p w14:paraId="36A309E1" w14:textId="7ED08AE6" w:rsidR="00545EF5" w:rsidRDefault="00545EF5" w:rsidP="00F9433A">
      <w:pPr>
        <w:shd w:val="clear" w:color="auto" w:fill="FFFFFF"/>
        <w:spacing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The ASM</w:t>
      </w:r>
      <w:r w:rsidR="003B003E">
        <w:rPr>
          <w:rFonts w:ascii="Times New Roman" w:eastAsia="Times New Roman" w:hAnsi="Times New Roman" w:cs="Times New Roman"/>
          <w:color w:val="000000"/>
          <w:lang w:eastAsia="en-AU"/>
        </w:rPr>
        <w:t>G</w:t>
      </w:r>
      <w:r>
        <w:rPr>
          <w:rFonts w:ascii="Times New Roman" w:eastAsia="Times New Roman" w:hAnsi="Times New Roman" w:cs="Times New Roman"/>
          <w:color w:val="000000"/>
          <w:lang w:eastAsia="en-AU"/>
        </w:rPr>
        <w:t xml:space="preserve"> is set out in the </w:t>
      </w:r>
      <w:r w:rsidR="003B003E">
        <w:rPr>
          <w:rFonts w:ascii="Times New Roman" w:eastAsia="Times New Roman" w:hAnsi="Times New Roman" w:cs="Times New Roman"/>
          <w:color w:val="000000"/>
          <w:lang w:eastAsia="en-AU"/>
        </w:rPr>
        <w:t xml:space="preserve">Australian Spectrum Map Grid 2012, available from the ACMA’s website. It is used to identify the geographic areas of spectrum licences. In accordance with paragraph </w:t>
      </w:r>
      <w:r w:rsidR="001B1F21">
        <w:rPr>
          <w:rFonts w:ascii="Times New Roman" w:eastAsia="Times New Roman" w:hAnsi="Times New Roman" w:cs="Times New Roman"/>
          <w:color w:val="000000"/>
          <w:lang w:eastAsia="en-AU"/>
        </w:rPr>
        <w:t>66(1)(c) of the Act, a condition specifying the geographic areas within which operation of radiocommunications devices is permitted under the licence is a core condition of a spectrum licence.</w:t>
      </w:r>
    </w:p>
    <w:p w14:paraId="216DA094" w14:textId="286BBAE7" w:rsidR="001B1F21" w:rsidRPr="003B003E" w:rsidRDefault="001B1F21" w:rsidP="00F9433A">
      <w:pPr>
        <w:shd w:val="clear" w:color="auto" w:fill="FFFFFF"/>
        <w:spacing w:line="233" w:lineRule="atLeast"/>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ASMG uses the HCIS </w:t>
      </w:r>
      <w:r w:rsidR="00E00033">
        <w:rPr>
          <w:rFonts w:ascii="Times New Roman" w:eastAsia="Times New Roman" w:hAnsi="Times New Roman" w:cs="Times New Roman"/>
          <w:color w:val="000000"/>
          <w:lang w:eastAsia="en-AU"/>
        </w:rPr>
        <w:t xml:space="preserve">to identify particular areas in Australia. The HCIS identifiers </w:t>
      </w:r>
      <w:r w:rsidR="00940FE5">
        <w:rPr>
          <w:rFonts w:ascii="Times New Roman" w:eastAsia="Times New Roman" w:hAnsi="Times New Roman" w:cs="Times New Roman"/>
          <w:color w:val="000000"/>
          <w:lang w:eastAsia="en-AU"/>
        </w:rPr>
        <w:t xml:space="preserve">included in subsection 10(3) cover </w:t>
      </w:r>
      <w:r w:rsidR="0002638D">
        <w:rPr>
          <w:rFonts w:ascii="Times New Roman" w:eastAsia="Times New Roman" w:hAnsi="Times New Roman" w:cs="Times New Roman"/>
          <w:color w:val="000000"/>
          <w:lang w:eastAsia="en-AU"/>
        </w:rPr>
        <w:t>an area near Adelaide, and an area in Bass Strait.</w:t>
      </w:r>
    </w:p>
    <w:p w14:paraId="54A18C4A" w14:textId="2D43E4CA" w:rsidR="00F9433A" w:rsidRDefault="00F9433A" w:rsidP="00F9433A">
      <w:pPr>
        <w:shd w:val="clear" w:color="auto" w:fill="FFFFFF"/>
        <w:spacing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 xml:space="preserve">Subsection </w:t>
      </w:r>
      <w:r>
        <w:rPr>
          <w:rFonts w:ascii="Times New Roman" w:eastAsia="Times New Roman" w:hAnsi="Times New Roman" w:cs="Times New Roman"/>
          <w:color w:val="000000"/>
          <w:lang w:eastAsia="en-AU"/>
        </w:rPr>
        <w:t>10</w:t>
      </w:r>
      <w:r w:rsidRPr="002527D9">
        <w:rPr>
          <w:rFonts w:ascii="Times New Roman" w:eastAsia="Times New Roman" w:hAnsi="Times New Roman" w:cs="Times New Roman"/>
          <w:color w:val="000000"/>
          <w:lang w:eastAsia="en-AU"/>
        </w:rPr>
        <w:t xml:space="preserve">(4) </w:t>
      </w:r>
      <w:r w:rsidR="009D03E6">
        <w:rPr>
          <w:rFonts w:ascii="Times New Roman" w:eastAsia="Times New Roman" w:hAnsi="Times New Roman" w:cs="Times New Roman"/>
          <w:color w:val="000000"/>
          <w:lang w:eastAsia="en-AU"/>
        </w:rPr>
        <w:t>provides</w:t>
      </w:r>
      <w:r>
        <w:rPr>
          <w:rFonts w:ascii="Times New Roman" w:eastAsia="Times New Roman" w:hAnsi="Times New Roman" w:cs="Times New Roman"/>
          <w:color w:val="000000"/>
          <w:lang w:eastAsia="en-AU"/>
        </w:rPr>
        <w:t xml:space="preserve"> that </w:t>
      </w:r>
      <w:r w:rsidR="00C673DB">
        <w:rPr>
          <w:rFonts w:ascii="Times New Roman" w:eastAsia="Times New Roman" w:hAnsi="Times New Roman" w:cs="Times New Roman"/>
          <w:color w:val="000000"/>
          <w:lang w:eastAsia="en-AU"/>
        </w:rPr>
        <w:t>‘</w:t>
      </w:r>
      <w:r w:rsidRPr="00F110A8">
        <w:rPr>
          <w:rFonts w:ascii="Times New Roman" w:eastAsia="Times New Roman" w:hAnsi="Times New Roman" w:cs="Times New Roman"/>
          <w:color w:val="000000"/>
          <w:lang w:eastAsia="en-AU"/>
        </w:rPr>
        <w:t>Australian territorial sea baseline</w:t>
      </w:r>
      <w:r w:rsidR="00C673DB">
        <w:rPr>
          <w:rFonts w:ascii="Times New Roman" w:eastAsia="Times New Roman" w:hAnsi="Times New Roman" w:cs="Times New Roman"/>
          <w:color w:val="000000"/>
          <w:lang w:eastAsia="en-AU"/>
        </w:rPr>
        <w:t>’</w:t>
      </w:r>
      <w:r w:rsidRPr="00F110A8">
        <w:rPr>
          <w:rFonts w:ascii="Times New Roman" w:eastAsia="Times New Roman" w:hAnsi="Times New Roman" w:cs="Times New Roman"/>
          <w:color w:val="000000"/>
          <w:lang w:eastAsia="en-AU"/>
        </w:rPr>
        <w:t xml:space="preserve"> means the baseline from which the breadth of the territorial sea, or any part of the territorial sea, is to be measured under section 7 of the </w:t>
      </w:r>
      <w:r w:rsidRPr="00F9433A">
        <w:rPr>
          <w:rFonts w:ascii="Times New Roman" w:eastAsia="Times New Roman" w:hAnsi="Times New Roman" w:cs="Times New Roman"/>
          <w:i/>
          <w:iCs/>
          <w:color w:val="000000"/>
          <w:lang w:eastAsia="en-AU"/>
        </w:rPr>
        <w:t>Seas and Submerged Lands Act 1973</w:t>
      </w:r>
      <w:r w:rsidRPr="00F110A8">
        <w:rPr>
          <w:rFonts w:ascii="Times New Roman" w:eastAsia="Times New Roman" w:hAnsi="Times New Roman" w:cs="Times New Roman"/>
          <w:color w:val="000000"/>
          <w:lang w:eastAsia="en-AU"/>
        </w:rPr>
        <w:t>.</w:t>
      </w:r>
    </w:p>
    <w:p w14:paraId="548FCB99" w14:textId="38EC70BD" w:rsidR="00F9433A" w:rsidRPr="002527D9" w:rsidRDefault="00F9433A" w:rsidP="00F9433A">
      <w:pPr>
        <w:shd w:val="clear" w:color="auto" w:fill="FFFFFF"/>
        <w:spacing w:line="233" w:lineRule="atLeast"/>
        <w:rPr>
          <w:rFonts w:ascii="Calibri" w:eastAsia="Times New Roman" w:hAnsi="Calibri" w:cs="Calibri"/>
          <w:color w:val="000000"/>
          <w:lang w:eastAsia="en-AU"/>
        </w:rPr>
      </w:pPr>
      <w:r>
        <w:rPr>
          <w:rFonts w:ascii="Times New Roman" w:eastAsia="Times New Roman" w:hAnsi="Times New Roman" w:cs="Times New Roman"/>
          <w:color w:val="000000"/>
          <w:lang w:eastAsia="en-AU"/>
        </w:rPr>
        <w:t xml:space="preserve">Subsection 10(5) </w:t>
      </w:r>
      <w:r w:rsidR="009D03E6">
        <w:rPr>
          <w:rFonts w:ascii="Times New Roman" w:eastAsia="Times New Roman" w:hAnsi="Times New Roman" w:cs="Times New Roman"/>
          <w:color w:val="000000"/>
          <w:lang w:eastAsia="en-AU"/>
        </w:rPr>
        <w:t xml:space="preserve">provides </w:t>
      </w:r>
      <w:r>
        <w:rPr>
          <w:rFonts w:ascii="Times New Roman" w:eastAsia="Times New Roman" w:hAnsi="Times New Roman" w:cs="Times New Roman"/>
          <w:color w:val="000000"/>
          <w:lang w:eastAsia="en-AU"/>
        </w:rPr>
        <w:t>that t</w:t>
      </w:r>
      <w:r w:rsidRPr="00F110A8">
        <w:rPr>
          <w:rFonts w:ascii="Times New Roman" w:eastAsia="Times New Roman" w:hAnsi="Times New Roman" w:cs="Times New Roman"/>
          <w:color w:val="000000"/>
          <w:lang w:eastAsia="en-AU"/>
        </w:rPr>
        <w:t>his section does not apply in relation to a radiocommunications transmitter to which section 12 applies.</w:t>
      </w:r>
    </w:p>
    <w:p w14:paraId="23756531" w14:textId="1FE07750" w:rsidR="004C46F8" w:rsidRDefault="004C46F8" w:rsidP="003C5AA8">
      <w:pPr>
        <w:keepNext/>
        <w:spacing w:line="257" w:lineRule="auto"/>
        <w:rPr>
          <w:rFonts w:ascii="Times New Roman" w:hAnsi="Times New Roman" w:cs="Times New Roman"/>
          <w:b/>
        </w:rPr>
      </w:pPr>
      <w:r>
        <w:rPr>
          <w:rFonts w:ascii="Times New Roman" w:hAnsi="Times New Roman" w:cs="Times New Roman"/>
          <w:b/>
        </w:rPr>
        <w:t>Section 1</w:t>
      </w:r>
      <w:r w:rsidR="00940305">
        <w:rPr>
          <w:rFonts w:ascii="Times New Roman" w:hAnsi="Times New Roman" w:cs="Times New Roman"/>
          <w:b/>
        </w:rPr>
        <w:t>1</w:t>
      </w:r>
      <w:r>
        <w:rPr>
          <w:rFonts w:ascii="Times New Roman" w:hAnsi="Times New Roman" w:cs="Times New Roman"/>
          <w:b/>
        </w:rPr>
        <w:tab/>
        <w:t>Accuracy</w:t>
      </w:r>
    </w:p>
    <w:p w14:paraId="55EC76D9" w14:textId="549DD688" w:rsidR="007E1B03" w:rsidRDefault="007E1B03" w:rsidP="007E1B03">
      <w:pPr>
        <w:shd w:val="clear" w:color="auto" w:fill="FFFFFF"/>
        <w:spacing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Section 1</w:t>
      </w:r>
      <w:r>
        <w:rPr>
          <w:rFonts w:ascii="Times New Roman" w:eastAsia="Times New Roman" w:hAnsi="Times New Roman" w:cs="Times New Roman"/>
          <w:color w:val="000000"/>
          <w:lang w:eastAsia="en-AU"/>
        </w:rPr>
        <w:t>1</w:t>
      </w:r>
      <w:r w:rsidRPr="002527D9">
        <w:rPr>
          <w:rFonts w:ascii="Times New Roman" w:eastAsia="Times New Roman" w:hAnsi="Times New Roman" w:cs="Times New Roman"/>
          <w:color w:val="000000"/>
          <w:lang w:eastAsia="en-AU"/>
        </w:rPr>
        <w:t xml:space="preserve"> specifies that</w:t>
      </w:r>
      <w:r>
        <w:rPr>
          <w:rFonts w:ascii="Times New Roman" w:eastAsia="Times New Roman" w:hAnsi="Times New Roman" w:cs="Times New Roman"/>
          <w:color w:val="000000"/>
          <w:lang w:eastAsia="en-AU"/>
        </w:rPr>
        <w:t>, u</w:t>
      </w:r>
      <w:r w:rsidRPr="00AD144A">
        <w:rPr>
          <w:rFonts w:ascii="Times New Roman" w:eastAsia="Times New Roman" w:hAnsi="Times New Roman" w:cs="Times New Roman"/>
          <w:color w:val="000000"/>
          <w:lang w:eastAsia="en-AU"/>
        </w:rPr>
        <w:t>nless otherwise specified, the value of a parameter in Schedules 1, 2 and 3 must be estimated with a level of confidence not less than 95 percent that the true value of the parameter will always remain below the requirement specified in this instrument.</w:t>
      </w:r>
      <w:r w:rsidR="008B3196">
        <w:rPr>
          <w:rFonts w:ascii="Times New Roman" w:eastAsia="Times New Roman" w:hAnsi="Times New Roman" w:cs="Times New Roman"/>
          <w:color w:val="000000"/>
          <w:lang w:eastAsia="en-AU"/>
        </w:rPr>
        <w:t xml:space="preserve"> That is to say, an estimate must have a likelihood of 95 percent or greater of being within the requirement for the parameter.</w:t>
      </w:r>
    </w:p>
    <w:p w14:paraId="6E33AF10" w14:textId="0621C2D5" w:rsidR="00516F60" w:rsidRPr="002527D9" w:rsidRDefault="00516F60" w:rsidP="003C5AA8">
      <w:pPr>
        <w:shd w:val="clear" w:color="auto" w:fill="FFFFFF"/>
        <w:spacing w:line="233" w:lineRule="atLeast"/>
        <w:ind w:left="1440" w:hanging="1440"/>
        <w:rPr>
          <w:rFonts w:ascii="Calibri" w:eastAsia="Times New Roman" w:hAnsi="Calibri" w:cs="Calibri"/>
          <w:color w:val="000000"/>
          <w:lang w:eastAsia="en-AU"/>
        </w:rPr>
      </w:pPr>
      <w:r w:rsidRPr="002527D9">
        <w:rPr>
          <w:rFonts w:ascii="Times New Roman" w:eastAsia="Times New Roman" w:hAnsi="Times New Roman" w:cs="Times New Roman"/>
          <w:b/>
          <w:bCs/>
          <w:color w:val="000000"/>
          <w:lang w:eastAsia="en-AU"/>
        </w:rPr>
        <w:t>Section 1</w:t>
      </w:r>
      <w:r>
        <w:rPr>
          <w:rFonts w:ascii="Times New Roman" w:eastAsia="Times New Roman" w:hAnsi="Times New Roman" w:cs="Times New Roman"/>
          <w:b/>
          <w:bCs/>
          <w:color w:val="000000"/>
          <w:lang w:eastAsia="en-AU"/>
        </w:rPr>
        <w:t>2</w:t>
      </w:r>
      <w:r w:rsidR="003C5AA8">
        <w:rPr>
          <w:rFonts w:ascii="Times New Roman" w:eastAsia="Times New Roman" w:hAnsi="Times New Roman" w:cs="Times New Roman"/>
          <w:b/>
          <w:bCs/>
          <w:color w:val="000000"/>
          <w:lang w:eastAsia="en-AU"/>
        </w:rPr>
        <w:tab/>
        <w:t>Transiti</w:t>
      </w:r>
      <w:r w:rsidRPr="001F7E44">
        <w:rPr>
          <w:rFonts w:ascii="Times New Roman" w:eastAsia="Times New Roman" w:hAnsi="Times New Roman" w:cs="Times New Roman"/>
          <w:b/>
          <w:bCs/>
          <w:color w:val="000000"/>
          <w:lang w:eastAsia="en-AU"/>
        </w:rPr>
        <w:t>on – radiocommunications transmitter registered before commencement of this section</w:t>
      </w:r>
    </w:p>
    <w:p w14:paraId="4FCFF4AB" w14:textId="701574D7" w:rsidR="00516F60" w:rsidRPr="00E63500" w:rsidRDefault="00516F60" w:rsidP="00516F60">
      <w:pPr>
        <w:shd w:val="clear" w:color="auto" w:fill="FFFFFF"/>
        <w:spacing w:line="233" w:lineRule="atLeast"/>
        <w:rPr>
          <w:rFonts w:ascii="Times New Roman" w:eastAsia="Times New Roman" w:hAnsi="Times New Roman" w:cs="Times New Roman"/>
          <w:color w:val="000000"/>
          <w:lang w:eastAsia="en-AU"/>
        </w:rPr>
      </w:pPr>
      <w:r w:rsidRPr="00E63500">
        <w:rPr>
          <w:rFonts w:ascii="Times New Roman" w:eastAsia="Times New Roman" w:hAnsi="Times New Roman" w:cs="Times New Roman"/>
          <w:color w:val="000000"/>
          <w:lang w:eastAsia="en-AU"/>
        </w:rPr>
        <w:t xml:space="preserve">Section 12 </w:t>
      </w:r>
      <w:r>
        <w:rPr>
          <w:rFonts w:ascii="Times New Roman" w:eastAsia="Times New Roman" w:hAnsi="Times New Roman" w:cs="Times New Roman"/>
          <w:color w:val="000000"/>
          <w:lang w:eastAsia="en-AU"/>
        </w:rPr>
        <w:t>applies to</w:t>
      </w:r>
      <w:r w:rsidRPr="00E63500">
        <w:rPr>
          <w:rFonts w:ascii="Times New Roman" w:eastAsia="Times New Roman" w:hAnsi="Times New Roman" w:cs="Times New Roman"/>
          <w:color w:val="000000"/>
          <w:lang w:eastAsia="en-AU"/>
        </w:rPr>
        <w:t xml:space="preserve"> a radiocommunications transmitter </w:t>
      </w:r>
      <w:r>
        <w:rPr>
          <w:rFonts w:ascii="Times New Roman" w:eastAsia="Times New Roman" w:hAnsi="Times New Roman" w:cs="Times New Roman"/>
          <w:color w:val="000000"/>
          <w:lang w:eastAsia="en-AU"/>
        </w:rPr>
        <w:t xml:space="preserve">included in the Register </w:t>
      </w:r>
      <w:r w:rsidRPr="00E63500">
        <w:rPr>
          <w:rFonts w:ascii="Times New Roman" w:eastAsia="Times New Roman" w:hAnsi="Times New Roman" w:cs="Times New Roman"/>
          <w:color w:val="000000"/>
          <w:lang w:eastAsia="en-AU"/>
        </w:rPr>
        <w:t>in relation to a spectrum licence in the 850/900 MHz band in the period</w:t>
      </w:r>
      <w:r>
        <w:rPr>
          <w:rFonts w:ascii="Times New Roman" w:eastAsia="Times New Roman" w:hAnsi="Times New Roman" w:cs="Times New Roman"/>
          <w:color w:val="000000"/>
          <w:lang w:eastAsia="en-AU"/>
        </w:rPr>
        <w:t xml:space="preserve"> </w:t>
      </w:r>
      <w:r w:rsidRPr="00E63500">
        <w:rPr>
          <w:rFonts w:ascii="Times New Roman" w:eastAsia="Times New Roman" w:hAnsi="Times New Roman" w:cs="Times New Roman"/>
          <w:color w:val="000000"/>
          <w:lang w:eastAsia="en-AU"/>
        </w:rPr>
        <w:tab/>
        <w:t xml:space="preserve">commencing on the day the </w:t>
      </w:r>
      <w:r w:rsidR="008B3196">
        <w:rPr>
          <w:rFonts w:ascii="Times New Roman" w:eastAsia="Times New Roman" w:hAnsi="Times New Roman" w:cs="Times New Roman"/>
          <w:color w:val="000000"/>
          <w:lang w:eastAsia="en-AU"/>
        </w:rPr>
        <w:t>previous determination</w:t>
      </w:r>
      <w:r w:rsidRPr="00E63500">
        <w:rPr>
          <w:rFonts w:ascii="Times New Roman" w:eastAsia="Times New Roman" w:hAnsi="Times New Roman" w:cs="Times New Roman"/>
          <w:color w:val="000000"/>
          <w:lang w:eastAsia="en-AU"/>
        </w:rPr>
        <w:t xml:space="preserve"> commenced</w:t>
      </w:r>
      <w:r>
        <w:rPr>
          <w:rFonts w:ascii="Times New Roman" w:eastAsia="Times New Roman" w:hAnsi="Times New Roman" w:cs="Times New Roman"/>
          <w:color w:val="000000"/>
          <w:lang w:eastAsia="en-AU"/>
        </w:rPr>
        <w:t xml:space="preserve"> </w:t>
      </w:r>
      <w:r w:rsidRPr="00E63500">
        <w:rPr>
          <w:rFonts w:ascii="Times New Roman" w:eastAsia="Times New Roman" w:hAnsi="Times New Roman" w:cs="Times New Roman"/>
          <w:color w:val="000000"/>
          <w:lang w:eastAsia="en-AU"/>
        </w:rPr>
        <w:t>and</w:t>
      </w:r>
      <w:r>
        <w:rPr>
          <w:rFonts w:ascii="Times New Roman" w:eastAsia="Times New Roman" w:hAnsi="Times New Roman" w:cs="Times New Roman"/>
          <w:color w:val="000000"/>
          <w:lang w:eastAsia="en-AU"/>
        </w:rPr>
        <w:t xml:space="preserve"> </w:t>
      </w:r>
      <w:r w:rsidRPr="00E63500">
        <w:rPr>
          <w:rFonts w:ascii="Times New Roman" w:eastAsia="Times New Roman" w:hAnsi="Times New Roman" w:cs="Times New Roman"/>
          <w:color w:val="000000"/>
          <w:lang w:eastAsia="en-AU"/>
        </w:rPr>
        <w:t>ending at the commencement of section</w:t>
      </w:r>
      <w:r w:rsidR="008B3196">
        <w:rPr>
          <w:rFonts w:ascii="Times New Roman" w:eastAsia="Times New Roman" w:hAnsi="Times New Roman" w:cs="Times New Roman"/>
          <w:color w:val="000000"/>
          <w:lang w:eastAsia="en-AU"/>
        </w:rPr>
        <w:t xml:space="preserve"> 12</w:t>
      </w:r>
      <w:r>
        <w:rPr>
          <w:rFonts w:ascii="Times New Roman" w:eastAsia="Times New Roman" w:hAnsi="Times New Roman" w:cs="Times New Roman"/>
          <w:color w:val="000000"/>
          <w:lang w:eastAsia="en-AU"/>
        </w:rPr>
        <w:t>. If the registration date of such a radiocommunications transmitter falls between those dates</w:t>
      </w:r>
      <w:r w:rsidR="00723B7B">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then the </w:t>
      </w:r>
      <w:r w:rsidRPr="00E63500">
        <w:rPr>
          <w:rFonts w:ascii="Times New Roman" w:eastAsia="Times New Roman" w:hAnsi="Times New Roman" w:cs="Times New Roman"/>
          <w:color w:val="000000"/>
          <w:lang w:eastAsia="en-AU"/>
        </w:rPr>
        <w:t>level of interference caused by a relevant transmitter is unacceptable if it would have been unacceptable under</w:t>
      </w:r>
      <w:r w:rsidR="003238F6">
        <w:rPr>
          <w:rFonts w:ascii="Times New Roman" w:eastAsia="Times New Roman" w:hAnsi="Times New Roman" w:cs="Times New Roman"/>
          <w:color w:val="000000"/>
          <w:lang w:eastAsia="en-AU"/>
        </w:rPr>
        <w:t xml:space="preserve"> the</w:t>
      </w:r>
      <w:r w:rsidR="00723B7B">
        <w:rPr>
          <w:rFonts w:ascii="Times New Roman" w:eastAsia="Times New Roman" w:hAnsi="Times New Roman" w:cs="Times New Roman"/>
          <w:color w:val="000000"/>
          <w:lang w:eastAsia="en-AU"/>
        </w:rPr>
        <w:t xml:space="preserve"> previous determination</w:t>
      </w:r>
      <w:r w:rsidRPr="00E63500">
        <w:rPr>
          <w:rFonts w:ascii="Times New Roman" w:eastAsia="Times New Roman" w:hAnsi="Times New Roman" w:cs="Times New Roman"/>
          <w:color w:val="000000"/>
          <w:lang w:eastAsia="en-AU"/>
        </w:rPr>
        <w:t>, as in force at the time the relevant transmitter was included in the Register.</w:t>
      </w:r>
    </w:p>
    <w:p w14:paraId="0270F511" w14:textId="2BDAA225" w:rsidR="004C46F8" w:rsidRDefault="000256ED" w:rsidP="004C46F8">
      <w:pPr>
        <w:rPr>
          <w:rFonts w:ascii="Times New Roman" w:hAnsi="Times New Roman" w:cs="Times New Roman"/>
          <w:b/>
        </w:rPr>
      </w:pPr>
      <w:r>
        <w:rPr>
          <w:rFonts w:ascii="Times New Roman" w:hAnsi="Times New Roman" w:cs="Times New Roman"/>
          <w:b/>
        </w:rPr>
        <w:t>Schedule 1 – Location of a transmitter</w:t>
      </w:r>
    </w:p>
    <w:p w14:paraId="6349E2E4" w14:textId="77777777" w:rsidR="00306629" w:rsidRPr="002527D9" w:rsidRDefault="00306629" w:rsidP="00306629">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This Schedule sets out how to work out the location of a radiocommunications transmitter (and the location of a group of radiocommunications transmitters), in terms of the location of the centre of the antenna or antennas specified in latitude and longitude.</w:t>
      </w:r>
    </w:p>
    <w:p w14:paraId="435886F9" w14:textId="7D60CAE3" w:rsidR="000256ED" w:rsidRDefault="000256ED" w:rsidP="004C46F8">
      <w:pPr>
        <w:rPr>
          <w:rFonts w:ascii="Times New Roman" w:hAnsi="Times New Roman" w:cs="Times New Roman"/>
          <w:b/>
        </w:rPr>
      </w:pPr>
      <w:r>
        <w:rPr>
          <w:rFonts w:ascii="Times New Roman" w:hAnsi="Times New Roman" w:cs="Times New Roman"/>
          <w:b/>
        </w:rPr>
        <w:t>Schedule 2 – Device boundaries and device boundary criteria</w:t>
      </w:r>
    </w:p>
    <w:p w14:paraId="68985480" w14:textId="59D4B238" w:rsidR="00CB2341" w:rsidRPr="002527D9" w:rsidRDefault="00CB2341" w:rsidP="00CB2341">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This Schedule sets out the technical procedure for calculating the device boundary of a radiocommunications transmitter or group of radiocommunications transmitters</w:t>
      </w:r>
      <w:r w:rsidR="00A47F0E">
        <w:rPr>
          <w:rFonts w:ascii="Times New Roman" w:eastAsia="Times New Roman" w:hAnsi="Times New Roman" w:cs="Times New Roman"/>
          <w:color w:val="000000"/>
          <w:lang w:eastAsia="en-AU"/>
        </w:rPr>
        <w:t>, for the purposes of section 10 of the instrument</w:t>
      </w:r>
      <w:r>
        <w:rPr>
          <w:rFonts w:ascii="Times New Roman" w:eastAsia="Times New Roman" w:hAnsi="Times New Roman" w:cs="Times New Roman"/>
          <w:color w:val="000000"/>
          <w:lang w:eastAsia="en-AU"/>
        </w:rPr>
        <w:t>.</w:t>
      </w:r>
    </w:p>
    <w:p w14:paraId="36EEAE0F" w14:textId="77777777" w:rsidR="00CB2341" w:rsidRPr="002527D9" w:rsidRDefault="00CB2341" w:rsidP="003238F6">
      <w:pPr>
        <w:keepNext/>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i/>
          <w:iCs/>
          <w:color w:val="000000"/>
          <w:lang w:eastAsia="en-AU"/>
        </w:rPr>
        <w:lastRenderedPageBreak/>
        <w:t>Part 1 of Schedule 2</w:t>
      </w:r>
    </w:p>
    <w:p w14:paraId="7D98488B" w14:textId="2120ADC8" w:rsidR="00CB2341" w:rsidRPr="002527D9" w:rsidRDefault="00CB2341" w:rsidP="00CB2341">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 xml:space="preserve">Part 1 of the Schedule details the steps involved in calculating the device boundary. The calculation is an iterative process and involves testing whether the device boundary criterion specified in Part 2 is met at increasing distances (of 100 metre increments) from the transmitter along radial lines spaced around the centre location of the transmitter (worked out in accordance with Schedule 1). The latitude and longitude of the first point on a radial where the device boundary criterion is less than or equal to zero is considered to be the furthest point of the device boundary on this radial. There are </w:t>
      </w:r>
      <w:r w:rsidR="00F66C69">
        <w:rPr>
          <w:rFonts w:ascii="Times New Roman" w:eastAsia="Times New Roman" w:hAnsi="Times New Roman" w:cs="Times New Roman"/>
          <w:color w:val="000000"/>
          <w:lang w:eastAsia="en-AU"/>
        </w:rPr>
        <w:t>360</w:t>
      </w:r>
      <w:r w:rsidR="00F66C69" w:rsidRPr="002527D9">
        <w:rPr>
          <w:rFonts w:ascii="Times New Roman" w:eastAsia="Times New Roman" w:hAnsi="Times New Roman" w:cs="Times New Roman"/>
          <w:color w:val="000000"/>
          <w:lang w:eastAsia="en-AU"/>
        </w:rPr>
        <w:t xml:space="preserve"> </w:t>
      </w:r>
      <w:r w:rsidRPr="002527D9">
        <w:rPr>
          <w:rFonts w:ascii="Times New Roman" w:eastAsia="Times New Roman" w:hAnsi="Times New Roman" w:cs="Times New Roman"/>
          <w:color w:val="000000"/>
          <w:lang w:eastAsia="en-AU"/>
        </w:rPr>
        <w:t xml:space="preserve">radials for each transmitter, meaning there are </w:t>
      </w:r>
      <w:r w:rsidR="003238F6">
        <w:rPr>
          <w:rFonts w:ascii="Times New Roman" w:eastAsia="Times New Roman" w:hAnsi="Times New Roman" w:cs="Times New Roman"/>
          <w:color w:val="000000"/>
          <w:lang w:eastAsia="en-AU"/>
        </w:rPr>
        <w:t>3</w:t>
      </w:r>
      <w:r w:rsidR="00F66C69">
        <w:rPr>
          <w:rFonts w:ascii="Times New Roman" w:eastAsia="Times New Roman" w:hAnsi="Times New Roman" w:cs="Times New Roman"/>
          <w:color w:val="000000"/>
          <w:lang w:eastAsia="en-AU"/>
        </w:rPr>
        <w:t>60</w:t>
      </w:r>
      <w:r w:rsidRPr="002527D9">
        <w:rPr>
          <w:rFonts w:ascii="Times New Roman" w:eastAsia="Times New Roman" w:hAnsi="Times New Roman" w:cs="Times New Roman"/>
          <w:color w:val="000000"/>
          <w:lang w:eastAsia="en-AU"/>
        </w:rPr>
        <w:t xml:space="preserve"> points that form the device boundary.</w:t>
      </w:r>
    </w:p>
    <w:p w14:paraId="5623E731" w14:textId="77777777" w:rsidR="00CB2341" w:rsidRDefault="00CB2341" w:rsidP="00CB2341">
      <w:pPr>
        <w:shd w:val="clear" w:color="auto" w:fill="FFFFFF"/>
        <w:spacing w:line="233" w:lineRule="atLeast"/>
        <w:rPr>
          <w:rFonts w:ascii="Times New Roman" w:eastAsia="Times New Roman" w:hAnsi="Times New Roman" w:cs="Times New Roman"/>
          <w:color w:val="000000"/>
          <w:lang w:eastAsia="en-AU"/>
        </w:rPr>
      </w:pPr>
      <w:r w:rsidRPr="002527D9">
        <w:rPr>
          <w:rFonts w:ascii="Times New Roman" w:eastAsia="Times New Roman" w:hAnsi="Times New Roman" w:cs="Times New Roman"/>
          <w:color w:val="000000"/>
          <w:lang w:eastAsia="en-AU"/>
        </w:rPr>
        <w:t>If the end point of any radial in relation to a transmitter is outside the geographic area of the licence, then unless an exception applies, the transmitter will be taken to cause an unacceptable level of interference.</w:t>
      </w:r>
    </w:p>
    <w:p w14:paraId="3A6935D1" w14:textId="1016A30B" w:rsidR="00CB2341" w:rsidRPr="00E27FD3" w:rsidRDefault="00CB2341" w:rsidP="00CB2341">
      <w:pPr>
        <w:shd w:val="clear" w:color="auto" w:fill="FFFFFF"/>
        <w:spacing w:line="233" w:lineRule="atLeast"/>
        <w:rPr>
          <w:rFonts w:ascii="Times New Roman" w:eastAsia="Times New Roman" w:hAnsi="Times New Roman" w:cs="Times New Roman"/>
          <w:color w:val="000000"/>
          <w:lang w:eastAsia="en-AU"/>
        </w:rPr>
      </w:pPr>
      <w:r w:rsidRPr="00E27FD3">
        <w:rPr>
          <w:rFonts w:ascii="Times New Roman" w:eastAsia="Times New Roman" w:hAnsi="Times New Roman" w:cs="Times New Roman"/>
          <w:color w:val="000000"/>
          <w:lang w:eastAsia="en-AU"/>
        </w:rPr>
        <w:t>For a group of radiocommunications transmitters the device boundary is calculated as if for a single radiocommunications transmitter. However, the radiated power for a group of radiocommunications transmitters is taken</w:t>
      </w:r>
      <w:r>
        <w:rPr>
          <w:rFonts w:ascii="Times New Roman" w:eastAsia="Times New Roman" w:hAnsi="Times New Roman" w:cs="Times New Roman"/>
          <w:color w:val="000000"/>
          <w:lang w:eastAsia="en-AU"/>
        </w:rPr>
        <w:t xml:space="preserve"> </w:t>
      </w:r>
      <w:r w:rsidRPr="00E27FD3">
        <w:rPr>
          <w:rFonts w:ascii="Times New Roman" w:eastAsia="Times New Roman" w:hAnsi="Times New Roman" w:cs="Times New Roman"/>
          <w:color w:val="000000"/>
          <w:lang w:eastAsia="en-AU"/>
        </w:rPr>
        <w:t>to be equal for each bearing and</w:t>
      </w:r>
      <w:r>
        <w:rPr>
          <w:rFonts w:ascii="Times New Roman" w:eastAsia="Times New Roman" w:hAnsi="Times New Roman" w:cs="Times New Roman"/>
          <w:color w:val="000000"/>
          <w:lang w:eastAsia="en-AU"/>
        </w:rPr>
        <w:t xml:space="preserve"> </w:t>
      </w:r>
      <w:r w:rsidRPr="00E27FD3">
        <w:rPr>
          <w:rFonts w:ascii="Times New Roman" w:eastAsia="Times New Roman" w:hAnsi="Times New Roman" w:cs="Times New Roman"/>
          <w:color w:val="000000"/>
          <w:lang w:eastAsia="en-AU"/>
        </w:rPr>
        <w:t>to have a value that is equal to the maximum horizontally radiated power, in any direction, of any of the radiocommunications transmitters in the group.</w:t>
      </w:r>
    </w:p>
    <w:p w14:paraId="714265CB" w14:textId="77777777" w:rsidR="00CB2341" w:rsidRPr="002527D9" w:rsidRDefault="00CB2341" w:rsidP="00420187">
      <w:pPr>
        <w:keepNext/>
        <w:shd w:val="clear" w:color="auto" w:fill="FFFFFF"/>
        <w:spacing w:line="235" w:lineRule="atLeast"/>
        <w:rPr>
          <w:rFonts w:ascii="Calibri" w:eastAsia="Times New Roman" w:hAnsi="Calibri" w:cs="Calibri"/>
          <w:color w:val="000000"/>
          <w:lang w:eastAsia="en-AU"/>
        </w:rPr>
      </w:pPr>
      <w:r w:rsidRPr="002527D9">
        <w:rPr>
          <w:rFonts w:ascii="Times New Roman" w:eastAsia="Times New Roman" w:hAnsi="Times New Roman" w:cs="Times New Roman"/>
          <w:i/>
          <w:iCs/>
          <w:color w:val="000000"/>
          <w:lang w:eastAsia="en-AU"/>
        </w:rPr>
        <w:t>Part 2 of Schedule 2</w:t>
      </w:r>
    </w:p>
    <w:p w14:paraId="1B4818E8" w14:textId="77777777" w:rsidR="00CB2341" w:rsidRPr="002527D9" w:rsidRDefault="00CB2341" w:rsidP="00CB2341">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Part 2 provides the device boundary criterion, which is the mathematical expression used to calculate a device boundary in accordance with Part 1 of this Schedule. The mathematical expression consists of the horizontally radiated power of a device minus the path loss function. The device boundary criterion has function dependencies which include the horizontally radiated power, the receiver level of protection and the propagation loss set out in Part 3 of this Schedule, for each segment along each radial.</w:t>
      </w:r>
    </w:p>
    <w:p w14:paraId="37F02F02" w14:textId="77777777" w:rsidR="00CB2341" w:rsidRPr="002527D9" w:rsidRDefault="00CB2341" w:rsidP="00CB2341">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i/>
          <w:iCs/>
          <w:color w:val="000000"/>
          <w:lang w:eastAsia="en-AU"/>
        </w:rPr>
        <w:t>Part 3 of Schedule 2</w:t>
      </w:r>
    </w:p>
    <w:p w14:paraId="14483872" w14:textId="06C98AED" w:rsidR="00CB2341" w:rsidRPr="002527D9" w:rsidRDefault="00CB2341" w:rsidP="00CB2341">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 xml:space="preserve">Part 3 provides the methodology for determining the propagation loss component for determining the device boundary criterion in Part 2. This </w:t>
      </w:r>
      <w:r w:rsidR="00D246E4">
        <w:rPr>
          <w:rFonts w:ascii="Times New Roman" w:eastAsia="Times New Roman" w:hAnsi="Times New Roman" w:cs="Times New Roman"/>
          <w:color w:val="000000"/>
          <w:lang w:eastAsia="en-AU"/>
        </w:rPr>
        <w:t>P</w:t>
      </w:r>
      <w:r w:rsidR="00D246E4" w:rsidRPr="002527D9">
        <w:rPr>
          <w:rFonts w:ascii="Times New Roman" w:eastAsia="Times New Roman" w:hAnsi="Times New Roman" w:cs="Times New Roman"/>
          <w:color w:val="000000"/>
          <w:lang w:eastAsia="en-AU"/>
        </w:rPr>
        <w:t xml:space="preserve">art </w:t>
      </w:r>
      <w:r w:rsidR="00D246E4">
        <w:rPr>
          <w:rFonts w:ascii="Times New Roman" w:eastAsia="Times New Roman" w:hAnsi="Times New Roman" w:cs="Times New Roman"/>
          <w:color w:val="000000"/>
          <w:lang w:eastAsia="en-AU"/>
        </w:rPr>
        <w:t>uses</w:t>
      </w:r>
      <w:r>
        <w:rPr>
          <w:rFonts w:ascii="Times New Roman" w:eastAsia="Times New Roman" w:hAnsi="Times New Roman" w:cs="Times New Roman"/>
          <w:color w:val="000000"/>
          <w:lang w:eastAsia="en-AU"/>
        </w:rPr>
        <w:t xml:space="preserve"> the</w:t>
      </w:r>
      <w:r w:rsidRPr="002527D9">
        <w:rPr>
          <w:rFonts w:ascii="Times New Roman" w:eastAsia="Times New Roman" w:hAnsi="Times New Roman" w:cs="Times New Roman"/>
          <w:color w:val="000000"/>
          <w:lang w:eastAsia="en-AU"/>
        </w:rPr>
        <w:t xml:space="preserve"> </w:t>
      </w:r>
      <w:r w:rsidRPr="00AF69F5">
        <w:rPr>
          <w:rFonts w:ascii="Times New Roman" w:eastAsia="Times New Roman" w:hAnsi="Times New Roman" w:cs="Times New Roman"/>
          <w:color w:val="000000"/>
          <w:lang w:eastAsia="en-AU"/>
        </w:rPr>
        <w:t>Modified Hata propagation from ‘ERC Report 068’ published by the European Conference of Postal and Telecommunications Administrations (</w:t>
      </w:r>
      <w:r w:rsidR="00D246E4">
        <w:rPr>
          <w:rFonts w:ascii="Times New Roman" w:eastAsia="Times New Roman" w:hAnsi="Times New Roman" w:cs="Times New Roman"/>
          <w:color w:val="000000"/>
          <w:lang w:eastAsia="en-AU"/>
        </w:rPr>
        <w:t xml:space="preserve">or </w:t>
      </w:r>
      <w:r w:rsidRPr="00AF69F5">
        <w:rPr>
          <w:rFonts w:ascii="Times New Roman" w:eastAsia="Times New Roman" w:hAnsi="Times New Roman" w:cs="Times New Roman"/>
          <w:color w:val="000000"/>
          <w:lang w:eastAsia="en-AU"/>
        </w:rPr>
        <w:t xml:space="preserve">CEPT) in 2000 </w:t>
      </w:r>
      <w:r w:rsidRPr="002527D9">
        <w:rPr>
          <w:rFonts w:ascii="Times New Roman" w:eastAsia="Times New Roman" w:hAnsi="Times New Roman" w:cs="Times New Roman"/>
          <w:color w:val="000000"/>
          <w:lang w:eastAsia="en-AU"/>
        </w:rPr>
        <w:t>which detail</w:t>
      </w:r>
      <w:r>
        <w:rPr>
          <w:rFonts w:ascii="Times New Roman" w:eastAsia="Times New Roman" w:hAnsi="Times New Roman" w:cs="Times New Roman"/>
          <w:color w:val="000000"/>
          <w:lang w:eastAsia="en-AU"/>
        </w:rPr>
        <w:t>s</w:t>
      </w:r>
      <w:r w:rsidRPr="002527D9">
        <w:rPr>
          <w:rFonts w:ascii="Times New Roman" w:eastAsia="Times New Roman" w:hAnsi="Times New Roman" w:cs="Times New Roman"/>
          <w:color w:val="000000"/>
          <w:lang w:eastAsia="en-AU"/>
        </w:rPr>
        <w:t xml:space="preserve"> the method and parameters to be used to calculate the propagation loss. </w:t>
      </w:r>
      <w:r w:rsidR="00EC6714">
        <w:rPr>
          <w:rFonts w:ascii="Times New Roman" w:eastAsia="Times New Roman" w:hAnsi="Times New Roman" w:cs="Times New Roman"/>
          <w:color w:val="000000"/>
          <w:lang w:eastAsia="en-AU"/>
        </w:rPr>
        <w:t xml:space="preserve">CEPT reports are available, free of charge, at </w:t>
      </w:r>
      <w:hyperlink r:id="rId18" w:history="1">
        <w:hyperlink r:id="rId19" w:history="1">
          <w:r w:rsidR="00EC6714" w:rsidRPr="0056039B">
            <w:rPr>
              <w:rStyle w:val="Hyperlink"/>
              <w:rFonts w:ascii="Times New Roman" w:hAnsi="Times New Roman" w:cs="Times New Roman"/>
            </w:rPr>
            <w:t>https://docdb.cept.org/home</w:t>
          </w:r>
        </w:hyperlink>
      </w:hyperlink>
      <w:r w:rsidR="00EC6714">
        <w:rPr>
          <w:rFonts w:ascii="Times New Roman" w:eastAsia="Times New Roman" w:hAnsi="Times New Roman" w:cs="Times New Roman"/>
          <w:color w:val="000000"/>
          <w:lang w:eastAsia="en-AU"/>
        </w:rPr>
        <w:t>.</w:t>
      </w:r>
      <w:r w:rsidR="00EC6714" w:rsidRPr="002527D9">
        <w:rPr>
          <w:rFonts w:ascii="Times New Roman" w:eastAsia="Times New Roman" w:hAnsi="Times New Roman" w:cs="Times New Roman"/>
          <w:color w:val="000000"/>
          <w:lang w:eastAsia="en-AU"/>
        </w:rPr>
        <w:t xml:space="preserve"> </w:t>
      </w:r>
      <w:r w:rsidRPr="002527D9">
        <w:rPr>
          <w:rFonts w:ascii="Times New Roman" w:eastAsia="Times New Roman" w:hAnsi="Times New Roman" w:cs="Times New Roman"/>
          <w:color w:val="000000"/>
          <w:lang w:eastAsia="en-AU"/>
        </w:rPr>
        <w:t xml:space="preserve">This </w:t>
      </w:r>
      <w:r w:rsidR="00D8703F">
        <w:rPr>
          <w:rFonts w:ascii="Times New Roman" w:eastAsia="Times New Roman" w:hAnsi="Times New Roman" w:cs="Times New Roman"/>
          <w:color w:val="000000"/>
          <w:lang w:eastAsia="en-AU"/>
        </w:rPr>
        <w:t>P</w:t>
      </w:r>
      <w:r w:rsidRPr="002527D9">
        <w:rPr>
          <w:rFonts w:ascii="Times New Roman" w:eastAsia="Times New Roman" w:hAnsi="Times New Roman" w:cs="Times New Roman"/>
          <w:color w:val="000000"/>
          <w:lang w:eastAsia="en-AU"/>
        </w:rPr>
        <w:t>art also details how relevant parameters, which are used in the calculation of propagation loss, are to be determined.</w:t>
      </w:r>
    </w:p>
    <w:p w14:paraId="2C693BBA" w14:textId="630E72F9" w:rsidR="000256ED" w:rsidRDefault="000256ED" w:rsidP="004C46F8">
      <w:pPr>
        <w:rPr>
          <w:rFonts w:ascii="Times New Roman" w:hAnsi="Times New Roman" w:cs="Times New Roman"/>
          <w:b/>
        </w:rPr>
      </w:pPr>
      <w:r>
        <w:rPr>
          <w:rFonts w:ascii="Times New Roman" w:hAnsi="Times New Roman" w:cs="Times New Roman"/>
          <w:b/>
        </w:rPr>
        <w:t>Schedule 3 – Antenna height and average ground height</w:t>
      </w:r>
    </w:p>
    <w:p w14:paraId="32FA2A18" w14:textId="77777777" w:rsidR="00DF471A" w:rsidRPr="002527D9" w:rsidRDefault="00DF471A" w:rsidP="00DF471A">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i/>
          <w:iCs/>
          <w:color w:val="000000"/>
          <w:lang w:eastAsia="en-AU"/>
        </w:rPr>
        <w:t>Part 1 of Schedule 3</w:t>
      </w:r>
    </w:p>
    <w:p w14:paraId="422DA80C" w14:textId="77777777" w:rsidR="00DF471A" w:rsidRPr="002527D9" w:rsidRDefault="00DF471A" w:rsidP="00DF471A">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Part 1 of this Schedule specifies the procedure for calculating effective antenna height for the purpose of the instrument, taking account of average ground height above sea level and antenna height above ground. The effective antenna height of a spectrum-licensed radiocommunications device is used to calculate the propagation loss component of the device boundary criterion. The device boundary criterion is set out in Part 2 of Schedule 2. The device boundary criterion is the mathematical expression used to calculate a device boundary. The process for calculating a device boundary is set out in Part 1 of Schedule 2.</w:t>
      </w:r>
    </w:p>
    <w:p w14:paraId="6C949937" w14:textId="77777777" w:rsidR="00DF471A" w:rsidRPr="002527D9" w:rsidRDefault="00DF471A" w:rsidP="00DF471A">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i/>
          <w:iCs/>
          <w:color w:val="000000"/>
          <w:lang w:eastAsia="en-AU"/>
        </w:rPr>
        <w:t>Part 2 of Schedule 3</w:t>
      </w:r>
    </w:p>
    <w:p w14:paraId="1BC6D06A" w14:textId="77777777" w:rsidR="00DF471A" w:rsidRPr="002527D9" w:rsidRDefault="00DF471A" w:rsidP="00DF471A">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Part 2 of this Schedule sets out the procedure for calculating the average ground height of a point on any radial from the location of a radiocommunications transmitter. It does so by taking account of the height of the cell in the digital elevation model corresponding to that point, and the surrounding cells.</w:t>
      </w:r>
    </w:p>
    <w:p w14:paraId="353628AF" w14:textId="77777777" w:rsidR="00DF471A" w:rsidRPr="002527D9" w:rsidRDefault="00DF471A" w:rsidP="00DF471A">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These heights are calculated with reference to a digital elevation model sourced from Geoscience Australia.</w:t>
      </w:r>
    </w:p>
    <w:p w14:paraId="79C3818F" w14:textId="77777777" w:rsidR="00DF471A" w:rsidRPr="002527D9" w:rsidRDefault="00DF471A" w:rsidP="00DF471A">
      <w:pPr>
        <w:keepNext/>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i/>
          <w:iCs/>
          <w:color w:val="000000"/>
          <w:lang w:eastAsia="en-AU"/>
        </w:rPr>
        <w:lastRenderedPageBreak/>
        <w:t>Part 3 of Schedule 3</w:t>
      </w:r>
    </w:p>
    <w:p w14:paraId="458AF617" w14:textId="7EB52F6C" w:rsidR="00025ACE" w:rsidRPr="00DF471A" w:rsidRDefault="00DF471A" w:rsidP="00DF471A">
      <w:pPr>
        <w:shd w:val="clear" w:color="auto" w:fill="FFFFFF"/>
        <w:spacing w:line="233" w:lineRule="atLeast"/>
        <w:rPr>
          <w:rFonts w:ascii="Calibri" w:eastAsia="Times New Roman" w:hAnsi="Calibri" w:cs="Calibri"/>
          <w:color w:val="000000"/>
          <w:lang w:eastAsia="en-AU"/>
        </w:rPr>
      </w:pPr>
      <w:r w:rsidRPr="002527D9">
        <w:rPr>
          <w:rFonts w:ascii="Times New Roman" w:eastAsia="Times New Roman" w:hAnsi="Times New Roman" w:cs="Times New Roman"/>
          <w:color w:val="000000"/>
          <w:lang w:eastAsia="en-AU"/>
        </w:rPr>
        <w:t>Part 3 provides the mathematical formula for Vincenty’s Formula, which is used in the calculation of the coordinates (in latitude and longitude) of the points along the radials about the transmitter in Part</w:t>
      </w:r>
      <w:r w:rsidR="00613F54">
        <w:rPr>
          <w:rFonts w:ascii="Times New Roman" w:eastAsia="Times New Roman" w:hAnsi="Times New Roman" w:cs="Times New Roman"/>
          <w:color w:val="000000"/>
          <w:lang w:eastAsia="en-AU"/>
        </w:rPr>
        <w:t> </w:t>
      </w:r>
      <w:r w:rsidRPr="002527D9">
        <w:rPr>
          <w:rFonts w:ascii="Times New Roman" w:eastAsia="Times New Roman" w:hAnsi="Times New Roman" w:cs="Times New Roman"/>
          <w:color w:val="000000"/>
          <w:lang w:eastAsia="en-AU"/>
        </w:rPr>
        <w:t>1. These coordinates are used in Part 2 to obtain the average ground height for that point for use in Part 1. This simplification of Vincenty’s Formulae performs location calculations over the GRS80 ellipsoid as referenced by the GDA94 to a high degree of accuracy, using an iterative routine.</w:t>
      </w:r>
    </w:p>
    <w:sectPr w:rsidR="00025ACE" w:rsidRPr="00DF471A" w:rsidSect="00420187">
      <w:headerReference w:type="default" r:id="rId20"/>
      <w:footerReference w:type="default" r:id="rId21"/>
      <w:pgSz w:w="11906" w:h="16838"/>
      <w:pgMar w:top="1440" w:right="1440" w:bottom="1440" w:left="1440" w:header="708" w:footer="7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8D16" w14:textId="77777777" w:rsidR="00DB490B" w:rsidRDefault="00DB490B" w:rsidP="00025ACE">
      <w:pPr>
        <w:spacing w:after="0" w:line="240" w:lineRule="auto"/>
      </w:pPr>
      <w:r>
        <w:separator/>
      </w:r>
    </w:p>
  </w:endnote>
  <w:endnote w:type="continuationSeparator" w:id="0">
    <w:p w14:paraId="13752545" w14:textId="77777777" w:rsidR="00DB490B" w:rsidRDefault="00DB490B"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rPr>
    </w:sdtEndPr>
    <w:sdtContent>
      <w:p w14:paraId="1E27C0A2" w14:textId="05D82D38" w:rsidR="00AD3414" w:rsidRDefault="00AD3414" w:rsidP="00AD3414">
        <w:pPr>
          <w:pStyle w:val="Footer"/>
          <w:pBdr>
            <w:top w:val="single" w:sz="4" w:space="1" w:color="auto"/>
          </w:pBdr>
          <w:jc w:val="center"/>
        </w:pPr>
      </w:p>
      <w:p w14:paraId="556B0C98" w14:textId="5F93CCFF" w:rsidR="00AD3414" w:rsidRPr="003C5AA8" w:rsidRDefault="00AD3414" w:rsidP="003C5AA8">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B110A2">
          <w:rPr>
            <w:rFonts w:ascii="Times New Roman" w:hAnsi="Times New Roman" w:cs="Times New Roman"/>
            <w:i/>
            <w:iCs/>
          </w:rPr>
          <w:t>Radiocommunications (Unacceptable Levels of Interference</w:t>
        </w:r>
        <w:r w:rsidR="003D121F">
          <w:rPr>
            <w:rFonts w:ascii="Times New Roman" w:hAnsi="Times New Roman" w:cs="Times New Roman"/>
            <w:i/>
            <w:iCs/>
          </w:rPr>
          <w:t> </w:t>
        </w:r>
        <w:r w:rsidR="00B110A2">
          <w:rPr>
            <w:rFonts w:ascii="Times New Roman" w:hAnsi="Times New Roman" w:cs="Times New Roman"/>
            <w:i/>
            <w:iCs/>
          </w:rPr>
          <w:t>–</w:t>
        </w:r>
        <w:r w:rsidR="003D121F">
          <w:rPr>
            <w:rFonts w:ascii="Times New Roman" w:hAnsi="Times New Roman" w:cs="Times New Roman"/>
            <w:i/>
            <w:iCs/>
          </w:rPr>
          <w:t> </w:t>
        </w:r>
        <w:r w:rsidR="005B2BCE">
          <w:rPr>
            <w:rFonts w:ascii="Times New Roman" w:hAnsi="Times New Roman" w:cs="Times New Roman"/>
            <w:i/>
            <w:iCs/>
          </w:rPr>
          <w:t>850/900</w:t>
        </w:r>
        <w:r w:rsidR="003D121F">
          <w:rPr>
            <w:rFonts w:ascii="Times New Roman" w:hAnsi="Times New Roman" w:cs="Times New Roman"/>
            <w:i/>
            <w:iCs/>
          </w:rPr>
          <w:t> M</w:t>
        </w:r>
        <w:r w:rsidR="00B110A2">
          <w:rPr>
            <w:rFonts w:ascii="Times New Roman" w:hAnsi="Times New Roman" w:cs="Times New Roman"/>
            <w:i/>
            <w:iCs/>
          </w:rPr>
          <w:t>Hz Band) Determination 202</w:t>
        </w:r>
        <w:r w:rsidR="003D121F">
          <w:rPr>
            <w:rFonts w:ascii="Times New Roman" w:hAnsi="Times New Roman" w:cs="Times New Roman"/>
            <w:i/>
            <w:iCs/>
          </w:rPr>
          <w:t>1</w:t>
        </w:r>
      </w:p>
      <w:p w14:paraId="4E36910F" w14:textId="06CF02C2" w:rsidR="00025ACE" w:rsidRPr="00931961" w:rsidRDefault="00025ACE">
        <w:pPr>
          <w:pStyle w:val="Footer"/>
          <w:jc w:val="right"/>
          <w:rPr>
            <w:iCs/>
          </w:rPr>
        </w:pPr>
        <w:r w:rsidRPr="00931961">
          <w:rPr>
            <w:rFonts w:ascii="Times New Roman" w:hAnsi="Times New Roman" w:cs="Times New Roman"/>
            <w:iCs/>
          </w:rPr>
          <w:fldChar w:fldCharType="begin"/>
        </w:r>
        <w:r w:rsidRPr="00931961">
          <w:rPr>
            <w:rFonts w:ascii="Times New Roman" w:hAnsi="Times New Roman" w:cs="Times New Roman"/>
            <w:iCs/>
          </w:rPr>
          <w:instrText xml:space="preserve"> PAGE   \* MERGEFORMAT </w:instrText>
        </w:r>
        <w:r w:rsidRPr="00931961">
          <w:rPr>
            <w:rFonts w:ascii="Times New Roman" w:hAnsi="Times New Roman" w:cs="Times New Roman"/>
            <w:iCs/>
          </w:rPr>
          <w:fldChar w:fldCharType="separate"/>
        </w:r>
        <w:r w:rsidR="00D23BD5" w:rsidRPr="00931961">
          <w:rPr>
            <w:rFonts w:ascii="Times New Roman" w:hAnsi="Times New Roman" w:cs="Times New Roman"/>
            <w:iCs/>
            <w:noProof/>
          </w:rPr>
          <w:t>6</w:t>
        </w:r>
        <w:r w:rsidRPr="00931961">
          <w:rPr>
            <w:rFonts w:ascii="Times New Roman" w:hAnsi="Times New Roman" w:cs="Times New Roman"/>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A5A0" w14:textId="77777777" w:rsidR="00DB490B" w:rsidRDefault="00DB490B" w:rsidP="00025ACE">
      <w:pPr>
        <w:spacing w:after="0" w:line="240" w:lineRule="auto"/>
      </w:pPr>
      <w:r>
        <w:separator/>
      </w:r>
    </w:p>
    <w:p w14:paraId="56B9CF61" w14:textId="77777777" w:rsidR="00DB490B" w:rsidRDefault="00DB490B"/>
    <w:p w14:paraId="3155976D" w14:textId="77777777" w:rsidR="00DB490B" w:rsidRDefault="00DB490B" w:rsidP="00025ACE">
      <w:pPr>
        <w:spacing w:after="0" w:line="240" w:lineRule="auto"/>
      </w:pPr>
      <w:r>
        <w:continuationSeparator/>
      </w:r>
    </w:p>
    <w:p w14:paraId="3B9F0C9C" w14:textId="77777777" w:rsidR="00DB490B" w:rsidRDefault="00DB490B"/>
    <w:p w14:paraId="5FB3989B" w14:textId="77777777" w:rsidR="00DB490B" w:rsidRDefault="00DB490B" w:rsidP="00025ACE">
      <w:pPr>
        <w:spacing w:after="0" w:line="240" w:lineRule="auto"/>
      </w:pPr>
      <w:r>
        <w:separator/>
      </w:r>
    </w:p>
    <w:p w14:paraId="07F26DA5" w14:textId="77777777" w:rsidR="00DB490B" w:rsidRDefault="00DB490B"/>
    <w:p w14:paraId="7A6505AA" w14:textId="77777777" w:rsidR="00DB490B" w:rsidRDefault="00DB490B" w:rsidP="00025ACE">
      <w:pPr>
        <w:spacing w:after="0" w:line="240" w:lineRule="auto"/>
      </w:pPr>
      <w:r>
        <w:continuationSeparator/>
      </w:r>
    </w:p>
    <w:p w14:paraId="109749D7" w14:textId="77777777" w:rsidR="00DB490B" w:rsidRDefault="00DB490B"/>
    <w:p w14:paraId="16F872FB" w14:textId="77777777" w:rsidR="00DB490B" w:rsidRDefault="00DB490B">
      <w:pPr>
        <w:pStyle w:val="Header"/>
      </w:pPr>
    </w:p>
    <w:p w14:paraId="545FD1A9" w14:textId="77777777" w:rsidR="00DB490B" w:rsidRDefault="00DB490B"/>
    <w:p w14:paraId="7AFB2F5C" w14:textId="77777777" w:rsidR="00DB490B" w:rsidRDefault="00DB490B">
      <w:pPr>
        <w:pStyle w:val="Header"/>
      </w:pPr>
    </w:p>
    <w:p w14:paraId="1154DD01" w14:textId="77777777" w:rsidR="00DB490B" w:rsidRPr="00AD3414" w:rsidRDefault="00DB490B">
      <w:pPr>
        <w:pStyle w:val="Header"/>
        <w:rPr>
          <w:rFonts w:ascii="Times New Roman" w:hAnsi="Times New Roman" w:cs="Times New Roman"/>
        </w:rPr>
      </w:pPr>
    </w:p>
    <w:p w14:paraId="7FAF1726" w14:textId="77777777" w:rsidR="00DB490B" w:rsidRDefault="00DB490B"/>
    <w:p w14:paraId="7B17F7F3" w14:textId="77777777" w:rsidR="00DB490B" w:rsidRDefault="00DB490B">
      <w:pPr>
        <w:pStyle w:val="Footer"/>
      </w:pPr>
    </w:p>
    <w:p w14:paraId="61901BE3" w14:textId="77777777" w:rsidR="00DB490B" w:rsidRDefault="00DB490B"/>
    <w:sdt>
      <w:sdtPr>
        <w:id w:val="1291319105"/>
        <w:docPartObj>
          <w:docPartGallery w:val="Page Numbers (Bottom of Page)"/>
          <w:docPartUnique/>
        </w:docPartObj>
      </w:sdtPr>
      <w:sdtEndPr>
        <w:rPr>
          <w:i/>
          <w:noProof/>
        </w:rPr>
      </w:sdtEndPr>
      <w:sdtContent>
        <w:p w14:paraId="708AC1FB" w14:textId="77777777" w:rsidR="00DB490B" w:rsidRDefault="00DB490B" w:rsidP="00AD3414">
          <w:pPr>
            <w:pStyle w:val="Footer"/>
            <w:pBdr>
              <w:top w:val="single" w:sz="4" w:space="1" w:color="auto"/>
            </w:pBdr>
            <w:jc w:val="center"/>
          </w:pPr>
        </w:p>
        <w:p w14:paraId="1640B751" w14:textId="77777777" w:rsidR="00DB490B" w:rsidRPr="00AD3414" w:rsidRDefault="00DB490B"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Radiocommunicaitons Unacceptable</w:t>
          </w:r>
          <w:r w:rsidRPr="00AD3414">
            <w:rPr>
              <w:rFonts w:ascii="Times New Roman" w:hAnsi="Times New Roman" w:cs="Times New Roman"/>
              <w:i/>
            </w:rPr>
            <w:t>Title of instrument, including year of making]</w:t>
          </w:r>
        </w:p>
        <w:p w14:paraId="4BC55F17" w14:textId="77777777" w:rsidR="00DB490B" w:rsidRDefault="00DB490B">
          <w:pPr>
            <w:pStyle w:val="Footer"/>
            <w:jc w:val="right"/>
          </w:pPr>
        </w:p>
        <w:p w14:paraId="6DDDC5D3" w14:textId="77777777" w:rsidR="00DB490B" w:rsidRPr="00AD3414" w:rsidRDefault="00DB490B">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6FFB3300" w14:textId="77777777" w:rsidR="00DB490B" w:rsidRPr="00AD3414" w:rsidRDefault="00DB490B" w:rsidP="00AD3414">
      <w:pPr>
        <w:pStyle w:val="Footer"/>
        <w:jc w:val="center"/>
        <w:rPr>
          <w:rFonts w:ascii="Times New Roman" w:hAnsi="Times New Roman" w:cs="Times New Roman"/>
        </w:rPr>
      </w:pPr>
    </w:p>
  </w:footnote>
  <w:footnote w:type="continuationSeparator" w:id="0">
    <w:p w14:paraId="47570E2D" w14:textId="77777777" w:rsidR="00DB490B" w:rsidRDefault="00DB490B"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63C"/>
    <w:multiLevelType w:val="hybridMultilevel"/>
    <w:tmpl w:val="B2D641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818CF"/>
    <w:multiLevelType w:val="hybridMultilevel"/>
    <w:tmpl w:val="F87C45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C97789A"/>
    <w:multiLevelType w:val="hybridMultilevel"/>
    <w:tmpl w:val="FB4C3230"/>
    <w:lvl w:ilvl="0" w:tplc="410A89E0">
      <w:numFmt w:val="bullet"/>
      <w:lvlText w:val=""/>
      <w:lvlJc w:val="left"/>
      <w:pPr>
        <w:ind w:left="720" w:hanging="360"/>
      </w:pPr>
      <w:rPr>
        <w:rFonts w:ascii="Symbol" w:eastAsiaTheme="minorHAnsi" w:hAnsi="Symbol" w:cs="Times New Roman" w:hint="default"/>
      </w:rPr>
    </w:lvl>
    <w:lvl w:ilvl="1" w:tplc="410A89E0">
      <w:numFmt w:val="bullet"/>
      <w:lvlText w:val=""/>
      <w:lvlJc w:val="left"/>
      <w:pPr>
        <w:ind w:left="1800" w:hanging="720"/>
      </w:pPr>
      <w:rPr>
        <w:rFonts w:ascii="Symbol" w:eastAsiaTheme="minorHAnsi"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22DBB"/>
    <w:multiLevelType w:val="hybridMultilevel"/>
    <w:tmpl w:val="1D444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8851D0"/>
    <w:multiLevelType w:val="hybridMultilevel"/>
    <w:tmpl w:val="AF0A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057BF"/>
    <w:multiLevelType w:val="hybridMultilevel"/>
    <w:tmpl w:val="FC46CD6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47A13CF3"/>
    <w:multiLevelType w:val="hybridMultilevel"/>
    <w:tmpl w:val="EA6E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41597A"/>
    <w:multiLevelType w:val="hybridMultilevel"/>
    <w:tmpl w:val="A71AF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D5A097F"/>
    <w:multiLevelType w:val="hybridMultilevel"/>
    <w:tmpl w:val="0E5EAF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3F359C"/>
    <w:multiLevelType w:val="hybridMultilevel"/>
    <w:tmpl w:val="E242B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0A49F9"/>
    <w:multiLevelType w:val="hybridMultilevel"/>
    <w:tmpl w:val="36E8E4C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15"/>
  </w:num>
  <w:num w:numId="2">
    <w:abstractNumId w:val="10"/>
  </w:num>
  <w:num w:numId="3">
    <w:abstractNumId w:val="2"/>
  </w:num>
  <w:num w:numId="4">
    <w:abstractNumId w:val="9"/>
  </w:num>
  <w:num w:numId="5">
    <w:abstractNumId w:val="8"/>
  </w:num>
  <w:num w:numId="6">
    <w:abstractNumId w:val="1"/>
  </w:num>
  <w:num w:numId="7">
    <w:abstractNumId w:val="6"/>
  </w:num>
  <w:num w:numId="8">
    <w:abstractNumId w:val="15"/>
  </w:num>
  <w:num w:numId="9">
    <w:abstractNumId w:val="2"/>
  </w:num>
  <w:num w:numId="10">
    <w:abstractNumId w:val="6"/>
  </w:num>
  <w:num w:numId="11">
    <w:abstractNumId w:val="9"/>
  </w:num>
  <w:num w:numId="12">
    <w:abstractNumId w:val="8"/>
  </w:num>
  <w:num w:numId="13">
    <w:abstractNumId w:val="15"/>
  </w:num>
  <w:num w:numId="14">
    <w:abstractNumId w:val="2"/>
  </w:num>
  <w:num w:numId="15">
    <w:abstractNumId w:val="6"/>
  </w:num>
  <w:num w:numId="16">
    <w:abstractNumId w:val="9"/>
  </w:num>
  <w:num w:numId="17">
    <w:abstractNumId w:val="8"/>
  </w:num>
  <w:num w:numId="18">
    <w:abstractNumId w:val="4"/>
  </w:num>
  <w:num w:numId="19">
    <w:abstractNumId w:val="14"/>
  </w:num>
  <w:num w:numId="20">
    <w:abstractNumId w:val="7"/>
  </w:num>
  <w:num w:numId="21">
    <w:abstractNumId w:val="12"/>
  </w:num>
  <w:num w:numId="22">
    <w:abstractNumId w:val="5"/>
  </w:num>
  <w:num w:numId="23">
    <w:abstractNumId w:val="17"/>
  </w:num>
  <w:num w:numId="24">
    <w:abstractNumId w:val="13"/>
  </w:num>
  <w:num w:numId="25">
    <w:abstractNumId w:val="16"/>
  </w:num>
  <w:num w:numId="26">
    <w:abstractNumId w:val="0"/>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3BC"/>
    <w:rsid w:val="00003720"/>
    <w:rsid w:val="0001084F"/>
    <w:rsid w:val="000124F9"/>
    <w:rsid w:val="00013079"/>
    <w:rsid w:val="00013E51"/>
    <w:rsid w:val="00020B5F"/>
    <w:rsid w:val="00023F96"/>
    <w:rsid w:val="000256ED"/>
    <w:rsid w:val="00025ACE"/>
    <w:rsid w:val="00025B22"/>
    <w:rsid w:val="00025D00"/>
    <w:rsid w:val="0002638D"/>
    <w:rsid w:val="00030975"/>
    <w:rsid w:val="00037F0E"/>
    <w:rsid w:val="000403E1"/>
    <w:rsid w:val="00042DCA"/>
    <w:rsid w:val="00070D91"/>
    <w:rsid w:val="00072137"/>
    <w:rsid w:val="000726C7"/>
    <w:rsid w:val="000741FA"/>
    <w:rsid w:val="00074A8D"/>
    <w:rsid w:val="00076879"/>
    <w:rsid w:val="00082354"/>
    <w:rsid w:val="000854E3"/>
    <w:rsid w:val="00085AD8"/>
    <w:rsid w:val="00090FE5"/>
    <w:rsid w:val="0009351F"/>
    <w:rsid w:val="000953AD"/>
    <w:rsid w:val="00095AB3"/>
    <w:rsid w:val="000A3A94"/>
    <w:rsid w:val="000B0BA7"/>
    <w:rsid w:val="000B113E"/>
    <w:rsid w:val="000B33B6"/>
    <w:rsid w:val="000B4B6C"/>
    <w:rsid w:val="000C6436"/>
    <w:rsid w:val="000D1DE9"/>
    <w:rsid w:val="000D4ECE"/>
    <w:rsid w:val="000D5743"/>
    <w:rsid w:val="000E2051"/>
    <w:rsid w:val="000E38C9"/>
    <w:rsid w:val="000E59E0"/>
    <w:rsid w:val="000E6D57"/>
    <w:rsid w:val="000E6F58"/>
    <w:rsid w:val="000F6255"/>
    <w:rsid w:val="000F6B17"/>
    <w:rsid w:val="00104130"/>
    <w:rsid w:val="00112987"/>
    <w:rsid w:val="00114256"/>
    <w:rsid w:val="00117351"/>
    <w:rsid w:val="00120DCD"/>
    <w:rsid w:val="00121B9E"/>
    <w:rsid w:val="00122072"/>
    <w:rsid w:val="00127C17"/>
    <w:rsid w:val="00132EF2"/>
    <w:rsid w:val="00134042"/>
    <w:rsid w:val="00134705"/>
    <w:rsid w:val="00146A0C"/>
    <w:rsid w:val="00155FF9"/>
    <w:rsid w:val="00161C73"/>
    <w:rsid w:val="00175FDD"/>
    <w:rsid w:val="00175FDF"/>
    <w:rsid w:val="00185BDC"/>
    <w:rsid w:val="00192B5A"/>
    <w:rsid w:val="001942BC"/>
    <w:rsid w:val="001948E9"/>
    <w:rsid w:val="00195EE0"/>
    <w:rsid w:val="001A2C58"/>
    <w:rsid w:val="001A571F"/>
    <w:rsid w:val="001A5FC8"/>
    <w:rsid w:val="001B1F21"/>
    <w:rsid w:val="001B2DAA"/>
    <w:rsid w:val="001B5E52"/>
    <w:rsid w:val="001C4BF8"/>
    <w:rsid w:val="001C5421"/>
    <w:rsid w:val="001C5BEF"/>
    <w:rsid w:val="001D0D67"/>
    <w:rsid w:val="001D1730"/>
    <w:rsid w:val="001D2DE1"/>
    <w:rsid w:val="001D5353"/>
    <w:rsid w:val="001D5C25"/>
    <w:rsid w:val="001E343E"/>
    <w:rsid w:val="001E3655"/>
    <w:rsid w:val="001E6BC9"/>
    <w:rsid w:val="001F7C9B"/>
    <w:rsid w:val="0021177D"/>
    <w:rsid w:val="00211D99"/>
    <w:rsid w:val="00212847"/>
    <w:rsid w:val="002220C1"/>
    <w:rsid w:val="00222DDE"/>
    <w:rsid w:val="00223D30"/>
    <w:rsid w:val="00230612"/>
    <w:rsid w:val="002508F7"/>
    <w:rsid w:val="002562F2"/>
    <w:rsid w:val="00260CF7"/>
    <w:rsid w:val="002674E7"/>
    <w:rsid w:val="002700D9"/>
    <w:rsid w:val="00275921"/>
    <w:rsid w:val="00282B05"/>
    <w:rsid w:val="00292138"/>
    <w:rsid w:val="00294177"/>
    <w:rsid w:val="0029763A"/>
    <w:rsid w:val="002A64A2"/>
    <w:rsid w:val="002B6699"/>
    <w:rsid w:val="002C0691"/>
    <w:rsid w:val="002C12EF"/>
    <w:rsid w:val="002C2256"/>
    <w:rsid w:val="002C451C"/>
    <w:rsid w:val="002C7C49"/>
    <w:rsid w:val="002D040C"/>
    <w:rsid w:val="002D40AD"/>
    <w:rsid w:val="002D5FB0"/>
    <w:rsid w:val="002E00D2"/>
    <w:rsid w:val="002E3B2A"/>
    <w:rsid w:val="002F36E0"/>
    <w:rsid w:val="002F6AA5"/>
    <w:rsid w:val="00301A32"/>
    <w:rsid w:val="00303F15"/>
    <w:rsid w:val="00306629"/>
    <w:rsid w:val="003238F6"/>
    <w:rsid w:val="00341EEB"/>
    <w:rsid w:val="003434D4"/>
    <w:rsid w:val="00343665"/>
    <w:rsid w:val="003463BA"/>
    <w:rsid w:val="003577E4"/>
    <w:rsid w:val="0036752E"/>
    <w:rsid w:val="00370620"/>
    <w:rsid w:val="00375F8B"/>
    <w:rsid w:val="00375FA7"/>
    <w:rsid w:val="00382346"/>
    <w:rsid w:val="00382BA8"/>
    <w:rsid w:val="00384BD6"/>
    <w:rsid w:val="00385EF1"/>
    <w:rsid w:val="0038730A"/>
    <w:rsid w:val="003945A4"/>
    <w:rsid w:val="003A3635"/>
    <w:rsid w:val="003A7407"/>
    <w:rsid w:val="003B003E"/>
    <w:rsid w:val="003B3D92"/>
    <w:rsid w:val="003C2F82"/>
    <w:rsid w:val="003C44B4"/>
    <w:rsid w:val="003C5AA8"/>
    <w:rsid w:val="003D0F6D"/>
    <w:rsid w:val="003D121F"/>
    <w:rsid w:val="003D48C6"/>
    <w:rsid w:val="003D5638"/>
    <w:rsid w:val="003D74BE"/>
    <w:rsid w:val="003E3DAC"/>
    <w:rsid w:val="0040141F"/>
    <w:rsid w:val="0041003E"/>
    <w:rsid w:val="00412326"/>
    <w:rsid w:val="00414AFB"/>
    <w:rsid w:val="00420187"/>
    <w:rsid w:val="004208B5"/>
    <w:rsid w:val="00421632"/>
    <w:rsid w:val="0042756B"/>
    <w:rsid w:val="004362E3"/>
    <w:rsid w:val="00444BE9"/>
    <w:rsid w:val="00446439"/>
    <w:rsid w:val="00446CB7"/>
    <w:rsid w:val="00450F48"/>
    <w:rsid w:val="00452426"/>
    <w:rsid w:val="00452D06"/>
    <w:rsid w:val="0045489F"/>
    <w:rsid w:val="00474889"/>
    <w:rsid w:val="004826DD"/>
    <w:rsid w:val="00486C90"/>
    <w:rsid w:val="004971D6"/>
    <w:rsid w:val="004A1064"/>
    <w:rsid w:val="004A488F"/>
    <w:rsid w:val="004A65E8"/>
    <w:rsid w:val="004B5AB4"/>
    <w:rsid w:val="004C0ADB"/>
    <w:rsid w:val="004C438E"/>
    <w:rsid w:val="004C46F8"/>
    <w:rsid w:val="004C58B9"/>
    <w:rsid w:val="004C6D9E"/>
    <w:rsid w:val="004D2843"/>
    <w:rsid w:val="004E0B74"/>
    <w:rsid w:val="004E3602"/>
    <w:rsid w:val="004E790E"/>
    <w:rsid w:val="004F19EE"/>
    <w:rsid w:val="004F1D39"/>
    <w:rsid w:val="004F5DD9"/>
    <w:rsid w:val="004F7ED1"/>
    <w:rsid w:val="0050389F"/>
    <w:rsid w:val="00506696"/>
    <w:rsid w:val="00513F50"/>
    <w:rsid w:val="00515606"/>
    <w:rsid w:val="00516F60"/>
    <w:rsid w:val="0052687A"/>
    <w:rsid w:val="00531A32"/>
    <w:rsid w:val="00541636"/>
    <w:rsid w:val="00545EF5"/>
    <w:rsid w:val="005638AF"/>
    <w:rsid w:val="005679E9"/>
    <w:rsid w:val="005708FF"/>
    <w:rsid w:val="00570974"/>
    <w:rsid w:val="0059171F"/>
    <w:rsid w:val="005958D6"/>
    <w:rsid w:val="005964CF"/>
    <w:rsid w:val="005A1B04"/>
    <w:rsid w:val="005B2BCE"/>
    <w:rsid w:val="005B3220"/>
    <w:rsid w:val="005C132E"/>
    <w:rsid w:val="005C65EB"/>
    <w:rsid w:val="005D41C6"/>
    <w:rsid w:val="005E3C0A"/>
    <w:rsid w:val="005F3B97"/>
    <w:rsid w:val="005F5BE6"/>
    <w:rsid w:val="006029D9"/>
    <w:rsid w:val="00603B3F"/>
    <w:rsid w:val="00606AC8"/>
    <w:rsid w:val="00610643"/>
    <w:rsid w:val="00613F54"/>
    <w:rsid w:val="006156A5"/>
    <w:rsid w:val="00621840"/>
    <w:rsid w:val="00630142"/>
    <w:rsid w:val="00631F5B"/>
    <w:rsid w:val="00632AB1"/>
    <w:rsid w:val="0064138E"/>
    <w:rsid w:val="00641906"/>
    <w:rsid w:val="0064778C"/>
    <w:rsid w:val="00662C04"/>
    <w:rsid w:val="00663AF2"/>
    <w:rsid w:val="00664519"/>
    <w:rsid w:val="00670716"/>
    <w:rsid w:val="00671216"/>
    <w:rsid w:val="00681986"/>
    <w:rsid w:val="0068444F"/>
    <w:rsid w:val="00686F06"/>
    <w:rsid w:val="00687290"/>
    <w:rsid w:val="006916F1"/>
    <w:rsid w:val="006940DB"/>
    <w:rsid w:val="00696659"/>
    <w:rsid w:val="00696759"/>
    <w:rsid w:val="006A0BDF"/>
    <w:rsid w:val="006A53BB"/>
    <w:rsid w:val="006C2113"/>
    <w:rsid w:val="006C59D5"/>
    <w:rsid w:val="006D535D"/>
    <w:rsid w:val="006E28E6"/>
    <w:rsid w:val="006F32BF"/>
    <w:rsid w:val="006F513D"/>
    <w:rsid w:val="006F7CBC"/>
    <w:rsid w:val="00705A31"/>
    <w:rsid w:val="007066D5"/>
    <w:rsid w:val="00706F43"/>
    <w:rsid w:val="00710541"/>
    <w:rsid w:val="0072116F"/>
    <w:rsid w:val="00723620"/>
    <w:rsid w:val="00723B7B"/>
    <w:rsid w:val="00724AE4"/>
    <w:rsid w:val="0072773A"/>
    <w:rsid w:val="0074078B"/>
    <w:rsid w:val="0074661C"/>
    <w:rsid w:val="00750397"/>
    <w:rsid w:val="0075283F"/>
    <w:rsid w:val="00754E4E"/>
    <w:rsid w:val="00761C74"/>
    <w:rsid w:val="00766475"/>
    <w:rsid w:val="0077364D"/>
    <w:rsid w:val="007770B4"/>
    <w:rsid w:val="00794C5F"/>
    <w:rsid w:val="007A0103"/>
    <w:rsid w:val="007A12DF"/>
    <w:rsid w:val="007A1CF3"/>
    <w:rsid w:val="007A2277"/>
    <w:rsid w:val="007B57FE"/>
    <w:rsid w:val="007C1170"/>
    <w:rsid w:val="007C7251"/>
    <w:rsid w:val="007D117B"/>
    <w:rsid w:val="007D63D9"/>
    <w:rsid w:val="007D7757"/>
    <w:rsid w:val="007E1B03"/>
    <w:rsid w:val="007E1EC0"/>
    <w:rsid w:val="007E6F45"/>
    <w:rsid w:val="007F2F5E"/>
    <w:rsid w:val="00804E0D"/>
    <w:rsid w:val="00805358"/>
    <w:rsid w:val="00805C8B"/>
    <w:rsid w:val="008070A8"/>
    <w:rsid w:val="00810499"/>
    <w:rsid w:val="0081166D"/>
    <w:rsid w:val="0081203C"/>
    <w:rsid w:val="00820E31"/>
    <w:rsid w:val="00821F3F"/>
    <w:rsid w:val="00830B25"/>
    <w:rsid w:val="008341E8"/>
    <w:rsid w:val="00841BEB"/>
    <w:rsid w:val="008441CF"/>
    <w:rsid w:val="0084470A"/>
    <w:rsid w:val="0084604A"/>
    <w:rsid w:val="008554AC"/>
    <w:rsid w:val="0087247A"/>
    <w:rsid w:val="00874D8A"/>
    <w:rsid w:val="0087707C"/>
    <w:rsid w:val="00891A22"/>
    <w:rsid w:val="008976BB"/>
    <w:rsid w:val="008A1FDF"/>
    <w:rsid w:val="008A285D"/>
    <w:rsid w:val="008A2AAB"/>
    <w:rsid w:val="008A432F"/>
    <w:rsid w:val="008A52CF"/>
    <w:rsid w:val="008B3196"/>
    <w:rsid w:val="008C584E"/>
    <w:rsid w:val="008D0FAE"/>
    <w:rsid w:val="008D4835"/>
    <w:rsid w:val="008E11C3"/>
    <w:rsid w:val="008E2D01"/>
    <w:rsid w:val="008E3483"/>
    <w:rsid w:val="008E3778"/>
    <w:rsid w:val="008E7769"/>
    <w:rsid w:val="008F4C58"/>
    <w:rsid w:val="008F51E3"/>
    <w:rsid w:val="008F6164"/>
    <w:rsid w:val="0090572C"/>
    <w:rsid w:val="0091080B"/>
    <w:rsid w:val="009145C5"/>
    <w:rsid w:val="009155CD"/>
    <w:rsid w:val="00924324"/>
    <w:rsid w:val="00926833"/>
    <w:rsid w:val="00931961"/>
    <w:rsid w:val="00940305"/>
    <w:rsid w:val="00940FE5"/>
    <w:rsid w:val="0094596B"/>
    <w:rsid w:val="009462BF"/>
    <w:rsid w:val="009470D3"/>
    <w:rsid w:val="009544ED"/>
    <w:rsid w:val="00962A64"/>
    <w:rsid w:val="009670B7"/>
    <w:rsid w:val="009723D1"/>
    <w:rsid w:val="009732C1"/>
    <w:rsid w:val="00977705"/>
    <w:rsid w:val="00982122"/>
    <w:rsid w:val="0098395F"/>
    <w:rsid w:val="00985212"/>
    <w:rsid w:val="009A1719"/>
    <w:rsid w:val="009A7280"/>
    <w:rsid w:val="009B0B0C"/>
    <w:rsid w:val="009C2B4A"/>
    <w:rsid w:val="009D03E6"/>
    <w:rsid w:val="009D228C"/>
    <w:rsid w:val="009D5783"/>
    <w:rsid w:val="009D67A8"/>
    <w:rsid w:val="009E1D92"/>
    <w:rsid w:val="009E4F28"/>
    <w:rsid w:val="009F0F63"/>
    <w:rsid w:val="009F2956"/>
    <w:rsid w:val="009F3B3B"/>
    <w:rsid w:val="009F7219"/>
    <w:rsid w:val="009F7907"/>
    <w:rsid w:val="00A07A2F"/>
    <w:rsid w:val="00A1386A"/>
    <w:rsid w:val="00A15A45"/>
    <w:rsid w:val="00A15FC0"/>
    <w:rsid w:val="00A17EAA"/>
    <w:rsid w:val="00A213A8"/>
    <w:rsid w:val="00A21F3E"/>
    <w:rsid w:val="00A23AF2"/>
    <w:rsid w:val="00A27EEC"/>
    <w:rsid w:val="00A30B11"/>
    <w:rsid w:val="00A34402"/>
    <w:rsid w:val="00A47F0E"/>
    <w:rsid w:val="00A62043"/>
    <w:rsid w:val="00A62714"/>
    <w:rsid w:val="00A64EC4"/>
    <w:rsid w:val="00A7023B"/>
    <w:rsid w:val="00A72849"/>
    <w:rsid w:val="00A749CF"/>
    <w:rsid w:val="00A80434"/>
    <w:rsid w:val="00A84ACC"/>
    <w:rsid w:val="00A870DA"/>
    <w:rsid w:val="00A8752D"/>
    <w:rsid w:val="00A903B4"/>
    <w:rsid w:val="00AA39D4"/>
    <w:rsid w:val="00AA6088"/>
    <w:rsid w:val="00AB65E7"/>
    <w:rsid w:val="00AC3B30"/>
    <w:rsid w:val="00AC4F25"/>
    <w:rsid w:val="00AC5326"/>
    <w:rsid w:val="00AD3414"/>
    <w:rsid w:val="00AD500F"/>
    <w:rsid w:val="00AD7191"/>
    <w:rsid w:val="00AD7D71"/>
    <w:rsid w:val="00AE2CB4"/>
    <w:rsid w:val="00AE64FB"/>
    <w:rsid w:val="00AE6898"/>
    <w:rsid w:val="00AF080D"/>
    <w:rsid w:val="00AF29AE"/>
    <w:rsid w:val="00AF3256"/>
    <w:rsid w:val="00AF6545"/>
    <w:rsid w:val="00AF6BEC"/>
    <w:rsid w:val="00AF7B27"/>
    <w:rsid w:val="00B00FC3"/>
    <w:rsid w:val="00B078B3"/>
    <w:rsid w:val="00B110A2"/>
    <w:rsid w:val="00B123FD"/>
    <w:rsid w:val="00B125C6"/>
    <w:rsid w:val="00B15AE9"/>
    <w:rsid w:val="00B20CB4"/>
    <w:rsid w:val="00B2419C"/>
    <w:rsid w:val="00B35723"/>
    <w:rsid w:val="00B44FD4"/>
    <w:rsid w:val="00B52584"/>
    <w:rsid w:val="00B52F5E"/>
    <w:rsid w:val="00B53E18"/>
    <w:rsid w:val="00B665E6"/>
    <w:rsid w:val="00B727F3"/>
    <w:rsid w:val="00B77F84"/>
    <w:rsid w:val="00B86E46"/>
    <w:rsid w:val="00B86F90"/>
    <w:rsid w:val="00B90F17"/>
    <w:rsid w:val="00B92A7B"/>
    <w:rsid w:val="00B94B30"/>
    <w:rsid w:val="00B9716D"/>
    <w:rsid w:val="00BA7D17"/>
    <w:rsid w:val="00BB076E"/>
    <w:rsid w:val="00BB19E6"/>
    <w:rsid w:val="00BB1CF2"/>
    <w:rsid w:val="00BB21E2"/>
    <w:rsid w:val="00BB7A25"/>
    <w:rsid w:val="00BC0A3C"/>
    <w:rsid w:val="00BC4DD1"/>
    <w:rsid w:val="00BC5916"/>
    <w:rsid w:val="00BC621F"/>
    <w:rsid w:val="00BE1F02"/>
    <w:rsid w:val="00BE3149"/>
    <w:rsid w:val="00BE5038"/>
    <w:rsid w:val="00BF2AEE"/>
    <w:rsid w:val="00C016EF"/>
    <w:rsid w:val="00C032F0"/>
    <w:rsid w:val="00C03503"/>
    <w:rsid w:val="00C10E3A"/>
    <w:rsid w:val="00C116D5"/>
    <w:rsid w:val="00C14388"/>
    <w:rsid w:val="00C20621"/>
    <w:rsid w:val="00C21933"/>
    <w:rsid w:val="00C341AA"/>
    <w:rsid w:val="00C36055"/>
    <w:rsid w:val="00C40644"/>
    <w:rsid w:val="00C50F2A"/>
    <w:rsid w:val="00C52681"/>
    <w:rsid w:val="00C57E29"/>
    <w:rsid w:val="00C63E8C"/>
    <w:rsid w:val="00C659A7"/>
    <w:rsid w:val="00C6674A"/>
    <w:rsid w:val="00C673DB"/>
    <w:rsid w:val="00C71CAF"/>
    <w:rsid w:val="00C74F97"/>
    <w:rsid w:val="00C76FFC"/>
    <w:rsid w:val="00C822A6"/>
    <w:rsid w:val="00C83271"/>
    <w:rsid w:val="00C87F05"/>
    <w:rsid w:val="00C91B4E"/>
    <w:rsid w:val="00C921C9"/>
    <w:rsid w:val="00C9259F"/>
    <w:rsid w:val="00C970FE"/>
    <w:rsid w:val="00CA10B6"/>
    <w:rsid w:val="00CA3398"/>
    <w:rsid w:val="00CA40FA"/>
    <w:rsid w:val="00CA6926"/>
    <w:rsid w:val="00CA735C"/>
    <w:rsid w:val="00CB2341"/>
    <w:rsid w:val="00CB3AD5"/>
    <w:rsid w:val="00CC12E3"/>
    <w:rsid w:val="00CD0D86"/>
    <w:rsid w:val="00CD3DBE"/>
    <w:rsid w:val="00CD71EB"/>
    <w:rsid w:val="00CE1507"/>
    <w:rsid w:val="00CE275B"/>
    <w:rsid w:val="00CE3CC8"/>
    <w:rsid w:val="00CE5861"/>
    <w:rsid w:val="00CF08FC"/>
    <w:rsid w:val="00D02BC5"/>
    <w:rsid w:val="00D079BD"/>
    <w:rsid w:val="00D13D39"/>
    <w:rsid w:val="00D1441F"/>
    <w:rsid w:val="00D1598B"/>
    <w:rsid w:val="00D178C7"/>
    <w:rsid w:val="00D2038B"/>
    <w:rsid w:val="00D20B5F"/>
    <w:rsid w:val="00D23BD5"/>
    <w:rsid w:val="00D246E4"/>
    <w:rsid w:val="00D2518B"/>
    <w:rsid w:val="00D32E4E"/>
    <w:rsid w:val="00D35790"/>
    <w:rsid w:val="00D5385A"/>
    <w:rsid w:val="00D541A0"/>
    <w:rsid w:val="00D567F0"/>
    <w:rsid w:val="00D57278"/>
    <w:rsid w:val="00D57387"/>
    <w:rsid w:val="00D66D83"/>
    <w:rsid w:val="00D8703F"/>
    <w:rsid w:val="00D96E3B"/>
    <w:rsid w:val="00DA0D39"/>
    <w:rsid w:val="00DA57FE"/>
    <w:rsid w:val="00DA6638"/>
    <w:rsid w:val="00DB2501"/>
    <w:rsid w:val="00DB490B"/>
    <w:rsid w:val="00DB4A50"/>
    <w:rsid w:val="00DC3FDF"/>
    <w:rsid w:val="00DC69D7"/>
    <w:rsid w:val="00DD2B88"/>
    <w:rsid w:val="00DE379D"/>
    <w:rsid w:val="00DE7022"/>
    <w:rsid w:val="00DF2758"/>
    <w:rsid w:val="00DF471A"/>
    <w:rsid w:val="00DF786F"/>
    <w:rsid w:val="00E00033"/>
    <w:rsid w:val="00E13030"/>
    <w:rsid w:val="00E25945"/>
    <w:rsid w:val="00E25A9D"/>
    <w:rsid w:val="00E34E9B"/>
    <w:rsid w:val="00E57B84"/>
    <w:rsid w:val="00E66A5B"/>
    <w:rsid w:val="00E71617"/>
    <w:rsid w:val="00E7169D"/>
    <w:rsid w:val="00E71B30"/>
    <w:rsid w:val="00E821D8"/>
    <w:rsid w:val="00E831C7"/>
    <w:rsid w:val="00E833DA"/>
    <w:rsid w:val="00E92C05"/>
    <w:rsid w:val="00EA290E"/>
    <w:rsid w:val="00EB0C79"/>
    <w:rsid w:val="00EB77ED"/>
    <w:rsid w:val="00EC2B08"/>
    <w:rsid w:val="00EC54C3"/>
    <w:rsid w:val="00EC5F5B"/>
    <w:rsid w:val="00EC6714"/>
    <w:rsid w:val="00EC76A0"/>
    <w:rsid w:val="00ED3ED8"/>
    <w:rsid w:val="00ED54AD"/>
    <w:rsid w:val="00EE5E7F"/>
    <w:rsid w:val="00EE5F3A"/>
    <w:rsid w:val="00EE6297"/>
    <w:rsid w:val="00F07865"/>
    <w:rsid w:val="00F22BDA"/>
    <w:rsid w:val="00F33BD8"/>
    <w:rsid w:val="00F406BB"/>
    <w:rsid w:val="00F4414D"/>
    <w:rsid w:val="00F449ED"/>
    <w:rsid w:val="00F47101"/>
    <w:rsid w:val="00F50A18"/>
    <w:rsid w:val="00F66C69"/>
    <w:rsid w:val="00F675AA"/>
    <w:rsid w:val="00F744B4"/>
    <w:rsid w:val="00F76815"/>
    <w:rsid w:val="00F83553"/>
    <w:rsid w:val="00F87858"/>
    <w:rsid w:val="00F9433A"/>
    <w:rsid w:val="00FA6698"/>
    <w:rsid w:val="00FB4437"/>
    <w:rsid w:val="00FB48A2"/>
    <w:rsid w:val="00FB6908"/>
    <w:rsid w:val="00FC0BF3"/>
    <w:rsid w:val="00FC67DA"/>
    <w:rsid w:val="00FD6A58"/>
    <w:rsid w:val="00FD6B1A"/>
    <w:rsid w:val="00FE289D"/>
    <w:rsid w:val="00FF5C7C"/>
    <w:rsid w:val="00FF7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0">
    <w:name w:val="acmabodytext"/>
    <w:basedOn w:val="Normal"/>
    <w:rsid w:val="000768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76879"/>
    <w:rPr>
      <w:color w:val="605E5C"/>
      <w:shd w:val="clear" w:color="auto" w:fill="E1DFDD"/>
    </w:rPr>
  </w:style>
  <w:style w:type="character" w:styleId="FootnoteReference">
    <w:name w:val="footnote reference"/>
    <w:basedOn w:val="DefaultParagraphFont"/>
    <w:uiPriority w:val="99"/>
    <w:semiHidden/>
    <w:unhideWhenUsed/>
    <w:rsid w:val="00A72849"/>
  </w:style>
  <w:style w:type="character" w:styleId="FollowedHyperlink">
    <w:name w:val="FollowedHyperlink"/>
    <w:basedOn w:val="DefaultParagraphFont"/>
    <w:uiPriority w:val="99"/>
    <w:semiHidden/>
    <w:unhideWhenUsed/>
    <w:rsid w:val="00ED3ED8"/>
    <w:rPr>
      <w:color w:val="954F72" w:themeColor="followedHyperlink"/>
      <w:u w:val="single"/>
    </w:rPr>
  </w:style>
  <w:style w:type="paragraph" w:styleId="Revision">
    <w:name w:val="Revision"/>
    <w:hidden/>
    <w:uiPriority w:val="99"/>
    <w:semiHidden/>
    <w:rsid w:val="00ED3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8790">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3">
          <w:marLeft w:val="0"/>
          <w:marRight w:val="0"/>
          <w:marTop w:val="0"/>
          <w:marBottom w:val="0"/>
          <w:divBdr>
            <w:top w:val="none" w:sz="0" w:space="0" w:color="auto"/>
            <w:left w:val="none" w:sz="0" w:space="0" w:color="auto"/>
            <w:bottom w:val="none" w:sz="0" w:space="0" w:color="auto"/>
            <w:right w:val="none" w:sz="0" w:space="0" w:color="auto"/>
          </w:divBdr>
          <w:divsChild>
            <w:div w:id="774522220">
              <w:marLeft w:val="0"/>
              <w:marRight w:val="0"/>
              <w:marTop w:val="0"/>
              <w:marBottom w:val="0"/>
              <w:divBdr>
                <w:top w:val="none" w:sz="0" w:space="0" w:color="auto"/>
                <w:left w:val="none" w:sz="0" w:space="0" w:color="auto"/>
                <w:bottom w:val="none" w:sz="0" w:space="0" w:color="auto"/>
                <w:right w:val="none" w:sz="0" w:space="0" w:color="auto"/>
              </w:divBdr>
              <w:divsChild>
                <w:div w:id="1172572005">
                  <w:marLeft w:val="0"/>
                  <w:marRight w:val="0"/>
                  <w:marTop w:val="0"/>
                  <w:marBottom w:val="0"/>
                  <w:divBdr>
                    <w:top w:val="none" w:sz="0" w:space="0" w:color="auto"/>
                    <w:left w:val="none" w:sz="0" w:space="0" w:color="auto"/>
                    <w:bottom w:val="none" w:sz="0" w:space="0" w:color="auto"/>
                    <w:right w:val="none" w:sz="0" w:space="0" w:color="auto"/>
                  </w:divBdr>
                  <w:divsChild>
                    <w:div w:id="1476992010">
                      <w:marLeft w:val="0"/>
                      <w:marRight w:val="0"/>
                      <w:marTop w:val="0"/>
                      <w:marBottom w:val="0"/>
                      <w:divBdr>
                        <w:top w:val="none" w:sz="0" w:space="0" w:color="auto"/>
                        <w:left w:val="none" w:sz="0" w:space="0" w:color="auto"/>
                        <w:bottom w:val="none" w:sz="0" w:space="0" w:color="auto"/>
                        <w:right w:val="none" w:sz="0" w:space="0" w:color="auto"/>
                      </w:divBdr>
                      <w:divsChild>
                        <w:div w:id="1865559956">
                          <w:marLeft w:val="0"/>
                          <w:marRight w:val="0"/>
                          <w:marTop w:val="0"/>
                          <w:marBottom w:val="0"/>
                          <w:divBdr>
                            <w:top w:val="none" w:sz="0" w:space="0" w:color="auto"/>
                            <w:left w:val="none" w:sz="0" w:space="0" w:color="auto"/>
                            <w:bottom w:val="none" w:sz="0" w:space="0" w:color="auto"/>
                            <w:right w:val="none" w:sz="0" w:space="0" w:color="auto"/>
                          </w:divBdr>
                          <w:divsChild>
                            <w:div w:id="991831969">
                              <w:marLeft w:val="0"/>
                              <w:marRight w:val="0"/>
                              <w:marTop w:val="0"/>
                              <w:marBottom w:val="0"/>
                              <w:divBdr>
                                <w:top w:val="none" w:sz="0" w:space="0" w:color="auto"/>
                                <w:left w:val="none" w:sz="0" w:space="0" w:color="auto"/>
                                <w:bottom w:val="none" w:sz="0" w:space="0" w:color="auto"/>
                                <w:right w:val="none" w:sz="0" w:space="0" w:color="auto"/>
                              </w:divBdr>
                              <w:divsChild>
                                <w:div w:id="846678723">
                                  <w:marLeft w:val="0"/>
                                  <w:marRight w:val="0"/>
                                  <w:marTop w:val="0"/>
                                  <w:marBottom w:val="0"/>
                                  <w:divBdr>
                                    <w:top w:val="none" w:sz="0" w:space="0" w:color="auto"/>
                                    <w:left w:val="none" w:sz="0" w:space="0" w:color="auto"/>
                                    <w:bottom w:val="none" w:sz="0" w:space="0" w:color="auto"/>
                                    <w:right w:val="none" w:sz="0" w:space="0" w:color="auto"/>
                                  </w:divBdr>
                                  <w:divsChild>
                                    <w:div w:id="221988610">
                                      <w:marLeft w:val="0"/>
                                      <w:marRight w:val="0"/>
                                      <w:marTop w:val="0"/>
                                      <w:marBottom w:val="0"/>
                                      <w:divBdr>
                                        <w:top w:val="none" w:sz="0" w:space="0" w:color="auto"/>
                                        <w:left w:val="none" w:sz="0" w:space="0" w:color="auto"/>
                                        <w:bottom w:val="none" w:sz="0" w:space="0" w:color="auto"/>
                                        <w:right w:val="none" w:sz="0" w:space="0" w:color="auto"/>
                                      </w:divBdr>
                                      <w:divsChild>
                                        <w:div w:id="600138803">
                                          <w:marLeft w:val="0"/>
                                          <w:marRight w:val="0"/>
                                          <w:marTop w:val="0"/>
                                          <w:marBottom w:val="0"/>
                                          <w:divBdr>
                                            <w:top w:val="none" w:sz="0" w:space="0" w:color="auto"/>
                                            <w:left w:val="none" w:sz="0" w:space="0" w:color="auto"/>
                                            <w:bottom w:val="none" w:sz="0" w:space="0" w:color="auto"/>
                                            <w:right w:val="none" w:sz="0" w:space="0" w:color="auto"/>
                                          </w:divBdr>
                                          <w:divsChild>
                                            <w:div w:id="142822503">
                                              <w:marLeft w:val="0"/>
                                              <w:marRight w:val="0"/>
                                              <w:marTop w:val="0"/>
                                              <w:marBottom w:val="0"/>
                                              <w:divBdr>
                                                <w:top w:val="none" w:sz="0" w:space="0" w:color="auto"/>
                                                <w:left w:val="none" w:sz="0" w:space="0" w:color="auto"/>
                                                <w:bottom w:val="none" w:sz="0" w:space="0" w:color="auto"/>
                                                <w:right w:val="none" w:sz="0" w:space="0" w:color="auto"/>
                                              </w:divBdr>
                                              <w:divsChild>
                                                <w:div w:id="1438137251">
                                                  <w:marLeft w:val="0"/>
                                                  <w:marRight w:val="0"/>
                                                  <w:marTop w:val="0"/>
                                                  <w:marBottom w:val="0"/>
                                                  <w:divBdr>
                                                    <w:top w:val="none" w:sz="0" w:space="0" w:color="auto"/>
                                                    <w:left w:val="none" w:sz="0" w:space="0" w:color="auto"/>
                                                    <w:bottom w:val="none" w:sz="0" w:space="0" w:color="auto"/>
                                                    <w:right w:val="none" w:sz="0" w:space="0" w:color="auto"/>
                                                  </w:divBdr>
                                                  <w:divsChild>
                                                    <w:div w:id="812529496">
                                                      <w:marLeft w:val="0"/>
                                                      <w:marRight w:val="0"/>
                                                      <w:marTop w:val="0"/>
                                                      <w:marBottom w:val="0"/>
                                                      <w:divBdr>
                                                        <w:top w:val="none" w:sz="0" w:space="0" w:color="auto"/>
                                                        <w:left w:val="none" w:sz="0" w:space="0" w:color="auto"/>
                                                        <w:bottom w:val="none" w:sz="0" w:space="0" w:color="auto"/>
                                                        <w:right w:val="none" w:sz="0" w:space="0" w:color="auto"/>
                                                      </w:divBdr>
                                                      <w:divsChild>
                                                        <w:div w:id="1299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3391086">
      <w:bodyDiv w:val="1"/>
      <w:marLeft w:val="0"/>
      <w:marRight w:val="0"/>
      <w:marTop w:val="0"/>
      <w:marBottom w:val="0"/>
      <w:divBdr>
        <w:top w:val="none" w:sz="0" w:space="0" w:color="auto"/>
        <w:left w:val="none" w:sz="0" w:space="0" w:color="auto"/>
        <w:bottom w:val="none" w:sz="0" w:space="0" w:color="auto"/>
        <w:right w:val="none" w:sz="0" w:space="0" w:color="auto"/>
      </w:divBdr>
      <w:divsChild>
        <w:div w:id="978413355">
          <w:marLeft w:val="0"/>
          <w:marRight w:val="0"/>
          <w:marTop w:val="0"/>
          <w:marBottom w:val="0"/>
          <w:divBdr>
            <w:top w:val="none" w:sz="0" w:space="0" w:color="auto"/>
            <w:left w:val="none" w:sz="0" w:space="0" w:color="auto"/>
            <w:bottom w:val="none" w:sz="0" w:space="0" w:color="auto"/>
            <w:right w:val="none" w:sz="0" w:space="0" w:color="auto"/>
          </w:divBdr>
          <w:divsChild>
            <w:div w:id="1909025367">
              <w:marLeft w:val="0"/>
              <w:marRight w:val="0"/>
              <w:marTop w:val="0"/>
              <w:marBottom w:val="0"/>
              <w:divBdr>
                <w:top w:val="none" w:sz="0" w:space="0" w:color="auto"/>
                <w:left w:val="none" w:sz="0" w:space="0" w:color="auto"/>
                <w:bottom w:val="none" w:sz="0" w:space="0" w:color="auto"/>
                <w:right w:val="none" w:sz="0" w:space="0" w:color="auto"/>
              </w:divBdr>
              <w:divsChild>
                <w:div w:id="2097749447">
                  <w:marLeft w:val="0"/>
                  <w:marRight w:val="0"/>
                  <w:marTop w:val="0"/>
                  <w:marBottom w:val="0"/>
                  <w:divBdr>
                    <w:top w:val="none" w:sz="0" w:space="0" w:color="auto"/>
                    <w:left w:val="none" w:sz="0" w:space="0" w:color="auto"/>
                    <w:bottom w:val="none" w:sz="0" w:space="0" w:color="auto"/>
                    <w:right w:val="none" w:sz="0" w:space="0" w:color="auto"/>
                  </w:divBdr>
                  <w:divsChild>
                    <w:div w:id="602301347">
                      <w:marLeft w:val="0"/>
                      <w:marRight w:val="0"/>
                      <w:marTop w:val="0"/>
                      <w:marBottom w:val="0"/>
                      <w:divBdr>
                        <w:top w:val="none" w:sz="0" w:space="0" w:color="auto"/>
                        <w:left w:val="none" w:sz="0" w:space="0" w:color="auto"/>
                        <w:bottom w:val="none" w:sz="0" w:space="0" w:color="auto"/>
                        <w:right w:val="none" w:sz="0" w:space="0" w:color="auto"/>
                      </w:divBdr>
                      <w:divsChild>
                        <w:div w:id="677853232">
                          <w:marLeft w:val="0"/>
                          <w:marRight w:val="0"/>
                          <w:marTop w:val="0"/>
                          <w:marBottom w:val="0"/>
                          <w:divBdr>
                            <w:top w:val="none" w:sz="0" w:space="0" w:color="auto"/>
                            <w:left w:val="none" w:sz="0" w:space="0" w:color="auto"/>
                            <w:bottom w:val="none" w:sz="0" w:space="0" w:color="auto"/>
                            <w:right w:val="none" w:sz="0" w:space="0" w:color="auto"/>
                          </w:divBdr>
                          <w:divsChild>
                            <w:div w:id="1533112562">
                              <w:marLeft w:val="0"/>
                              <w:marRight w:val="0"/>
                              <w:marTop w:val="0"/>
                              <w:marBottom w:val="0"/>
                              <w:divBdr>
                                <w:top w:val="none" w:sz="0" w:space="0" w:color="auto"/>
                                <w:left w:val="none" w:sz="0" w:space="0" w:color="auto"/>
                                <w:bottom w:val="none" w:sz="0" w:space="0" w:color="auto"/>
                                <w:right w:val="none" w:sz="0" w:space="0" w:color="auto"/>
                              </w:divBdr>
                              <w:divsChild>
                                <w:div w:id="146282854">
                                  <w:marLeft w:val="0"/>
                                  <w:marRight w:val="0"/>
                                  <w:marTop w:val="0"/>
                                  <w:marBottom w:val="0"/>
                                  <w:divBdr>
                                    <w:top w:val="none" w:sz="0" w:space="0" w:color="auto"/>
                                    <w:left w:val="none" w:sz="0" w:space="0" w:color="auto"/>
                                    <w:bottom w:val="none" w:sz="0" w:space="0" w:color="auto"/>
                                    <w:right w:val="none" w:sz="0" w:space="0" w:color="auto"/>
                                  </w:divBdr>
                                  <w:divsChild>
                                    <w:div w:id="376856489">
                                      <w:marLeft w:val="0"/>
                                      <w:marRight w:val="0"/>
                                      <w:marTop w:val="0"/>
                                      <w:marBottom w:val="0"/>
                                      <w:divBdr>
                                        <w:top w:val="none" w:sz="0" w:space="0" w:color="auto"/>
                                        <w:left w:val="none" w:sz="0" w:space="0" w:color="auto"/>
                                        <w:bottom w:val="none" w:sz="0" w:space="0" w:color="auto"/>
                                        <w:right w:val="none" w:sz="0" w:space="0" w:color="auto"/>
                                      </w:divBdr>
                                      <w:divsChild>
                                        <w:div w:id="1884708664">
                                          <w:marLeft w:val="0"/>
                                          <w:marRight w:val="0"/>
                                          <w:marTop w:val="0"/>
                                          <w:marBottom w:val="0"/>
                                          <w:divBdr>
                                            <w:top w:val="none" w:sz="0" w:space="0" w:color="auto"/>
                                            <w:left w:val="none" w:sz="0" w:space="0" w:color="auto"/>
                                            <w:bottom w:val="none" w:sz="0" w:space="0" w:color="auto"/>
                                            <w:right w:val="none" w:sz="0" w:space="0" w:color="auto"/>
                                          </w:divBdr>
                                          <w:divsChild>
                                            <w:div w:id="1515337344">
                                              <w:marLeft w:val="0"/>
                                              <w:marRight w:val="0"/>
                                              <w:marTop w:val="0"/>
                                              <w:marBottom w:val="0"/>
                                              <w:divBdr>
                                                <w:top w:val="none" w:sz="0" w:space="0" w:color="auto"/>
                                                <w:left w:val="none" w:sz="0" w:space="0" w:color="auto"/>
                                                <w:bottom w:val="none" w:sz="0" w:space="0" w:color="auto"/>
                                                <w:right w:val="none" w:sz="0" w:space="0" w:color="auto"/>
                                              </w:divBdr>
                                              <w:divsChild>
                                                <w:div w:id="111631555">
                                                  <w:marLeft w:val="0"/>
                                                  <w:marRight w:val="0"/>
                                                  <w:marTop w:val="0"/>
                                                  <w:marBottom w:val="0"/>
                                                  <w:divBdr>
                                                    <w:top w:val="none" w:sz="0" w:space="0" w:color="auto"/>
                                                    <w:left w:val="none" w:sz="0" w:space="0" w:color="auto"/>
                                                    <w:bottom w:val="none" w:sz="0" w:space="0" w:color="auto"/>
                                                    <w:right w:val="none" w:sz="0" w:space="0" w:color="auto"/>
                                                  </w:divBdr>
                                                  <w:divsChild>
                                                    <w:div w:id="1205363586">
                                                      <w:marLeft w:val="0"/>
                                                      <w:marRight w:val="0"/>
                                                      <w:marTop w:val="0"/>
                                                      <w:marBottom w:val="0"/>
                                                      <w:divBdr>
                                                        <w:top w:val="none" w:sz="0" w:space="0" w:color="auto"/>
                                                        <w:left w:val="none" w:sz="0" w:space="0" w:color="auto"/>
                                                        <w:bottom w:val="none" w:sz="0" w:space="0" w:color="auto"/>
                                                        <w:right w:val="none" w:sz="0" w:space="0" w:color="auto"/>
                                                      </w:divBdr>
                                                      <w:divsChild>
                                                        <w:div w:id="7948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68887833">
      <w:bodyDiv w:val="1"/>
      <w:marLeft w:val="0"/>
      <w:marRight w:val="0"/>
      <w:marTop w:val="0"/>
      <w:marBottom w:val="0"/>
      <w:divBdr>
        <w:top w:val="none" w:sz="0" w:space="0" w:color="auto"/>
        <w:left w:val="none" w:sz="0" w:space="0" w:color="auto"/>
        <w:bottom w:val="none" w:sz="0" w:space="0" w:color="auto"/>
        <w:right w:val="none" w:sz="0" w:space="0" w:color="auto"/>
      </w:divBdr>
      <w:divsChild>
        <w:div w:id="30343667">
          <w:marLeft w:val="0"/>
          <w:marRight w:val="0"/>
          <w:marTop w:val="0"/>
          <w:marBottom w:val="0"/>
          <w:divBdr>
            <w:top w:val="none" w:sz="0" w:space="0" w:color="auto"/>
            <w:left w:val="none" w:sz="0" w:space="0" w:color="auto"/>
            <w:bottom w:val="none" w:sz="0" w:space="0" w:color="auto"/>
            <w:right w:val="none" w:sz="0" w:space="0" w:color="auto"/>
          </w:divBdr>
          <w:divsChild>
            <w:div w:id="157843355">
              <w:marLeft w:val="0"/>
              <w:marRight w:val="0"/>
              <w:marTop w:val="0"/>
              <w:marBottom w:val="0"/>
              <w:divBdr>
                <w:top w:val="none" w:sz="0" w:space="0" w:color="auto"/>
                <w:left w:val="none" w:sz="0" w:space="0" w:color="auto"/>
                <w:bottom w:val="none" w:sz="0" w:space="0" w:color="auto"/>
                <w:right w:val="none" w:sz="0" w:space="0" w:color="auto"/>
              </w:divBdr>
              <w:divsChild>
                <w:div w:id="111634233">
                  <w:marLeft w:val="0"/>
                  <w:marRight w:val="0"/>
                  <w:marTop w:val="0"/>
                  <w:marBottom w:val="0"/>
                  <w:divBdr>
                    <w:top w:val="none" w:sz="0" w:space="0" w:color="auto"/>
                    <w:left w:val="none" w:sz="0" w:space="0" w:color="auto"/>
                    <w:bottom w:val="none" w:sz="0" w:space="0" w:color="auto"/>
                    <w:right w:val="none" w:sz="0" w:space="0" w:color="auto"/>
                  </w:divBdr>
                  <w:divsChild>
                    <w:div w:id="723263360">
                      <w:marLeft w:val="0"/>
                      <w:marRight w:val="0"/>
                      <w:marTop w:val="0"/>
                      <w:marBottom w:val="0"/>
                      <w:divBdr>
                        <w:top w:val="none" w:sz="0" w:space="0" w:color="auto"/>
                        <w:left w:val="none" w:sz="0" w:space="0" w:color="auto"/>
                        <w:bottom w:val="none" w:sz="0" w:space="0" w:color="auto"/>
                        <w:right w:val="none" w:sz="0" w:space="0" w:color="auto"/>
                      </w:divBdr>
                      <w:divsChild>
                        <w:div w:id="518473207">
                          <w:marLeft w:val="0"/>
                          <w:marRight w:val="0"/>
                          <w:marTop w:val="0"/>
                          <w:marBottom w:val="0"/>
                          <w:divBdr>
                            <w:top w:val="none" w:sz="0" w:space="0" w:color="auto"/>
                            <w:left w:val="none" w:sz="0" w:space="0" w:color="auto"/>
                            <w:bottom w:val="none" w:sz="0" w:space="0" w:color="auto"/>
                            <w:right w:val="none" w:sz="0" w:space="0" w:color="auto"/>
                          </w:divBdr>
                          <w:divsChild>
                            <w:div w:id="565453443">
                              <w:marLeft w:val="0"/>
                              <w:marRight w:val="0"/>
                              <w:marTop w:val="0"/>
                              <w:marBottom w:val="0"/>
                              <w:divBdr>
                                <w:top w:val="none" w:sz="0" w:space="0" w:color="auto"/>
                                <w:left w:val="none" w:sz="0" w:space="0" w:color="auto"/>
                                <w:bottom w:val="none" w:sz="0" w:space="0" w:color="auto"/>
                                <w:right w:val="none" w:sz="0" w:space="0" w:color="auto"/>
                              </w:divBdr>
                              <w:divsChild>
                                <w:div w:id="1857185963">
                                  <w:marLeft w:val="0"/>
                                  <w:marRight w:val="0"/>
                                  <w:marTop w:val="0"/>
                                  <w:marBottom w:val="0"/>
                                  <w:divBdr>
                                    <w:top w:val="none" w:sz="0" w:space="0" w:color="auto"/>
                                    <w:left w:val="none" w:sz="0" w:space="0" w:color="auto"/>
                                    <w:bottom w:val="none" w:sz="0" w:space="0" w:color="auto"/>
                                    <w:right w:val="none" w:sz="0" w:space="0" w:color="auto"/>
                                  </w:divBdr>
                                  <w:divsChild>
                                    <w:div w:id="1172796801">
                                      <w:marLeft w:val="0"/>
                                      <w:marRight w:val="0"/>
                                      <w:marTop w:val="0"/>
                                      <w:marBottom w:val="0"/>
                                      <w:divBdr>
                                        <w:top w:val="none" w:sz="0" w:space="0" w:color="auto"/>
                                        <w:left w:val="none" w:sz="0" w:space="0" w:color="auto"/>
                                        <w:bottom w:val="none" w:sz="0" w:space="0" w:color="auto"/>
                                        <w:right w:val="none" w:sz="0" w:space="0" w:color="auto"/>
                                      </w:divBdr>
                                      <w:divsChild>
                                        <w:div w:id="189686633">
                                          <w:marLeft w:val="0"/>
                                          <w:marRight w:val="0"/>
                                          <w:marTop w:val="0"/>
                                          <w:marBottom w:val="0"/>
                                          <w:divBdr>
                                            <w:top w:val="none" w:sz="0" w:space="0" w:color="auto"/>
                                            <w:left w:val="none" w:sz="0" w:space="0" w:color="auto"/>
                                            <w:bottom w:val="none" w:sz="0" w:space="0" w:color="auto"/>
                                            <w:right w:val="none" w:sz="0" w:space="0" w:color="auto"/>
                                          </w:divBdr>
                                          <w:divsChild>
                                            <w:div w:id="1775856024">
                                              <w:marLeft w:val="0"/>
                                              <w:marRight w:val="0"/>
                                              <w:marTop w:val="0"/>
                                              <w:marBottom w:val="0"/>
                                              <w:divBdr>
                                                <w:top w:val="none" w:sz="0" w:space="0" w:color="auto"/>
                                                <w:left w:val="none" w:sz="0" w:space="0" w:color="auto"/>
                                                <w:bottom w:val="none" w:sz="0" w:space="0" w:color="auto"/>
                                                <w:right w:val="none" w:sz="0" w:space="0" w:color="auto"/>
                                              </w:divBdr>
                                              <w:divsChild>
                                                <w:div w:id="774330127">
                                                  <w:marLeft w:val="0"/>
                                                  <w:marRight w:val="0"/>
                                                  <w:marTop w:val="0"/>
                                                  <w:marBottom w:val="0"/>
                                                  <w:divBdr>
                                                    <w:top w:val="none" w:sz="0" w:space="0" w:color="auto"/>
                                                    <w:left w:val="none" w:sz="0" w:space="0" w:color="auto"/>
                                                    <w:bottom w:val="none" w:sz="0" w:space="0" w:color="auto"/>
                                                    <w:right w:val="none" w:sz="0" w:space="0" w:color="auto"/>
                                                  </w:divBdr>
                                                  <w:divsChild>
                                                    <w:div w:id="325478865">
                                                      <w:marLeft w:val="0"/>
                                                      <w:marRight w:val="0"/>
                                                      <w:marTop w:val="0"/>
                                                      <w:marBottom w:val="0"/>
                                                      <w:divBdr>
                                                        <w:top w:val="none" w:sz="0" w:space="0" w:color="auto"/>
                                                        <w:left w:val="none" w:sz="0" w:space="0" w:color="auto"/>
                                                        <w:bottom w:val="none" w:sz="0" w:space="0" w:color="auto"/>
                                                        <w:right w:val="none" w:sz="0" w:space="0" w:color="auto"/>
                                                      </w:divBdr>
                                                      <w:divsChild>
                                                        <w:div w:id="1569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661111">
      <w:bodyDiv w:val="1"/>
      <w:marLeft w:val="0"/>
      <w:marRight w:val="0"/>
      <w:marTop w:val="0"/>
      <w:marBottom w:val="0"/>
      <w:divBdr>
        <w:top w:val="none" w:sz="0" w:space="0" w:color="auto"/>
        <w:left w:val="none" w:sz="0" w:space="0" w:color="auto"/>
        <w:bottom w:val="none" w:sz="0" w:space="0" w:color="auto"/>
        <w:right w:val="none" w:sz="0" w:space="0" w:color="auto"/>
      </w:divBdr>
    </w:div>
    <w:div w:id="1556624723">
      <w:bodyDiv w:val="1"/>
      <w:marLeft w:val="0"/>
      <w:marRight w:val="0"/>
      <w:marTop w:val="0"/>
      <w:marBottom w:val="0"/>
      <w:divBdr>
        <w:top w:val="none" w:sz="0" w:space="0" w:color="auto"/>
        <w:left w:val="none" w:sz="0" w:space="0" w:color="auto"/>
        <w:bottom w:val="none" w:sz="0" w:space="0" w:color="auto"/>
        <w:right w:val="none" w:sz="0" w:space="0" w:color="auto"/>
      </w:divBdr>
      <w:divsChild>
        <w:div w:id="467170521">
          <w:marLeft w:val="0"/>
          <w:marRight w:val="0"/>
          <w:marTop w:val="0"/>
          <w:marBottom w:val="0"/>
          <w:divBdr>
            <w:top w:val="none" w:sz="0" w:space="0" w:color="auto"/>
            <w:left w:val="none" w:sz="0" w:space="0" w:color="auto"/>
            <w:bottom w:val="none" w:sz="0" w:space="0" w:color="auto"/>
            <w:right w:val="none" w:sz="0" w:space="0" w:color="auto"/>
          </w:divBdr>
          <w:divsChild>
            <w:div w:id="720981015">
              <w:marLeft w:val="0"/>
              <w:marRight w:val="0"/>
              <w:marTop w:val="0"/>
              <w:marBottom w:val="0"/>
              <w:divBdr>
                <w:top w:val="none" w:sz="0" w:space="0" w:color="auto"/>
                <w:left w:val="none" w:sz="0" w:space="0" w:color="auto"/>
                <w:bottom w:val="none" w:sz="0" w:space="0" w:color="auto"/>
                <w:right w:val="none" w:sz="0" w:space="0" w:color="auto"/>
              </w:divBdr>
              <w:divsChild>
                <w:div w:id="57676382">
                  <w:marLeft w:val="0"/>
                  <w:marRight w:val="0"/>
                  <w:marTop w:val="0"/>
                  <w:marBottom w:val="0"/>
                  <w:divBdr>
                    <w:top w:val="none" w:sz="0" w:space="0" w:color="auto"/>
                    <w:left w:val="none" w:sz="0" w:space="0" w:color="auto"/>
                    <w:bottom w:val="none" w:sz="0" w:space="0" w:color="auto"/>
                    <w:right w:val="none" w:sz="0" w:space="0" w:color="auto"/>
                  </w:divBdr>
                  <w:divsChild>
                    <w:div w:id="1926986560">
                      <w:marLeft w:val="0"/>
                      <w:marRight w:val="0"/>
                      <w:marTop w:val="0"/>
                      <w:marBottom w:val="0"/>
                      <w:divBdr>
                        <w:top w:val="none" w:sz="0" w:space="0" w:color="auto"/>
                        <w:left w:val="none" w:sz="0" w:space="0" w:color="auto"/>
                        <w:bottom w:val="none" w:sz="0" w:space="0" w:color="auto"/>
                        <w:right w:val="none" w:sz="0" w:space="0" w:color="auto"/>
                      </w:divBdr>
                      <w:divsChild>
                        <w:div w:id="1058866603">
                          <w:marLeft w:val="0"/>
                          <w:marRight w:val="0"/>
                          <w:marTop w:val="0"/>
                          <w:marBottom w:val="0"/>
                          <w:divBdr>
                            <w:top w:val="none" w:sz="0" w:space="0" w:color="auto"/>
                            <w:left w:val="none" w:sz="0" w:space="0" w:color="auto"/>
                            <w:bottom w:val="none" w:sz="0" w:space="0" w:color="auto"/>
                            <w:right w:val="none" w:sz="0" w:space="0" w:color="auto"/>
                          </w:divBdr>
                          <w:divsChild>
                            <w:div w:id="2064987788">
                              <w:marLeft w:val="0"/>
                              <w:marRight w:val="0"/>
                              <w:marTop w:val="0"/>
                              <w:marBottom w:val="0"/>
                              <w:divBdr>
                                <w:top w:val="none" w:sz="0" w:space="0" w:color="auto"/>
                                <w:left w:val="none" w:sz="0" w:space="0" w:color="auto"/>
                                <w:bottom w:val="none" w:sz="0" w:space="0" w:color="auto"/>
                                <w:right w:val="none" w:sz="0" w:space="0" w:color="auto"/>
                              </w:divBdr>
                              <w:divsChild>
                                <w:div w:id="1759790268">
                                  <w:marLeft w:val="0"/>
                                  <w:marRight w:val="0"/>
                                  <w:marTop w:val="0"/>
                                  <w:marBottom w:val="0"/>
                                  <w:divBdr>
                                    <w:top w:val="none" w:sz="0" w:space="0" w:color="auto"/>
                                    <w:left w:val="none" w:sz="0" w:space="0" w:color="auto"/>
                                    <w:bottom w:val="none" w:sz="0" w:space="0" w:color="auto"/>
                                    <w:right w:val="none" w:sz="0" w:space="0" w:color="auto"/>
                                  </w:divBdr>
                                  <w:divsChild>
                                    <w:div w:id="509030429">
                                      <w:marLeft w:val="0"/>
                                      <w:marRight w:val="0"/>
                                      <w:marTop w:val="0"/>
                                      <w:marBottom w:val="0"/>
                                      <w:divBdr>
                                        <w:top w:val="none" w:sz="0" w:space="0" w:color="auto"/>
                                        <w:left w:val="none" w:sz="0" w:space="0" w:color="auto"/>
                                        <w:bottom w:val="none" w:sz="0" w:space="0" w:color="auto"/>
                                        <w:right w:val="none" w:sz="0" w:space="0" w:color="auto"/>
                                      </w:divBdr>
                                      <w:divsChild>
                                        <w:div w:id="1001468048">
                                          <w:marLeft w:val="0"/>
                                          <w:marRight w:val="0"/>
                                          <w:marTop w:val="0"/>
                                          <w:marBottom w:val="0"/>
                                          <w:divBdr>
                                            <w:top w:val="none" w:sz="0" w:space="0" w:color="auto"/>
                                            <w:left w:val="none" w:sz="0" w:space="0" w:color="auto"/>
                                            <w:bottom w:val="none" w:sz="0" w:space="0" w:color="auto"/>
                                            <w:right w:val="none" w:sz="0" w:space="0" w:color="auto"/>
                                          </w:divBdr>
                                          <w:divsChild>
                                            <w:div w:id="1590580832">
                                              <w:marLeft w:val="0"/>
                                              <w:marRight w:val="0"/>
                                              <w:marTop w:val="0"/>
                                              <w:marBottom w:val="0"/>
                                              <w:divBdr>
                                                <w:top w:val="none" w:sz="0" w:space="0" w:color="auto"/>
                                                <w:left w:val="none" w:sz="0" w:space="0" w:color="auto"/>
                                                <w:bottom w:val="none" w:sz="0" w:space="0" w:color="auto"/>
                                                <w:right w:val="none" w:sz="0" w:space="0" w:color="auto"/>
                                              </w:divBdr>
                                              <w:divsChild>
                                                <w:div w:id="652488937">
                                                  <w:marLeft w:val="0"/>
                                                  <w:marRight w:val="0"/>
                                                  <w:marTop w:val="0"/>
                                                  <w:marBottom w:val="0"/>
                                                  <w:divBdr>
                                                    <w:top w:val="none" w:sz="0" w:space="0" w:color="auto"/>
                                                    <w:left w:val="none" w:sz="0" w:space="0" w:color="auto"/>
                                                    <w:bottom w:val="none" w:sz="0" w:space="0" w:color="auto"/>
                                                    <w:right w:val="none" w:sz="0" w:space="0" w:color="auto"/>
                                                  </w:divBdr>
                                                  <w:divsChild>
                                                    <w:div w:id="286745911">
                                                      <w:marLeft w:val="0"/>
                                                      <w:marRight w:val="0"/>
                                                      <w:marTop w:val="0"/>
                                                      <w:marBottom w:val="0"/>
                                                      <w:divBdr>
                                                        <w:top w:val="none" w:sz="0" w:space="0" w:color="auto"/>
                                                        <w:left w:val="none" w:sz="0" w:space="0" w:color="auto"/>
                                                        <w:bottom w:val="none" w:sz="0" w:space="0" w:color="auto"/>
                                                        <w:right w:val="none" w:sz="0" w:space="0" w:color="auto"/>
                                                      </w:divBdr>
                                                      <w:divsChild>
                                                        <w:div w:id="848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102266">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2">
          <w:marLeft w:val="0"/>
          <w:marRight w:val="0"/>
          <w:marTop w:val="0"/>
          <w:marBottom w:val="0"/>
          <w:divBdr>
            <w:top w:val="none" w:sz="0" w:space="0" w:color="auto"/>
            <w:left w:val="none" w:sz="0" w:space="0" w:color="auto"/>
            <w:bottom w:val="none" w:sz="0" w:space="0" w:color="auto"/>
            <w:right w:val="none" w:sz="0" w:space="0" w:color="auto"/>
          </w:divBdr>
          <w:divsChild>
            <w:div w:id="786581761">
              <w:marLeft w:val="0"/>
              <w:marRight w:val="0"/>
              <w:marTop w:val="0"/>
              <w:marBottom w:val="0"/>
              <w:divBdr>
                <w:top w:val="none" w:sz="0" w:space="0" w:color="auto"/>
                <w:left w:val="none" w:sz="0" w:space="0" w:color="auto"/>
                <w:bottom w:val="none" w:sz="0" w:space="0" w:color="auto"/>
                <w:right w:val="none" w:sz="0" w:space="0" w:color="auto"/>
              </w:divBdr>
              <w:divsChild>
                <w:div w:id="53820405">
                  <w:marLeft w:val="0"/>
                  <w:marRight w:val="0"/>
                  <w:marTop w:val="0"/>
                  <w:marBottom w:val="0"/>
                  <w:divBdr>
                    <w:top w:val="none" w:sz="0" w:space="0" w:color="auto"/>
                    <w:left w:val="none" w:sz="0" w:space="0" w:color="auto"/>
                    <w:bottom w:val="none" w:sz="0" w:space="0" w:color="auto"/>
                    <w:right w:val="none" w:sz="0" w:space="0" w:color="auto"/>
                  </w:divBdr>
                  <w:divsChild>
                    <w:div w:id="1584100063">
                      <w:marLeft w:val="0"/>
                      <w:marRight w:val="0"/>
                      <w:marTop w:val="0"/>
                      <w:marBottom w:val="0"/>
                      <w:divBdr>
                        <w:top w:val="none" w:sz="0" w:space="0" w:color="auto"/>
                        <w:left w:val="none" w:sz="0" w:space="0" w:color="auto"/>
                        <w:bottom w:val="none" w:sz="0" w:space="0" w:color="auto"/>
                        <w:right w:val="none" w:sz="0" w:space="0" w:color="auto"/>
                      </w:divBdr>
                      <w:divsChild>
                        <w:div w:id="1855224423">
                          <w:marLeft w:val="0"/>
                          <w:marRight w:val="0"/>
                          <w:marTop w:val="0"/>
                          <w:marBottom w:val="0"/>
                          <w:divBdr>
                            <w:top w:val="none" w:sz="0" w:space="0" w:color="auto"/>
                            <w:left w:val="none" w:sz="0" w:space="0" w:color="auto"/>
                            <w:bottom w:val="none" w:sz="0" w:space="0" w:color="auto"/>
                            <w:right w:val="none" w:sz="0" w:space="0" w:color="auto"/>
                          </w:divBdr>
                          <w:divsChild>
                            <w:div w:id="1343438775">
                              <w:marLeft w:val="0"/>
                              <w:marRight w:val="0"/>
                              <w:marTop w:val="0"/>
                              <w:marBottom w:val="0"/>
                              <w:divBdr>
                                <w:top w:val="none" w:sz="0" w:space="0" w:color="auto"/>
                                <w:left w:val="none" w:sz="0" w:space="0" w:color="auto"/>
                                <w:bottom w:val="none" w:sz="0" w:space="0" w:color="auto"/>
                                <w:right w:val="none" w:sz="0" w:space="0" w:color="auto"/>
                              </w:divBdr>
                              <w:divsChild>
                                <w:div w:id="512384682">
                                  <w:marLeft w:val="0"/>
                                  <w:marRight w:val="0"/>
                                  <w:marTop w:val="0"/>
                                  <w:marBottom w:val="0"/>
                                  <w:divBdr>
                                    <w:top w:val="none" w:sz="0" w:space="0" w:color="auto"/>
                                    <w:left w:val="none" w:sz="0" w:space="0" w:color="auto"/>
                                    <w:bottom w:val="none" w:sz="0" w:space="0" w:color="auto"/>
                                    <w:right w:val="none" w:sz="0" w:space="0" w:color="auto"/>
                                  </w:divBdr>
                                  <w:divsChild>
                                    <w:div w:id="912660255">
                                      <w:marLeft w:val="0"/>
                                      <w:marRight w:val="0"/>
                                      <w:marTop w:val="0"/>
                                      <w:marBottom w:val="0"/>
                                      <w:divBdr>
                                        <w:top w:val="none" w:sz="0" w:space="0" w:color="auto"/>
                                        <w:left w:val="none" w:sz="0" w:space="0" w:color="auto"/>
                                        <w:bottom w:val="none" w:sz="0" w:space="0" w:color="auto"/>
                                        <w:right w:val="none" w:sz="0" w:space="0" w:color="auto"/>
                                      </w:divBdr>
                                      <w:divsChild>
                                        <w:div w:id="2018190747">
                                          <w:marLeft w:val="0"/>
                                          <w:marRight w:val="0"/>
                                          <w:marTop w:val="0"/>
                                          <w:marBottom w:val="0"/>
                                          <w:divBdr>
                                            <w:top w:val="none" w:sz="0" w:space="0" w:color="auto"/>
                                            <w:left w:val="none" w:sz="0" w:space="0" w:color="auto"/>
                                            <w:bottom w:val="none" w:sz="0" w:space="0" w:color="auto"/>
                                            <w:right w:val="none" w:sz="0" w:space="0" w:color="auto"/>
                                          </w:divBdr>
                                          <w:divsChild>
                                            <w:div w:id="495192678">
                                              <w:marLeft w:val="0"/>
                                              <w:marRight w:val="0"/>
                                              <w:marTop w:val="0"/>
                                              <w:marBottom w:val="0"/>
                                              <w:divBdr>
                                                <w:top w:val="none" w:sz="0" w:space="0" w:color="auto"/>
                                                <w:left w:val="none" w:sz="0" w:space="0" w:color="auto"/>
                                                <w:bottom w:val="none" w:sz="0" w:space="0" w:color="auto"/>
                                                <w:right w:val="none" w:sz="0" w:space="0" w:color="auto"/>
                                              </w:divBdr>
                                              <w:divsChild>
                                                <w:div w:id="1541357500">
                                                  <w:marLeft w:val="0"/>
                                                  <w:marRight w:val="0"/>
                                                  <w:marTop w:val="0"/>
                                                  <w:marBottom w:val="0"/>
                                                  <w:divBdr>
                                                    <w:top w:val="none" w:sz="0" w:space="0" w:color="auto"/>
                                                    <w:left w:val="none" w:sz="0" w:space="0" w:color="auto"/>
                                                    <w:bottom w:val="none" w:sz="0" w:space="0" w:color="auto"/>
                                                    <w:right w:val="none" w:sz="0" w:space="0" w:color="auto"/>
                                                  </w:divBdr>
                                                  <w:divsChild>
                                                    <w:div w:id="1356424195">
                                                      <w:marLeft w:val="0"/>
                                                      <w:marRight w:val="0"/>
                                                      <w:marTop w:val="0"/>
                                                      <w:marBottom w:val="0"/>
                                                      <w:divBdr>
                                                        <w:top w:val="none" w:sz="0" w:space="0" w:color="auto"/>
                                                        <w:left w:val="none" w:sz="0" w:space="0" w:color="auto"/>
                                                        <w:bottom w:val="none" w:sz="0" w:space="0" w:color="auto"/>
                                                        <w:right w:val="none" w:sz="0" w:space="0" w:color="auto"/>
                                                      </w:divBdr>
                                                      <w:divsChild>
                                                        <w:div w:id="10669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82135430">
      <w:bodyDiv w:val="1"/>
      <w:marLeft w:val="0"/>
      <w:marRight w:val="0"/>
      <w:marTop w:val="0"/>
      <w:marBottom w:val="0"/>
      <w:divBdr>
        <w:top w:val="none" w:sz="0" w:space="0" w:color="auto"/>
        <w:left w:val="none" w:sz="0" w:space="0" w:color="auto"/>
        <w:bottom w:val="none" w:sz="0" w:space="0" w:color="auto"/>
        <w:right w:val="none" w:sz="0" w:space="0" w:color="auto"/>
      </w:divBdr>
      <w:divsChild>
        <w:div w:id="643043682">
          <w:marLeft w:val="0"/>
          <w:marRight w:val="0"/>
          <w:marTop w:val="0"/>
          <w:marBottom w:val="0"/>
          <w:divBdr>
            <w:top w:val="none" w:sz="0" w:space="0" w:color="auto"/>
            <w:left w:val="none" w:sz="0" w:space="0" w:color="auto"/>
            <w:bottom w:val="none" w:sz="0" w:space="0" w:color="auto"/>
            <w:right w:val="none" w:sz="0" w:space="0" w:color="auto"/>
          </w:divBdr>
          <w:divsChild>
            <w:div w:id="2005620396">
              <w:marLeft w:val="0"/>
              <w:marRight w:val="0"/>
              <w:marTop w:val="0"/>
              <w:marBottom w:val="0"/>
              <w:divBdr>
                <w:top w:val="none" w:sz="0" w:space="0" w:color="auto"/>
                <w:left w:val="none" w:sz="0" w:space="0" w:color="auto"/>
                <w:bottom w:val="none" w:sz="0" w:space="0" w:color="auto"/>
                <w:right w:val="none" w:sz="0" w:space="0" w:color="auto"/>
              </w:divBdr>
              <w:divsChild>
                <w:div w:id="305624612">
                  <w:marLeft w:val="0"/>
                  <w:marRight w:val="0"/>
                  <w:marTop w:val="0"/>
                  <w:marBottom w:val="0"/>
                  <w:divBdr>
                    <w:top w:val="none" w:sz="0" w:space="0" w:color="auto"/>
                    <w:left w:val="none" w:sz="0" w:space="0" w:color="auto"/>
                    <w:bottom w:val="none" w:sz="0" w:space="0" w:color="auto"/>
                    <w:right w:val="none" w:sz="0" w:space="0" w:color="auto"/>
                  </w:divBdr>
                  <w:divsChild>
                    <w:div w:id="453183512">
                      <w:marLeft w:val="0"/>
                      <w:marRight w:val="0"/>
                      <w:marTop w:val="0"/>
                      <w:marBottom w:val="0"/>
                      <w:divBdr>
                        <w:top w:val="none" w:sz="0" w:space="0" w:color="auto"/>
                        <w:left w:val="none" w:sz="0" w:space="0" w:color="auto"/>
                        <w:bottom w:val="none" w:sz="0" w:space="0" w:color="auto"/>
                        <w:right w:val="none" w:sz="0" w:space="0" w:color="auto"/>
                      </w:divBdr>
                      <w:divsChild>
                        <w:div w:id="479882532">
                          <w:marLeft w:val="0"/>
                          <w:marRight w:val="0"/>
                          <w:marTop w:val="0"/>
                          <w:marBottom w:val="0"/>
                          <w:divBdr>
                            <w:top w:val="none" w:sz="0" w:space="0" w:color="auto"/>
                            <w:left w:val="none" w:sz="0" w:space="0" w:color="auto"/>
                            <w:bottom w:val="none" w:sz="0" w:space="0" w:color="auto"/>
                            <w:right w:val="none" w:sz="0" w:space="0" w:color="auto"/>
                          </w:divBdr>
                          <w:divsChild>
                            <w:div w:id="187499037">
                              <w:marLeft w:val="0"/>
                              <w:marRight w:val="0"/>
                              <w:marTop w:val="0"/>
                              <w:marBottom w:val="0"/>
                              <w:divBdr>
                                <w:top w:val="none" w:sz="0" w:space="0" w:color="auto"/>
                                <w:left w:val="none" w:sz="0" w:space="0" w:color="auto"/>
                                <w:bottom w:val="none" w:sz="0" w:space="0" w:color="auto"/>
                                <w:right w:val="none" w:sz="0" w:space="0" w:color="auto"/>
                              </w:divBdr>
                              <w:divsChild>
                                <w:div w:id="263615193">
                                  <w:marLeft w:val="0"/>
                                  <w:marRight w:val="0"/>
                                  <w:marTop w:val="0"/>
                                  <w:marBottom w:val="0"/>
                                  <w:divBdr>
                                    <w:top w:val="none" w:sz="0" w:space="0" w:color="auto"/>
                                    <w:left w:val="none" w:sz="0" w:space="0" w:color="auto"/>
                                    <w:bottom w:val="none" w:sz="0" w:space="0" w:color="auto"/>
                                    <w:right w:val="none" w:sz="0" w:space="0" w:color="auto"/>
                                  </w:divBdr>
                                  <w:divsChild>
                                    <w:div w:id="1328897218">
                                      <w:marLeft w:val="0"/>
                                      <w:marRight w:val="0"/>
                                      <w:marTop w:val="0"/>
                                      <w:marBottom w:val="0"/>
                                      <w:divBdr>
                                        <w:top w:val="none" w:sz="0" w:space="0" w:color="auto"/>
                                        <w:left w:val="none" w:sz="0" w:space="0" w:color="auto"/>
                                        <w:bottom w:val="none" w:sz="0" w:space="0" w:color="auto"/>
                                        <w:right w:val="none" w:sz="0" w:space="0" w:color="auto"/>
                                      </w:divBdr>
                                      <w:divsChild>
                                        <w:div w:id="1292251782">
                                          <w:marLeft w:val="0"/>
                                          <w:marRight w:val="0"/>
                                          <w:marTop w:val="0"/>
                                          <w:marBottom w:val="0"/>
                                          <w:divBdr>
                                            <w:top w:val="none" w:sz="0" w:space="0" w:color="auto"/>
                                            <w:left w:val="none" w:sz="0" w:space="0" w:color="auto"/>
                                            <w:bottom w:val="none" w:sz="0" w:space="0" w:color="auto"/>
                                            <w:right w:val="none" w:sz="0" w:space="0" w:color="auto"/>
                                          </w:divBdr>
                                          <w:divsChild>
                                            <w:div w:id="1508060702">
                                              <w:marLeft w:val="0"/>
                                              <w:marRight w:val="0"/>
                                              <w:marTop w:val="0"/>
                                              <w:marBottom w:val="0"/>
                                              <w:divBdr>
                                                <w:top w:val="none" w:sz="0" w:space="0" w:color="auto"/>
                                                <w:left w:val="none" w:sz="0" w:space="0" w:color="auto"/>
                                                <w:bottom w:val="none" w:sz="0" w:space="0" w:color="auto"/>
                                                <w:right w:val="none" w:sz="0" w:space="0" w:color="auto"/>
                                              </w:divBdr>
                                              <w:divsChild>
                                                <w:div w:id="1734620146">
                                                  <w:marLeft w:val="0"/>
                                                  <w:marRight w:val="0"/>
                                                  <w:marTop w:val="0"/>
                                                  <w:marBottom w:val="0"/>
                                                  <w:divBdr>
                                                    <w:top w:val="none" w:sz="0" w:space="0" w:color="auto"/>
                                                    <w:left w:val="none" w:sz="0" w:space="0" w:color="auto"/>
                                                    <w:bottom w:val="none" w:sz="0" w:space="0" w:color="auto"/>
                                                    <w:right w:val="none" w:sz="0" w:space="0" w:color="auto"/>
                                                  </w:divBdr>
                                                  <w:divsChild>
                                                    <w:div w:id="930626310">
                                                      <w:marLeft w:val="0"/>
                                                      <w:marRight w:val="0"/>
                                                      <w:marTop w:val="0"/>
                                                      <w:marBottom w:val="0"/>
                                                      <w:divBdr>
                                                        <w:top w:val="none" w:sz="0" w:space="0" w:color="auto"/>
                                                        <w:left w:val="none" w:sz="0" w:space="0" w:color="auto"/>
                                                        <w:bottom w:val="none" w:sz="0" w:space="0" w:color="auto"/>
                                                        <w:right w:val="none" w:sz="0" w:space="0" w:color="auto"/>
                                                      </w:divBdr>
                                                      <w:divsChild>
                                                        <w:div w:id="11949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hyperlink" Target="https://docdb.cept.org/hom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ga.gov.au" TargetMode="Externa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legislative.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cdb.cept.org/h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6559FA6ED7BB41B99D48D6D8956D17" ma:contentTypeVersion="0" ma:contentTypeDescription="Create a new document." ma:contentTypeScope="" ma:versionID="35f1d10266eebd741a8521305d698ee4">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3NE2HDV7HD6D-228967374-844</_dlc_DocId>
    <_dlc_DocIdUrl xmlns="1d983eb4-33f7-44b0-aea1-cbdcf0c55136">
      <Url>http://collaboration/organisation/cid/RPB/MSAS/lib/_layouts/15/DocIdRedir.aspx?ID=3NE2HDV7HD6D-228967374-844</Url>
      <Description>3NE2HDV7HD6D-228967374-844</Description>
    </_dlc_DocIdUrl>
  </documentManagement>
</p:properties>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3.xml><?xml version="1.0" encoding="utf-8"?>
<ds:datastoreItem xmlns:ds="http://schemas.openxmlformats.org/officeDocument/2006/customXml" ds:itemID="{5323B2E4-F41A-4D50-87DE-3F35E9A4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C956A-4DF6-45D8-9BC4-6A17CE204652}">
  <ds:schemaRefs>
    <ds:schemaRef ds:uri="http://schemas.microsoft.com/sharepoint/events"/>
  </ds:schemaRefs>
</ds:datastoreItem>
</file>

<file path=customXml/itemProps5.xml><?xml version="1.0" encoding="utf-8"?>
<ds:datastoreItem xmlns:ds="http://schemas.openxmlformats.org/officeDocument/2006/customXml" ds:itemID="{D84A20D3-5249-4064-B676-33B74048141D}">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1d983eb4-33f7-44b0-aea1-cbdcf0c55136"/>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4</cp:revision>
  <cp:lastPrinted>2021-08-09T08:09:00Z</cp:lastPrinted>
  <dcterms:created xsi:type="dcterms:W3CDTF">2021-08-15T23:25:00Z</dcterms:created>
  <dcterms:modified xsi:type="dcterms:W3CDTF">2021-08-16T00:42:00Z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0x010100D26559FA6ED7BB41B99D48D6D8956D17</vt:lpwstr>
  </property>
  <property fmtid="{D5CDD505-2E9C-101B-9397-08002B2CF9AE}" pid="3" name="_dlc_DocIdItemGuid">
    <vt:lpwstr>dae74e1d-1f50-4155-8a4a-c6e057be0bd2</vt:lpwstr>
  </property>
</Properties>
</file>