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C8F09" w14:textId="77777777" w:rsidR="00731DEF" w:rsidRDefault="00731DEF" w:rsidP="00731DEF">
      <w:pPr>
        <w:jc w:val="center"/>
        <w:rPr>
          <w:rFonts w:ascii="Times New Roman" w:hAnsi="Times New Roman" w:cs="Times New Roman"/>
          <w:b/>
          <w:sz w:val="28"/>
          <w:szCs w:val="28"/>
        </w:rPr>
      </w:pPr>
      <w:r>
        <w:rPr>
          <w:rFonts w:ascii="Times New Roman" w:hAnsi="Times New Roman" w:cs="Times New Roman"/>
          <w:b/>
          <w:sz w:val="28"/>
          <w:szCs w:val="28"/>
        </w:rPr>
        <w:t>EXPLANATORY STATEMENT</w:t>
      </w:r>
    </w:p>
    <w:p w14:paraId="42B80FB5" w14:textId="77777777" w:rsidR="00731DEF" w:rsidRDefault="00731DEF" w:rsidP="00731DEF">
      <w:pPr>
        <w:jc w:val="center"/>
        <w:rPr>
          <w:rFonts w:ascii="Times New Roman" w:hAnsi="Times New Roman" w:cs="Times New Roman"/>
        </w:rPr>
      </w:pPr>
      <w:r>
        <w:rPr>
          <w:rFonts w:ascii="Times New Roman" w:hAnsi="Times New Roman" w:cs="Times New Roman"/>
        </w:rPr>
        <w:t>Approved by the Australian Communications and Media Authority</w:t>
      </w:r>
    </w:p>
    <w:p w14:paraId="2A3F5884" w14:textId="77777777" w:rsidR="00731DEF" w:rsidRDefault="00731DEF" w:rsidP="00731DEF">
      <w:pPr>
        <w:jc w:val="center"/>
        <w:rPr>
          <w:rFonts w:ascii="Times New Roman" w:hAnsi="Times New Roman" w:cs="Times New Roman"/>
          <w:i/>
        </w:rPr>
      </w:pPr>
      <w:r>
        <w:rPr>
          <w:rFonts w:ascii="Times New Roman" w:hAnsi="Times New Roman" w:cs="Times New Roman"/>
          <w:i/>
        </w:rPr>
        <w:t>Broadcasting Services Act 1992</w:t>
      </w:r>
    </w:p>
    <w:p w14:paraId="5B33778C" w14:textId="20CDA339" w:rsidR="00731DEF" w:rsidRDefault="00731DEF" w:rsidP="00731DEF">
      <w:pPr>
        <w:jc w:val="center"/>
        <w:rPr>
          <w:rFonts w:ascii="Times New Roman" w:hAnsi="Times New Roman" w:cs="Times New Roman"/>
          <w:b/>
          <w:i/>
        </w:rPr>
      </w:pPr>
      <w:r>
        <w:rPr>
          <w:rFonts w:ascii="Times New Roman" w:hAnsi="Times New Roman" w:cs="Times New Roman"/>
          <w:b/>
          <w:i/>
        </w:rPr>
        <w:t>Broadcasting Services (Primary Commercial Television Broadcasting Service)</w:t>
      </w:r>
      <w:r w:rsidR="005F30CB">
        <w:rPr>
          <w:rFonts w:ascii="Times New Roman" w:hAnsi="Times New Roman" w:cs="Times New Roman"/>
          <w:b/>
          <w:i/>
        </w:rPr>
        <w:t xml:space="preserve"> </w:t>
      </w:r>
      <w:r w:rsidR="00B12ED6">
        <w:rPr>
          <w:rFonts w:ascii="Times New Roman" w:hAnsi="Times New Roman" w:cs="Times New Roman"/>
          <w:b/>
          <w:i/>
        </w:rPr>
        <w:t>Amendment</w:t>
      </w:r>
      <w:r>
        <w:rPr>
          <w:rFonts w:ascii="Times New Roman" w:hAnsi="Times New Roman" w:cs="Times New Roman"/>
          <w:b/>
          <w:i/>
        </w:rPr>
        <w:t xml:space="preserve"> Declaration </w:t>
      </w:r>
      <w:r w:rsidR="001E3BDD">
        <w:rPr>
          <w:rFonts w:ascii="Times New Roman" w:hAnsi="Times New Roman" w:cs="Times New Roman"/>
          <w:b/>
          <w:i/>
        </w:rPr>
        <w:t xml:space="preserve">2021 </w:t>
      </w:r>
      <w:r w:rsidR="00B12ED6">
        <w:rPr>
          <w:rFonts w:ascii="Times New Roman" w:hAnsi="Times New Roman" w:cs="Times New Roman"/>
          <w:b/>
          <w:i/>
        </w:rPr>
        <w:t xml:space="preserve">(No. 1) </w:t>
      </w:r>
    </w:p>
    <w:p w14:paraId="607E2D85" w14:textId="77777777" w:rsidR="00731DEF" w:rsidRDefault="00731DEF" w:rsidP="00731DEF">
      <w:pPr>
        <w:spacing w:before="280"/>
        <w:rPr>
          <w:rFonts w:ascii="Times New Roman" w:hAnsi="Times New Roman" w:cs="Times New Roman"/>
          <w:b/>
        </w:rPr>
      </w:pPr>
      <w:r>
        <w:rPr>
          <w:rFonts w:ascii="Times New Roman" w:hAnsi="Times New Roman" w:cs="Times New Roman"/>
          <w:b/>
        </w:rPr>
        <w:t>Authority</w:t>
      </w:r>
    </w:p>
    <w:p w14:paraId="63A5243A" w14:textId="368CE593" w:rsidR="00731DEF" w:rsidRDefault="00731DEF" w:rsidP="00731DEF">
      <w:pPr>
        <w:rPr>
          <w:rFonts w:ascii="Times New Roman" w:hAnsi="Times New Roman" w:cs="Times New Roman"/>
        </w:rPr>
      </w:pPr>
      <w:r>
        <w:rPr>
          <w:rFonts w:ascii="Times New Roman" w:hAnsi="Times New Roman" w:cs="Times New Roman"/>
        </w:rPr>
        <w:t>The Australian Communications and Media Authority (</w:t>
      </w:r>
      <w:r>
        <w:rPr>
          <w:rFonts w:ascii="Times New Roman" w:hAnsi="Times New Roman" w:cs="Times New Roman"/>
          <w:b/>
        </w:rPr>
        <w:t>the ACMA</w:t>
      </w:r>
      <w:r>
        <w:rPr>
          <w:rFonts w:ascii="Times New Roman" w:hAnsi="Times New Roman" w:cs="Times New Roman"/>
        </w:rPr>
        <w:t xml:space="preserve">) has made the </w:t>
      </w:r>
      <w:r>
        <w:rPr>
          <w:rFonts w:ascii="Times New Roman" w:hAnsi="Times New Roman" w:cs="Times New Roman"/>
          <w:i/>
        </w:rPr>
        <w:t xml:space="preserve">Broadcasting Services (Primary Commercial Television Broadcasting Service) </w:t>
      </w:r>
      <w:r w:rsidR="002F2B36">
        <w:rPr>
          <w:rFonts w:ascii="Times New Roman" w:hAnsi="Times New Roman" w:cs="Times New Roman"/>
          <w:i/>
        </w:rPr>
        <w:t xml:space="preserve">Amendment </w:t>
      </w:r>
      <w:r>
        <w:rPr>
          <w:rFonts w:ascii="Times New Roman" w:hAnsi="Times New Roman" w:cs="Times New Roman"/>
          <w:i/>
        </w:rPr>
        <w:t>Declaration 202</w:t>
      </w:r>
      <w:r w:rsidR="00B91071">
        <w:rPr>
          <w:rFonts w:ascii="Times New Roman" w:hAnsi="Times New Roman" w:cs="Times New Roman"/>
          <w:i/>
        </w:rPr>
        <w:t xml:space="preserve">1 </w:t>
      </w:r>
      <w:r w:rsidR="002F2B36">
        <w:rPr>
          <w:rFonts w:ascii="Times New Roman" w:hAnsi="Times New Roman" w:cs="Times New Roman"/>
          <w:i/>
        </w:rPr>
        <w:t>(</w:t>
      </w:r>
      <w:r w:rsidR="00B91071">
        <w:rPr>
          <w:rFonts w:ascii="Times New Roman" w:hAnsi="Times New Roman" w:cs="Times New Roman"/>
          <w:i/>
        </w:rPr>
        <w:t>No</w:t>
      </w:r>
      <w:r w:rsidR="005C7D56">
        <w:rPr>
          <w:rFonts w:ascii="Times New Roman" w:hAnsi="Times New Roman" w:cs="Times New Roman"/>
          <w:i/>
        </w:rPr>
        <w:t>. </w:t>
      </w:r>
      <w:r w:rsidR="00B91071">
        <w:rPr>
          <w:rFonts w:ascii="Times New Roman" w:hAnsi="Times New Roman" w:cs="Times New Roman"/>
          <w:i/>
        </w:rPr>
        <w:t>1</w:t>
      </w:r>
      <w:r w:rsidR="002F2B36">
        <w:rPr>
          <w:rFonts w:ascii="Times New Roman" w:hAnsi="Times New Roman" w:cs="Times New Roman"/>
          <w:i/>
        </w:rPr>
        <w:t>)</w:t>
      </w:r>
      <w:r>
        <w:rPr>
          <w:rFonts w:ascii="Times New Roman" w:hAnsi="Times New Roman" w:cs="Times New Roman"/>
          <w:i/>
        </w:rPr>
        <w:t xml:space="preserve"> </w:t>
      </w:r>
      <w:r>
        <w:rPr>
          <w:rFonts w:ascii="Times New Roman" w:hAnsi="Times New Roman" w:cs="Times New Roman"/>
        </w:rPr>
        <w:t>(</w:t>
      </w:r>
      <w:r>
        <w:rPr>
          <w:rFonts w:ascii="Times New Roman" w:hAnsi="Times New Roman" w:cs="Times New Roman"/>
          <w:b/>
        </w:rPr>
        <w:t>the instrument</w:t>
      </w:r>
      <w:r>
        <w:rPr>
          <w:rFonts w:ascii="Times New Roman" w:hAnsi="Times New Roman" w:cs="Times New Roman"/>
        </w:rPr>
        <w:t xml:space="preserve">) under clause 41G of Schedule 4 to the </w:t>
      </w:r>
      <w:r w:rsidRPr="00DC680F">
        <w:rPr>
          <w:rFonts w:ascii="Times New Roman" w:hAnsi="Times New Roman" w:cs="Times New Roman"/>
          <w:i/>
          <w:iCs/>
        </w:rPr>
        <w:t>Broadcasting Services Act 1992</w:t>
      </w:r>
      <w:r>
        <w:rPr>
          <w:rFonts w:ascii="Times New Roman" w:hAnsi="Times New Roman" w:cs="Times New Roman"/>
        </w:rPr>
        <w:t xml:space="preserve"> (</w:t>
      </w:r>
      <w:r>
        <w:rPr>
          <w:rFonts w:ascii="Times New Roman" w:hAnsi="Times New Roman" w:cs="Times New Roman"/>
          <w:b/>
        </w:rPr>
        <w:t>the Act</w:t>
      </w:r>
      <w:r>
        <w:rPr>
          <w:rFonts w:ascii="Times New Roman" w:hAnsi="Times New Roman" w:cs="Times New Roman"/>
        </w:rPr>
        <w:t>)</w:t>
      </w:r>
      <w:r w:rsidR="00E5095C">
        <w:rPr>
          <w:rFonts w:ascii="Times New Roman" w:hAnsi="Times New Roman" w:cs="Times New Roman"/>
        </w:rPr>
        <w:t xml:space="preserve">, and subsection 33(3) of the </w:t>
      </w:r>
      <w:r w:rsidR="00E5095C" w:rsidRPr="00F96CF2">
        <w:rPr>
          <w:rFonts w:ascii="Times New Roman" w:hAnsi="Times New Roman" w:cs="Times New Roman"/>
          <w:i/>
          <w:iCs/>
        </w:rPr>
        <w:t>Acts Interpretation Act 1901</w:t>
      </w:r>
      <w:r w:rsidR="00E5095C">
        <w:rPr>
          <w:rFonts w:ascii="Times New Roman" w:hAnsi="Times New Roman" w:cs="Times New Roman"/>
        </w:rPr>
        <w:t xml:space="preserve"> (</w:t>
      </w:r>
      <w:r w:rsidR="00E5095C" w:rsidRPr="000620BC">
        <w:rPr>
          <w:rFonts w:ascii="Times New Roman" w:hAnsi="Times New Roman" w:cs="Times New Roman"/>
          <w:b/>
          <w:bCs/>
        </w:rPr>
        <w:t>the</w:t>
      </w:r>
      <w:r w:rsidR="00E5095C">
        <w:rPr>
          <w:rFonts w:ascii="Times New Roman" w:hAnsi="Times New Roman" w:cs="Times New Roman"/>
        </w:rPr>
        <w:t xml:space="preserve"> </w:t>
      </w:r>
      <w:r w:rsidR="00E5095C" w:rsidRPr="00F96CF2">
        <w:rPr>
          <w:rFonts w:ascii="Times New Roman" w:hAnsi="Times New Roman" w:cs="Times New Roman"/>
          <w:b/>
          <w:bCs/>
        </w:rPr>
        <w:t>AIA</w:t>
      </w:r>
      <w:r w:rsidR="00E5095C">
        <w:rPr>
          <w:rFonts w:ascii="Times New Roman" w:hAnsi="Times New Roman" w:cs="Times New Roman"/>
        </w:rPr>
        <w:t>)</w:t>
      </w:r>
      <w:r>
        <w:rPr>
          <w:rFonts w:ascii="Times New Roman" w:hAnsi="Times New Roman" w:cs="Times New Roman"/>
        </w:rPr>
        <w:t>.</w:t>
      </w:r>
    </w:p>
    <w:p w14:paraId="516BA7E6" w14:textId="4DE8DB99" w:rsidR="00731DEF" w:rsidRDefault="00731DEF" w:rsidP="00731DEF">
      <w:pPr>
        <w:rPr>
          <w:rFonts w:ascii="Times New Roman" w:hAnsi="Times New Roman" w:cs="Times New Roman"/>
        </w:rPr>
      </w:pPr>
      <w:r w:rsidRPr="00716831">
        <w:rPr>
          <w:rFonts w:ascii="Times New Roman" w:hAnsi="Times New Roman" w:cs="Times New Roman"/>
        </w:rPr>
        <w:t>Subclause 41</w:t>
      </w:r>
      <w:proofErr w:type="gramStart"/>
      <w:r w:rsidRPr="00716831">
        <w:rPr>
          <w:rFonts w:ascii="Times New Roman" w:hAnsi="Times New Roman" w:cs="Times New Roman"/>
        </w:rPr>
        <w:t>G(</w:t>
      </w:r>
      <w:proofErr w:type="gramEnd"/>
      <w:r w:rsidRPr="00716831">
        <w:rPr>
          <w:rFonts w:ascii="Times New Roman" w:hAnsi="Times New Roman" w:cs="Times New Roman"/>
        </w:rPr>
        <w:t>2) of Schedule 4 to the Act provides that the ACMA may</w:t>
      </w:r>
      <w:r w:rsidR="001E3BDD">
        <w:rPr>
          <w:rFonts w:ascii="Times New Roman" w:hAnsi="Times New Roman" w:cs="Times New Roman"/>
        </w:rPr>
        <w:t>, by legislative instrument,</w:t>
      </w:r>
      <w:r w:rsidRPr="00716831">
        <w:rPr>
          <w:rFonts w:ascii="Times New Roman" w:hAnsi="Times New Roman" w:cs="Times New Roman"/>
        </w:rPr>
        <w:t xml:space="preserve"> declare that a specified multi-channelled commercial television broadcasting service provided by a commercial television broadcasting licensee for the licence area </w:t>
      </w:r>
      <w:r w:rsidR="00F50577">
        <w:rPr>
          <w:rFonts w:ascii="Times New Roman" w:hAnsi="Times New Roman" w:cs="Times New Roman"/>
        </w:rPr>
        <w:t xml:space="preserve">of the licence </w:t>
      </w:r>
      <w:r w:rsidRPr="00716831">
        <w:rPr>
          <w:rFonts w:ascii="Times New Roman" w:hAnsi="Times New Roman" w:cs="Times New Roman"/>
        </w:rPr>
        <w:t>is the licensee’s primary commercial television broadcasting service</w:t>
      </w:r>
      <w:r w:rsidR="00387ABF">
        <w:rPr>
          <w:rFonts w:ascii="Times New Roman" w:hAnsi="Times New Roman" w:cs="Times New Roman"/>
        </w:rPr>
        <w:t xml:space="preserve"> (</w:t>
      </w:r>
      <w:r w:rsidR="00387ABF" w:rsidRPr="000620BC">
        <w:rPr>
          <w:rFonts w:ascii="Times New Roman" w:hAnsi="Times New Roman" w:cs="Times New Roman"/>
          <w:b/>
          <w:bCs/>
        </w:rPr>
        <w:t>primary service</w:t>
      </w:r>
      <w:r w:rsidR="00387ABF">
        <w:rPr>
          <w:rFonts w:ascii="Times New Roman" w:hAnsi="Times New Roman" w:cs="Times New Roman"/>
        </w:rPr>
        <w:t>)</w:t>
      </w:r>
      <w:r w:rsidRPr="00716831">
        <w:rPr>
          <w:rFonts w:ascii="Times New Roman" w:hAnsi="Times New Roman" w:cs="Times New Roman"/>
        </w:rPr>
        <w:t xml:space="preserve"> in that licence area. Subclause 41</w:t>
      </w:r>
      <w:proofErr w:type="gramStart"/>
      <w:r w:rsidRPr="00716831">
        <w:rPr>
          <w:rFonts w:ascii="Times New Roman" w:hAnsi="Times New Roman" w:cs="Times New Roman"/>
        </w:rPr>
        <w:t>G(</w:t>
      </w:r>
      <w:proofErr w:type="gramEnd"/>
      <w:r w:rsidRPr="00716831">
        <w:rPr>
          <w:rFonts w:ascii="Times New Roman" w:hAnsi="Times New Roman" w:cs="Times New Roman"/>
        </w:rPr>
        <w:t xml:space="preserve">3) of Schedule 4 to the Act requires that the ACMA must ensure </w:t>
      </w:r>
      <w:r w:rsidR="001E3BDD">
        <w:rPr>
          <w:rFonts w:ascii="Times New Roman" w:hAnsi="Times New Roman" w:cs="Times New Roman"/>
        </w:rPr>
        <w:t xml:space="preserve">that </w:t>
      </w:r>
      <w:r w:rsidRPr="00716831">
        <w:rPr>
          <w:rFonts w:ascii="Times New Roman" w:hAnsi="Times New Roman" w:cs="Times New Roman"/>
        </w:rPr>
        <w:t xml:space="preserve">such a declaration is in force at all times after the licensee commences provision of </w:t>
      </w:r>
      <w:r w:rsidR="00936ED9">
        <w:rPr>
          <w:rFonts w:ascii="Times New Roman" w:hAnsi="Times New Roman" w:cs="Times New Roman"/>
        </w:rPr>
        <w:t>a</w:t>
      </w:r>
      <w:r w:rsidRPr="00716831">
        <w:rPr>
          <w:rFonts w:ascii="Times New Roman" w:hAnsi="Times New Roman" w:cs="Times New Roman"/>
        </w:rPr>
        <w:t xml:space="preserve"> multi-channelled commercial television broadcasting service</w:t>
      </w:r>
      <w:r w:rsidRPr="00716831">
        <w:t xml:space="preserve">. </w:t>
      </w:r>
      <w:r w:rsidRPr="00716831">
        <w:rPr>
          <w:rFonts w:ascii="Times New Roman" w:hAnsi="Times New Roman" w:cs="Times New Roman"/>
        </w:rPr>
        <w:t>Subclause 41</w:t>
      </w:r>
      <w:proofErr w:type="gramStart"/>
      <w:r w:rsidRPr="00716831">
        <w:rPr>
          <w:rFonts w:ascii="Times New Roman" w:hAnsi="Times New Roman" w:cs="Times New Roman"/>
        </w:rPr>
        <w:t>G(</w:t>
      </w:r>
      <w:proofErr w:type="gramEnd"/>
      <w:r w:rsidRPr="00716831">
        <w:rPr>
          <w:rFonts w:ascii="Times New Roman" w:hAnsi="Times New Roman" w:cs="Times New Roman"/>
        </w:rPr>
        <w:t xml:space="preserve">4) of Schedule 4 to the Act provides that the ACMA may, by legislative instrument, declare that one or more specified multi-channelled commercial television broadcasting services provided by a commercial television broadcasting licensee whose licence was allocated under section 38C </w:t>
      </w:r>
      <w:r w:rsidR="00F50577">
        <w:rPr>
          <w:rFonts w:ascii="Times New Roman" w:hAnsi="Times New Roman" w:cs="Times New Roman"/>
        </w:rPr>
        <w:t xml:space="preserve">of the Act </w:t>
      </w:r>
      <w:r w:rsidRPr="00716831">
        <w:rPr>
          <w:rFonts w:ascii="Times New Roman" w:hAnsi="Times New Roman" w:cs="Times New Roman"/>
        </w:rPr>
        <w:t>(services provided with the use of a satellite) are the licensee’s primary services in the licence area. Subclause 41</w:t>
      </w:r>
      <w:proofErr w:type="gramStart"/>
      <w:r w:rsidRPr="00716831">
        <w:rPr>
          <w:rFonts w:ascii="Times New Roman" w:hAnsi="Times New Roman" w:cs="Times New Roman"/>
        </w:rPr>
        <w:t>G(</w:t>
      </w:r>
      <w:proofErr w:type="gramEnd"/>
      <w:r w:rsidRPr="00716831">
        <w:rPr>
          <w:rFonts w:ascii="Times New Roman" w:hAnsi="Times New Roman" w:cs="Times New Roman"/>
        </w:rPr>
        <w:t>6) of Schedule 4 to the Act requires that the ACMA must ensure</w:t>
      </w:r>
      <w:r w:rsidR="001E3BDD">
        <w:rPr>
          <w:rFonts w:ascii="Times New Roman" w:hAnsi="Times New Roman" w:cs="Times New Roman"/>
        </w:rPr>
        <w:t xml:space="preserve"> that</w:t>
      </w:r>
      <w:r w:rsidRPr="00716831">
        <w:rPr>
          <w:rFonts w:ascii="Times New Roman" w:hAnsi="Times New Roman" w:cs="Times New Roman"/>
        </w:rPr>
        <w:t xml:space="preserve"> such a declaration is in force at all times for the licence area concerned.</w:t>
      </w:r>
    </w:p>
    <w:p w14:paraId="40B672BC" w14:textId="6EBF1FF7" w:rsidR="00E5095C" w:rsidRPr="00E5095C" w:rsidRDefault="00E5095C" w:rsidP="00731DEF">
      <w:pPr>
        <w:rPr>
          <w:rFonts w:ascii="Times New Roman" w:hAnsi="Times New Roman" w:cs="Times New Roman"/>
        </w:rPr>
      </w:pPr>
      <w:r w:rsidRPr="00F96CF2">
        <w:rPr>
          <w:rFonts w:ascii="Times New Roman" w:hAnsi="Times New Roman" w:cs="Times New Roman"/>
          <w:color w:val="000000"/>
        </w:rPr>
        <w:t>Subsection 33(3) of the AIA relevantly provides that where an Act confers a power to make a legislative instrument, the power shall be construed as including a power exercisable in the like manner and subject to the like conditions (if any) to repeal, rescind, revoke, amend, or vary any such instrument.</w:t>
      </w:r>
    </w:p>
    <w:p w14:paraId="24097E64" w14:textId="650B5A52" w:rsidR="00731DEF" w:rsidRDefault="00731DEF" w:rsidP="00437A51">
      <w:pPr>
        <w:rPr>
          <w:rFonts w:ascii="Times New Roman" w:hAnsi="Times New Roman" w:cs="Times New Roman"/>
          <w:b/>
        </w:rPr>
      </w:pPr>
      <w:r>
        <w:rPr>
          <w:rFonts w:ascii="Times New Roman" w:hAnsi="Times New Roman" w:cs="Times New Roman"/>
          <w:b/>
        </w:rPr>
        <w:t>Purpose and operation of the instrument</w:t>
      </w:r>
    </w:p>
    <w:p w14:paraId="71A4FD89" w14:textId="760DCC2E" w:rsidR="00E16B08" w:rsidRDefault="00FC727B" w:rsidP="00E16B08">
      <w:pPr>
        <w:spacing w:line="257" w:lineRule="auto"/>
        <w:rPr>
          <w:rFonts w:ascii="Times New Roman" w:hAnsi="Times New Roman" w:cs="Times New Roman"/>
        </w:rPr>
      </w:pPr>
      <w:r>
        <w:rPr>
          <w:rFonts w:ascii="Times New Roman" w:hAnsi="Times New Roman" w:cs="Times New Roman"/>
        </w:rPr>
        <w:t>Th</w:t>
      </w:r>
      <w:r w:rsidR="00F50577">
        <w:rPr>
          <w:rFonts w:ascii="Times New Roman" w:hAnsi="Times New Roman" w:cs="Times New Roman"/>
        </w:rPr>
        <w:t>e</w:t>
      </w:r>
      <w:r>
        <w:rPr>
          <w:rFonts w:ascii="Times New Roman" w:hAnsi="Times New Roman" w:cs="Times New Roman"/>
        </w:rPr>
        <w:t xml:space="preserve"> instrument amends the </w:t>
      </w:r>
      <w:r w:rsidRPr="007E0841">
        <w:rPr>
          <w:rFonts w:ascii="Times New Roman" w:hAnsi="Times New Roman" w:cs="Times New Roman"/>
          <w:bCs/>
          <w:i/>
        </w:rPr>
        <w:t>Broadcasting Services (Primary Commercial Television Broadcasting Service) Declaration 202</w:t>
      </w:r>
      <w:r w:rsidR="007E0841">
        <w:rPr>
          <w:rFonts w:ascii="Times New Roman" w:hAnsi="Times New Roman" w:cs="Times New Roman"/>
          <w:bCs/>
          <w:i/>
        </w:rPr>
        <w:t>0</w:t>
      </w:r>
      <w:r w:rsidR="00C841A6">
        <w:rPr>
          <w:rFonts w:ascii="Times New Roman" w:hAnsi="Times New Roman" w:cs="Times New Roman"/>
          <w:bCs/>
          <w:i/>
        </w:rPr>
        <w:t xml:space="preserve"> </w:t>
      </w:r>
      <w:r w:rsidR="00C841A6">
        <w:rPr>
          <w:rFonts w:ascii="Times New Roman" w:hAnsi="Times New Roman" w:cs="Times New Roman"/>
          <w:bCs/>
          <w:iCs/>
        </w:rPr>
        <w:t>(</w:t>
      </w:r>
      <w:r w:rsidR="00C841A6">
        <w:rPr>
          <w:rFonts w:ascii="Times New Roman" w:hAnsi="Times New Roman" w:cs="Times New Roman"/>
          <w:b/>
          <w:iCs/>
        </w:rPr>
        <w:t>the 2020 Declaration</w:t>
      </w:r>
      <w:r w:rsidR="00C841A6">
        <w:rPr>
          <w:rFonts w:ascii="Times New Roman" w:hAnsi="Times New Roman" w:cs="Times New Roman"/>
          <w:bCs/>
          <w:iCs/>
        </w:rPr>
        <w:t>)</w:t>
      </w:r>
      <w:r>
        <w:rPr>
          <w:rFonts w:ascii="Times New Roman" w:hAnsi="Times New Roman" w:cs="Times New Roman"/>
          <w:b/>
          <w:i/>
        </w:rPr>
        <w:t xml:space="preserve">. </w:t>
      </w:r>
      <w:r w:rsidR="00E16B08">
        <w:rPr>
          <w:rFonts w:ascii="Times New Roman" w:hAnsi="Times New Roman" w:cs="Times New Roman"/>
        </w:rPr>
        <w:t xml:space="preserve">For each commercial </w:t>
      </w:r>
      <w:r w:rsidR="00E16B08" w:rsidRPr="00852500">
        <w:rPr>
          <w:rFonts w:ascii="Times New Roman" w:hAnsi="Times New Roman" w:cs="Times New Roman"/>
        </w:rPr>
        <w:t xml:space="preserve">television broadcasting licensee </w:t>
      </w:r>
      <w:r w:rsidR="00E16B08">
        <w:rPr>
          <w:rFonts w:ascii="Times New Roman" w:hAnsi="Times New Roman" w:cs="Times New Roman"/>
        </w:rPr>
        <w:t>in a</w:t>
      </w:r>
      <w:r w:rsidR="00E16B08" w:rsidRPr="00852500">
        <w:rPr>
          <w:rFonts w:ascii="Times New Roman" w:hAnsi="Times New Roman" w:cs="Times New Roman"/>
        </w:rPr>
        <w:t xml:space="preserve"> licence area</w:t>
      </w:r>
      <w:r w:rsidR="00E16B08">
        <w:rPr>
          <w:rFonts w:ascii="Times New Roman" w:hAnsi="Times New Roman" w:cs="Times New Roman"/>
        </w:rPr>
        <w:t>, the 2020 Declaration declares a specified multi-channelled commercial television service to be the primary service of the licensee in that licence area.</w:t>
      </w:r>
    </w:p>
    <w:p w14:paraId="619F6C2D" w14:textId="6F2B9E05" w:rsidR="00E16B08" w:rsidRPr="00677028" w:rsidRDefault="00E16B08" w:rsidP="00E16B08">
      <w:pPr>
        <w:spacing w:before="120" w:after="120" w:line="240" w:lineRule="atLeast"/>
        <w:rPr>
          <w:rFonts w:ascii="Times New Roman" w:hAnsi="Times New Roman" w:cs="Times New Roman"/>
        </w:rPr>
      </w:pPr>
      <w:r>
        <w:rPr>
          <w:rFonts w:ascii="Times New Roman" w:hAnsi="Times New Roman" w:cs="Times New Roman"/>
        </w:rPr>
        <w:t xml:space="preserve">The declaration of the primary service is important as the concept of </w:t>
      </w:r>
      <w:r w:rsidR="001E3BDD">
        <w:rPr>
          <w:rFonts w:ascii="Times New Roman" w:hAnsi="Times New Roman" w:cs="Times New Roman"/>
        </w:rPr>
        <w:t xml:space="preserve">a </w:t>
      </w:r>
      <w:r>
        <w:rPr>
          <w:rFonts w:ascii="Times New Roman" w:hAnsi="Times New Roman" w:cs="Times New Roman"/>
        </w:rPr>
        <w:t xml:space="preserve">primary service underpins various regulatory obligations on commercial </w:t>
      </w:r>
      <w:r w:rsidR="001E2466">
        <w:rPr>
          <w:rFonts w:ascii="Times New Roman" w:hAnsi="Times New Roman" w:cs="Times New Roman"/>
        </w:rPr>
        <w:t>television broadcasting licensees</w:t>
      </w:r>
      <w:r>
        <w:rPr>
          <w:rFonts w:ascii="Times New Roman" w:hAnsi="Times New Roman" w:cs="Times New Roman"/>
        </w:rPr>
        <w:t xml:space="preserve">. </w:t>
      </w:r>
      <w:r w:rsidRPr="00677028">
        <w:rPr>
          <w:rFonts w:ascii="Times New Roman" w:hAnsi="Times New Roman" w:cs="Times New Roman"/>
        </w:rPr>
        <w:t>Under the Act, commercial television broadcasting licensees are authorised to deliver multiple commercial television broadcasting services in digital mode under a single commercial television broadcasting service licence. This is referred to as ‘multi-channelling’.</w:t>
      </w:r>
    </w:p>
    <w:p w14:paraId="7C0A22E1" w14:textId="77777777" w:rsidR="00E16B08" w:rsidRDefault="00E16B08" w:rsidP="00E16B08">
      <w:pPr>
        <w:spacing w:line="257" w:lineRule="auto"/>
        <w:rPr>
          <w:rFonts w:ascii="Times New Roman" w:hAnsi="Times New Roman" w:cs="Times New Roman"/>
        </w:rPr>
      </w:pPr>
      <w:r w:rsidRPr="00677028">
        <w:rPr>
          <w:rFonts w:ascii="Times New Roman" w:hAnsi="Times New Roman" w:cs="Times New Roman"/>
        </w:rPr>
        <w:t xml:space="preserve">Multi-channelling creates a two-track regulatory system for commercial television broadcasting services, in which some obligations apply to the </w:t>
      </w:r>
      <w:r>
        <w:rPr>
          <w:rFonts w:ascii="Times New Roman" w:hAnsi="Times New Roman" w:cs="Times New Roman"/>
        </w:rPr>
        <w:t>primary service but n</w:t>
      </w:r>
      <w:r w:rsidRPr="00677028">
        <w:rPr>
          <w:rFonts w:ascii="Times New Roman" w:hAnsi="Times New Roman" w:cs="Times New Roman"/>
        </w:rPr>
        <w:t xml:space="preserve">ot to other </w:t>
      </w:r>
      <w:r>
        <w:rPr>
          <w:rFonts w:ascii="Times New Roman" w:hAnsi="Times New Roman" w:cs="Times New Roman"/>
        </w:rPr>
        <w:t>multi-channelled services</w:t>
      </w:r>
      <w:r w:rsidRPr="00677028">
        <w:rPr>
          <w:rFonts w:ascii="Times New Roman" w:hAnsi="Times New Roman" w:cs="Times New Roman"/>
        </w:rPr>
        <w:t xml:space="preserve"> transmitted by the same licensee</w:t>
      </w:r>
      <w:r>
        <w:rPr>
          <w:rFonts w:ascii="Times New Roman" w:hAnsi="Times New Roman" w:cs="Times New Roman"/>
        </w:rPr>
        <w:t>.</w:t>
      </w:r>
    </w:p>
    <w:p w14:paraId="20ED962F" w14:textId="4B4BEDCE" w:rsidR="00731DEF" w:rsidRPr="000620BC" w:rsidRDefault="00FA7F0D" w:rsidP="00C35F01">
      <w:pPr>
        <w:spacing w:line="257" w:lineRule="auto"/>
        <w:rPr>
          <w:rFonts w:ascii="Times New Roman" w:hAnsi="Times New Roman" w:cs="Times New Roman"/>
          <w:b/>
          <w:i/>
        </w:rPr>
      </w:pPr>
      <w:r>
        <w:rPr>
          <w:rFonts w:ascii="Times New Roman" w:hAnsi="Times New Roman" w:cs="Times New Roman"/>
          <w:bCs/>
          <w:iCs/>
        </w:rPr>
        <w:t xml:space="preserve">The </w:t>
      </w:r>
      <w:r w:rsidR="003214EF">
        <w:rPr>
          <w:rFonts w:ascii="Times New Roman" w:hAnsi="Times New Roman" w:cs="Times New Roman"/>
          <w:bCs/>
          <w:iCs/>
        </w:rPr>
        <w:t xml:space="preserve">amendments </w:t>
      </w:r>
      <w:r w:rsidR="00E16B08">
        <w:rPr>
          <w:rFonts w:ascii="Times New Roman" w:hAnsi="Times New Roman" w:cs="Times New Roman"/>
          <w:bCs/>
          <w:iCs/>
        </w:rPr>
        <w:t xml:space="preserve">made by the instrument to the 2020 Declaration </w:t>
      </w:r>
      <w:r w:rsidR="003214EF">
        <w:rPr>
          <w:rFonts w:ascii="Times New Roman" w:hAnsi="Times New Roman" w:cs="Times New Roman"/>
          <w:bCs/>
          <w:iCs/>
        </w:rPr>
        <w:t xml:space="preserve">are necessary </w:t>
      </w:r>
      <w:r w:rsidR="000210C3">
        <w:rPr>
          <w:rFonts w:ascii="Times New Roman" w:hAnsi="Times New Roman" w:cs="Times New Roman"/>
          <w:bCs/>
          <w:iCs/>
        </w:rPr>
        <w:t>given the</w:t>
      </w:r>
      <w:r w:rsidR="00ED6D8B">
        <w:rPr>
          <w:rFonts w:ascii="Times New Roman" w:hAnsi="Times New Roman" w:cs="Times New Roman"/>
          <w:bCs/>
          <w:iCs/>
        </w:rPr>
        <w:t xml:space="preserve"> </w:t>
      </w:r>
      <w:r w:rsidR="00ED6D8B">
        <w:rPr>
          <w:rFonts w:ascii="Times New Roman" w:hAnsi="Times New Roman" w:cs="Times New Roman"/>
        </w:rPr>
        <w:t>r</w:t>
      </w:r>
      <w:r w:rsidR="002619DA">
        <w:rPr>
          <w:rFonts w:ascii="Times New Roman" w:hAnsi="Times New Roman" w:cs="Times New Roman"/>
        </w:rPr>
        <w:t xml:space="preserve">ecent </w:t>
      </w:r>
      <w:r w:rsidR="000354E5">
        <w:rPr>
          <w:rFonts w:ascii="Times New Roman" w:hAnsi="Times New Roman" w:cs="Times New Roman"/>
        </w:rPr>
        <w:t>affiliation</w:t>
      </w:r>
      <w:r w:rsidR="002F2B36">
        <w:rPr>
          <w:rFonts w:ascii="Times New Roman" w:hAnsi="Times New Roman" w:cs="Times New Roman"/>
        </w:rPr>
        <w:t xml:space="preserve"> agreements</w:t>
      </w:r>
      <w:r w:rsidR="000354E5">
        <w:rPr>
          <w:rFonts w:ascii="Times New Roman" w:hAnsi="Times New Roman" w:cs="Times New Roman"/>
        </w:rPr>
        <w:t xml:space="preserve"> </w:t>
      </w:r>
      <w:r w:rsidR="00ED6D8B">
        <w:rPr>
          <w:rFonts w:ascii="Times New Roman" w:hAnsi="Times New Roman" w:cs="Times New Roman"/>
        </w:rPr>
        <w:t>entered into</w:t>
      </w:r>
      <w:r w:rsidR="000354E5">
        <w:rPr>
          <w:rFonts w:ascii="Times New Roman" w:hAnsi="Times New Roman" w:cs="Times New Roman"/>
        </w:rPr>
        <w:t xml:space="preserve"> between </w:t>
      </w:r>
      <w:r w:rsidR="001A6738">
        <w:rPr>
          <w:rFonts w:ascii="Times New Roman" w:hAnsi="Times New Roman" w:cs="Times New Roman"/>
        </w:rPr>
        <w:t xml:space="preserve">media groups </w:t>
      </w:r>
      <w:r w:rsidR="000354E5">
        <w:rPr>
          <w:rFonts w:ascii="Times New Roman" w:hAnsi="Times New Roman" w:cs="Times New Roman"/>
        </w:rPr>
        <w:t xml:space="preserve">Nine </w:t>
      </w:r>
      <w:r w:rsidR="002F2B36">
        <w:rPr>
          <w:rFonts w:ascii="Times New Roman" w:hAnsi="Times New Roman" w:cs="Times New Roman"/>
        </w:rPr>
        <w:t>E</w:t>
      </w:r>
      <w:r w:rsidR="000354E5">
        <w:rPr>
          <w:rFonts w:ascii="Times New Roman" w:hAnsi="Times New Roman" w:cs="Times New Roman"/>
        </w:rPr>
        <w:t>ntertainment Co</w:t>
      </w:r>
      <w:r w:rsidR="002F2B36">
        <w:rPr>
          <w:rFonts w:ascii="Times New Roman" w:hAnsi="Times New Roman" w:cs="Times New Roman"/>
        </w:rPr>
        <w:t>.</w:t>
      </w:r>
      <w:r w:rsidR="000354E5">
        <w:rPr>
          <w:rFonts w:ascii="Times New Roman" w:hAnsi="Times New Roman" w:cs="Times New Roman"/>
        </w:rPr>
        <w:t xml:space="preserve"> </w:t>
      </w:r>
      <w:r w:rsidR="005E49D3">
        <w:rPr>
          <w:rFonts w:ascii="Times New Roman" w:hAnsi="Times New Roman" w:cs="Times New Roman"/>
        </w:rPr>
        <w:t>(</w:t>
      </w:r>
      <w:r w:rsidR="005E49D3" w:rsidRPr="005E49D3">
        <w:rPr>
          <w:rFonts w:ascii="Times New Roman" w:hAnsi="Times New Roman" w:cs="Times New Roman"/>
          <w:b/>
          <w:bCs/>
        </w:rPr>
        <w:t>Nine</w:t>
      </w:r>
      <w:r w:rsidR="005E49D3">
        <w:rPr>
          <w:rFonts w:ascii="Times New Roman" w:hAnsi="Times New Roman" w:cs="Times New Roman"/>
        </w:rPr>
        <w:t xml:space="preserve">) </w:t>
      </w:r>
      <w:r w:rsidR="000354E5">
        <w:rPr>
          <w:rFonts w:ascii="Times New Roman" w:hAnsi="Times New Roman" w:cs="Times New Roman"/>
        </w:rPr>
        <w:t xml:space="preserve">and </w:t>
      </w:r>
      <w:r w:rsidR="009B66FA">
        <w:rPr>
          <w:rFonts w:ascii="Times New Roman" w:hAnsi="Times New Roman" w:cs="Times New Roman"/>
        </w:rPr>
        <w:t xml:space="preserve">the </w:t>
      </w:r>
      <w:r w:rsidR="000354E5">
        <w:rPr>
          <w:rFonts w:ascii="Times New Roman" w:hAnsi="Times New Roman" w:cs="Times New Roman"/>
        </w:rPr>
        <w:t>WIN</w:t>
      </w:r>
      <w:r w:rsidR="004F39D3">
        <w:rPr>
          <w:rFonts w:ascii="Times New Roman" w:hAnsi="Times New Roman" w:cs="Times New Roman"/>
        </w:rPr>
        <w:t xml:space="preserve"> </w:t>
      </w:r>
      <w:r w:rsidR="006E441C">
        <w:rPr>
          <w:rFonts w:ascii="Times New Roman" w:hAnsi="Times New Roman" w:cs="Times New Roman"/>
        </w:rPr>
        <w:t>Network</w:t>
      </w:r>
      <w:r w:rsidR="009B66FA">
        <w:rPr>
          <w:rFonts w:ascii="Times New Roman" w:hAnsi="Times New Roman" w:cs="Times New Roman"/>
        </w:rPr>
        <w:t xml:space="preserve"> (</w:t>
      </w:r>
      <w:r w:rsidR="009B66FA" w:rsidRPr="000620BC">
        <w:rPr>
          <w:rFonts w:ascii="Times New Roman" w:hAnsi="Times New Roman" w:cs="Times New Roman"/>
          <w:b/>
          <w:bCs/>
        </w:rPr>
        <w:t>WIN</w:t>
      </w:r>
      <w:r w:rsidR="009B66FA">
        <w:rPr>
          <w:rFonts w:ascii="Times New Roman" w:hAnsi="Times New Roman" w:cs="Times New Roman"/>
        </w:rPr>
        <w:t>)</w:t>
      </w:r>
      <w:r w:rsidR="000354E5">
        <w:rPr>
          <w:rFonts w:ascii="Times New Roman" w:hAnsi="Times New Roman" w:cs="Times New Roman"/>
        </w:rPr>
        <w:t>, as well as</w:t>
      </w:r>
      <w:r w:rsidR="002F2B36">
        <w:rPr>
          <w:rFonts w:ascii="Times New Roman" w:hAnsi="Times New Roman" w:cs="Times New Roman"/>
        </w:rPr>
        <w:t xml:space="preserve"> </w:t>
      </w:r>
      <w:r w:rsidR="00E5095C">
        <w:rPr>
          <w:rFonts w:ascii="Times New Roman" w:hAnsi="Times New Roman" w:cs="Times New Roman"/>
        </w:rPr>
        <w:t xml:space="preserve">those </w:t>
      </w:r>
      <w:r w:rsidR="002F2B36">
        <w:rPr>
          <w:rFonts w:ascii="Times New Roman" w:hAnsi="Times New Roman" w:cs="Times New Roman"/>
        </w:rPr>
        <w:t>between</w:t>
      </w:r>
      <w:r w:rsidR="000354E5">
        <w:rPr>
          <w:rFonts w:ascii="Times New Roman" w:hAnsi="Times New Roman" w:cs="Times New Roman"/>
        </w:rPr>
        <w:t xml:space="preserve"> Southern Cross </w:t>
      </w:r>
      <w:proofErr w:type="spellStart"/>
      <w:r w:rsidR="000354E5">
        <w:rPr>
          <w:rFonts w:ascii="Times New Roman" w:hAnsi="Times New Roman" w:cs="Times New Roman"/>
        </w:rPr>
        <w:t>Austereo</w:t>
      </w:r>
      <w:proofErr w:type="spellEnd"/>
      <w:r w:rsidR="000354E5">
        <w:rPr>
          <w:rFonts w:ascii="Times New Roman" w:hAnsi="Times New Roman" w:cs="Times New Roman"/>
        </w:rPr>
        <w:t xml:space="preserve"> </w:t>
      </w:r>
      <w:r w:rsidR="005E49D3">
        <w:rPr>
          <w:rFonts w:ascii="Times New Roman" w:hAnsi="Times New Roman" w:cs="Times New Roman"/>
        </w:rPr>
        <w:t>(</w:t>
      </w:r>
      <w:r w:rsidR="005E49D3" w:rsidRPr="005E49D3">
        <w:rPr>
          <w:rFonts w:ascii="Times New Roman" w:hAnsi="Times New Roman" w:cs="Times New Roman"/>
          <w:b/>
          <w:bCs/>
        </w:rPr>
        <w:t>SCA</w:t>
      </w:r>
      <w:r w:rsidR="005E49D3">
        <w:rPr>
          <w:rFonts w:ascii="Times New Roman" w:hAnsi="Times New Roman" w:cs="Times New Roman"/>
        </w:rPr>
        <w:t xml:space="preserve">) </w:t>
      </w:r>
      <w:r w:rsidR="000354E5">
        <w:rPr>
          <w:rFonts w:ascii="Times New Roman" w:hAnsi="Times New Roman" w:cs="Times New Roman"/>
        </w:rPr>
        <w:t>and Network</w:t>
      </w:r>
      <w:r w:rsidR="002F2B36">
        <w:rPr>
          <w:rFonts w:ascii="Times New Roman" w:hAnsi="Times New Roman" w:cs="Times New Roman"/>
        </w:rPr>
        <w:t xml:space="preserve"> 10</w:t>
      </w:r>
      <w:r w:rsidR="00EB0C47">
        <w:rPr>
          <w:rFonts w:ascii="Times New Roman" w:hAnsi="Times New Roman" w:cs="Times New Roman"/>
        </w:rPr>
        <w:t>,</w:t>
      </w:r>
      <w:r w:rsidR="000D3D17">
        <w:rPr>
          <w:rFonts w:ascii="Times New Roman" w:hAnsi="Times New Roman" w:cs="Times New Roman"/>
        </w:rPr>
        <w:t xml:space="preserve"> which </w:t>
      </w:r>
      <w:r w:rsidR="00766FB8">
        <w:rPr>
          <w:rFonts w:ascii="Times New Roman" w:hAnsi="Times New Roman" w:cs="Times New Roman"/>
        </w:rPr>
        <w:t>affect</w:t>
      </w:r>
      <w:r w:rsidR="000D3D17">
        <w:rPr>
          <w:rFonts w:ascii="Times New Roman" w:hAnsi="Times New Roman" w:cs="Times New Roman"/>
        </w:rPr>
        <w:t xml:space="preserve"> the </w:t>
      </w:r>
      <w:r w:rsidR="00F50577">
        <w:rPr>
          <w:rFonts w:ascii="Times New Roman" w:hAnsi="Times New Roman" w:cs="Times New Roman"/>
        </w:rPr>
        <w:t xml:space="preserve">declaration of primary services specified in the </w:t>
      </w:r>
      <w:r w:rsidR="006D7B7B">
        <w:rPr>
          <w:rFonts w:ascii="Times New Roman" w:hAnsi="Times New Roman" w:cs="Times New Roman"/>
        </w:rPr>
        <w:t xml:space="preserve">2020 </w:t>
      </w:r>
      <w:r w:rsidR="000D3D17">
        <w:rPr>
          <w:rFonts w:ascii="Times New Roman" w:hAnsi="Times New Roman" w:cs="Times New Roman"/>
        </w:rPr>
        <w:t>Declaration.</w:t>
      </w:r>
      <w:r w:rsidR="00990949">
        <w:rPr>
          <w:rFonts w:ascii="Times New Roman" w:hAnsi="Times New Roman" w:cs="Times New Roman"/>
        </w:rPr>
        <w:t xml:space="preserve"> </w:t>
      </w:r>
      <w:r w:rsidR="00C11C1B" w:rsidRPr="00437A51">
        <w:rPr>
          <w:rFonts w:ascii="Times New Roman" w:hAnsi="Times New Roman" w:cs="Times New Roman"/>
        </w:rPr>
        <w:t xml:space="preserve">The </w:t>
      </w:r>
      <w:r w:rsidR="00766FB8">
        <w:rPr>
          <w:rFonts w:ascii="Times New Roman" w:hAnsi="Times New Roman" w:cs="Times New Roman"/>
        </w:rPr>
        <w:t>instrument</w:t>
      </w:r>
      <w:r w:rsidR="00C11C1B" w:rsidRPr="00437A51">
        <w:rPr>
          <w:rFonts w:ascii="Times New Roman" w:hAnsi="Times New Roman" w:cs="Times New Roman"/>
        </w:rPr>
        <w:t xml:space="preserve"> </w:t>
      </w:r>
      <w:r w:rsidR="00F50577">
        <w:rPr>
          <w:rFonts w:ascii="Times New Roman" w:hAnsi="Times New Roman" w:cs="Times New Roman"/>
        </w:rPr>
        <w:t xml:space="preserve">amends </w:t>
      </w:r>
      <w:r w:rsidR="00D83B5B">
        <w:rPr>
          <w:rFonts w:ascii="Times New Roman" w:hAnsi="Times New Roman" w:cs="Times New Roman"/>
        </w:rPr>
        <w:t>the Schedules</w:t>
      </w:r>
      <w:r w:rsidR="00C56566">
        <w:rPr>
          <w:rFonts w:ascii="Times New Roman" w:hAnsi="Times New Roman" w:cs="Times New Roman"/>
        </w:rPr>
        <w:t xml:space="preserve"> </w:t>
      </w:r>
      <w:r w:rsidR="00F50577">
        <w:rPr>
          <w:rFonts w:ascii="Times New Roman" w:hAnsi="Times New Roman" w:cs="Times New Roman"/>
        </w:rPr>
        <w:t>to</w:t>
      </w:r>
      <w:r w:rsidR="00130A75">
        <w:rPr>
          <w:rFonts w:ascii="Times New Roman" w:hAnsi="Times New Roman" w:cs="Times New Roman"/>
        </w:rPr>
        <w:t xml:space="preserve"> the </w:t>
      </w:r>
      <w:r w:rsidR="00BF5FD9">
        <w:rPr>
          <w:rFonts w:ascii="Times New Roman" w:hAnsi="Times New Roman" w:cs="Times New Roman"/>
        </w:rPr>
        <w:t xml:space="preserve">2020 </w:t>
      </w:r>
      <w:r w:rsidR="00C11C1B" w:rsidRPr="00437A51">
        <w:rPr>
          <w:rFonts w:ascii="Times New Roman" w:hAnsi="Times New Roman" w:cs="Times New Roman"/>
        </w:rPr>
        <w:t>Declaration</w:t>
      </w:r>
      <w:r w:rsidR="00113010">
        <w:rPr>
          <w:rFonts w:ascii="Times New Roman" w:hAnsi="Times New Roman" w:cs="Times New Roman"/>
        </w:rPr>
        <w:t>,</w:t>
      </w:r>
      <w:r w:rsidR="00F50577">
        <w:rPr>
          <w:rFonts w:ascii="Times New Roman" w:hAnsi="Times New Roman" w:cs="Times New Roman"/>
        </w:rPr>
        <w:t xml:space="preserve"> which specify (for the purposes of subclauses 41</w:t>
      </w:r>
      <w:proofErr w:type="gramStart"/>
      <w:r w:rsidR="00F50577">
        <w:rPr>
          <w:rFonts w:ascii="Times New Roman" w:hAnsi="Times New Roman" w:cs="Times New Roman"/>
        </w:rPr>
        <w:t>G(</w:t>
      </w:r>
      <w:proofErr w:type="gramEnd"/>
      <w:r w:rsidR="00F50577">
        <w:rPr>
          <w:rFonts w:ascii="Times New Roman" w:hAnsi="Times New Roman" w:cs="Times New Roman"/>
        </w:rPr>
        <w:t xml:space="preserve">2) </w:t>
      </w:r>
      <w:r w:rsidR="00F50577">
        <w:rPr>
          <w:rFonts w:ascii="Times New Roman" w:hAnsi="Times New Roman" w:cs="Times New Roman"/>
        </w:rPr>
        <w:lastRenderedPageBreak/>
        <w:t>and (4)</w:t>
      </w:r>
      <w:r w:rsidR="00113010">
        <w:rPr>
          <w:rFonts w:ascii="Times New Roman" w:hAnsi="Times New Roman" w:cs="Times New Roman"/>
        </w:rPr>
        <w:t xml:space="preserve"> of Schedule 4 to the Act</w:t>
      </w:r>
      <w:r w:rsidR="00F50577">
        <w:rPr>
          <w:rFonts w:ascii="Times New Roman" w:hAnsi="Times New Roman" w:cs="Times New Roman"/>
        </w:rPr>
        <w:t xml:space="preserve">), the primary service for each </w:t>
      </w:r>
      <w:r w:rsidR="008E3B7F">
        <w:rPr>
          <w:rFonts w:ascii="Times New Roman" w:hAnsi="Times New Roman" w:cs="Times New Roman"/>
        </w:rPr>
        <w:t xml:space="preserve">commercial television broadcasting </w:t>
      </w:r>
      <w:r w:rsidR="00F50577">
        <w:rPr>
          <w:rFonts w:ascii="Times New Roman" w:hAnsi="Times New Roman" w:cs="Times New Roman"/>
        </w:rPr>
        <w:t>licensee.</w:t>
      </w:r>
      <w:r w:rsidR="00C11C1B" w:rsidRPr="00437A51">
        <w:rPr>
          <w:rFonts w:ascii="Times New Roman" w:hAnsi="Times New Roman" w:cs="Times New Roman"/>
        </w:rPr>
        <w:t xml:space="preserve"> </w:t>
      </w:r>
      <w:r w:rsidR="00F50577">
        <w:rPr>
          <w:rFonts w:ascii="Times New Roman" w:hAnsi="Times New Roman" w:cs="Times New Roman"/>
        </w:rPr>
        <w:t xml:space="preserve">The declared primary services are identified in the Schedules to the 2020 Declaration by the on-air tags used by </w:t>
      </w:r>
      <w:r w:rsidR="001E3BDD">
        <w:rPr>
          <w:rFonts w:ascii="Times New Roman" w:hAnsi="Times New Roman" w:cs="Times New Roman"/>
        </w:rPr>
        <w:t xml:space="preserve">the relevant </w:t>
      </w:r>
      <w:r w:rsidR="00F50577">
        <w:rPr>
          <w:rFonts w:ascii="Times New Roman" w:hAnsi="Times New Roman" w:cs="Times New Roman"/>
        </w:rPr>
        <w:t xml:space="preserve">licensees. </w:t>
      </w:r>
      <w:r w:rsidR="00B90915">
        <w:rPr>
          <w:rFonts w:ascii="Times New Roman" w:hAnsi="Times New Roman" w:cs="Times New Roman"/>
        </w:rPr>
        <w:t>However,</w:t>
      </w:r>
      <w:r w:rsidR="00F50577">
        <w:rPr>
          <w:rFonts w:ascii="Times New Roman" w:hAnsi="Times New Roman" w:cs="Times New Roman"/>
        </w:rPr>
        <w:t xml:space="preserve"> as a result of the new affiliation agreements</w:t>
      </w:r>
      <w:r w:rsidR="00E16B08">
        <w:rPr>
          <w:rFonts w:ascii="Times New Roman" w:hAnsi="Times New Roman" w:cs="Times New Roman"/>
        </w:rPr>
        <w:t xml:space="preserve">, </w:t>
      </w:r>
      <w:r w:rsidR="005C1DAA">
        <w:rPr>
          <w:rFonts w:ascii="Times New Roman" w:hAnsi="Times New Roman" w:cs="Times New Roman"/>
        </w:rPr>
        <w:t xml:space="preserve">some licensees are no longer providing the primary services identified by these tags </w:t>
      </w:r>
      <w:r w:rsidR="00E16B08">
        <w:rPr>
          <w:rFonts w:ascii="Times New Roman" w:hAnsi="Times New Roman" w:cs="Times New Roman"/>
        </w:rPr>
        <w:t>and</w:t>
      </w:r>
      <w:r w:rsidR="005C1DAA">
        <w:rPr>
          <w:rFonts w:ascii="Times New Roman" w:hAnsi="Times New Roman" w:cs="Times New Roman"/>
        </w:rPr>
        <w:t>,</w:t>
      </w:r>
      <w:r w:rsidR="00E16B08">
        <w:rPr>
          <w:rFonts w:ascii="Times New Roman" w:hAnsi="Times New Roman" w:cs="Times New Roman"/>
        </w:rPr>
        <w:t xml:space="preserve"> consequentially, amendments to the 2020 Declaration </w:t>
      </w:r>
      <w:r w:rsidR="005C1DAA">
        <w:rPr>
          <w:rFonts w:ascii="Times New Roman" w:hAnsi="Times New Roman" w:cs="Times New Roman"/>
        </w:rPr>
        <w:t>a</w:t>
      </w:r>
      <w:r w:rsidR="00E16B08">
        <w:rPr>
          <w:rFonts w:ascii="Times New Roman" w:hAnsi="Times New Roman" w:cs="Times New Roman"/>
        </w:rPr>
        <w:t>re required.</w:t>
      </w:r>
    </w:p>
    <w:p w14:paraId="0F73D4BD" w14:textId="26CA9CB9" w:rsidR="00731DEF" w:rsidRDefault="00731DEF" w:rsidP="00731DEF">
      <w:pPr>
        <w:spacing w:line="257" w:lineRule="auto"/>
        <w:rPr>
          <w:rFonts w:ascii="Times New Roman" w:hAnsi="Times New Roman" w:cs="Times New Roman"/>
        </w:rPr>
      </w:pPr>
      <w:r>
        <w:rPr>
          <w:rFonts w:ascii="Times New Roman" w:hAnsi="Times New Roman" w:cs="Times New Roman"/>
        </w:rPr>
        <w:t xml:space="preserve">A provision-by-provision description of the instrument is set out in the notes at </w:t>
      </w:r>
      <w:r>
        <w:rPr>
          <w:rFonts w:ascii="Times New Roman" w:hAnsi="Times New Roman" w:cs="Times New Roman"/>
          <w:b/>
        </w:rPr>
        <w:t>Attachment A</w:t>
      </w:r>
      <w:r>
        <w:rPr>
          <w:rFonts w:ascii="Times New Roman" w:hAnsi="Times New Roman" w:cs="Times New Roman"/>
        </w:rPr>
        <w:t>.</w:t>
      </w:r>
    </w:p>
    <w:p w14:paraId="69B508EF" w14:textId="78382C69" w:rsidR="00731DEF" w:rsidRDefault="00731DEF" w:rsidP="00731DEF">
      <w:pPr>
        <w:rPr>
          <w:rFonts w:ascii="Times New Roman" w:hAnsi="Times New Roman" w:cs="Times New Roman"/>
        </w:rPr>
      </w:pPr>
      <w:r>
        <w:rPr>
          <w:rFonts w:ascii="Times New Roman" w:hAnsi="Times New Roman" w:cs="Times New Roman"/>
        </w:rPr>
        <w:t xml:space="preserve">The instrument is a </w:t>
      </w:r>
      <w:r w:rsidR="002E1D89">
        <w:rPr>
          <w:rFonts w:ascii="Times New Roman" w:hAnsi="Times New Roman" w:cs="Times New Roman"/>
        </w:rPr>
        <w:t xml:space="preserve">disallowable </w:t>
      </w:r>
      <w:r>
        <w:rPr>
          <w:rFonts w:ascii="Times New Roman" w:hAnsi="Times New Roman" w:cs="Times New Roman"/>
        </w:rPr>
        <w:t xml:space="preserve">legislative instrument for the purposes of the </w:t>
      </w:r>
      <w:r>
        <w:rPr>
          <w:rFonts w:ascii="Times New Roman" w:hAnsi="Times New Roman" w:cs="Times New Roman"/>
          <w:i/>
        </w:rPr>
        <w:t xml:space="preserve">Legislation Act 2003 </w:t>
      </w:r>
      <w:r>
        <w:rPr>
          <w:rFonts w:ascii="Times New Roman" w:hAnsi="Times New Roman" w:cs="Times New Roman"/>
        </w:rPr>
        <w:t>(</w:t>
      </w:r>
      <w:r>
        <w:rPr>
          <w:rFonts w:ascii="Times New Roman" w:hAnsi="Times New Roman" w:cs="Times New Roman"/>
          <w:b/>
        </w:rPr>
        <w:t>the LA</w:t>
      </w:r>
      <w:r>
        <w:rPr>
          <w:rFonts w:ascii="Times New Roman" w:hAnsi="Times New Roman" w:cs="Times New Roman"/>
        </w:rPr>
        <w:t>).</w:t>
      </w:r>
    </w:p>
    <w:p w14:paraId="6124B474" w14:textId="77777777" w:rsidR="00731DEF" w:rsidRDefault="00731DEF" w:rsidP="00731DEF">
      <w:pPr>
        <w:rPr>
          <w:rFonts w:ascii="Times New Roman" w:hAnsi="Times New Roman" w:cs="Times New Roman"/>
          <w:b/>
        </w:rPr>
      </w:pPr>
      <w:r>
        <w:rPr>
          <w:rFonts w:ascii="Times New Roman" w:hAnsi="Times New Roman" w:cs="Times New Roman"/>
          <w:b/>
        </w:rPr>
        <w:t>Documents incorporated by reference</w:t>
      </w:r>
    </w:p>
    <w:p w14:paraId="582BBB1A" w14:textId="77777777" w:rsidR="00731DEF" w:rsidRDefault="00731DEF" w:rsidP="00731DEF">
      <w:pPr>
        <w:spacing w:line="257" w:lineRule="auto"/>
        <w:rPr>
          <w:rFonts w:ascii="Times New Roman" w:hAnsi="Times New Roman" w:cs="Times New Roman"/>
        </w:rPr>
      </w:pPr>
      <w:r>
        <w:rPr>
          <w:rFonts w:ascii="Times New Roman" w:hAnsi="Times New Roman" w:cs="Times New Roman"/>
        </w:rPr>
        <w:t>The instrument does not incorporate any documents by reference.</w:t>
      </w:r>
    </w:p>
    <w:p w14:paraId="7808345D" w14:textId="0782DA4D" w:rsidR="00731DEF" w:rsidRPr="005F30CB" w:rsidRDefault="00731DEF" w:rsidP="00731DEF">
      <w:pPr>
        <w:rPr>
          <w:rFonts w:ascii="Times New Roman" w:hAnsi="Times New Roman" w:cs="Times New Roman"/>
          <w:b/>
        </w:rPr>
      </w:pPr>
      <w:r>
        <w:rPr>
          <w:rFonts w:ascii="Times New Roman" w:hAnsi="Times New Roman" w:cs="Times New Roman"/>
          <w:b/>
        </w:rPr>
        <w:t>Consultation</w:t>
      </w:r>
    </w:p>
    <w:p w14:paraId="577D3BF0" w14:textId="77777777" w:rsidR="00F9104E" w:rsidRDefault="00F9104E" w:rsidP="00F9104E">
      <w:pPr>
        <w:rPr>
          <w:rFonts w:ascii="Times New Roman" w:hAnsi="Times New Roman" w:cs="Times New Roman"/>
        </w:rPr>
      </w:pPr>
      <w:r>
        <w:rPr>
          <w:rFonts w:ascii="Times New Roman" w:hAnsi="Times New Roman" w:cs="Times New Roman"/>
        </w:rPr>
        <w:t xml:space="preserve">Before the instrument was made, the ACMA was satisfied that consultation was undertaken to the extent appropriate and reasonably practicable, in accordance with section 17 of the LA.  </w:t>
      </w:r>
    </w:p>
    <w:p w14:paraId="6DCDDCE7" w14:textId="515CECA4" w:rsidR="00731DEF" w:rsidRDefault="00731DEF" w:rsidP="00731DEF">
      <w:pPr>
        <w:rPr>
          <w:rFonts w:ascii="Times New Roman" w:hAnsi="Times New Roman" w:cs="Times New Roman"/>
        </w:rPr>
      </w:pPr>
      <w:r>
        <w:rPr>
          <w:rFonts w:ascii="Times New Roman" w:hAnsi="Times New Roman" w:cs="Times New Roman"/>
        </w:rPr>
        <w:t>A targeted consultation was carried out by contacting relevant</w:t>
      </w:r>
      <w:r w:rsidR="00BC53F9">
        <w:rPr>
          <w:rFonts w:ascii="Times New Roman" w:hAnsi="Times New Roman" w:cs="Times New Roman"/>
        </w:rPr>
        <w:t xml:space="preserve"> commercial television broadcasting</w:t>
      </w:r>
      <w:r>
        <w:rPr>
          <w:rFonts w:ascii="Times New Roman" w:hAnsi="Times New Roman" w:cs="Times New Roman"/>
        </w:rPr>
        <w:t xml:space="preserve"> licensees</w:t>
      </w:r>
      <w:r w:rsidR="00BC53F9">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Cs/>
        </w:rPr>
        <w:t xml:space="preserve">who were asked to </w:t>
      </w:r>
      <w:r w:rsidR="000D4B53">
        <w:rPr>
          <w:rFonts w:ascii="Times New Roman" w:hAnsi="Times New Roman" w:cs="Times New Roman"/>
          <w:iCs/>
        </w:rPr>
        <w:t xml:space="preserve">provide updated information </w:t>
      </w:r>
      <w:r w:rsidR="00E16B08">
        <w:rPr>
          <w:rFonts w:ascii="Times New Roman" w:hAnsi="Times New Roman" w:cs="Times New Roman"/>
          <w:iCs/>
        </w:rPr>
        <w:t xml:space="preserve">about </w:t>
      </w:r>
      <w:r w:rsidR="00BC53F9">
        <w:rPr>
          <w:rFonts w:ascii="Times New Roman" w:hAnsi="Times New Roman" w:cs="Times New Roman"/>
          <w:iCs/>
        </w:rPr>
        <w:t xml:space="preserve">whether </w:t>
      </w:r>
      <w:r w:rsidR="00E16B08">
        <w:rPr>
          <w:rFonts w:ascii="Times New Roman" w:hAnsi="Times New Roman" w:cs="Times New Roman"/>
          <w:iCs/>
        </w:rPr>
        <w:t xml:space="preserve">their </w:t>
      </w:r>
      <w:r w:rsidR="00BC53F9">
        <w:rPr>
          <w:rFonts w:ascii="Times New Roman" w:hAnsi="Times New Roman" w:cs="Times New Roman"/>
          <w:iCs/>
        </w:rPr>
        <w:t>multi-channelled</w:t>
      </w:r>
      <w:r w:rsidR="00E16B08">
        <w:rPr>
          <w:rFonts w:ascii="Times New Roman" w:hAnsi="Times New Roman" w:cs="Times New Roman"/>
          <w:iCs/>
        </w:rPr>
        <w:t xml:space="preserve"> commercial television broadcasting services</w:t>
      </w:r>
      <w:r w:rsidR="000D4B53">
        <w:rPr>
          <w:rFonts w:ascii="Times New Roman" w:hAnsi="Times New Roman" w:cs="Times New Roman"/>
          <w:iCs/>
        </w:rPr>
        <w:t xml:space="preserve"> had changed due to the recent affiliation agreements, and to otherwise </w:t>
      </w:r>
      <w:r>
        <w:rPr>
          <w:rFonts w:ascii="Times New Roman" w:hAnsi="Times New Roman" w:cs="Times New Roman"/>
          <w:iCs/>
        </w:rPr>
        <w:t xml:space="preserve">confirm </w:t>
      </w:r>
      <w:r w:rsidR="00BC53F9">
        <w:rPr>
          <w:rFonts w:ascii="Times New Roman" w:hAnsi="Times New Roman" w:cs="Times New Roman"/>
          <w:iCs/>
        </w:rPr>
        <w:t xml:space="preserve">whether </w:t>
      </w:r>
      <w:r>
        <w:rPr>
          <w:rFonts w:ascii="Times New Roman" w:hAnsi="Times New Roman" w:cs="Times New Roman"/>
          <w:iCs/>
        </w:rPr>
        <w:t xml:space="preserve">information in the </w:t>
      </w:r>
      <w:r w:rsidR="00E16B08">
        <w:rPr>
          <w:rFonts w:ascii="Times New Roman" w:hAnsi="Times New Roman" w:cs="Times New Roman"/>
          <w:iCs/>
        </w:rPr>
        <w:t xml:space="preserve">2020 Declaration </w:t>
      </w:r>
      <w:r>
        <w:rPr>
          <w:rFonts w:ascii="Times New Roman" w:hAnsi="Times New Roman" w:cs="Times New Roman"/>
          <w:iCs/>
        </w:rPr>
        <w:t>was up-to-date and accurate.</w:t>
      </w:r>
    </w:p>
    <w:p w14:paraId="0DA07358" w14:textId="05326832" w:rsidR="00731DEF" w:rsidRDefault="00731DEF" w:rsidP="00731DEF">
      <w:pPr>
        <w:rPr>
          <w:rFonts w:ascii="Times New Roman" w:hAnsi="Times New Roman" w:cs="Times New Roman"/>
        </w:rPr>
      </w:pPr>
      <w:r>
        <w:rPr>
          <w:rFonts w:ascii="Times New Roman" w:hAnsi="Times New Roman" w:cs="Times New Roman"/>
        </w:rPr>
        <w:t xml:space="preserve">After the targeted consultation and before making the decision to </w:t>
      </w:r>
      <w:r w:rsidR="000D4B53">
        <w:rPr>
          <w:rFonts w:ascii="Times New Roman" w:hAnsi="Times New Roman" w:cs="Times New Roman"/>
        </w:rPr>
        <w:t xml:space="preserve">amend </w:t>
      </w:r>
      <w:r>
        <w:rPr>
          <w:rFonts w:ascii="Times New Roman" w:hAnsi="Times New Roman" w:cs="Times New Roman"/>
        </w:rPr>
        <w:t xml:space="preserve">the </w:t>
      </w:r>
      <w:r w:rsidR="00F20C1D">
        <w:rPr>
          <w:rFonts w:ascii="Times New Roman" w:hAnsi="Times New Roman" w:cs="Times New Roman"/>
        </w:rPr>
        <w:t>2020 Declaration</w:t>
      </w:r>
      <w:r>
        <w:rPr>
          <w:rFonts w:ascii="Times New Roman" w:hAnsi="Times New Roman" w:cs="Times New Roman"/>
        </w:rPr>
        <w:t xml:space="preserve">, the ACMA </w:t>
      </w:r>
      <w:r w:rsidR="00AC753C">
        <w:rPr>
          <w:rFonts w:ascii="Times New Roman" w:hAnsi="Times New Roman" w:cs="Times New Roman"/>
        </w:rPr>
        <w:t xml:space="preserve">undertook a second round of consultation </w:t>
      </w:r>
      <w:r w:rsidR="00B5634D">
        <w:rPr>
          <w:rFonts w:ascii="Times New Roman" w:hAnsi="Times New Roman" w:cs="Times New Roman"/>
        </w:rPr>
        <w:t>from</w:t>
      </w:r>
      <w:r w:rsidR="00EB0CFF" w:rsidRPr="00EB0CFF">
        <w:rPr>
          <w:rFonts w:ascii="Times New Roman" w:hAnsi="Times New Roman" w:cs="Times New Roman"/>
        </w:rPr>
        <w:t xml:space="preserve"> </w:t>
      </w:r>
      <w:r w:rsidR="00C35F01" w:rsidRPr="00C35F01">
        <w:rPr>
          <w:rFonts w:ascii="Times New Roman" w:hAnsi="Times New Roman" w:cs="Times New Roman"/>
        </w:rPr>
        <w:t>14</w:t>
      </w:r>
      <w:r w:rsidR="00EB0CFF" w:rsidRPr="00C35F01">
        <w:rPr>
          <w:rFonts w:ascii="Times New Roman" w:hAnsi="Times New Roman" w:cs="Times New Roman"/>
        </w:rPr>
        <w:t> </w:t>
      </w:r>
      <w:r w:rsidR="00A53FB2" w:rsidRPr="00C35F01">
        <w:rPr>
          <w:rFonts w:ascii="Times New Roman" w:hAnsi="Times New Roman" w:cs="Times New Roman"/>
        </w:rPr>
        <w:t>July </w:t>
      </w:r>
      <w:r w:rsidR="00EB0CFF" w:rsidRPr="00C35F01">
        <w:rPr>
          <w:rFonts w:ascii="Times New Roman" w:hAnsi="Times New Roman" w:cs="Times New Roman"/>
        </w:rPr>
        <w:t>2021</w:t>
      </w:r>
      <w:r w:rsidR="00EB0CFF" w:rsidRPr="00EB0CFF">
        <w:rPr>
          <w:rFonts w:ascii="Times New Roman" w:hAnsi="Times New Roman" w:cs="Times New Roman"/>
        </w:rPr>
        <w:t xml:space="preserve"> </w:t>
      </w:r>
      <w:r w:rsidR="00B5634D">
        <w:rPr>
          <w:rFonts w:ascii="Times New Roman" w:hAnsi="Times New Roman" w:cs="Times New Roman"/>
        </w:rPr>
        <w:t>to 27 July 202</w:t>
      </w:r>
      <w:r w:rsidR="00F27DB6">
        <w:rPr>
          <w:rFonts w:ascii="Times New Roman" w:hAnsi="Times New Roman" w:cs="Times New Roman"/>
        </w:rPr>
        <w:t>1</w:t>
      </w:r>
      <w:r w:rsidR="00B5634D">
        <w:rPr>
          <w:rFonts w:ascii="Times New Roman" w:hAnsi="Times New Roman" w:cs="Times New Roman"/>
        </w:rPr>
        <w:t xml:space="preserve"> </w:t>
      </w:r>
      <w:r w:rsidR="00AC753C">
        <w:rPr>
          <w:rFonts w:ascii="Times New Roman" w:hAnsi="Times New Roman" w:cs="Times New Roman"/>
        </w:rPr>
        <w:t xml:space="preserve">which provided the </w:t>
      </w:r>
      <w:r w:rsidR="008B0446">
        <w:rPr>
          <w:rFonts w:ascii="Times New Roman" w:hAnsi="Times New Roman" w:cs="Times New Roman"/>
        </w:rPr>
        <w:t xml:space="preserve">licensees </w:t>
      </w:r>
      <w:r w:rsidR="00E16B08">
        <w:rPr>
          <w:rFonts w:ascii="Times New Roman" w:hAnsi="Times New Roman" w:cs="Times New Roman"/>
        </w:rPr>
        <w:t xml:space="preserve">with </w:t>
      </w:r>
      <w:r w:rsidR="00AC753C">
        <w:rPr>
          <w:rFonts w:ascii="Times New Roman" w:hAnsi="Times New Roman" w:cs="Times New Roman"/>
        </w:rPr>
        <w:t>an opportunity to comment on the proposed change</w:t>
      </w:r>
      <w:r w:rsidR="00D42A80">
        <w:rPr>
          <w:rFonts w:ascii="Times New Roman" w:hAnsi="Times New Roman" w:cs="Times New Roman"/>
        </w:rPr>
        <w:t>s.</w:t>
      </w:r>
      <w:r w:rsidR="00677F73">
        <w:rPr>
          <w:rFonts w:ascii="Times New Roman" w:hAnsi="Times New Roman" w:cs="Times New Roman"/>
        </w:rPr>
        <w:t xml:space="preserve"> The ACMA received two submissions in support of the proposal.</w:t>
      </w:r>
    </w:p>
    <w:p w14:paraId="43600353" w14:textId="0D5D27FD" w:rsidR="00731DEF" w:rsidRDefault="009E7C49" w:rsidP="00731DEF">
      <w:pPr>
        <w:rPr>
          <w:rFonts w:ascii="Times New Roman" w:hAnsi="Times New Roman" w:cs="Times New Roman"/>
        </w:rPr>
      </w:pPr>
      <w:r>
        <w:rPr>
          <w:rFonts w:ascii="Times New Roman" w:hAnsi="Times New Roman" w:cs="Times New Roman"/>
        </w:rPr>
        <w:t>No</w:t>
      </w:r>
      <w:r w:rsidR="00731DEF">
        <w:rPr>
          <w:rFonts w:ascii="Times New Roman" w:hAnsi="Times New Roman" w:cs="Times New Roman"/>
        </w:rPr>
        <w:t xml:space="preserve"> </w:t>
      </w:r>
      <w:r w:rsidR="0071635A">
        <w:rPr>
          <w:rFonts w:ascii="Times New Roman" w:hAnsi="Times New Roman" w:cs="Times New Roman"/>
        </w:rPr>
        <w:t>objections</w:t>
      </w:r>
      <w:r w:rsidR="00731DEF">
        <w:rPr>
          <w:rFonts w:ascii="Times New Roman" w:hAnsi="Times New Roman" w:cs="Times New Roman"/>
        </w:rPr>
        <w:t xml:space="preserve"> </w:t>
      </w:r>
      <w:r>
        <w:rPr>
          <w:rFonts w:ascii="Times New Roman" w:hAnsi="Times New Roman" w:cs="Times New Roman"/>
        </w:rPr>
        <w:t xml:space="preserve">were raised </w:t>
      </w:r>
      <w:r w:rsidR="00731DEF">
        <w:rPr>
          <w:rFonts w:ascii="Times New Roman" w:hAnsi="Times New Roman" w:cs="Times New Roman"/>
        </w:rPr>
        <w:t xml:space="preserve">with the proposal to </w:t>
      </w:r>
      <w:r>
        <w:rPr>
          <w:rFonts w:ascii="Times New Roman" w:hAnsi="Times New Roman" w:cs="Times New Roman"/>
        </w:rPr>
        <w:t>amend</w:t>
      </w:r>
      <w:r w:rsidR="00731DEF">
        <w:rPr>
          <w:rFonts w:ascii="Times New Roman" w:hAnsi="Times New Roman" w:cs="Times New Roman"/>
        </w:rPr>
        <w:t xml:space="preserve"> the </w:t>
      </w:r>
      <w:r w:rsidR="000D4B53">
        <w:rPr>
          <w:rFonts w:ascii="Times New Roman" w:hAnsi="Times New Roman" w:cs="Times New Roman"/>
        </w:rPr>
        <w:t xml:space="preserve">2020 Declaration </w:t>
      </w:r>
      <w:r w:rsidR="00731DEF">
        <w:rPr>
          <w:rFonts w:ascii="Times New Roman" w:hAnsi="Times New Roman" w:cs="Times New Roman"/>
        </w:rPr>
        <w:t>and</w:t>
      </w:r>
      <w:r w:rsidR="004646C4">
        <w:rPr>
          <w:rFonts w:ascii="Times New Roman" w:hAnsi="Times New Roman" w:cs="Times New Roman"/>
        </w:rPr>
        <w:t xml:space="preserve"> the instrument is consistent with the information provided by licensees in response to the consultation</w:t>
      </w:r>
      <w:r w:rsidR="00E16B08">
        <w:rPr>
          <w:rFonts w:ascii="Times New Roman" w:hAnsi="Times New Roman" w:cs="Times New Roman"/>
        </w:rPr>
        <w:t xml:space="preserve">. </w:t>
      </w:r>
    </w:p>
    <w:p w14:paraId="556C5274" w14:textId="77777777" w:rsidR="00731DEF" w:rsidRDefault="00731DEF" w:rsidP="00731DEF">
      <w:pPr>
        <w:rPr>
          <w:rFonts w:ascii="Times New Roman" w:hAnsi="Times New Roman" w:cs="Times New Roman"/>
          <w:b/>
        </w:rPr>
      </w:pPr>
      <w:r>
        <w:rPr>
          <w:rFonts w:ascii="Times New Roman" w:hAnsi="Times New Roman" w:cs="Times New Roman"/>
          <w:b/>
        </w:rPr>
        <w:t>Regulatory impact assessment</w:t>
      </w:r>
    </w:p>
    <w:p w14:paraId="6B7BE80F" w14:textId="775A0CC4" w:rsidR="00DA40E3" w:rsidRPr="00DA40E3" w:rsidRDefault="00731DEF" w:rsidP="00731DEF">
      <w:pPr>
        <w:rPr>
          <w:rFonts w:ascii="Arial" w:hAnsi="Arial" w:cs="Arial"/>
        </w:rPr>
      </w:pPr>
      <w:r>
        <w:rPr>
          <w:rFonts w:ascii="Times New Roman" w:hAnsi="Times New Roman" w:cs="Times New Roman"/>
        </w:rPr>
        <w:t>A preliminary assessment of the proposal to make the instrument was conducted by the Office of Best Practice Regulation (</w:t>
      </w:r>
      <w:r w:rsidRPr="006F6C6D">
        <w:rPr>
          <w:rFonts w:ascii="Times New Roman" w:hAnsi="Times New Roman" w:cs="Times New Roman"/>
          <w:b/>
          <w:bCs/>
        </w:rPr>
        <w:t>OBPR</w:t>
      </w:r>
      <w:r>
        <w:rPr>
          <w:rFonts w:ascii="Times New Roman" w:hAnsi="Times New Roman" w:cs="Times New Roman"/>
        </w:rPr>
        <w:t xml:space="preserve">) based on information provided by the ACMA, for </w:t>
      </w:r>
      <w:r w:rsidRPr="00DA40E3">
        <w:rPr>
          <w:rFonts w:ascii="Times New Roman" w:hAnsi="Times New Roman" w:cs="Times New Roman"/>
        </w:rPr>
        <w:t>the purposes of determining whether a Regulation Impact Statement (</w:t>
      </w:r>
      <w:r w:rsidRPr="00DA40E3">
        <w:rPr>
          <w:rFonts w:ascii="Times New Roman" w:hAnsi="Times New Roman" w:cs="Times New Roman"/>
          <w:b/>
          <w:bCs/>
        </w:rPr>
        <w:t>RIS</w:t>
      </w:r>
      <w:r w:rsidRPr="00DA40E3">
        <w:rPr>
          <w:rFonts w:ascii="Times New Roman" w:hAnsi="Times New Roman" w:cs="Times New Roman"/>
        </w:rPr>
        <w:t xml:space="preserve">) would be required. The OBPR </w:t>
      </w:r>
      <w:r w:rsidR="00DA40E3" w:rsidRPr="00DA40E3">
        <w:rPr>
          <w:rFonts w:ascii="Times New Roman" w:hAnsi="Times New Roman" w:cs="Times New Roman"/>
        </w:rPr>
        <w:t xml:space="preserve">has determined that regulatory changes of a minor or machinery nature such as amending the </w:t>
      </w:r>
      <w:r w:rsidR="00E16B08">
        <w:rPr>
          <w:rFonts w:ascii="Times New Roman" w:hAnsi="Times New Roman" w:cs="Times New Roman"/>
        </w:rPr>
        <w:t xml:space="preserve">2020 </w:t>
      </w:r>
      <w:r w:rsidR="00DA40E3" w:rsidRPr="00DA40E3">
        <w:rPr>
          <w:rFonts w:ascii="Times New Roman" w:hAnsi="Times New Roman" w:cs="Times New Roman"/>
        </w:rPr>
        <w:t xml:space="preserve">Declaration do not require a further </w:t>
      </w:r>
      <w:r w:rsidR="00DA40E3">
        <w:rPr>
          <w:rFonts w:ascii="Times New Roman" w:hAnsi="Times New Roman" w:cs="Times New Roman"/>
        </w:rPr>
        <w:t>RIS</w:t>
      </w:r>
      <w:r w:rsidR="00DA40E3" w:rsidRPr="00DA40E3">
        <w:rPr>
          <w:rFonts w:ascii="Times New Roman" w:hAnsi="Times New Roman" w:cs="Times New Roman"/>
        </w:rPr>
        <w:t xml:space="preserve"> </w:t>
      </w:r>
      <w:r w:rsidR="001E3BDD">
        <w:rPr>
          <w:rFonts w:ascii="Times New Roman" w:hAnsi="Times New Roman" w:cs="Times New Roman"/>
        </w:rPr>
        <w:t>(</w:t>
      </w:r>
      <w:r w:rsidR="00DA40E3" w:rsidRPr="00DA40E3">
        <w:rPr>
          <w:rFonts w:ascii="Times New Roman" w:hAnsi="Times New Roman" w:cs="Times New Roman"/>
        </w:rPr>
        <w:t>OBPR reference number</w:t>
      </w:r>
      <w:r w:rsidR="000247EE">
        <w:rPr>
          <w:rFonts w:ascii="Times New Roman" w:hAnsi="Times New Roman" w:cs="Times New Roman"/>
        </w:rPr>
        <w:t xml:space="preserve"> 44043</w:t>
      </w:r>
      <w:r w:rsidR="001E3BDD">
        <w:rPr>
          <w:rFonts w:ascii="Times New Roman" w:hAnsi="Times New Roman" w:cs="Times New Roman"/>
        </w:rPr>
        <w:t>)</w:t>
      </w:r>
      <w:r w:rsidR="00DA40E3" w:rsidRPr="00DA40E3">
        <w:rPr>
          <w:rFonts w:ascii="Times New Roman" w:hAnsi="Times New Roman" w:cs="Times New Roman"/>
        </w:rPr>
        <w:t>.</w:t>
      </w:r>
    </w:p>
    <w:p w14:paraId="2DADFB84" w14:textId="77777777" w:rsidR="00731DEF" w:rsidRDefault="00731DEF" w:rsidP="00731DEF">
      <w:pPr>
        <w:rPr>
          <w:rFonts w:ascii="Times New Roman" w:hAnsi="Times New Roman" w:cs="Times New Roman"/>
          <w:b/>
        </w:rPr>
      </w:pPr>
      <w:r>
        <w:rPr>
          <w:rFonts w:ascii="Times New Roman" w:hAnsi="Times New Roman" w:cs="Times New Roman"/>
          <w:b/>
        </w:rPr>
        <w:t>Statement of compatibility with human rights</w:t>
      </w:r>
    </w:p>
    <w:p w14:paraId="0696C93A" w14:textId="3252D3AB" w:rsidR="00731DEF" w:rsidRDefault="00731DEF" w:rsidP="00731DEF">
      <w:pPr>
        <w:rPr>
          <w:rFonts w:ascii="Times New Roman" w:hAnsi="Times New Roman" w:cs="Times New Roman"/>
        </w:rPr>
      </w:pPr>
      <w:r>
        <w:rPr>
          <w:rFonts w:ascii="Times New Roman" w:hAnsi="Times New Roman" w:cs="Times New Roman"/>
        </w:rPr>
        <w:t xml:space="preserve">Subsection 9(1) of the </w:t>
      </w:r>
      <w:r>
        <w:rPr>
          <w:rFonts w:ascii="Times New Roman" w:hAnsi="Times New Roman" w:cs="Times New Roman"/>
          <w:i/>
        </w:rPr>
        <w:t>Human Rights (Parliamentary Scrutiny) Act 2011</w:t>
      </w:r>
      <w:r>
        <w:rPr>
          <w:rFonts w:ascii="Times New Roman" w:hAnsi="Times New Roman" w:cs="Times New Roman"/>
        </w:rPr>
        <w:t xml:space="preserve"> requires the rule-maker in relation to a legislative instrument to which section 42 (disallowance) of the LA applies to cause a statement of compatibility </w:t>
      </w:r>
      <w:r w:rsidR="00E16B08">
        <w:rPr>
          <w:rFonts w:ascii="Times New Roman" w:hAnsi="Times New Roman" w:cs="Times New Roman"/>
        </w:rPr>
        <w:t xml:space="preserve">with human rights </w:t>
      </w:r>
      <w:r>
        <w:rPr>
          <w:rFonts w:ascii="Times New Roman" w:hAnsi="Times New Roman" w:cs="Times New Roman"/>
        </w:rPr>
        <w:t>to be prepared in respect of that legislative instrument.</w:t>
      </w:r>
    </w:p>
    <w:p w14:paraId="61B27A7A" w14:textId="3F0122C7" w:rsidR="00731DEF" w:rsidRDefault="00731DEF" w:rsidP="00731DEF">
      <w:pPr>
        <w:rPr>
          <w:rFonts w:ascii="Times New Roman" w:hAnsi="Times New Roman" w:cs="Times New Roman"/>
        </w:rPr>
      </w:pPr>
      <w:r>
        <w:rPr>
          <w:rFonts w:ascii="Times New Roman" w:hAnsi="Times New Roman" w:cs="Times New Roman"/>
        </w:rPr>
        <w:t xml:space="preserve">The statement of compatibility </w:t>
      </w:r>
      <w:r w:rsidR="00E16B08">
        <w:rPr>
          <w:rFonts w:ascii="Times New Roman" w:hAnsi="Times New Roman" w:cs="Times New Roman"/>
        </w:rPr>
        <w:t xml:space="preserve">with human rights </w:t>
      </w:r>
      <w:r>
        <w:rPr>
          <w:rFonts w:ascii="Times New Roman" w:hAnsi="Times New Roman" w:cs="Times New Roman"/>
        </w:rPr>
        <w:t>set out below has been prepared to meet that requirement.</w:t>
      </w:r>
    </w:p>
    <w:p w14:paraId="1711944E" w14:textId="77777777" w:rsidR="00731DEF" w:rsidRDefault="00731DEF" w:rsidP="00731DEF">
      <w:pPr>
        <w:rPr>
          <w:rFonts w:ascii="Times New Roman" w:hAnsi="Times New Roman" w:cs="Times New Roman"/>
          <w:b/>
          <w:i/>
        </w:rPr>
      </w:pPr>
      <w:r>
        <w:rPr>
          <w:rFonts w:ascii="Times New Roman" w:hAnsi="Times New Roman" w:cs="Times New Roman"/>
          <w:b/>
          <w:i/>
        </w:rPr>
        <w:t>Overview of the instrument</w:t>
      </w:r>
    </w:p>
    <w:p w14:paraId="1EB24469" w14:textId="54A8AB38" w:rsidR="00D50714" w:rsidRPr="00CD41BA" w:rsidRDefault="00C11C1B" w:rsidP="00CD41BA">
      <w:pPr>
        <w:pStyle w:val="Default"/>
        <w:spacing w:after="160" w:line="257" w:lineRule="auto"/>
        <w:rPr>
          <w:sz w:val="22"/>
          <w:szCs w:val="22"/>
        </w:rPr>
      </w:pPr>
      <w:r w:rsidRPr="00437A51">
        <w:rPr>
          <w:color w:val="auto"/>
          <w:sz w:val="22"/>
          <w:szCs w:val="22"/>
        </w:rPr>
        <w:t xml:space="preserve">The </w:t>
      </w:r>
      <w:r>
        <w:rPr>
          <w:color w:val="auto"/>
          <w:sz w:val="22"/>
          <w:szCs w:val="22"/>
        </w:rPr>
        <w:t>instrument</w:t>
      </w:r>
      <w:r w:rsidR="00E16B08">
        <w:rPr>
          <w:color w:val="auto"/>
          <w:sz w:val="22"/>
          <w:szCs w:val="22"/>
        </w:rPr>
        <w:t xml:space="preserve"> amends the 2020 Declaration as a consequence of </w:t>
      </w:r>
      <w:r w:rsidR="0075623C">
        <w:rPr>
          <w:color w:val="auto"/>
          <w:sz w:val="22"/>
          <w:szCs w:val="22"/>
        </w:rPr>
        <w:t xml:space="preserve">the new affiliation agreements </w:t>
      </w:r>
      <w:r w:rsidR="004838A2">
        <w:rPr>
          <w:color w:val="auto"/>
          <w:sz w:val="22"/>
          <w:szCs w:val="22"/>
        </w:rPr>
        <w:t xml:space="preserve">signed </w:t>
      </w:r>
      <w:r w:rsidR="0075623C">
        <w:rPr>
          <w:color w:val="auto"/>
          <w:sz w:val="22"/>
          <w:szCs w:val="22"/>
        </w:rPr>
        <w:t xml:space="preserve">between </w:t>
      </w:r>
      <w:r w:rsidR="00694DFA">
        <w:rPr>
          <w:color w:val="auto"/>
          <w:sz w:val="22"/>
          <w:szCs w:val="22"/>
        </w:rPr>
        <w:t>Nine and WIN</w:t>
      </w:r>
      <w:r w:rsidR="00834695">
        <w:rPr>
          <w:color w:val="auto"/>
          <w:sz w:val="22"/>
          <w:szCs w:val="22"/>
        </w:rPr>
        <w:t>,</w:t>
      </w:r>
      <w:r w:rsidR="00694DFA">
        <w:rPr>
          <w:color w:val="auto"/>
          <w:sz w:val="22"/>
          <w:szCs w:val="22"/>
        </w:rPr>
        <w:t xml:space="preserve"> and </w:t>
      </w:r>
      <w:r w:rsidR="005E49D3">
        <w:rPr>
          <w:color w:val="auto"/>
          <w:sz w:val="22"/>
          <w:szCs w:val="22"/>
        </w:rPr>
        <w:t>SCA</w:t>
      </w:r>
      <w:r w:rsidR="00694DFA">
        <w:rPr>
          <w:color w:val="auto"/>
          <w:sz w:val="22"/>
          <w:szCs w:val="22"/>
        </w:rPr>
        <w:t xml:space="preserve"> and Network 10</w:t>
      </w:r>
      <w:r w:rsidR="009B66FA">
        <w:rPr>
          <w:color w:val="auto"/>
          <w:sz w:val="22"/>
          <w:szCs w:val="22"/>
        </w:rPr>
        <w:t>,</w:t>
      </w:r>
      <w:r w:rsidR="00F718A4">
        <w:rPr>
          <w:color w:val="auto"/>
          <w:sz w:val="22"/>
          <w:szCs w:val="22"/>
        </w:rPr>
        <w:t xml:space="preserve"> which have resulted in changes to the description of the primary service</w:t>
      </w:r>
      <w:r w:rsidR="009B66FA">
        <w:rPr>
          <w:color w:val="auto"/>
          <w:sz w:val="22"/>
          <w:szCs w:val="22"/>
        </w:rPr>
        <w:t>s</w:t>
      </w:r>
      <w:r w:rsidR="00F718A4">
        <w:rPr>
          <w:color w:val="auto"/>
          <w:sz w:val="22"/>
          <w:szCs w:val="22"/>
        </w:rPr>
        <w:t xml:space="preserve"> provided by the </w:t>
      </w:r>
      <w:r w:rsidR="00250756">
        <w:rPr>
          <w:color w:val="auto"/>
          <w:sz w:val="22"/>
          <w:szCs w:val="22"/>
        </w:rPr>
        <w:t xml:space="preserve">commercial television broadcasting </w:t>
      </w:r>
      <w:r w:rsidR="00F718A4">
        <w:rPr>
          <w:color w:val="auto"/>
          <w:sz w:val="22"/>
          <w:szCs w:val="22"/>
        </w:rPr>
        <w:t xml:space="preserve">licensees </w:t>
      </w:r>
      <w:r w:rsidR="009B66FA">
        <w:rPr>
          <w:color w:val="auto"/>
          <w:sz w:val="22"/>
          <w:szCs w:val="22"/>
        </w:rPr>
        <w:t xml:space="preserve">controlled by those entities </w:t>
      </w:r>
      <w:r w:rsidR="00F718A4">
        <w:rPr>
          <w:color w:val="auto"/>
          <w:sz w:val="22"/>
          <w:szCs w:val="22"/>
        </w:rPr>
        <w:t>in the 2020 Declaration</w:t>
      </w:r>
      <w:r w:rsidR="00E16B08">
        <w:rPr>
          <w:color w:val="auto"/>
          <w:sz w:val="22"/>
          <w:szCs w:val="22"/>
        </w:rPr>
        <w:t>.</w:t>
      </w:r>
      <w:r w:rsidR="00FB03BC">
        <w:rPr>
          <w:color w:val="auto"/>
          <w:sz w:val="22"/>
          <w:szCs w:val="22"/>
        </w:rPr>
        <w:t xml:space="preserve"> </w:t>
      </w:r>
      <w:r w:rsidR="00235B83" w:rsidRPr="00846AB0">
        <w:rPr>
          <w:sz w:val="22"/>
          <w:szCs w:val="22"/>
        </w:rPr>
        <w:t xml:space="preserve">The </w:t>
      </w:r>
      <w:r w:rsidR="002760E8">
        <w:rPr>
          <w:sz w:val="22"/>
          <w:szCs w:val="22"/>
        </w:rPr>
        <w:t>2020 Declaration</w:t>
      </w:r>
      <w:r w:rsidR="002760E8" w:rsidRPr="00846AB0">
        <w:rPr>
          <w:sz w:val="22"/>
          <w:szCs w:val="22"/>
        </w:rPr>
        <w:t xml:space="preserve"> </w:t>
      </w:r>
      <w:r w:rsidR="00235B83" w:rsidRPr="00846AB0">
        <w:rPr>
          <w:sz w:val="22"/>
          <w:szCs w:val="22"/>
        </w:rPr>
        <w:t>declares specified multi-</w:t>
      </w:r>
      <w:r w:rsidR="00235B83" w:rsidRPr="00846AB0">
        <w:rPr>
          <w:sz w:val="22"/>
          <w:szCs w:val="22"/>
        </w:rPr>
        <w:lastRenderedPageBreak/>
        <w:t xml:space="preserve">channelled commercial television </w:t>
      </w:r>
      <w:r w:rsidR="00250756">
        <w:rPr>
          <w:sz w:val="22"/>
          <w:szCs w:val="22"/>
        </w:rPr>
        <w:t xml:space="preserve">broadcasting </w:t>
      </w:r>
      <w:r w:rsidR="00235B83" w:rsidRPr="00846AB0">
        <w:rPr>
          <w:sz w:val="22"/>
          <w:szCs w:val="22"/>
        </w:rPr>
        <w:t>service</w:t>
      </w:r>
      <w:r w:rsidR="00235B83">
        <w:rPr>
          <w:sz w:val="22"/>
          <w:szCs w:val="22"/>
        </w:rPr>
        <w:t>s</w:t>
      </w:r>
      <w:r w:rsidR="00235B83" w:rsidRPr="00846AB0">
        <w:rPr>
          <w:sz w:val="22"/>
          <w:szCs w:val="22"/>
        </w:rPr>
        <w:t xml:space="preserve"> to be the primary service</w:t>
      </w:r>
      <w:r w:rsidR="00250756">
        <w:rPr>
          <w:sz w:val="22"/>
          <w:szCs w:val="22"/>
        </w:rPr>
        <w:t>s</w:t>
      </w:r>
      <w:r w:rsidR="00235B83" w:rsidRPr="00846AB0">
        <w:rPr>
          <w:sz w:val="22"/>
          <w:szCs w:val="22"/>
        </w:rPr>
        <w:t xml:space="preserve"> of the </w:t>
      </w:r>
      <w:r w:rsidR="00235B83">
        <w:rPr>
          <w:sz w:val="22"/>
          <w:szCs w:val="22"/>
        </w:rPr>
        <w:t xml:space="preserve">relevant commercial television broadcasting </w:t>
      </w:r>
      <w:r w:rsidR="00235B83" w:rsidRPr="00846AB0">
        <w:rPr>
          <w:sz w:val="22"/>
          <w:szCs w:val="22"/>
        </w:rPr>
        <w:t>licensee</w:t>
      </w:r>
      <w:r w:rsidR="00235B83">
        <w:rPr>
          <w:sz w:val="22"/>
          <w:szCs w:val="22"/>
        </w:rPr>
        <w:t>s</w:t>
      </w:r>
      <w:r w:rsidR="00235B83" w:rsidRPr="00846AB0">
        <w:rPr>
          <w:sz w:val="22"/>
          <w:szCs w:val="22"/>
        </w:rPr>
        <w:t xml:space="preserve"> in </w:t>
      </w:r>
      <w:r w:rsidR="00235B83">
        <w:rPr>
          <w:sz w:val="22"/>
          <w:szCs w:val="22"/>
        </w:rPr>
        <w:t>particular</w:t>
      </w:r>
      <w:r w:rsidR="00235B83" w:rsidRPr="00846AB0">
        <w:rPr>
          <w:sz w:val="22"/>
          <w:szCs w:val="22"/>
        </w:rPr>
        <w:t xml:space="preserve"> licence area</w:t>
      </w:r>
      <w:r w:rsidR="00235B83">
        <w:rPr>
          <w:sz w:val="22"/>
          <w:szCs w:val="22"/>
        </w:rPr>
        <w:t>s</w:t>
      </w:r>
      <w:r w:rsidR="00235B83" w:rsidRPr="00846AB0">
        <w:rPr>
          <w:sz w:val="22"/>
          <w:szCs w:val="22"/>
        </w:rPr>
        <w:t>.</w:t>
      </w:r>
      <w:r w:rsidR="00235B83">
        <w:rPr>
          <w:sz w:val="22"/>
          <w:szCs w:val="22"/>
        </w:rPr>
        <w:t xml:space="preserve"> </w:t>
      </w:r>
      <w:r w:rsidR="002760E8">
        <w:rPr>
          <w:sz w:val="22"/>
          <w:szCs w:val="22"/>
        </w:rPr>
        <w:t xml:space="preserve">The licensee of the primary service has </w:t>
      </w:r>
      <w:r w:rsidR="001E3BDD">
        <w:rPr>
          <w:sz w:val="22"/>
          <w:szCs w:val="22"/>
        </w:rPr>
        <w:t xml:space="preserve">additional </w:t>
      </w:r>
      <w:r w:rsidR="002760E8">
        <w:rPr>
          <w:sz w:val="22"/>
          <w:szCs w:val="22"/>
        </w:rPr>
        <w:t xml:space="preserve">obligations in relation to its primary service. </w:t>
      </w:r>
    </w:p>
    <w:p w14:paraId="18E1792A" w14:textId="1C7063D3" w:rsidR="00731DEF" w:rsidRDefault="00731DEF" w:rsidP="00731DEF">
      <w:pPr>
        <w:rPr>
          <w:rFonts w:ascii="Times New Roman" w:hAnsi="Times New Roman" w:cs="Times New Roman"/>
          <w:b/>
          <w:i/>
        </w:rPr>
      </w:pPr>
      <w:r>
        <w:rPr>
          <w:rFonts w:ascii="Times New Roman" w:hAnsi="Times New Roman" w:cs="Times New Roman"/>
          <w:b/>
          <w:i/>
        </w:rPr>
        <w:t>Human rights implications</w:t>
      </w:r>
    </w:p>
    <w:p w14:paraId="1CF1EF64" w14:textId="2485228B" w:rsidR="00731DEF" w:rsidRDefault="00731DEF" w:rsidP="00731DEF">
      <w:pPr>
        <w:rPr>
          <w:rFonts w:ascii="Times New Roman" w:hAnsi="Times New Roman" w:cs="Times New Roman"/>
        </w:rPr>
      </w:pPr>
      <w:r>
        <w:rPr>
          <w:rFonts w:ascii="Times New Roman" w:hAnsi="Times New Roman" w:cs="Times New Roman"/>
        </w:rPr>
        <w:t>The ACMA has assessed whether the instrument is compatible with human rights, being the rights and freedoms recognised or declared by the international instruments listed in subsection 3(1) of the</w:t>
      </w:r>
      <w:r>
        <w:rPr>
          <w:rFonts w:ascii="Times New Roman" w:hAnsi="Times New Roman" w:cs="Times New Roman"/>
          <w:i/>
        </w:rPr>
        <w:t xml:space="preserve"> Human Rights (Parliamentary Scrutiny) Act 2011 </w:t>
      </w:r>
      <w:r>
        <w:rPr>
          <w:rFonts w:ascii="Times New Roman" w:hAnsi="Times New Roman" w:cs="Times New Roman"/>
        </w:rPr>
        <w:t>as they apply to Australia.</w:t>
      </w:r>
    </w:p>
    <w:p w14:paraId="08798C79" w14:textId="4982FFBE" w:rsidR="00731DEF" w:rsidRPr="00BB640F" w:rsidRDefault="00731DEF" w:rsidP="00731DEF">
      <w:pPr>
        <w:rPr>
          <w:rFonts w:ascii="Times New Roman" w:hAnsi="Times New Roman" w:cs="Times New Roman"/>
          <w:b/>
          <w:bCs/>
        </w:rPr>
      </w:pPr>
      <w:r>
        <w:rPr>
          <w:rFonts w:ascii="Times New Roman" w:hAnsi="Times New Roman" w:cs="Times New Roman"/>
        </w:rPr>
        <w:t>Having considered the likely impact of the instrument and the nature of the applicable rights and freedoms, the ACMA has formed the view that the instrument does not engage any of those rights or freedoms.</w:t>
      </w:r>
    </w:p>
    <w:p w14:paraId="3A0EB9D3" w14:textId="77777777" w:rsidR="00731DEF" w:rsidRDefault="00731DEF" w:rsidP="00731DEF">
      <w:pPr>
        <w:rPr>
          <w:rFonts w:ascii="Times New Roman" w:hAnsi="Times New Roman" w:cs="Times New Roman"/>
          <w:b/>
          <w:i/>
        </w:rPr>
      </w:pPr>
      <w:r>
        <w:rPr>
          <w:rFonts w:ascii="Times New Roman" w:hAnsi="Times New Roman" w:cs="Times New Roman"/>
          <w:b/>
          <w:i/>
        </w:rPr>
        <w:t>Conclusion</w:t>
      </w:r>
    </w:p>
    <w:p w14:paraId="23750CA6" w14:textId="24DEDF30" w:rsidR="00731DEF" w:rsidRDefault="00731DEF" w:rsidP="00731DEF">
      <w:pPr>
        <w:rPr>
          <w:rFonts w:ascii="Times New Roman" w:hAnsi="Times New Roman" w:cs="Times New Roman"/>
        </w:rPr>
      </w:pPr>
      <w:r>
        <w:rPr>
          <w:rFonts w:ascii="Times New Roman" w:hAnsi="Times New Roman" w:cs="Times New Roman"/>
        </w:rPr>
        <w:t>The instrument is compatible with human rights as it does not raise any human rights issues.</w:t>
      </w:r>
    </w:p>
    <w:p w14:paraId="5C730249" w14:textId="25C7FC52" w:rsidR="00731DEF" w:rsidRDefault="00731DEF" w:rsidP="00731DEF">
      <w:pPr>
        <w:rPr>
          <w:rFonts w:ascii="Times New Roman" w:hAnsi="Times New Roman" w:cs="Times New Roman"/>
          <w:b/>
        </w:rPr>
      </w:pPr>
      <w:r>
        <w:rPr>
          <w:rFonts w:ascii="Times New Roman" w:hAnsi="Times New Roman" w:cs="Times New Roman"/>
          <w:b/>
        </w:rPr>
        <w:br w:type="page"/>
      </w:r>
    </w:p>
    <w:p w14:paraId="432B9D62" w14:textId="77777777" w:rsidR="00731DEF" w:rsidRDefault="00731DEF" w:rsidP="00731DEF">
      <w:pPr>
        <w:jc w:val="right"/>
        <w:rPr>
          <w:rFonts w:ascii="Times New Roman" w:hAnsi="Times New Roman" w:cs="Times New Roman"/>
          <w:b/>
          <w:sz w:val="28"/>
          <w:szCs w:val="28"/>
        </w:rPr>
      </w:pPr>
      <w:r>
        <w:rPr>
          <w:rFonts w:ascii="Times New Roman" w:hAnsi="Times New Roman" w:cs="Times New Roman"/>
          <w:b/>
          <w:sz w:val="28"/>
          <w:szCs w:val="28"/>
        </w:rPr>
        <w:lastRenderedPageBreak/>
        <w:t>Attachment A</w:t>
      </w:r>
    </w:p>
    <w:p w14:paraId="71F553BD" w14:textId="404F57C0" w:rsidR="00F56C23" w:rsidRDefault="00F56C23" w:rsidP="00F56C23">
      <w:pPr>
        <w:jc w:val="center"/>
        <w:rPr>
          <w:rFonts w:ascii="Times New Roman" w:hAnsi="Times New Roman" w:cs="Times New Roman"/>
          <w:b/>
          <w:sz w:val="28"/>
          <w:szCs w:val="28"/>
        </w:rPr>
      </w:pPr>
      <w:r>
        <w:rPr>
          <w:rFonts w:ascii="Times New Roman" w:hAnsi="Times New Roman" w:cs="Times New Roman"/>
          <w:b/>
          <w:sz w:val="28"/>
          <w:szCs w:val="28"/>
        </w:rPr>
        <w:t xml:space="preserve">Notes to the </w:t>
      </w:r>
      <w:r>
        <w:rPr>
          <w:rFonts w:ascii="Times New Roman" w:hAnsi="Times New Roman" w:cs="Times New Roman"/>
          <w:b/>
          <w:i/>
          <w:sz w:val="28"/>
          <w:szCs w:val="28"/>
        </w:rPr>
        <w:t xml:space="preserve">Broadcasting Services (Primary Commercial Television Broadcasting Service) </w:t>
      </w:r>
      <w:r w:rsidR="00A91B0F">
        <w:rPr>
          <w:rFonts w:ascii="Times New Roman" w:hAnsi="Times New Roman" w:cs="Times New Roman"/>
          <w:b/>
          <w:i/>
          <w:sz w:val="28"/>
          <w:szCs w:val="28"/>
        </w:rPr>
        <w:t xml:space="preserve">Amendment </w:t>
      </w:r>
      <w:r>
        <w:rPr>
          <w:rFonts w:ascii="Times New Roman" w:hAnsi="Times New Roman" w:cs="Times New Roman"/>
          <w:b/>
          <w:i/>
          <w:sz w:val="28"/>
          <w:szCs w:val="28"/>
        </w:rPr>
        <w:t>Declaration 202</w:t>
      </w:r>
      <w:r w:rsidR="000B26F7">
        <w:rPr>
          <w:rFonts w:ascii="Times New Roman" w:hAnsi="Times New Roman" w:cs="Times New Roman"/>
          <w:b/>
          <w:i/>
          <w:sz w:val="28"/>
          <w:szCs w:val="28"/>
        </w:rPr>
        <w:t>1</w:t>
      </w:r>
      <w:r w:rsidR="00A91B0F">
        <w:rPr>
          <w:rFonts w:ascii="Times New Roman" w:hAnsi="Times New Roman" w:cs="Times New Roman"/>
          <w:b/>
          <w:i/>
          <w:sz w:val="28"/>
          <w:szCs w:val="28"/>
        </w:rPr>
        <w:t xml:space="preserve"> (No.1)</w:t>
      </w:r>
    </w:p>
    <w:p w14:paraId="6B9A6DDF" w14:textId="77777777" w:rsidR="00F56C23" w:rsidRDefault="00F56C23" w:rsidP="00F56C23">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1E75F9BA" w14:textId="33014E43" w:rsidR="00F56C23" w:rsidRDefault="00F56C23" w:rsidP="00681B17">
      <w:pPr>
        <w:spacing w:line="257" w:lineRule="auto"/>
        <w:rPr>
          <w:rFonts w:ascii="Times New Roman" w:hAnsi="Times New Roman" w:cs="Times New Roman"/>
        </w:rPr>
      </w:pPr>
      <w:r>
        <w:rPr>
          <w:rFonts w:ascii="Times New Roman" w:hAnsi="Times New Roman" w:cs="Times New Roman"/>
        </w:rPr>
        <w:t xml:space="preserve">This section provides for the instrument to be cited as the </w:t>
      </w:r>
      <w:r>
        <w:rPr>
          <w:rFonts w:ascii="Times New Roman" w:hAnsi="Times New Roman" w:cs="Times New Roman"/>
          <w:i/>
          <w:iCs/>
        </w:rPr>
        <w:t xml:space="preserve">Broadcasting Services (Primary Commercial Television Broadcasting Service) </w:t>
      </w:r>
      <w:r w:rsidR="00A91B0F">
        <w:rPr>
          <w:rFonts w:ascii="Times New Roman" w:hAnsi="Times New Roman" w:cs="Times New Roman"/>
          <w:i/>
          <w:iCs/>
        </w:rPr>
        <w:t xml:space="preserve">Amendment </w:t>
      </w:r>
      <w:r>
        <w:rPr>
          <w:rFonts w:ascii="Times New Roman" w:hAnsi="Times New Roman" w:cs="Times New Roman"/>
          <w:i/>
          <w:iCs/>
        </w:rPr>
        <w:t>Declaration 202</w:t>
      </w:r>
      <w:r w:rsidR="00A91B0F">
        <w:rPr>
          <w:rFonts w:ascii="Times New Roman" w:hAnsi="Times New Roman" w:cs="Times New Roman"/>
          <w:i/>
          <w:iCs/>
        </w:rPr>
        <w:t>1 (No.1)</w:t>
      </w:r>
      <w:r w:rsidR="00F718A4">
        <w:rPr>
          <w:rFonts w:ascii="Times New Roman" w:hAnsi="Times New Roman" w:cs="Times New Roman"/>
          <w:i/>
          <w:iCs/>
        </w:rPr>
        <w:t xml:space="preserve"> </w:t>
      </w:r>
      <w:r w:rsidR="00F718A4">
        <w:rPr>
          <w:rFonts w:ascii="Times New Roman" w:hAnsi="Times New Roman" w:cs="Times New Roman"/>
        </w:rPr>
        <w:t>(</w:t>
      </w:r>
      <w:r w:rsidR="00F718A4">
        <w:rPr>
          <w:rFonts w:ascii="Times New Roman" w:hAnsi="Times New Roman" w:cs="Times New Roman"/>
          <w:b/>
          <w:bCs/>
        </w:rPr>
        <w:t>the instrument</w:t>
      </w:r>
      <w:r w:rsidR="00F718A4">
        <w:rPr>
          <w:rFonts w:ascii="Times New Roman" w:hAnsi="Times New Roman" w:cs="Times New Roman"/>
        </w:rPr>
        <w:t>)</w:t>
      </w:r>
      <w:r>
        <w:rPr>
          <w:rFonts w:ascii="Times New Roman" w:hAnsi="Times New Roman" w:cs="Times New Roman"/>
        </w:rPr>
        <w:t>.</w:t>
      </w:r>
    </w:p>
    <w:p w14:paraId="2EFA15D6" w14:textId="77777777" w:rsidR="00F56C23" w:rsidRDefault="00F56C23" w:rsidP="00F56C23">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4B246E3C" w14:textId="77777777" w:rsidR="00F56C23" w:rsidRDefault="00F56C23" w:rsidP="00F56C23">
      <w:pPr>
        <w:rPr>
          <w:rFonts w:ascii="Times New Roman" w:hAnsi="Times New Roman" w:cs="Times New Roman"/>
        </w:rPr>
      </w:pPr>
      <w:r>
        <w:rPr>
          <w:rFonts w:ascii="Times New Roman" w:hAnsi="Times New Roman" w:cs="Times New Roman"/>
        </w:rPr>
        <w:t xml:space="preserve">This section provides for the instrument to commence at the start of the day after the day it is registered on the Federal Register of Legislation.  </w:t>
      </w:r>
    </w:p>
    <w:p w14:paraId="4FA5D62D" w14:textId="77777777" w:rsidR="00F56C23" w:rsidRDefault="00F56C23" w:rsidP="00F56C23">
      <w:pPr>
        <w:rPr>
          <w:rFonts w:ascii="Times New Roman" w:hAnsi="Times New Roman" w:cs="Times New Roman"/>
        </w:rPr>
      </w:pPr>
      <w:r>
        <w:rPr>
          <w:rFonts w:ascii="Times New Roman" w:hAnsi="Times New Roman" w:cs="Times New Roman"/>
        </w:rPr>
        <w:t xml:space="preserve">The Federal Register of Legislation may be accessed free of charge at </w:t>
      </w:r>
      <w:hyperlink r:id="rId12" w:history="1">
        <w:r>
          <w:rPr>
            <w:rStyle w:val="Hyperlink"/>
            <w:rFonts w:ascii="Times New Roman" w:hAnsi="Times New Roman" w:cs="Times New Roman"/>
          </w:rPr>
          <w:t>www.legislation.gov.au</w:t>
        </w:r>
      </w:hyperlink>
      <w:r>
        <w:rPr>
          <w:rFonts w:ascii="Times New Roman" w:hAnsi="Times New Roman" w:cs="Times New Roman"/>
        </w:rPr>
        <w:t>.</w:t>
      </w:r>
    </w:p>
    <w:p w14:paraId="28166925" w14:textId="77777777" w:rsidR="00F56C23" w:rsidRDefault="00F56C23" w:rsidP="00F56C23">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7ECC8063" w14:textId="4C7CE2B9" w:rsidR="00F56C23" w:rsidRDefault="00F56C23" w:rsidP="00F56C23">
      <w:pPr>
        <w:rPr>
          <w:rFonts w:ascii="Times New Roman" w:hAnsi="Times New Roman" w:cs="Times New Roman"/>
        </w:rPr>
      </w:pPr>
      <w:r>
        <w:rPr>
          <w:rFonts w:ascii="Times New Roman" w:hAnsi="Times New Roman" w:cs="Times New Roman"/>
        </w:rPr>
        <w:t xml:space="preserve">This section identifies the provision of the Act that authorises the making of the instrument, namely clause 41G of Schedule 4 to the </w:t>
      </w:r>
      <w:r>
        <w:rPr>
          <w:rFonts w:ascii="Times New Roman" w:hAnsi="Times New Roman" w:cs="Times New Roman"/>
          <w:i/>
        </w:rPr>
        <w:t>Broadcasting Services Act 1992</w:t>
      </w:r>
      <w:r>
        <w:rPr>
          <w:rFonts w:ascii="Times New Roman" w:hAnsi="Times New Roman" w:cs="Times New Roman"/>
        </w:rPr>
        <w:t>.</w:t>
      </w:r>
    </w:p>
    <w:p w14:paraId="2AB6A297" w14:textId="4CAC07F2" w:rsidR="00F34698" w:rsidRPr="00F34698" w:rsidRDefault="00F34698" w:rsidP="00F56C23">
      <w:pPr>
        <w:rPr>
          <w:rFonts w:ascii="Times New Roman" w:hAnsi="Times New Roman" w:cs="Times New Roman"/>
          <w:b/>
          <w:bCs/>
        </w:rPr>
      </w:pPr>
      <w:r w:rsidRPr="00F34698">
        <w:rPr>
          <w:rFonts w:ascii="Times New Roman" w:hAnsi="Times New Roman" w:cs="Times New Roman"/>
          <w:b/>
          <w:bCs/>
        </w:rPr>
        <w:t>Section 4</w:t>
      </w:r>
      <w:r w:rsidRPr="00F34698">
        <w:rPr>
          <w:rFonts w:ascii="Times New Roman" w:hAnsi="Times New Roman" w:cs="Times New Roman"/>
          <w:b/>
          <w:bCs/>
        </w:rPr>
        <w:tab/>
        <w:t>Amendments</w:t>
      </w:r>
    </w:p>
    <w:p w14:paraId="3CBA47F0" w14:textId="1DFC0FD9" w:rsidR="00E45B5A" w:rsidRDefault="005A3ABB">
      <w:pPr>
        <w:rPr>
          <w:rFonts w:ascii="Times New Roman" w:hAnsi="Times New Roman" w:cs="Times New Roman"/>
        </w:rPr>
      </w:pPr>
      <w:r>
        <w:rPr>
          <w:rFonts w:ascii="Times New Roman" w:hAnsi="Times New Roman" w:cs="Times New Roman"/>
        </w:rPr>
        <w:t xml:space="preserve">This section </w:t>
      </w:r>
      <w:r w:rsidR="00F718A4">
        <w:rPr>
          <w:rFonts w:ascii="Times New Roman" w:hAnsi="Times New Roman" w:cs="Times New Roman"/>
        </w:rPr>
        <w:t xml:space="preserve">provides that the </w:t>
      </w:r>
      <w:r w:rsidR="00F718A4">
        <w:rPr>
          <w:rFonts w:ascii="Times New Roman" w:hAnsi="Times New Roman" w:cs="Times New Roman"/>
          <w:i/>
          <w:iCs/>
        </w:rPr>
        <w:t xml:space="preserve">Broadcasting Services (Primary Commercial Television Broadcasting Service) Declaration 2020 </w:t>
      </w:r>
      <w:r w:rsidR="00F718A4">
        <w:rPr>
          <w:rFonts w:ascii="Times New Roman" w:hAnsi="Times New Roman" w:cs="Times New Roman"/>
        </w:rPr>
        <w:t>(</w:t>
      </w:r>
      <w:r w:rsidR="00F718A4" w:rsidRPr="000620BC">
        <w:rPr>
          <w:rFonts w:ascii="Times New Roman" w:hAnsi="Times New Roman" w:cs="Times New Roman"/>
          <w:b/>
          <w:bCs/>
        </w:rPr>
        <w:t>the 2020 Declaration</w:t>
      </w:r>
      <w:r w:rsidR="00F718A4">
        <w:rPr>
          <w:rFonts w:ascii="Times New Roman" w:hAnsi="Times New Roman" w:cs="Times New Roman"/>
        </w:rPr>
        <w:t xml:space="preserve">) is amended in the manner set out in the Schedule to the instrument. </w:t>
      </w:r>
    </w:p>
    <w:p w14:paraId="19CCE4AE" w14:textId="6F4E8813" w:rsidR="00F718A4" w:rsidRDefault="00F718A4">
      <w:pPr>
        <w:rPr>
          <w:rFonts w:ascii="Times New Roman" w:hAnsi="Times New Roman" w:cs="Times New Roman"/>
          <w:b/>
          <w:bCs/>
        </w:rPr>
      </w:pPr>
      <w:r>
        <w:rPr>
          <w:rFonts w:ascii="Times New Roman" w:hAnsi="Times New Roman" w:cs="Times New Roman"/>
          <w:b/>
          <w:bCs/>
        </w:rPr>
        <w:t xml:space="preserve">Schedule </w:t>
      </w:r>
    </w:p>
    <w:p w14:paraId="75D17747" w14:textId="2AAEFEF0" w:rsidR="00F718A4" w:rsidRPr="00F718A4" w:rsidRDefault="00F718A4">
      <w:pPr>
        <w:rPr>
          <w:rFonts w:ascii="Times New Roman" w:hAnsi="Times New Roman" w:cs="Times New Roman"/>
        </w:rPr>
      </w:pPr>
      <w:r>
        <w:rPr>
          <w:rFonts w:ascii="Times New Roman" w:hAnsi="Times New Roman" w:cs="Times New Roman"/>
        </w:rPr>
        <w:t>The Schedule sets out the amendments to the 2020 Declaration as follows:</w:t>
      </w:r>
    </w:p>
    <w:p w14:paraId="6BD92048" w14:textId="0C2582C3" w:rsidR="00982AA2" w:rsidRPr="001E3BDD" w:rsidRDefault="00F718A4" w:rsidP="00396C36">
      <w:pPr>
        <w:pStyle w:val="ListParagraph"/>
        <w:numPr>
          <w:ilvl w:val="0"/>
          <w:numId w:val="7"/>
        </w:numPr>
        <w:rPr>
          <w:rFonts w:ascii="Times New Roman" w:hAnsi="Times New Roman" w:cs="Times New Roman"/>
        </w:rPr>
      </w:pPr>
      <w:r w:rsidRPr="001E3BDD">
        <w:rPr>
          <w:rFonts w:ascii="Times New Roman" w:hAnsi="Times New Roman" w:cs="Times New Roman"/>
        </w:rPr>
        <w:t xml:space="preserve">Items </w:t>
      </w:r>
      <w:r w:rsidR="006C433E" w:rsidRPr="001E3BDD">
        <w:rPr>
          <w:rFonts w:ascii="Times New Roman" w:hAnsi="Times New Roman" w:cs="Times New Roman"/>
        </w:rPr>
        <w:t>1, 3, 5, 7, 10, 13, 14, 17</w:t>
      </w:r>
      <w:r w:rsidR="00AC2636" w:rsidRPr="001E3BDD">
        <w:rPr>
          <w:rFonts w:ascii="Times New Roman" w:hAnsi="Times New Roman" w:cs="Times New Roman"/>
        </w:rPr>
        <w:t xml:space="preserve"> and </w:t>
      </w:r>
      <w:r w:rsidR="006C433E" w:rsidRPr="001E3BDD">
        <w:rPr>
          <w:rFonts w:ascii="Times New Roman" w:hAnsi="Times New Roman" w:cs="Times New Roman"/>
        </w:rPr>
        <w:t>22 o</w:t>
      </w:r>
      <w:r w:rsidR="00447620" w:rsidRPr="001E3BDD">
        <w:rPr>
          <w:rFonts w:ascii="Times New Roman" w:hAnsi="Times New Roman" w:cs="Times New Roman"/>
        </w:rPr>
        <w:t xml:space="preserve">mit ‘WINHD’, </w:t>
      </w:r>
      <w:r w:rsidR="006C433E" w:rsidRPr="001E3BDD">
        <w:rPr>
          <w:rFonts w:ascii="Times New Roman" w:hAnsi="Times New Roman" w:cs="Times New Roman"/>
        </w:rPr>
        <w:t xml:space="preserve">and </w:t>
      </w:r>
      <w:r w:rsidR="00447620" w:rsidRPr="001E3BDD">
        <w:rPr>
          <w:rFonts w:ascii="Times New Roman" w:hAnsi="Times New Roman" w:cs="Times New Roman"/>
        </w:rPr>
        <w:t>sub</w:t>
      </w:r>
      <w:r w:rsidR="00982AA2" w:rsidRPr="001E3BDD">
        <w:rPr>
          <w:rFonts w:ascii="Times New Roman" w:hAnsi="Times New Roman" w:cs="Times New Roman"/>
        </w:rPr>
        <w:t xml:space="preserve">stitute ‘9’ </w:t>
      </w:r>
      <w:r w:rsidR="006C433E" w:rsidRPr="001E3BDD">
        <w:rPr>
          <w:rFonts w:ascii="Times New Roman" w:hAnsi="Times New Roman" w:cs="Times New Roman"/>
        </w:rPr>
        <w:t>in column 3 of table items 1, 10, 13, 17, 20, 25, 29, 40 and 49 of Table 1 of Schedule 1 to the 2020 Declaration</w:t>
      </w:r>
      <w:r w:rsidR="00AC2636" w:rsidRPr="001E3BDD">
        <w:rPr>
          <w:rFonts w:ascii="Times New Roman" w:hAnsi="Times New Roman" w:cs="Times New Roman"/>
        </w:rPr>
        <w:t>.</w:t>
      </w:r>
    </w:p>
    <w:p w14:paraId="0D5CC80C" w14:textId="67B77EA5" w:rsidR="001E3BDD" w:rsidRPr="00B930DB" w:rsidRDefault="00AC2636" w:rsidP="004B2AD2">
      <w:pPr>
        <w:pStyle w:val="ListParagraph"/>
        <w:numPr>
          <w:ilvl w:val="0"/>
          <w:numId w:val="8"/>
        </w:numPr>
        <w:rPr>
          <w:rFonts w:ascii="Times New Roman" w:hAnsi="Times New Roman" w:cs="Times New Roman"/>
        </w:rPr>
      </w:pPr>
      <w:r w:rsidRPr="001E3BDD">
        <w:rPr>
          <w:rFonts w:ascii="Times New Roman" w:hAnsi="Times New Roman" w:cs="Times New Roman"/>
        </w:rPr>
        <w:t>Items 2, 4, 6, 8, 9, 11, 12, 16, 18, 19, 20 and 21 o</w:t>
      </w:r>
      <w:r w:rsidR="003C6C71" w:rsidRPr="001E3BDD">
        <w:rPr>
          <w:rFonts w:ascii="Times New Roman" w:hAnsi="Times New Roman" w:cs="Times New Roman"/>
        </w:rPr>
        <w:t>mit ‘9’, substitute ‘10’</w:t>
      </w:r>
      <w:r w:rsidR="00DA5DDD" w:rsidRPr="001E3BDD">
        <w:rPr>
          <w:rFonts w:ascii="Times New Roman" w:hAnsi="Times New Roman" w:cs="Times New Roman"/>
        </w:rPr>
        <w:t xml:space="preserve"> </w:t>
      </w:r>
      <w:r w:rsidRPr="001E3BDD">
        <w:rPr>
          <w:rFonts w:ascii="Times New Roman" w:hAnsi="Times New Roman" w:cs="Times New Roman"/>
        </w:rPr>
        <w:t>in column 3 of table items 3, 11, 14, 18, 19, 22, 23, 38, 42, 44, 46 and 48 of Table 1 of Schedule 1 to the 2020 Declaration.</w:t>
      </w:r>
      <w:r w:rsidR="001E3BDD">
        <w:rPr>
          <w:rFonts w:ascii="Times New Roman" w:hAnsi="Times New Roman" w:cs="Times New Roman"/>
        </w:rPr>
        <w:t xml:space="preserve"> </w:t>
      </w:r>
    </w:p>
    <w:p w14:paraId="0A6712A0" w14:textId="2CC1440F" w:rsidR="00E7530F" w:rsidRPr="00B930DB" w:rsidRDefault="00E7530F" w:rsidP="00B930DB">
      <w:pPr>
        <w:pStyle w:val="ListParagraph"/>
        <w:numPr>
          <w:ilvl w:val="0"/>
          <w:numId w:val="8"/>
        </w:numPr>
      </w:pPr>
      <w:r w:rsidRPr="00B930DB">
        <w:rPr>
          <w:rFonts w:ascii="Times New Roman" w:hAnsi="Times New Roman" w:cs="Times New Roman"/>
        </w:rPr>
        <w:t xml:space="preserve">Item 15 omits ‘9 TDT’ and substitutes ‘10 TDT’ in column 3 of table item 31 of Table 1 of Schedule 1 to the 2020 Declaration. </w:t>
      </w:r>
    </w:p>
    <w:p w14:paraId="48CC669E" w14:textId="7399D5D8" w:rsidR="00830387" w:rsidRPr="001E3BDD" w:rsidRDefault="00E7530F" w:rsidP="00E7530F">
      <w:pPr>
        <w:pStyle w:val="ListParagraph"/>
        <w:numPr>
          <w:ilvl w:val="0"/>
          <w:numId w:val="8"/>
        </w:numPr>
        <w:rPr>
          <w:rFonts w:ascii="Times New Roman" w:hAnsi="Times New Roman" w:cs="Times New Roman"/>
        </w:rPr>
      </w:pPr>
      <w:r w:rsidRPr="001E3BDD">
        <w:rPr>
          <w:rFonts w:ascii="Times New Roman" w:hAnsi="Times New Roman" w:cs="Times New Roman"/>
        </w:rPr>
        <w:t>Item 23 o</w:t>
      </w:r>
      <w:r w:rsidR="00830387" w:rsidRPr="001E3BDD">
        <w:rPr>
          <w:rFonts w:ascii="Times New Roman" w:hAnsi="Times New Roman" w:cs="Times New Roman"/>
        </w:rPr>
        <w:t>mit</w:t>
      </w:r>
      <w:r w:rsidRPr="001E3BDD">
        <w:rPr>
          <w:rFonts w:ascii="Times New Roman" w:hAnsi="Times New Roman" w:cs="Times New Roman"/>
        </w:rPr>
        <w:t>s</w:t>
      </w:r>
      <w:r w:rsidR="00830387" w:rsidRPr="001E3BDD">
        <w:rPr>
          <w:rFonts w:ascii="Times New Roman" w:hAnsi="Times New Roman" w:cs="Times New Roman"/>
        </w:rPr>
        <w:t xml:space="preserve"> ‘WINHD’</w:t>
      </w:r>
      <w:r w:rsidRPr="001E3BDD">
        <w:rPr>
          <w:rFonts w:ascii="Times New Roman" w:hAnsi="Times New Roman" w:cs="Times New Roman"/>
        </w:rPr>
        <w:t xml:space="preserve"> and</w:t>
      </w:r>
      <w:r w:rsidR="00830387" w:rsidRPr="001E3BDD">
        <w:rPr>
          <w:rFonts w:ascii="Times New Roman" w:hAnsi="Times New Roman" w:cs="Times New Roman"/>
        </w:rPr>
        <w:t xml:space="preserve"> substitute</w:t>
      </w:r>
      <w:r w:rsidRPr="001E3BDD">
        <w:rPr>
          <w:rFonts w:ascii="Times New Roman" w:hAnsi="Times New Roman" w:cs="Times New Roman"/>
        </w:rPr>
        <w:t>s</w:t>
      </w:r>
      <w:r w:rsidR="00830387" w:rsidRPr="001E3BDD">
        <w:rPr>
          <w:rFonts w:ascii="Times New Roman" w:hAnsi="Times New Roman" w:cs="Times New Roman"/>
        </w:rPr>
        <w:t xml:space="preserve"> ‘10’</w:t>
      </w:r>
      <w:r w:rsidR="00DA5DDD" w:rsidRPr="001E3BDD">
        <w:rPr>
          <w:rFonts w:ascii="Times New Roman" w:hAnsi="Times New Roman" w:cs="Times New Roman"/>
        </w:rPr>
        <w:t xml:space="preserve"> </w:t>
      </w:r>
      <w:r w:rsidRPr="001E3BDD">
        <w:rPr>
          <w:rFonts w:ascii="Times New Roman" w:hAnsi="Times New Roman" w:cs="Times New Roman"/>
        </w:rPr>
        <w:t xml:space="preserve">in column 3 of table item 55 of Table 1 of Schedule 1 to the 2020 Declaration. </w:t>
      </w:r>
    </w:p>
    <w:p w14:paraId="501FC4F9" w14:textId="500DDC37" w:rsidR="00E7530F" w:rsidRPr="001E3BDD" w:rsidRDefault="00E7530F" w:rsidP="000620BC">
      <w:pPr>
        <w:pStyle w:val="ListParagraph"/>
        <w:numPr>
          <w:ilvl w:val="0"/>
          <w:numId w:val="8"/>
        </w:numPr>
        <w:rPr>
          <w:rFonts w:ascii="Times New Roman" w:hAnsi="Times New Roman" w:cs="Times New Roman"/>
        </w:rPr>
      </w:pPr>
      <w:r w:rsidRPr="001E3BDD">
        <w:rPr>
          <w:rFonts w:ascii="Times New Roman" w:hAnsi="Times New Roman" w:cs="Times New Roman"/>
        </w:rPr>
        <w:t>Item 24 omits ‘WINHD</w:t>
      </w:r>
      <w:r w:rsidR="0052010E" w:rsidRPr="001E3BDD">
        <w:rPr>
          <w:rFonts w:ascii="Times New Roman" w:hAnsi="Times New Roman" w:cs="Times New Roman"/>
        </w:rPr>
        <w:t>’ and substitutes ‘10’ in column 3 of table item 3 of Table 1 of Schedule 2 to the 2020 Declaration.</w:t>
      </w:r>
    </w:p>
    <w:p w14:paraId="59A9F07E" w14:textId="762F5BB7" w:rsidR="00982AA2" w:rsidRPr="00982AA2" w:rsidRDefault="00982AA2">
      <w:pPr>
        <w:rPr>
          <w:rFonts w:ascii="Times New Roman" w:hAnsi="Times New Roman" w:cs="Times New Roman"/>
        </w:rPr>
      </w:pPr>
    </w:p>
    <w:sectPr w:rsidR="00982AA2" w:rsidRPr="00982AA2" w:rsidSect="00082354">
      <w:headerReference w:type="default" r:id="rId13"/>
      <w:footerReference w:type="defaul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0E7F2" w14:textId="77777777" w:rsidR="009524F0" w:rsidRDefault="009524F0" w:rsidP="00437A51">
      <w:pPr>
        <w:spacing w:after="0" w:line="240" w:lineRule="auto"/>
      </w:pPr>
      <w:r>
        <w:separator/>
      </w:r>
    </w:p>
  </w:endnote>
  <w:endnote w:type="continuationSeparator" w:id="0">
    <w:p w14:paraId="3935E80F" w14:textId="77777777" w:rsidR="009524F0" w:rsidRDefault="009524F0" w:rsidP="00437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LT Std Lt">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Cs/>
        <w:noProof/>
        <w:sz w:val="18"/>
        <w:szCs w:val="18"/>
      </w:rPr>
    </w:sdtEndPr>
    <w:sdtContent>
      <w:p w14:paraId="40258C76" w14:textId="77777777" w:rsidR="00CB2AAD" w:rsidRDefault="00456FE6" w:rsidP="00AD3414">
        <w:pPr>
          <w:pStyle w:val="Footer"/>
          <w:pBdr>
            <w:top w:val="single" w:sz="4" w:space="1" w:color="auto"/>
          </w:pBdr>
          <w:jc w:val="center"/>
        </w:pPr>
      </w:p>
      <w:p w14:paraId="099C2A88" w14:textId="62A581F3" w:rsidR="00CB2AAD" w:rsidRPr="000620BC" w:rsidRDefault="00BA4ABE" w:rsidP="00283EC2">
        <w:pPr>
          <w:pStyle w:val="Footer"/>
          <w:jc w:val="center"/>
          <w:rPr>
            <w:rFonts w:ascii="Times New Roman" w:hAnsi="Times New Roman" w:cs="Times New Roman"/>
            <w:sz w:val="18"/>
            <w:szCs w:val="18"/>
          </w:rPr>
        </w:pPr>
        <w:r w:rsidRPr="000620BC">
          <w:rPr>
            <w:rFonts w:ascii="Times New Roman" w:hAnsi="Times New Roman" w:cs="Times New Roman"/>
            <w:i/>
            <w:sz w:val="18"/>
            <w:szCs w:val="18"/>
          </w:rPr>
          <w:t>Explanatory Statement to the</w:t>
        </w:r>
        <w:r w:rsidRPr="000620BC">
          <w:rPr>
            <w:rFonts w:ascii="Times New Roman" w:hAnsi="Times New Roman" w:cs="Times New Roman"/>
            <w:sz w:val="18"/>
            <w:szCs w:val="18"/>
          </w:rPr>
          <w:t xml:space="preserve"> </w:t>
        </w:r>
        <w:r w:rsidRPr="000620BC">
          <w:rPr>
            <w:rFonts w:ascii="Times New Roman" w:hAnsi="Times New Roman" w:cs="Times New Roman"/>
            <w:i/>
            <w:sz w:val="18"/>
            <w:szCs w:val="18"/>
          </w:rPr>
          <w:t xml:space="preserve">Broadcasting Services (Primary Commercial Television Broadcasting Service) </w:t>
        </w:r>
        <w:r w:rsidR="00283EC2" w:rsidRPr="000620BC">
          <w:rPr>
            <w:rFonts w:ascii="Times New Roman" w:hAnsi="Times New Roman" w:cs="Times New Roman"/>
            <w:i/>
            <w:sz w:val="18"/>
            <w:szCs w:val="18"/>
          </w:rPr>
          <w:t xml:space="preserve">Amendment </w:t>
        </w:r>
        <w:r w:rsidRPr="000620BC">
          <w:rPr>
            <w:rFonts w:ascii="Times New Roman" w:hAnsi="Times New Roman" w:cs="Times New Roman"/>
            <w:i/>
            <w:sz w:val="18"/>
            <w:szCs w:val="18"/>
          </w:rPr>
          <w:t xml:space="preserve">Declaration </w:t>
        </w:r>
        <w:r w:rsidR="001E3BDD">
          <w:rPr>
            <w:rFonts w:ascii="Times New Roman" w:hAnsi="Times New Roman" w:cs="Times New Roman"/>
            <w:i/>
            <w:sz w:val="18"/>
            <w:szCs w:val="18"/>
          </w:rPr>
          <w:t xml:space="preserve">2021 </w:t>
        </w:r>
        <w:r w:rsidR="00283EC2" w:rsidRPr="000620BC">
          <w:rPr>
            <w:rFonts w:ascii="Times New Roman" w:hAnsi="Times New Roman" w:cs="Times New Roman"/>
            <w:i/>
            <w:sz w:val="18"/>
            <w:szCs w:val="18"/>
          </w:rPr>
          <w:t>(No.1)</w:t>
        </w:r>
      </w:p>
      <w:p w14:paraId="47184965" w14:textId="77777777" w:rsidR="00CB2AAD" w:rsidRPr="000620BC" w:rsidRDefault="00BA4ABE">
        <w:pPr>
          <w:pStyle w:val="Footer"/>
          <w:jc w:val="right"/>
          <w:rPr>
            <w:iCs/>
            <w:sz w:val="18"/>
            <w:szCs w:val="18"/>
          </w:rPr>
        </w:pPr>
        <w:r w:rsidRPr="000620BC">
          <w:rPr>
            <w:rFonts w:ascii="Times New Roman" w:hAnsi="Times New Roman" w:cs="Times New Roman"/>
            <w:iCs/>
            <w:sz w:val="18"/>
            <w:szCs w:val="18"/>
          </w:rPr>
          <w:fldChar w:fldCharType="begin"/>
        </w:r>
        <w:r w:rsidRPr="000620BC">
          <w:rPr>
            <w:rFonts w:ascii="Times New Roman" w:hAnsi="Times New Roman" w:cs="Times New Roman"/>
            <w:iCs/>
            <w:sz w:val="18"/>
            <w:szCs w:val="18"/>
          </w:rPr>
          <w:instrText xml:space="preserve"> PAGE   \* MERGEFORMAT </w:instrText>
        </w:r>
        <w:r w:rsidRPr="000620BC">
          <w:rPr>
            <w:rFonts w:ascii="Times New Roman" w:hAnsi="Times New Roman" w:cs="Times New Roman"/>
            <w:iCs/>
            <w:sz w:val="18"/>
            <w:szCs w:val="18"/>
          </w:rPr>
          <w:fldChar w:fldCharType="separate"/>
        </w:r>
        <w:r w:rsidRPr="000620BC">
          <w:rPr>
            <w:rFonts w:ascii="Times New Roman" w:hAnsi="Times New Roman" w:cs="Times New Roman"/>
            <w:iCs/>
            <w:noProof/>
            <w:sz w:val="18"/>
            <w:szCs w:val="18"/>
          </w:rPr>
          <w:t>6</w:t>
        </w:r>
        <w:r w:rsidRPr="000620BC">
          <w:rPr>
            <w:rFonts w:ascii="Times New Roman" w:hAnsi="Times New Roman" w:cs="Times New Roman"/>
            <w:iCs/>
            <w:noProof/>
            <w:sz w:val="18"/>
            <w:szCs w:val="18"/>
          </w:rPr>
          <w:fldChar w:fldCharType="end"/>
        </w:r>
      </w:p>
    </w:sdtContent>
  </w:sdt>
  <w:p w14:paraId="09C4850E" w14:textId="77777777" w:rsidR="00CB2AAD" w:rsidRPr="00AD3414" w:rsidRDefault="00456FE6" w:rsidP="00AD3414">
    <w:pPr>
      <w:pStyle w:val="Footer"/>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16B6" w14:textId="77777777" w:rsidR="00C11C1B" w:rsidRDefault="00C11C1B" w:rsidP="003E1C9A">
    <w:pPr>
      <w:pStyle w:val="Footer"/>
      <w:jc w:val="center"/>
      <w:rPr>
        <w:rFonts w:ascii="Times New Roman" w:hAnsi="Times New Roman" w:cs="Times New Roman"/>
        <w:i/>
      </w:rPr>
    </w:pPr>
  </w:p>
  <w:p w14:paraId="290D9C7A" w14:textId="77777777" w:rsidR="003E1C9A" w:rsidRDefault="003E1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ABF5F" w14:textId="77777777" w:rsidR="009524F0" w:rsidRDefault="009524F0" w:rsidP="00437A51">
      <w:pPr>
        <w:spacing w:after="0" w:line="240" w:lineRule="auto"/>
      </w:pPr>
      <w:r>
        <w:separator/>
      </w:r>
    </w:p>
  </w:footnote>
  <w:footnote w:type="continuationSeparator" w:id="0">
    <w:p w14:paraId="7598DAB3" w14:textId="77777777" w:rsidR="009524F0" w:rsidRDefault="009524F0" w:rsidP="00437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80E62" w14:textId="77777777" w:rsidR="00CB2AAD" w:rsidRDefault="00456FE6">
    <w:pPr>
      <w:pStyle w:val="Header"/>
    </w:pPr>
  </w:p>
  <w:p w14:paraId="104CAC8E" w14:textId="77777777" w:rsidR="00CB2AAD" w:rsidRPr="00AD3414" w:rsidRDefault="00456FE6">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552FEBA"/>
    <w:lvl w:ilvl="0">
      <w:start w:val="1"/>
      <w:numFmt w:val="bullet"/>
      <w:pStyle w:val="Bulletlevel1"/>
      <w:lvlText w:val="&gt;"/>
      <w:lvlJc w:val="left"/>
      <w:pPr>
        <w:tabs>
          <w:tab w:val="num" w:pos="295"/>
        </w:tabs>
        <w:ind w:left="295" w:hanging="295"/>
      </w:pPr>
      <w:rPr>
        <w:rFonts w:ascii="HelveticaNeueLT Std Lt" w:hAnsi="HelveticaNeueLT Std Lt" w:hint="default"/>
        <w:sz w:val="20"/>
      </w:rPr>
    </w:lvl>
  </w:abstractNum>
  <w:abstractNum w:abstractNumId="1" w15:restartNumberingAfterBreak="0">
    <w:nsid w:val="085B493C"/>
    <w:multiLevelType w:val="hybridMultilevel"/>
    <w:tmpl w:val="A798020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DE2060"/>
    <w:multiLevelType w:val="hybridMultilevel"/>
    <w:tmpl w:val="6F40765C"/>
    <w:lvl w:ilvl="0" w:tplc="2EF854F4">
      <w:start w:val="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B23CDB"/>
    <w:multiLevelType w:val="hybridMultilevel"/>
    <w:tmpl w:val="EEE0CB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D62122"/>
    <w:multiLevelType w:val="hybridMultilevel"/>
    <w:tmpl w:val="94E82D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7020905"/>
    <w:multiLevelType w:val="hybridMultilevel"/>
    <w:tmpl w:val="54AA93A0"/>
    <w:lvl w:ilvl="0" w:tplc="FA94A91C">
      <w:start w:val="1"/>
      <w:numFmt w:val="decimal"/>
      <w:lvlText w:val="%1."/>
      <w:lvlJc w:val="left"/>
      <w:pPr>
        <w:ind w:left="360" w:hanging="360"/>
      </w:pPr>
      <w:rPr>
        <w:rFonts w:ascii="Arial" w:hAnsi="Arial" w:cs="Aria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544D4E4D"/>
    <w:multiLevelType w:val="hybridMultilevel"/>
    <w:tmpl w:val="6B143F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7"/>
  </w:num>
  <w:num w:numId="5">
    <w:abstractNumId w:val="2"/>
  </w:num>
  <w:num w:numId="6">
    <w:abstractNumId w:val="8"/>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DEF"/>
    <w:rsid w:val="00006353"/>
    <w:rsid w:val="000210C3"/>
    <w:rsid w:val="000247EE"/>
    <w:rsid w:val="000354E5"/>
    <w:rsid w:val="0004375E"/>
    <w:rsid w:val="000620BC"/>
    <w:rsid w:val="000775C0"/>
    <w:rsid w:val="00090D79"/>
    <w:rsid w:val="000B26F7"/>
    <w:rsid w:val="000C79BE"/>
    <w:rsid w:val="000D3D17"/>
    <w:rsid w:val="000D4B53"/>
    <w:rsid w:val="000E5800"/>
    <w:rsid w:val="000F51D0"/>
    <w:rsid w:val="00113010"/>
    <w:rsid w:val="001131E8"/>
    <w:rsid w:val="00130A75"/>
    <w:rsid w:val="00142374"/>
    <w:rsid w:val="001678A4"/>
    <w:rsid w:val="001A6738"/>
    <w:rsid w:val="001D6116"/>
    <w:rsid w:val="001E2466"/>
    <w:rsid w:val="001E3BDD"/>
    <w:rsid w:val="001F3866"/>
    <w:rsid w:val="002146D1"/>
    <w:rsid w:val="00227079"/>
    <w:rsid w:val="00230C6F"/>
    <w:rsid w:val="00234444"/>
    <w:rsid w:val="00235B83"/>
    <w:rsid w:val="00237767"/>
    <w:rsid w:val="00250756"/>
    <w:rsid w:val="002619DA"/>
    <w:rsid w:val="00261B10"/>
    <w:rsid w:val="00273C0B"/>
    <w:rsid w:val="002760E8"/>
    <w:rsid w:val="00283EC2"/>
    <w:rsid w:val="002E1D89"/>
    <w:rsid w:val="002E5050"/>
    <w:rsid w:val="002F0536"/>
    <w:rsid w:val="002F2B36"/>
    <w:rsid w:val="00316D86"/>
    <w:rsid w:val="003214EF"/>
    <w:rsid w:val="00321856"/>
    <w:rsid w:val="00350B7F"/>
    <w:rsid w:val="00356D69"/>
    <w:rsid w:val="00361A6E"/>
    <w:rsid w:val="00387ABF"/>
    <w:rsid w:val="00396C36"/>
    <w:rsid w:val="003C6C71"/>
    <w:rsid w:val="003E1C9A"/>
    <w:rsid w:val="003F085A"/>
    <w:rsid w:val="00414C64"/>
    <w:rsid w:val="00424E4B"/>
    <w:rsid w:val="00427C59"/>
    <w:rsid w:val="00437A51"/>
    <w:rsid w:val="00447620"/>
    <w:rsid w:val="004646C4"/>
    <w:rsid w:val="00474DE4"/>
    <w:rsid w:val="00477EED"/>
    <w:rsid w:val="004834A3"/>
    <w:rsid w:val="004838A2"/>
    <w:rsid w:val="00485CE2"/>
    <w:rsid w:val="004966D2"/>
    <w:rsid w:val="004A1AEC"/>
    <w:rsid w:val="004D146E"/>
    <w:rsid w:val="004E2494"/>
    <w:rsid w:val="004F14FF"/>
    <w:rsid w:val="004F39D3"/>
    <w:rsid w:val="0052010E"/>
    <w:rsid w:val="0052572E"/>
    <w:rsid w:val="00536FDF"/>
    <w:rsid w:val="00580FB6"/>
    <w:rsid w:val="005A3ABB"/>
    <w:rsid w:val="005A3E2E"/>
    <w:rsid w:val="005C1DAA"/>
    <w:rsid w:val="005C7D56"/>
    <w:rsid w:val="005E2AC1"/>
    <w:rsid w:val="005E49D3"/>
    <w:rsid w:val="005F0313"/>
    <w:rsid w:val="005F30CB"/>
    <w:rsid w:val="005F63AE"/>
    <w:rsid w:val="00633C7D"/>
    <w:rsid w:val="00650C43"/>
    <w:rsid w:val="00672BD6"/>
    <w:rsid w:val="00674C27"/>
    <w:rsid w:val="00677F73"/>
    <w:rsid w:val="00681B17"/>
    <w:rsid w:val="00694A88"/>
    <w:rsid w:val="00694DFA"/>
    <w:rsid w:val="006A0A72"/>
    <w:rsid w:val="006C13FC"/>
    <w:rsid w:val="006C433E"/>
    <w:rsid w:val="006D7B7B"/>
    <w:rsid w:val="006E407C"/>
    <w:rsid w:val="006E441C"/>
    <w:rsid w:val="006E6384"/>
    <w:rsid w:val="006F2650"/>
    <w:rsid w:val="006F533D"/>
    <w:rsid w:val="006F7B60"/>
    <w:rsid w:val="007011D8"/>
    <w:rsid w:val="007064F3"/>
    <w:rsid w:val="0071635A"/>
    <w:rsid w:val="00716831"/>
    <w:rsid w:val="00731D43"/>
    <w:rsid w:val="00731DEF"/>
    <w:rsid w:val="0075623C"/>
    <w:rsid w:val="00766FB8"/>
    <w:rsid w:val="007B4654"/>
    <w:rsid w:val="007C0F63"/>
    <w:rsid w:val="007E0841"/>
    <w:rsid w:val="007F644D"/>
    <w:rsid w:val="00830387"/>
    <w:rsid w:val="00832368"/>
    <w:rsid w:val="00834695"/>
    <w:rsid w:val="00841A2B"/>
    <w:rsid w:val="008466F8"/>
    <w:rsid w:val="00880288"/>
    <w:rsid w:val="008B0446"/>
    <w:rsid w:val="008C573B"/>
    <w:rsid w:val="008E3B7F"/>
    <w:rsid w:val="0090769F"/>
    <w:rsid w:val="0093093E"/>
    <w:rsid w:val="00931F9A"/>
    <w:rsid w:val="0093207C"/>
    <w:rsid w:val="00936ED9"/>
    <w:rsid w:val="009524F0"/>
    <w:rsid w:val="009568D5"/>
    <w:rsid w:val="00982AA2"/>
    <w:rsid w:val="00990949"/>
    <w:rsid w:val="009B66FA"/>
    <w:rsid w:val="009E5613"/>
    <w:rsid w:val="009E7C49"/>
    <w:rsid w:val="00A20638"/>
    <w:rsid w:val="00A26988"/>
    <w:rsid w:val="00A33805"/>
    <w:rsid w:val="00A40B27"/>
    <w:rsid w:val="00A53769"/>
    <w:rsid w:val="00A53AFB"/>
    <w:rsid w:val="00A53FB2"/>
    <w:rsid w:val="00A5699B"/>
    <w:rsid w:val="00A91B0F"/>
    <w:rsid w:val="00A93F5D"/>
    <w:rsid w:val="00AC2636"/>
    <w:rsid w:val="00AC753C"/>
    <w:rsid w:val="00AD249F"/>
    <w:rsid w:val="00AF60DA"/>
    <w:rsid w:val="00B077AC"/>
    <w:rsid w:val="00B1058B"/>
    <w:rsid w:val="00B12ED6"/>
    <w:rsid w:val="00B2237C"/>
    <w:rsid w:val="00B377FB"/>
    <w:rsid w:val="00B5634D"/>
    <w:rsid w:val="00B63455"/>
    <w:rsid w:val="00B8535C"/>
    <w:rsid w:val="00B90915"/>
    <w:rsid w:val="00B91071"/>
    <w:rsid w:val="00B930DB"/>
    <w:rsid w:val="00BA4ABE"/>
    <w:rsid w:val="00BB5BE4"/>
    <w:rsid w:val="00BB640F"/>
    <w:rsid w:val="00BC350E"/>
    <w:rsid w:val="00BC53F9"/>
    <w:rsid w:val="00BD4F87"/>
    <w:rsid w:val="00BD67AD"/>
    <w:rsid w:val="00BF5FD9"/>
    <w:rsid w:val="00C11C1B"/>
    <w:rsid w:val="00C12BBA"/>
    <w:rsid w:val="00C20F88"/>
    <w:rsid w:val="00C27697"/>
    <w:rsid w:val="00C328FB"/>
    <w:rsid w:val="00C35F01"/>
    <w:rsid w:val="00C56566"/>
    <w:rsid w:val="00C6396B"/>
    <w:rsid w:val="00C66BBC"/>
    <w:rsid w:val="00C71778"/>
    <w:rsid w:val="00C75CE5"/>
    <w:rsid w:val="00C841A6"/>
    <w:rsid w:val="00C86498"/>
    <w:rsid w:val="00C9102F"/>
    <w:rsid w:val="00CA0565"/>
    <w:rsid w:val="00CA0C3F"/>
    <w:rsid w:val="00CC5178"/>
    <w:rsid w:val="00CD41BA"/>
    <w:rsid w:val="00D360AA"/>
    <w:rsid w:val="00D42A80"/>
    <w:rsid w:val="00D45B9C"/>
    <w:rsid w:val="00D50714"/>
    <w:rsid w:val="00D54B07"/>
    <w:rsid w:val="00D672E8"/>
    <w:rsid w:val="00D70725"/>
    <w:rsid w:val="00D83B5B"/>
    <w:rsid w:val="00DA37A9"/>
    <w:rsid w:val="00DA40E3"/>
    <w:rsid w:val="00DA5DDD"/>
    <w:rsid w:val="00DC5BF4"/>
    <w:rsid w:val="00DD5BBB"/>
    <w:rsid w:val="00DF20C6"/>
    <w:rsid w:val="00E1414A"/>
    <w:rsid w:val="00E16B08"/>
    <w:rsid w:val="00E17B76"/>
    <w:rsid w:val="00E2757B"/>
    <w:rsid w:val="00E438FC"/>
    <w:rsid w:val="00E5095C"/>
    <w:rsid w:val="00E7530F"/>
    <w:rsid w:val="00EA54F9"/>
    <w:rsid w:val="00EB0C47"/>
    <w:rsid w:val="00EB0CFF"/>
    <w:rsid w:val="00ED17B7"/>
    <w:rsid w:val="00ED6D8B"/>
    <w:rsid w:val="00EE38F0"/>
    <w:rsid w:val="00EE61F2"/>
    <w:rsid w:val="00F178D2"/>
    <w:rsid w:val="00F20C1D"/>
    <w:rsid w:val="00F22C51"/>
    <w:rsid w:val="00F238FE"/>
    <w:rsid w:val="00F27DB6"/>
    <w:rsid w:val="00F34698"/>
    <w:rsid w:val="00F50577"/>
    <w:rsid w:val="00F56C23"/>
    <w:rsid w:val="00F62160"/>
    <w:rsid w:val="00F715DC"/>
    <w:rsid w:val="00F718A4"/>
    <w:rsid w:val="00F74733"/>
    <w:rsid w:val="00F76C1B"/>
    <w:rsid w:val="00F84F9E"/>
    <w:rsid w:val="00F9104E"/>
    <w:rsid w:val="00F96CF2"/>
    <w:rsid w:val="00FA04D8"/>
    <w:rsid w:val="00FA7F0D"/>
    <w:rsid w:val="00FB03BC"/>
    <w:rsid w:val="00FC72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7C961"/>
  <w15:chartTrackingRefBased/>
  <w15:docId w15:val="{B1867731-02C1-428A-AA39-E61A3220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DE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D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DEF"/>
  </w:style>
  <w:style w:type="paragraph" w:styleId="Footer">
    <w:name w:val="footer"/>
    <w:basedOn w:val="Normal"/>
    <w:link w:val="FooterChar"/>
    <w:uiPriority w:val="99"/>
    <w:unhideWhenUsed/>
    <w:rsid w:val="00731D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DEF"/>
  </w:style>
  <w:style w:type="paragraph" w:styleId="ListParagraph">
    <w:name w:val="List Paragraph"/>
    <w:basedOn w:val="Normal"/>
    <w:uiPriority w:val="34"/>
    <w:qFormat/>
    <w:rsid w:val="00731DEF"/>
    <w:pPr>
      <w:ind w:left="720"/>
      <w:contextualSpacing/>
    </w:pPr>
  </w:style>
  <w:style w:type="character" w:styleId="Hyperlink">
    <w:name w:val="Hyperlink"/>
    <w:basedOn w:val="DefaultParagraphFont"/>
    <w:uiPriority w:val="99"/>
    <w:unhideWhenUsed/>
    <w:rsid w:val="00731DEF"/>
    <w:rPr>
      <w:color w:val="0563C1" w:themeColor="hyperlink"/>
      <w:u w:val="single"/>
    </w:rPr>
  </w:style>
  <w:style w:type="paragraph" w:customStyle="1" w:styleId="Default">
    <w:name w:val="Default"/>
    <w:rsid w:val="00731DE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level1">
    <w:name w:val="Bullet level 1"/>
    <w:basedOn w:val="Normal"/>
    <w:uiPriority w:val="5"/>
    <w:qFormat/>
    <w:rsid w:val="00731DEF"/>
    <w:pPr>
      <w:numPr>
        <w:numId w:val="2"/>
      </w:numPr>
      <w:spacing w:after="80" w:line="240" w:lineRule="atLeast"/>
    </w:pPr>
    <w:rPr>
      <w:rFonts w:ascii="Arial" w:eastAsia="Times New Roman" w:hAnsi="Arial" w:cs="Arial"/>
      <w:sz w:val="20"/>
      <w:szCs w:val="24"/>
      <w:lang w:eastAsia="en-AU"/>
    </w:rPr>
  </w:style>
  <w:style w:type="paragraph" w:customStyle="1" w:styleId="ACMAHeading3">
    <w:name w:val="ACMA Heading 3"/>
    <w:next w:val="Normal"/>
    <w:rsid w:val="00437A51"/>
    <w:pPr>
      <w:keepNext/>
      <w:suppressAutoHyphens/>
      <w:spacing w:before="240" w:after="0" w:line="240" w:lineRule="auto"/>
      <w:outlineLvl w:val="3"/>
    </w:pPr>
    <w:rPr>
      <w:rFonts w:ascii="Arial" w:eastAsia="Times New Roman" w:hAnsi="Arial" w:cs="Times New Roman"/>
      <w:b/>
      <w:sz w:val="24"/>
      <w:szCs w:val="20"/>
      <w:lang w:val="en-US"/>
    </w:rPr>
  </w:style>
  <w:style w:type="paragraph" w:customStyle="1" w:styleId="ACMANumberedList">
    <w:name w:val="ACMA Numbered List"/>
    <w:rsid w:val="00437A51"/>
    <w:pPr>
      <w:numPr>
        <w:numId w:val="3"/>
      </w:numPr>
      <w:spacing w:before="20" w:after="20" w:line="240" w:lineRule="auto"/>
    </w:pPr>
    <w:rPr>
      <w:rFonts w:ascii="Times New Roman" w:eastAsia="Times New Roman" w:hAnsi="Times New Roman" w:cs="Times New Roman"/>
      <w:sz w:val="24"/>
      <w:szCs w:val="20"/>
    </w:rPr>
  </w:style>
  <w:style w:type="paragraph" w:customStyle="1" w:styleId="ItemHead">
    <w:name w:val="ItemHead"/>
    <w:aliases w:val="ih"/>
    <w:basedOn w:val="Normal"/>
    <w:next w:val="Normal"/>
    <w:rsid w:val="00350B7F"/>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Item">
    <w:name w:val="Item"/>
    <w:aliases w:val="i"/>
    <w:basedOn w:val="Normal"/>
    <w:next w:val="Normal"/>
    <w:rsid w:val="0004375E"/>
    <w:pPr>
      <w:keepLines/>
      <w:spacing w:before="80" w:after="0" w:line="240" w:lineRule="auto"/>
      <w:ind w:left="709"/>
    </w:pPr>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731D43"/>
    <w:rPr>
      <w:sz w:val="16"/>
      <w:szCs w:val="16"/>
    </w:rPr>
  </w:style>
  <w:style w:type="paragraph" w:styleId="CommentText">
    <w:name w:val="annotation text"/>
    <w:basedOn w:val="Normal"/>
    <w:link w:val="CommentTextChar"/>
    <w:uiPriority w:val="99"/>
    <w:unhideWhenUsed/>
    <w:rsid w:val="00731D43"/>
    <w:pPr>
      <w:spacing w:line="240" w:lineRule="auto"/>
    </w:pPr>
    <w:rPr>
      <w:sz w:val="20"/>
      <w:szCs w:val="20"/>
    </w:rPr>
  </w:style>
  <w:style w:type="character" w:customStyle="1" w:styleId="CommentTextChar">
    <w:name w:val="Comment Text Char"/>
    <w:basedOn w:val="DefaultParagraphFont"/>
    <w:link w:val="CommentText"/>
    <w:uiPriority w:val="99"/>
    <w:rsid w:val="00731D43"/>
    <w:rPr>
      <w:sz w:val="20"/>
      <w:szCs w:val="20"/>
    </w:rPr>
  </w:style>
  <w:style w:type="paragraph" w:styleId="CommentSubject">
    <w:name w:val="annotation subject"/>
    <w:basedOn w:val="CommentText"/>
    <w:next w:val="CommentText"/>
    <w:link w:val="CommentSubjectChar"/>
    <w:uiPriority w:val="99"/>
    <w:semiHidden/>
    <w:unhideWhenUsed/>
    <w:rsid w:val="00731D43"/>
    <w:rPr>
      <w:b/>
      <w:bCs/>
    </w:rPr>
  </w:style>
  <w:style w:type="character" w:customStyle="1" w:styleId="CommentSubjectChar">
    <w:name w:val="Comment Subject Char"/>
    <w:basedOn w:val="CommentTextChar"/>
    <w:link w:val="CommentSubject"/>
    <w:uiPriority w:val="99"/>
    <w:semiHidden/>
    <w:rsid w:val="00731D43"/>
    <w:rPr>
      <w:b/>
      <w:bCs/>
      <w:sz w:val="20"/>
      <w:szCs w:val="20"/>
    </w:rPr>
  </w:style>
  <w:style w:type="paragraph" w:styleId="NormalWeb">
    <w:name w:val="Normal (Web)"/>
    <w:basedOn w:val="Normal"/>
    <w:uiPriority w:val="99"/>
    <w:semiHidden/>
    <w:unhideWhenUsed/>
    <w:rsid w:val="00F20C1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F20C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93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EB147E7279724581487018DE8E8B00" ma:contentTypeVersion="2" ma:contentTypeDescription="Create a new document." ma:contentTypeScope="" ma:versionID="280c1a84055fe67a69639ab140b7cd9f">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UQVA7MFFXVNW-343728570-1356</_dlc_DocId>
    <_dlc_DocIdUrl xmlns="04b8ec43-391f-4ce4-8841-d6a482add564">
      <Url>http://collaboration/organisation/auth/Chair/Auth/_layouts/15/DocIdRedir.aspx?ID=UQVA7MFFXVNW-343728570-1356</Url>
      <Description>UQVA7MFFXVNW-343728570-1356</Description>
    </_dlc_DocIdUrl>
    <Category xmlns="026d8262-4725-4a9c-834e-3f991ab17ffd">(none)</Categ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0B91BC2-0FB9-4524-92FB-A8C54512410A}">
  <ds:schemaRefs>
    <ds:schemaRef ds:uri="http://schemas.openxmlformats.org/officeDocument/2006/bibliography"/>
  </ds:schemaRefs>
</ds:datastoreItem>
</file>

<file path=customXml/itemProps2.xml><?xml version="1.0" encoding="utf-8"?>
<ds:datastoreItem xmlns:ds="http://schemas.openxmlformats.org/officeDocument/2006/customXml" ds:itemID="{3A9A89BB-82BE-4BFE-BD15-B1625913F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4ECDD2-BC94-4064-A779-454BDD6449AD}">
  <ds:schemaRefs>
    <ds:schemaRef ds:uri="http://schemas.microsoft.com/office/2006/documentManagement/types"/>
    <ds:schemaRef ds:uri="http://purl.org/dc/terms/"/>
    <ds:schemaRef ds:uri="http://schemas.openxmlformats.org/package/2006/metadata/core-properties"/>
    <ds:schemaRef ds:uri="1d983eb4-33f7-44b0-aea1-cbdcf0c55136"/>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04b8ec43-391f-4ce4-8841-d6a482add564"/>
    <ds:schemaRef ds:uri="026d8262-4725-4a9c-834e-3f991ab17ffd"/>
  </ds:schemaRefs>
</ds:datastoreItem>
</file>

<file path=customXml/itemProps4.xml><?xml version="1.0" encoding="utf-8"?>
<ds:datastoreItem xmlns:ds="http://schemas.openxmlformats.org/officeDocument/2006/customXml" ds:itemID="{3B37B3FD-18F4-49A2-87A7-A65CBF08396A}">
  <ds:schemaRefs>
    <ds:schemaRef ds:uri="http://schemas.microsoft.com/sharepoint/v3/contenttype/forms"/>
  </ds:schemaRefs>
</ds:datastoreItem>
</file>

<file path=customXml/itemProps5.xml><?xml version="1.0" encoding="utf-8"?>
<ds:datastoreItem xmlns:ds="http://schemas.openxmlformats.org/officeDocument/2006/customXml" ds:itemID="{370E3E1E-EC73-4746-81CC-0D32A357107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Yan</dc:creator>
  <cp:keywords/>
  <dc:description/>
  <cp:lastModifiedBy>Sudharshini Jeyaseelan</cp:lastModifiedBy>
  <cp:revision>2</cp:revision>
  <dcterms:created xsi:type="dcterms:W3CDTF">2021-08-10T04:50:00Z</dcterms:created>
  <dcterms:modified xsi:type="dcterms:W3CDTF">2021-08-10T04:50:00Z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0x010100E2EB147E7279724581487018DE8E8B00</vt:lpwstr>
  </property>
  <property fmtid="{D5CDD505-2E9C-101B-9397-08002B2CF9AE}" pid="3" name="_dlc_DocIdItemGuid">
    <vt:lpwstr>261ea601-bfc4-4025-988a-60770d26a42c</vt:lpwstr>
  </property>
</Properties>
</file>