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D6379" w14:textId="77777777" w:rsidR="00280050" w:rsidRPr="00BB452B" w:rsidRDefault="00E40F4A" w:rsidP="00E40F4A">
      <w:pPr>
        <w:jc w:val="center"/>
        <w:rPr>
          <w:b/>
        </w:rPr>
      </w:pPr>
      <w:r w:rsidRPr="00BB452B">
        <w:rPr>
          <w:b/>
        </w:rPr>
        <w:t>EXPLANATORY STATEMENT</w:t>
      </w:r>
    </w:p>
    <w:p w14:paraId="395E1650" w14:textId="77777777" w:rsidR="00E40F4A" w:rsidRPr="00BB452B" w:rsidRDefault="00E40F4A" w:rsidP="00E40F4A">
      <w:pPr>
        <w:jc w:val="center"/>
        <w:rPr>
          <w:i/>
        </w:rPr>
      </w:pPr>
      <w:r w:rsidRPr="00BB452B">
        <w:rPr>
          <w:i/>
        </w:rPr>
        <w:t>National Health Act 1953</w:t>
      </w:r>
    </w:p>
    <w:p w14:paraId="698ADBF1" w14:textId="77777777" w:rsidR="00E40F4A" w:rsidRPr="00BB452B" w:rsidRDefault="00E40F4A" w:rsidP="00E40F4A">
      <w:pPr>
        <w:jc w:val="center"/>
        <w:rPr>
          <w:b/>
          <w:i/>
        </w:rPr>
      </w:pPr>
      <w:r w:rsidRPr="00BB452B">
        <w:rPr>
          <w:b/>
          <w:i/>
        </w:rPr>
        <w:t>National Health</w:t>
      </w:r>
      <w:bookmarkStart w:id="0" w:name="BK_S1P1L3C16"/>
      <w:bookmarkEnd w:id="0"/>
      <w:r w:rsidRPr="00BB452B">
        <w:rPr>
          <w:b/>
          <w:i/>
        </w:rPr>
        <w:t xml:space="preserve"> (Pharmaceutical Benefits) (Pharmacist Substitution of Medicines without Prescription during Shortages) Determination 202</w:t>
      </w:r>
      <w:r w:rsidR="00CA2A22" w:rsidRPr="00BB452B">
        <w:rPr>
          <w:b/>
          <w:i/>
        </w:rPr>
        <w:t>1</w:t>
      </w:r>
    </w:p>
    <w:p w14:paraId="0F24A770" w14:textId="4EA9C1EA" w:rsidR="00310F09" w:rsidRPr="00BB452B" w:rsidRDefault="00310F09" w:rsidP="00310F09">
      <w:pPr>
        <w:spacing w:before="120" w:after="0"/>
        <w:jc w:val="center"/>
        <w:rPr>
          <w:b/>
          <w:sz w:val="22"/>
          <w:szCs w:val="22"/>
        </w:rPr>
      </w:pPr>
      <w:r w:rsidRPr="00BB452B">
        <w:rPr>
          <w:b/>
          <w:sz w:val="22"/>
          <w:szCs w:val="22"/>
        </w:rPr>
        <w:t xml:space="preserve">PB </w:t>
      </w:r>
      <w:r w:rsidR="003432BC" w:rsidRPr="00BB452B">
        <w:rPr>
          <w:b/>
          <w:sz w:val="22"/>
          <w:szCs w:val="22"/>
        </w:rPr>
        <w:t>84</w:t>
      </w:r>
      <w:r w:rsidRPr="00BB452B">
        <w:rPr>
          <w:b/>
          <w:sz w:val="22"/>
          <w:szCs w:val="22"/>
        </w:rPr>
        <w:t xml:space="preserve"> of 202</w:t>
      </w:r>
      <w:r w:rsidR="00786242" w:rsidRPr="00BB452B">
        <w:rPr>
          <w:b/>
          <w:sz w:val="22"/>
          <w:szCs w:val="22"/>
        </w:rPr>
        <w:t>1</w:t>
      </w:r>
    </w:p>
    <w:p w14:paraId="0C3822F9" w14:textId="77777777" w:rsidR="00E40F4A" w:rsidRPr="00BB452B" w:rsidRDefault="00E40F4A">
      <w:pPr>
        <w:rPr>
          <w:b/>
        </w:rPr>
      </w:pPr>
      <w:r w:rsidRPr="00BB452B">
        <w:rPr>
          <w:b/>
        </w:rPr>
        <w:t>Authority</w:t>
      </w:r>
    </w:p>
    <w:p w14:paraId="60A24F2C" w14:textId="77777777" w:rsidR="00471807" w:rsidRPr="00BB452B" w:rsidRDefault="000178C6" w:rsidP="001F14BD">
      <w:pPr>
        <w:pStyle w:val="subsection"/>
        <w:shd w:val="clear" w:color="auto" w:fill="FFFFFF"/>
        <w:spacing w:before="0" w:beforeAutospacing="0" w:after="160" w:afterAutospacing="0"/>
        <w:rPr>
          <w:color w:val="000000"/>
        </w:rPr>
      </w:pPr>
      <w:r w:rsidRPr="00BB452B">
        <w:t xml:space="preserve">Subsection 89A(3) of the </w:t>
      </w:r>
      <w:r w:rsidRPr="00BB452B">
        <w:rPr>
          <w:i/>
        </w:rPr>
        <w:t>National Health Act</w:t>
      </w:r>
      <w:r w:rsidR="00045087" w:rsidRPr="00BB452B">
        <w:rPr>
          <w:i/>
        </w:rPr>
        <w:t xml:space="preserve"> 1953</w:t>
      </w:r>
      <w:r w:rsidRPr="00BB452B">
        <w:t xml:space="preserve"> (the Act) provides that </w:t>
      </w:r>
      <w:r w:rsidRPr="00BB452B">
        <w:rPr>
          <w:color w:val="000000"/>
        </w:rPr>
        <w:t>the Minister may, by legislative instrument, determine the pharmaceutical benefits that may be supplied by an approved pharmacist without a prescription, and the conditions that must be satisfied when making a supply of those pharmaceutical benefits.</w:t>
      </w:r>
      <w:r w:rsidR="00EE2197" w:rsidRPr="00BB452B">
        <w:rPr>
          <w:color w:val="000000"/>
        </w:rPr>
        <w:t xml:space="preserve"> </w:t>
      </w:r>
    </w:p>
    <w:p w14:paraId="28FF1153" w14:textId="77777777" w:rsidR="00E40F4A" w:rsidRPr="00BB452B" w:rsidRDefault="00E40F4A">
      <w:pPr>
        <w:rPr>
          <w:b/>
        </w:rPr>
      </w:pPr>
      <w:r w:rsidRPr="00BB452B">
        <w:rPr>
          <w:b/>
        </w:rPr>
        <w:t>Purpose</w:t>
      </w:r>
    </w:p>
    <w:p w14:paraId="5C486C33" w14:textId="28074767" w:rsidR="00E40F4A" w:rsidRPr="00BB452B" w:rsidRDefault="009361E9">
      <w:pPr>
        <w:rPr>
          <w:i/>
        </w:rPr>
      </w:pPr>
      <w:r w:rsidRPr="00BB452B">
        <w:t xml:space="preserve">The purpose of the </w:t>
      </w:r>
      <w:r w:rsidRPr="00BB452B">
        <w:rPr>
          <w:i/>
        </w:rPr>
        <w:t>National Health (Pharmaceutical Benefits) (Pharmacist Substitution of Medicines without Prescription during Shortages) Determination 202</w:t>
      </w:r>
      <w:r w:rsidR="00CA2A22" w:rsidRPr="00BB452B">
        <w:rPr>
          <w:i/>
        </w:rPr>
        <w:t>1</w:t>
      </w:r>
      <w:r w:rsidRPr="00BB452B">
        <w:rPr>
          <w:i/>
        </w:rPr>
        <w:t xml:space="preserve"> </w:t>
      </w:r>
      <w:r w:rsidR="00EE2197" w:rsidRPr="00BB452B">
        <w:t xml:space="preserve">(the Determination) </w:t>
      </w:r>
      <w:r w:rsidRPr="00BB452B">
        <w:t>is</w:t>
      </w:r>
      <w:r w:rsidR="00EE2197" w:rsidRPr="00BB452B">
        <w:t> </w:t>
      </w:r>
      <w:r w:rsidRPr="00BB452B">
        <w:t>to</w:t>
      </w:r>
      <w:r w:rsidR="001A749C" w:rsidRPr="00BB452B">
        <w:t xml:space="preserve"> permit a</w:t>
      </w:r>
      <w:r w:rsidR="002806EA" w:rsidRPr="00BB452B">
        <w:t>n</w:t>
      </w:r>
      <w:r w:rsidR="001A749C" w:rsidRPr="00BB452B">
        <w:t xml:space="preserve"> </w:t>
      </w:r>
      <w:r w:rsidR="002806EA" w:rsidRPr="00BB452B">
        <w:t xml:space="preserve">approved </w:t>
      </w:r>
      <w:r w:rsidR="001A749C" w:rsidRPr="00BB452B">
        <w:t>pharmacist</w:t>
      </w:r>
      <w:r w:rsidR="00E75245" w:rsidRPr="00BB452B">
        <w:t xml:space="preserve"> </w:t>
      </w:r>
      <w:r w:rsidR="001A749C" w:rsidRPr="00BB452B">
        <w:t xml:space="preserve">to supply a substitute pharmaceutical benefit when the prescribed </w:t>
      </w:r>
      <w:r w:rsidR="003B2A6B" w:rsidRPr="00BB452B">
        <w:t>pharmaceutical benefit</w:t>
      </w:r>
      <w:r w:rsidR="00714197" w:rsidRPr="00BB452B">
        <w:t xml:space="preserve"> </w:t>
      </w:r>
      <w:r w:rsidR="00300DC2" w:rsidRPr="00BB452B">
        <w:t>is</w:t>
      </w:r>
      <w:r w:rsidR="001F3A90" w:rsidRPr="00BB452B">
        <w:t xml:space="preserve"> the</w:t>
      </w:r>
      <w:r w:rsidR="00300DC2" w:rsidRPr="00BB452B">
        <w:t xml:space="preserve"> subject </w:t>
      </w:r>
      <w:r w:rsidR="001F3A90" w:rsidRPr="00BB452B">
        <w:t>of</w:t>
      </w:r>
      <w:r w:rsidR="00300DC2" w:rsidRPr="00BB452B">
        <w:t xml:space="preserve"> a Therapeutic</w:t>
      </w:r>
      <w:r w:rsidR="0085161E" w:rsidRPr="00BB452B">
        <w:t> </w:t>
      </w:r>
      <w:r w:rsidR="00300DC2" w:rsidRPr="00BB452B">
        <w:t>Goods</w:t>
      </w:r>
      <w:r w:rsidR="0085161E" w:rsidRPr="00BB452B">
        <w:t> </w:t>
      </w:r>
      <w:r w:rsidR="00300DC2" w:rsidRPr="00BB452B">
        <w:t>Adminis</w:t>
      </w:r>
      <w:r w:rsidR="00445B25" w:rsidRPr="00BB452B">
        <w:t>tration</w:t>
      </w:r>
      <w:r w:rsidR="0085161E" w:rsidRPr="00BB452B">
        <w:t> </w:t>
      </w:r>
      <w:r w:rsidR="00445B25" w:rsidRPr="00BB452B">
        <w:t xml:space="preserve">(TGA) Serious Scarcity </w:t>
      </w:r>
      <w:r w:rsidR="00300DC2" w:rsidRPr="00BB452B">
        <w:t xml:space="preserve">Substitution </w:t>
      </w:r>
      <w:r w:rsidR="00445B25" w:rsidRPr="00BB452B">
        <w:t>Instrument (SS</w:t>
      </w:r>
      <w:r w:rsidR="00300DC2" w:rsidRPr="00BB452B">
        <w:t>S</w:t>
      </w:r>
      <w:r w:rsidR="00445B25" w:rsidRPr="00BB452B">
        <w:t>I</w:t>
      </w:r>
      <w:r w:rsidR="00300DC2" w:rsidRPr="00BB452B">
        <w:t>).</w:t>
      </w:r>
      <w:r w:rsidR="002806EA" w:rsidRPr="00BB452B">
        <w:t xml:space="preserve"> This will support pharmacists in </w:t>
      </w:r>
      <w:r w:rsidR="00646D07" w:rsidRPr="00BB452B">
        <w:t xml:space="preserve">ensuring that consumers </w:t>
      </w:r>
      <w:r w:rsidR="006F66B9" w:rsidRPr="00BB452B">
        <w:t>who could be adversely affected by medicine shortages may</w:t>
      </w:r>
      <w:r w:rsidR="00646D07" w:rsidRPr="00BB452B">
        <w:t xml:space="preserve"> continue to access drugs subsidised through the Pharmaceutical</w:t>
      </w:r>
      <w:r w:rsidR="0085161E" w:rsidRPr="00BB452B">
        <w:t> </w:t>
      </w:r>
      <w:r w:rsidR="00646D07" w:rsidRPr="00BB452B">
        <w:t>Benefits</w:t>
      </w:r>
      <w:r w:rsidR="0085161E" w:rsidRPr="00BB452B">
        <w:t> </w:t>
      </w:r>
      <w:r w:rsidR="00646D07" w:rsidRPr="00BB452B">
        <w:t>Scheme</w:t>
      </w:r>
      <w:r w:rsidR="0085161E" w:rsidRPr="00BB452B">
        <w:t> </w:t>
      </w:r>
      <w:r w:rsidR="00646D07" w:rsidRPr="00BB452B">
        <w:t>(PBS)</w:t>
      </w:r>
      <w:r w:rsidR="002806EA" w:rsidRPr="00BB452B">
        <w:rPr>
          <w:i/>
        </w:rPr>
        <w:t>.</w:t>
      </w:r>
    </w:p>
    <w:p w14:paraId="616BD291" w14:textId="35220005" w:rsidR="00300DC2" w:rsidRPr="00BB452B" w:rsidRDefault="00300DC2" w:rsidP="00443C53">
      <w:pPr>
        <w:spacing w:after="0"/>
      </w:pPr>
      <w:r w:rsidRPr="00BB452B">
        <w:t>T</w:t>
      </w:r>
      <w:r w:rsidR="00646D07" w:rsidRPr="00BB452B">
        <w:t xml:space="preserve">he Determination </w:t>
      </w:r>
      <w:r w:rsidR="00EE2197" w:rsidRPr="00BB452B">
        <w:t>permit</w:t>
      </w:r>
      <w:r w:rsidR="00646D07" w:rsidRPr="00BB452B">
        <w:t>s t</w:t>
      </w:r>
      <w:r w:rsidRPr="00BB452B">
        <w:t>he supply</w:t>
      </w:r>
      <w:r w:rsidR="00646D07" w:rsidRPr="00BB452B">
        <w:t xml:space="preserve"> by an approved pharmacist</w:t>
      </w:r>
      <w:r w:rsidRPr="00BB452B">
        <w:t xml:space="preserve"> of a </w:t>
      </w:r>
      <w:r w:rsidR="00EE2197" w:rsidRPr="00BB452B">
        <w:t xml:space="preserve">specified </w:t>
      </w:r>
      <w:r w:rsidRPr="00BB452B">
        <w:t>substitute pharmaceutical b</w:t>
      </w:r>
      <w:r w:rsidR="00445B25" w:rsidRPr="00BB452B">
        <w:t xml:space="preserve">enefit in situations where the substitute benefit may be dispensed in accordance with section 30EL of the </w:t>
      </w:r>
      <w:r w:rsidR="00445B25" w:rsidRPr="00BB452B">
        <w:rPr>
          <w:i/>
        </w:rPr>
        <w:t>Therapeutic Goods Act 1989</w:t>
      </w:r>
      <w:r w:rsidRPr="00BB452B">
        <w:t xml:space="preserve"> and the substitute </w:t>
      </w:r>
      <w:r w:rsidR="00EE2197" w:rsidRPr="00BB452B">
        <w:t xml:space="preserve">pharmaceutical benefit </w:t>
      </w:r>
      <w:r w:rsidRPr="00BB452B">
        <w:t>is supplied:</w:t>
      </w:r>
    </w:p>
    <w:p w14:paraId="0079F00D" w14:textId="7467947C" w:rsidR="00300DC2" w:rsidRPr="00BB452B" w:rsidRDefault="00300DC2" w:rsidP="00443C53">
      <w:pPr>
        <w:pStyle w:val="ListParagraph"/>
        <w:numPr>
          <w:ilvl w:val="0"/>
          <w:numId w:val="1"/>
        </w:numPr>
      </w:pPr>
      <w:r w:rsidRPr="00BB452B">
        <w:t xml:space="preserve">to a person with a </w:t>
      </w:r>
      <w:r w:rsidR="00BC605C" w:rsidRPr="00BB452B">
        <w:t xml:space="preserve">PBS </w:t>
      </w:r>
      <w:r w:rsidRPr="00BB452B">
        <w:t xml:space="preserve">prescription for a </w:t>
      </w:r>
      <w:r w:rsidR="00BC605C" w:rsidRPr="00BB452B">
        <w:t>pharmaceutical benefit</w:t>
      </w:r>
      <w:r w:rsidRPr="00BB452B">
        <w:t xml:space="preserve"> subject to </w:t>
      </w:r>
      <w:r w:rsidR="00445B25" w:rsidRPr="00BB452B">
        <w:t xml:space="preserve">the </w:t>
      </w:r>
      <w:proofErr w:type="gramStart"/>
      <w:r w:rsidR="00445B25" w:rsidRPr="00BB452B">
        <w:t>SSSI</w:t>
      </w:r>
      <w:r w:rsidRPr="00BB452B">
        <w:t>;</w:t>
      </w:r>
      <w:proofErr w:type="gramEnd"/>
    </w:p>
    <w:p w14:paraId="60FAE15C" w14:textId="6AFAAF66" w:rsidR="00300DC2" w:rsidRPr="00BB452B" w:rsidRDefault="00300DC2" w:rsidP="00300DC2">
      <w:pPr>
        <w:pStyle w:val="ListParagraph"/>
        <w:numPr>
          <w:ilvl w:val="0"/>
          <w:numId w:val="1"/>
        </w:numPr>
      </w:pPr>
      <w:r w:rsidRPr="00BB452B">
        <w:t xml:space="preserve">where it is not practicable to obtain a </w:t>
      </w:r>
      <w:r w:rsidR="00BC605C" w:rsidRPr="00BB452B">
        <w:t xml:space="preserve">PBS </w:t>
      </w:r>
      <w:r w:rsidRPr="00BB452B">
        <w:t>prescription from a</w:t>
      </w:r>
      <w:r w:rsidR="00D928F7" w:rsidRPr="00BB452B">
        <w:t xml:space="preserve"> PBS</w:t>
      </w:r>
      <w:r w:rsidR="00AB20CA" w:rsidRPr="00BB452B">
        <w:t xml:space="preserve"> prescriber for a substitute </w:t>
      </w:r>
      <w:r w:rsidR="00BC605C" w:rsidRPr="00BB452B">
        <w:t xml:space="preserve">pharmaceutical benefit </w:t>
      </w:r>
      <w:r w:rsidR="00AB20CA" w:rsidRPr="00BB452B">
        <w:t xml:space="preserve">before the person needs the supply of the prescribed </w:t>
      </w:r>
      <w:r w:rsidR="00BC605C" w:rsidRPr="00BB452B">
        <w:t xml:space="preserve">pharmaceutical </w:t>
      </w:r>
      <w:proofErr w:type="gramStart"/>
      <w:r w:rsidR="00BC605C" w:rsidRPr="00BB452B">
        <w:t>benefit</w:t>
      </w:r>
      <w:r w:rsidR="00AB20CA" w:rsidRPr="00BB452B">
        <w:t>;</w:t>
      </w:r>
      <w:proofErr w:type="gramEnd"/>
    </w:p>
    <w:p w14:paraId="11864430" w14:textId="77777777" w:rsidR="009D4A36" w:rsidRPr="00BB452B" w:rsidRDefault="00035DB3" w:rsidP="00320105">
      <w:pPr>
        <w:pStyle w:val="ListParagraph"/>
        <w:numPr>
          <w:ilvl w:val="0"/>
          <w:numId w:val="5"/>
        </w:numPr>
      </w:pPr>
      <w:r w:rsidRPr="00BB452B">
        <w:t xml:space="preserve">where the pharmacist </w:t>
      </w:r>
      <w:r w:rsidR="00B0771A" w:rsidRPr="00BB452B">
        <w:t>has provided cost information to the patient or their agent so that they are able to make an informed decision before proceeding with the substitute supply. This includes the cost to the patient if the substitution is subsidised through the PBS and the cost to the patient if the substitution is a private prescription</w:t>
      </w:r>
      <w:r w:rsidR="00840737" w:rsidRPr="00BB452B">
        <w:t>; and</w:t>
      </w:r>
    </w:p>
    <w:p w14:paraId="00AC964E" w14:textId="07F307FE" w:rsidR="00B0771A" w:rsidRPr="00BB452B" w:rsidRDefault="00B0771A" w:rsidP="00320105">
      <w:pPr>
        <w:pStyle w:val="ListParagraph"/>
        <w:numPr>
          <w:ilvl w:val="0"/>
          <w:numId w:val="5"/>
        </w:numPr>
      </w:pPr>
      <w:r w:rsidRPr="00BB452B">
        <w:t>the substitute medicine is eligible for dispensing as a pharmaceutical benefit as outlined in this instrument.</w:t>
      </w:r>
    </w:p>
    <w:p w14:paraId="780EF1B2" w14:textId="2E27BDC3" w:rsidR="0030249B" w:rsidRPr="00BB452B" w:rsidRDefault="00983DB8" w:rsidP="00443C53">
      <w:pPr>
        <w:spacing w:after="0"/>
      </w:pPr>
      <w:r w:rsidRPr="00BB452B">
        <w:t>T</w:t>
      </w:r>
      <w:r w:rsidR="00AB20CA" w:rsidRPr="00BB452B">
        <w:t xml:space="preserve">he approved pharmacist </w:t>
      </w:r>
      <w:r w:rsidRPr="00BB452B">
        <w:t xml:space="preserve">is required to record the information </w:t>
      </w:r>
      <w:r w:rsidR="0030249B" w:rsidRPr="00BB452B">
        <w:t xml:space="preserve">set out above </w:t>
      </w:r>
      <w:r w:rsidRPr="00BB452B">
        <w:t xml:space="preserve">justifying supply of the substitute pharmaceutical </w:t>
      </w:r>
      <w:r w:rsidR="00160276" w:rsidRPr="00BB452B">
        <w:t xml:space="preserve">benefit </w:t>
      </w:r>
      <w:r w:rsidR="0063175E" w:rsidRPr="00BB452B">
        <w:t>under</w:t>
      </w:r>
      <w:r w:rsidR="00714197" w:rsidRPr="00BB452B">
        <w:t xml:space="preserve"> the </w:t>
      </w:r>
      <w:r w:rsidR="00445B25" w:rsidRPr="00BB452B">
        <w:t>SSSI</w:t>
      </w:r>
      <w:r w:rsidR="0030249B" w:rsidRPr="00BB452B">
        <w:t>, in writing, for example in:</w:t>
      </w:r>
    </w:p>
    <w:p w14:paraId="705B1ED1" w14:textId="77777777" w:rsidR="0030249B" w:rsidRPr="00BB452B" w:rsidRDefault="0030249B" w:rsidP="00443C53">
      <w:pPr>
        <w:pStyle w:val="ListParagraph"/>
        <w:numPr>
          <w:ilvl w:val="0"/>
          <w:numId w:val="6"/>
        </w:numPr>
        <w:spacing w:after="0"/>
      </w:pPr>
      <w:r w:rsidRPr="00BB452B">
        <w:t>the dispensing system/record</w:t>
      </w:r>
    </w:p>
    <w:p w14:paraId="72BA258B" w14:textId="77777777" w:rsidR="0030249B" w:rsidRPr="00BB452B" w:rsidRDefault="0030249B" w:rsidP="0030249B">
      <w:pPr>
        <w:pStyle w:val="ListParagraph"/>
        <w:numPr>
          <w:ilvl w:val="0"/>
          <w:numId w:val="6"/>
        </w:numPr>
      </w:pPr>
      <w:r w:rsidRPr="00BB452B">
        <w:t>on the original prescription; or</w:t>
      </w:r>
    </w:p>
    <w:p w14:paraId="6A3F3BCE" w14:textId="77777777" w:rsidR="0030249B" w:rsidRPr="00BB452B" w:rsidRDefault="007B1D3C" w:rsidP="0030249B">
      <w:pPr>
        <w:pStyle w:val="ListParagraph"/>
        <w:numPr>
          <w:ilvl w:val="0"/>
          <w:numId w:val="6"/>
        </w:numPr>
      </w:pPr>
      <w:r w:rsidRPr="00BB452B">
        <w:t>on the repeat prescription.</w:t>
      </w:r>
    </w:p>
    <w:p w14:paraId="16E646D9" w14:textId="77777777" w:rsidR="00840737" w:rsidRPr="00BB452B" w:rsidRDefault="00840737" w:rsidP="00C40B0B">
      <w:pPr>
        <w:pStyle w:val="ListParagraph"/>
      </w:pPr>
    </w:p>
    <w:p w14:paraId="1B38B3B9" w14:textId="45A7B649" w:rsidR="0030249B" w:rsidRPr="00BB452B" w:rsidRDefault="0030249B" w:rsidP="00AC708D">
      <w:pPr>
        <w:pStyle w:val="ListParagraph"/>
        <w:ind w:left="0"/>
      </w:pPr>
      <w:r w:rsidRPr="00BB452B">
        <w:t xml:space="preserve">The </w:t>
      </w:r>
      <w:r w:rsidR="007B1D3C" w:rsidRPr="00BB452B">
        <w:t>record must also include that the substitute benefit was supplied under paragraph</w:t>
      </w:r>
      <w:r w:rsidR="0085161E" w:rsidRPr="00BB452B">
        <w:t> </w:t>
      </w:r>
      <w:r w:rsidR="007B1D3C" w:rsidRPr="00BB452B">
        <w:t>89A(3)(a) of the Act.</w:t>
      </w:r>
    </w:p>
    <w:p w14:paraId="69537F38" w14:textId="77777777" w:rsidR="0030249B" w:rsidRPr="00BB452B" w:rsidRDefault="0030249B" w:rsidP="0030249B">
      <w:r w:rsidRPr="00BB452B">
        <w:lastRenderedPageBreak/>
        <w:t xml:space="preserve">The pharmacist is also required </w:t>
      </w:r>
      <w:r w:rsidR="00983DB8" w:rsidRPr="00BB452B">
        <w:t>to notify</w:t>
      </w:r>
      <w:r w:rsidR="00AB20CA" w:rsidRPr="00BB452B">
        <w:t xml:space="preserve"> the relevant </w:t>
      </w:r>
      <w:r w:rsidR="00D928F7" w:rsidRPr="00BB452B">
        <w:t>PBS</w:t>
      </w:r>
      <w:r w:rsidR="00AB20CA" w:rsidRPr="00BB452B">
        <w:t xml:space="preserve"> prescriber of the </w:t>
      </w:r>
      <w:r w:rsidR="003B2A6B" w:rsidRPr="00BB452B">
        <w:t xml:space="preserve">details of the </w:t>
      </w:r>
      <w:r w:rsidR="00AB20CA" w:rsidRPr="00BB452B">
        <w:t>subst</w:t>
      </w:r>
      <w:r w:rsidR="00D928F7" w:rsidRPr="00BB452B">
        <w:t xml:space="preserve">itution </w:t>
      </w:r>
      <w:r w:rsidR="00AB20CA" w:rsidRPr="00BB452B">
        <w:t>in the manner specified in the Determination</w:t>
      </w:r>
      <w:r w:rsidRPr="00BB452B">
        <w:t xml:space="preserve"> in writing, for example via fax, email, or secure messaging. The information must be provided to the PBS prescriber within 72 hours after the supply.</w:t>
      </w:r>
    </w:p>
    <w:p w14:paraId="43447E54" w14:textId="77777777" w:rsidR="009B6894" w:rsidRPr="00BB452B" w:rsidRDefault="009B6894" w:rsidP="009B6894">
      <w:r w:rsidRPr="00BB452B">
        <w:t>Where an authority prescription number is required but not available, the default value of ‘00000246’ should be used. The default authority prescription number may result in a PBS Online warning (reason code 151) which should be disregarded in these circumstances.</w:t>
      </w:r>
    </w:p>
    <w:p w14:paraId="35AF4770" w14:textId="3A4AF72F" w:rsidR="009361E9" w:rsidRPr="00BB452B" w:rsidRDefault="00C86737">
      <w:r w:rsidRPr="00BB452B">
        <w:t>The Determination will be re</w:t>
      </w:r>
      <w:r w:rsidR="00714197" w:rsidRPr="00BB452B">
        <w:noBreakHyphen/>
      </w:r>
      <w:r w:rsidRPr="00BB452B">
        <w:t xml:space="preserve">made </w:t>
      </w:r>
      <w:r w:rsidR="00714197" w:rsidRPr="00BB452B">
        <w:t xml:space="preserve">or </w:t>
      </w:r>
      <w:r w:rsidR="00BD60E4" w:rsidRPr="00BB452B">
        <w:t>revoked</w:t>
      </w:r>
      <w:r w:rsidR="00714197" w:rsidRPr="00BB452B">
        <w:t xml:space="preserve">, as appropriate, </w:t>
      </w:r>
      <w:r w:rsidR="00384616" w:rsidRPr="00BB452B">
        <w:t xml:space="preserve">each time the TGA issues or rescinds a </w:t>
      </w:r>
      <w:r w:rsidR="00445B25" w:rsidRPr="00BB452B">
        <w:t>SSSI</w:t>
      </w:r>
      <w:r w:rsidR="00384616" w:rsidRPr="00BB452B">
        <w:t xml:space="preserve"> in respect of a PBS</w:t>
      </w:r>
      <w:r w:rsidR="009B6894" w:rsidRPr="00BB452B">
        <w:t xml:space="preserve"> </w:t>
      </w:r>
      <w:r w:rsidR="00384616" w:rsidRPr="00BB452B">
        <w:t>listed drug.</w:t>
      </w:r>
    </w:p>
    <w:p w14:paraId="2054753F" w14:textId="0A798832" w:rsidR="00C86737" w:rsidRPr="00BB452B" w:rsidRDefault="009361E9" w:rsidP="00786242">
      <w:r w:rsidRPr="00BB452B">
        <w:t>The Determination commences on</w:t>
      </w:r>
      <w:r w:rsidR="00C86737" w:rsidRPr="00BB452B">
        <w:t xml:space="preserve"> </w:t>
      </w:r>
      <w:r w:rsidR="0085161E" w:rsidRPr="00BB452B">
        <w:t>1</w:t>
      </w:r>
      <w:r w:rsidR="00F77461" w:rsidRPr="00BB452B">
        <w:t>6</w:t>
      </w:r>
      <w:r w:rsidR="0085161E" w:rsidRPr="00BB452B">
        <w:t xml:space="preserve"> August </w:t>
      </w:r>
      <w:r w:rsidR="00786242" w:rsidRPr="00BB452B">
        <w:t>2021</w:t>
      </w:r>
      <w:r w:rsidR="00C86737" w:rsidRPr="00BB452B">
        <w:t>.</w:t>
      </w:r>
    </w:p>
    <w:p w14:paraId="6322B864" w14:textId="77777777" w:rsidR="009361E9" w:rsidRPr="00BB452B" w:rsidRDefault="00C86737" w:rsidP="00786242">
      <w:r w:rsidRPr="00BB452B">
        <w:t>T</w:t>
      </w:r>
      <w:r w:rsidR="009361E9" w:rsidRPr="00BB452B">
        <w:t>he Determination is a legislative instrument for the purposes of the </w:t>
      </w:r>
      <w:r w:rsidR="009361E9" w:rsidRPr="00BB452B">
        <w:rPr>
          <w:i/>
        </w:rPr>
        <w:t>Legislation Act 2003</w:t>
      </w:r>
      <w:r w:rsidR="009361E9" w:rsidRPr="00BB452B">
        <w:t>.</w:t>
      </w:r>
    </w:p>
    <w:p w14:paraId="4608D19C" w14:textId="0A0A06D8" w:rsidR="009361E9" w:rsidRPr="00BB452B" w:rsidRDefault="009361E9" w:rsidP="009361E9">
      <w:r w:rsidRPr="00BB452B">
        <w:t xml:space="preserve">A provision-by-provision description of the Determination is contained in </w:t>
      </w:r>
      <w:r w:rsidR="00917136" w:rsidRPr="00BB452B">
        <w:t xml:space="preserve">the </w:t>
      </w:r>
      <w:r w:rsidRPr="00BB452B">
        <w:t>Attachment.</w:t>
      </w:r>
    </w:p>
    <w:p w14:paraId="5B5E1C1F" w14:textId="77777777" w:rsidR="00E40F4A" w:rsidRPr="00BB452B" w:rsidRDefault="00E40F4A">
      <w:pPr>
        <w:rPr>
          <w:b/>
        </w:rPr>
      </w:pPr>
      <w:r w:rsidRPr="00BB452B">
        <w:rPr>
          <w:b/>
        </w:rPr>
        <w:t>Consultation</w:t>
      </w:r>
    </w:p>
    <w:p w14:paraId="5D3F0563" w14:textId="2F5A42C6" w:rsidR="00445B25" w:rsidRPr="00BB452B" w:rsidRDefault="003432BC" w:rsidP="00445B25">
      <w:r w:rsidRPr="00BB452B">
        <w:t xml:space="preserve">The Pharmacy Guild of Australia, </w:t>
      </w:r>
      <w:r w:rsidR="00445B25" w:rsidRPr="00BB452B">
        <w:t>the Pharmaceutical Society of Australia, the Australian</w:t>
      </w:r>
      <w:r w:rsidR="0085161E" w:rsidRPr="00BB452B">
        <w:t> </w:t>
      </w:r>
      <w:r w:rsidR="00445B25" w:rsidRPr="00BB452B">
        <w:t>Medical Association, the Consumers Health Forum of Australia, the Royal</w:t>
      </w:r>
      <w:r w:rsidR="0085161E" w:rsidRPr="00BB452B">
        <w:t> </w:t>
      </w:r>
      <w:r w:rsidR="00445B25" w:rsidRPr="00BB452B">
        <w:t>Australian College of General Practitioners and the Royal Australian College of Nurse</w:t>
      </w:r>
      <w:r w:rsidR="0085161E" w:rsidRPr="00BB452B">
        <w:t> </w:t>
      </w:r>
      <w:r w:rsidR="00445B25" w:rsidRPr="00BB452B">
        <w:t>Practitioners</w:t>
      </w:r>
      <w:r w:rsidR="008632B4" w:rsidRPr="00BB452B">
        <w:t xml:space="preserve"> were consulted in the development of this Determination</w:t>
      </w:r>
      <w:r w:rsidR="00445B25" w:rsidRPr="00BB452B">
        <w:t>.</w:t>
      </w:r>
    </w:p>
    <w:p w14:paraId="117C8EB6" w14:textId="1A583C2B" w:rsidR="003432BC" w:rsidRPr="00BB452B" w:rsidRDefault="003432BC"/>
    <w:p w14:paraId="25DB6A5A" w14:textId="77777777" w:rsidR="00E40F4A" w:rsidRPr="00BB452B" w:rsidRDefault="00E40F4A">
      <w:pPr>
        <w:rPr>
          <w:b/>
        </w:rPr>
      </w:pPr>
    </w:p>
    <w:p w14:paraId="6D8BBA56" w14:textId="77777777" w:rsidR="00E40F4A" w:rsidRPr="00BB452B" w:rsidRDefault="00E40F4A">
      <w:pPr>
        <w:rPr>
          <w:b/>
        </w:rPr>
      </w:pPr>
    </w:p>
    <w:p w14:paraId="24786590" w14:textId="77777777" w:rsidR="00BD60E4" w:rsidRPr="00BB452B" w:rsidRDefault="00BD60E4">
      <w:pPr>
        <w:rPr>
          <w:b/>
        </w:rPr>
      </w:pPr>
      <w:r w:rsidRPr="00BB452B">
        <w:rPr>
          <w:b/>
        </w:rPr>
        <w:br w:type="page"/>
      </w:r>
    </w:p>
    <w:p w14:paraId="39DD0394" w14:textId="33EE2698" w:rsidR="00E40F4A" w:rsidRPr="00BB452B" w:rsidRDefault="00E40F4A" w:rsidP="00E40F4A">
      <w:pPr>
        <w:jc w:val="right"/>
        <w:rPr>
          <w:b/>
        </w:rPr>
      </w:pPr>
      <w:r w:rsidRPr="00BB452B">
        <w:rPr>
          <w:b/>
        </w:rPr>
        <w:lastRenderedPageBreak/>
        <w:t>ATTACHMENT</w:t>
      </w:r>
    </w:p>
    <w:p w14:paraId="6EDF1C6E" w14:textId="77777777" w:rsidR="00E40F4A" w:rsidRPr="00BB452B" w:rsidRDefault="00E40F4A" w:rsidP="00E40F4A">
      <w:pPr>
        <w:jc w:val="right"/>
        <w:rPr>
          <w:b/>
        </w:rPr>
      </w:pPr>
    </w:p>
    <w:p w14:paraId="005295BC" w14:textId="31BFB1D5" w:rsidR="00E40F4A" w:rsidRPr="00BB452B" w:rsidRDefault="00372527" w:rsidP="00E40F4A">
      <w:pPr>
        <w:rPr>
          <w:b/>
        </w:rPr>
      </w:pPr>
      <w:r w:rsidRPr="00BB452B">
        <w:rPr>
          <w:b/>
        </w:rPr>
        <w:t>Details</w:t>
      </w:r>
      <w:r w:rsidR="00E40F4A" w:rsidRPr="00BB452B">
        <w:rPr>
          <w:b/>
        </w:rPr>
        <w:t xml:space="preserve"> of the </w:t>
      </w:r>
      <w:r w:rsidR="00E40F4A" w:rsidRPr="00BB452B">
        <w:rPr>
          <w:b/>
          <w:i/>
        </w:rPr>
        <w:t xml:space="preserve">National Health (Pharmaceutical Benefits) (Pharmacist Substitution of Medicines without Prescription during Shortages) Determination </w:t>
      </w:r>
      <w:r w:rsidR="00720CAC" w:rsidRPr="00BB452B">
        <w:rPr>
          <w:b/>
          <w:i/>
        </w:rPr>
        <w:t>2021</w:t>
      </w:r>
    </w:p>
    <w:p w14:paraId="7B4704D1" w14:textId="77777777" w:rsidR="00E40F4A" w:rsidRPr="00BB452B" w:rsidRDefault="00E40F4A" w:rsidP="00E40F4A">
      <w:pPr>
        <w:rPr>
          <w:b/>
        </w:rPr>
      </w:pPr>
    </w:p>
    <w:p w14:paraId="6E90B69E" w14:textId="77777777" w:rsidR="00E40F4A" w:rsidRPr="00BB452B" w:rsidRDefault="00E40F4A" w:rsidP="00E40F4A">
      <w:pPr>
        <w:rPr>
          <w:b/>
        </w:rPr>
      </w:pPr>
      <w:r w:rsidRPr="00BB452B">
        <w:rPr>
          <w:b/>
        </w:rPr>
        <w:t>Section 1</w:t>
      </w:r>
      <w:r w:rsidRPr="00BB452B">
        <w:rPr>
          <w:b/>
        </w:rPr>
        <w:tab/>
        <w:t>Name</w:t>
      </w:r>
    </w:p>
    <w:p w14:paraId="40BABAD1" w14:textId="2BF01E4A" w:rsidR="00E40F4A" w:rsidRPr="00BB452B" w:rsidRDefault="009361E9" w:rsidP="00E40F4A">
      <w:pPr>
        <w:rPr>
          <w:i/>
        </w:rPr>
      </w:pPr>
      <w:r w:rsidRPr="00BB452B">
        <w:t xml:space="preserve">This section provides </w:t>
      </w:r>
      <w:r w:rsidR="00372527" w:rsidRPr="00BB452B">
        <w:t>that the name of the Determination is the</w:t>
      </w:r>
      <w:r w:rsidR="00445B25" w:rsidRPr="00BB452B">
        <w:t xml:space="preserve"> </w:t>
      </w:r>
      <w:r w:rsidRPr="00BB452B">
        <w:rPr>
          <w:i/>
        </w:rPr>
        <w:t>National Health (Pharmaceutical Benefits) (Pharmacist Substitution of Medicines without Prescription during Shortages) Determination 202</w:t>
      </w:r>
      <w:r w:rsidR="00786242" w:rsidRPr="00BB452B">
        <w:rPr>
          <w:i/>
        </w:rPr>
        <w:t>1</w:t>
      </w:r>
      <w:r w:rsidRPr="00BB452B">
        <w:rPr>
          <w:i/>
        </w:rPr>
        <w:t>.</w:t>
      </w:r>
    </w:p>
    <w:p w14:paraId="569DC1A9" w14:textId="1D3CD71D" w:rsidR="00E40F4A" w:rsidRPr="00BB452B" w:rsidRDefault="009361E9" w:rsidP="00E40F4A">
      <w:pPr>
        <w:rPr>
          <w:b/>
        </w:rPr>
      </w:pPr>
      <w:r w:rsidRPr="00BB452B">
        <w:t>This section also provides that the instrument may be cited as P</w:t>
      </w:r>
      <w:r w:rsidR="00E46E86" w:rsidRPr="00BB452B">
        <w:t>B</w:t>
      </w:r>
      <w:r w:rsidR="00A01F21" w:rsidRPr="00BB452B">
        <w:t xml:space="preserve"> </w:t>
      </w:r>
      <w:r w:rsidR="003432BC" w:rsidRPr="00BB452B">
        <w:t>84</w:t>
      </w:r>
      <w:r w:rsidR="00A01F21" w:rsidRPr="00BB452B">
        <w:t xml:space="preserve"> </w:t>
      </w:r>
      <w:r w:rsidRPr="00BB452B">
        <w:t>of 202</w:t>
      </w:r>
      <w:r w:rsidR="00786242" w:rsidRPr="00BB452B">
        <w:t>1</w:t>
      </w:r>
      <w:r w:rsidRPr="00BB452B">
        <w:t>.</w:t>
      </w:r>
    </w:p>
    <w:p w14:paraId="7D1B5326" w14:textId="77777777" w:rsidR="00E40F4A" w:rsidRPr="00BB452B" w:rsidRDefault="00E40F4A" w:rsidP="00E40F4A">
      <w:pPr>
        <w:rPr>
          <w:b/>
        </w:rPr>
      </w:pPr>
      <w:r w:rsidRPr="00BB452B">
        <w:rPr>
          <w:b/>
        </w:rPr>
        <w:t>Section 2</w:t>
      </w:r>
      <w:r w:rsidRPr="00BB452B">
        <w:rPr>
          <w:b/>
        </w:rPr>
        <w:tab/>
        <w:t>Commencement</w:t>
      </w:r>
    </w:p>
    <w:p w14:paraId="1C51C215" w14:textId="5ECDF522" w:rsidR="00E40F4A" w:rsidRPr="00BB452B" w:rsidRDefault="00621B3F" w:rsidP="00E40F4A">
      <w:pPr>
        <w:rPr>
          <w:b/>
        </w:rPr>
      </w:pPr>
      <w:r w:rsidRPr="00BB452B">
        <w:t xml:space="preserve">This section provides that the Determination commences </w:t>
      </w:r>
      <w:r w:rsidR="00786242" w:rsidRPr="00BB452B">
        <w:t>on 1</w:t>
      </w:r>
      <w:r w:rsidR="00F77461" w:rsidRPr="00BB452B">
        <w:t>6</w:t>
      </w:r>
      <w:r w:rsidR="00786242" w:rsidRPr="00BB452B">
        <w:t xml:space="preserve"> </w:t>
      </w:r>
      <w:r w:rsidR="0090018B" w:rsidRPr="00BB452B">
        <w:t>August</w:t>
      </w:r>
      <w:r w:rsidR="00786242" w:rsidRPr="00BB452B">
        <w:t xml:space="preserve"> 2021</w:t>
      </w:r>
      <w:r w:rsidRPr="00BB452B">
        <w:t>.</w:t>
      </w:r>
    </w:p>
    <w:p w14:paraId="078F5B0D" w14:textId="77777777" w:rsidR="00E40F4A" w:rsidRPr="00BB452B" w:rsidRDefault="00E40F4A" w:rsidP="00E40F4A">
      <w:pPr>
        <w:rPr>
          <w:b/>
        </w:rPr>
      </w:pPr>
      <w:r w:rsidRPr="00BB452B">
        <w:rPr>
          <w:b/>
        </w:rPr>
        <w:t>Section 3</w:t>
      </w:r>
      <w:r w:rsidRPr="00BB452B">
        <w:rPr>
          <w:b/>
        </w:rPr>
        <w:tab/>
        <w:t>Authority</w:t>
      </w:r>
    </w:p>
    <w:p w14:paraId="21A4B6C6" w14:textId="6E065825" w:rsidR="00E40F4A" w:rsidRPr="00BB452B" w:rsidRDefault="00621B3F" w:rsidP="00E40F4A">
      <w:r w:rsidRPr="00BB452B">
        <w:t xml:space="preserve">This section provides that the Determination is made under subsection 89A(3) of the </w:t>
      </w:r>
      <w:r w:rsidRPr="00BB452B">
        <w:rPr>
          <w:i/>
        </w:rPr>
        <w:t>National</w:t>
      </w:r>
      <w:r w:rsidR="0085161E" w:rsidRPr="00BB452B">
        <w:rPr>
          <w:i/>
        </w:rPr>
        <w:t> </w:t>
      </w:r>
      <w:r w:rsidRPr="00BB452B">
        <w:rPr>
          <w:i/>
        </w:rPr>
        <w:t>Health</w:t>
      </w:r>
      <w:r w:rsidR="0085161E" w:rsidRPr="00BB452B">
        <w:rPr>
          <w:i/>
        </w:rPr>
        <w:t> </w:t>
      </w:r>
      <w:r w:rsidRPr="00BB452B">
        <w:rPr>
          <w:i/>
        </w:rPr>
        <w:t>Act</w:t>
      </w:r>
      <w:r w:rsidR="0085161E" w:rsidRPr="00BB452B">
        <w:rPr>
          <w:i/>
        </w:rPr>
        <w:t> </w:t>
      </w:r>
      <w:r w:rsidRPr="00BB452B">
        <w:rPr>
          <w:i/>
        </w:rPr>
        <w:t>1953</w:t>
      </w:r>
      <w:r w:rsidRPr="00BB452B">
        <w:t>.</w:t>
      </w:r>
    </w:p>
    <w:p w14:paraId="4704947C" w14:textId="77777777" w:rsidR="00E40F4A" w:rsidRPr="00BB452B" w:rsidRDefault="00E40F4A" w:rsidP="00E40F4A">
      <w:pPr>
        <w:rPr>
          <w:b/>
        </w:rPr>
      </w:pPr>
      <w:r w:rsidRPr="00BB452B">
        <w:rPr>
          <w:b/>
        </w:rPr>
        <w:t>Section 4</w:t>
      </w:r>
      <w:r w:rsidRPr="00BB452B">
        <w:rPr>
          <w:b/>
        </w:rPr>
        <w:tab/>
        <w:t>Definitions</w:t>
      </w:r>
    </w:p>
    <w:p w14:paraId="15C128A0" w14:textId="77777777" w:rsidR="00E40F4A" w:rsidRPr="00BB452B" w:rsidRDefault="004839D9" w:rsidP="00E40F4A">
      <w:r w:rsidRPr="00BB452B">
        <w:t>This section contains defined terms used in the Determination.</w:t>
      </w:r>
    </w:p>
    <w:p w14:paraId="2E4031DB" w14:textId="77777777" w:rsidR="00E40F4A" w:rsidRPr="00BB452B" w:rsidRDefault="00E40F4A" w:rsidP="00E40F4A">
      <w:pPr>
        <w:ind w:left="1440" w:hanging="1440"/>
        <w:rPr>
          <w:b/>
        </w:rPr>
      </w:pPr>
      <w:r w:rsidRPr="00BB452B">
        <w:rPr>
          <w:b/>
        </w:rPr>
        <w:t>Section 5</w:t>
      </w:r>
      <w:r w:rsidRPr="00BB452B">
        <w:rPr>
          <w:b/>
        </w:rPr>
        <w:tab/>
        <w:t>Supply of pharmaceutical benefits by approved pharmacist without prescription</w:t>
      </w:r>
    </w:p>
    <w:p w14:paraId="6FC56D15" w14:textId="4CA8F5C3" w:rsidR="00A42977" w:rsidRPr="00BB452B" w:rsidRDefault="00A42977" w:rsidP="00443C53">
      <w:pPr>
        <w:spacing w:after="0"/>
      </w:pPr>
      <w:r w:rsidRPr="00BB452B">
        <w:t>This section</w:t>
      </w:r>
      <w:r w:rsidRPr="00BB452B">
        <w:rPr>
          <w:b/>
        </w:rPr>
        <w:t xml:space="preserve"> </w:t>
      </w:r>
      <w:r w:rsidRPr="00BB452B">
        <w:t>permits a</w:t>
      </w:r>
      <w:r w:rsidR="00BD60E4" w:rsidRPr="00BB452B">
        <w:t>n approved</w:t>
      </w:r>
      <w:r w:rsidRPr="00BB452B">
        <w:t xml:space="preserve"> pharmacist</w:t>
      </w:r>
      <w:r w:rsidR="00E75245" w:rsidRPr="00BB452B">
        <w:t xml:space="preserve"> </w:t>
      </w:r>
      <w:r w:rsidRPr="00BB452B">
        <w:t>to supply a substitute pharmaceutical benefit when the prescribed</w:t>
      </w:r>
      <w:r w:rsidR="00BD60E4" w:rsidRPr="00BB452B">
        <w:t xml:space="preserve"> pharmaceutical benefit</w:t>
      </w:r>
      <w:r w:rsidRPr="00BB452B">
        <w:t xml:space="preserve"> is subject to a</w:t>
      </w:r>
      <w:r w:rsidR="00443C53" w:rsidRPr="00BB452B">
        <w:t xml:space="preserve"> Serious Scarcity Substitution Instrument (SSSI)</w:t>
      </w:r>
      <w:r w:rsidRPr="00BB452B">
        <w:t>:</w:t>
      </w:r>
    </w:p>
    <w:p w14:paraId="03F6A642" w14:textId="77777777" w:rsidR="00A42977" w:rsidRPr="00BB452B" w:rsidRDefault="00A42977" w:rsidP="00443C53">
      <w:pPr>
        <w:pStyle w:val="ListParagraph"/>
        <w:numPr>
          <w:ilvl w:val="0"/>
          <w:numId w:val="1"/>
        </w:numPr>
        <w:spacing w:after="0"/>
      </w:pPr>
      <w:r w:rsidRPr="00BB452B">
        <w:t xml:space="preserve">to a person with a </w:t>
      </w:r>
      <w:r w:rsidR="00BC605C" w:rsidRPr="00BB452B">
        <w:t xml:space="preserve">PBS </w:t>
      </w:r>
      <w:r w:rsidRPr="00BB452B">
        <w:t xml:space="preserve">prescription for a </w:t>
      </w:r>
      <w:r w:rsidR="00BC605C" w:rsidRPr="00BB452B">
        <w:t>pharmaceutical benefit</w:t>
      </w:r>
      <w:r w:rsidRPr="00BB452B">
        <w:t xml:space="preserve"> </w:t>
      </w:r>
      <w:r w:rsidR="00786242" w:rsidRPr="00BB452B">
        <w:t>and the approved pharmacist cannot supply the pharmaceutical benefit</w:t>
      </w:r>
      <w:r w:rsidRPr="00BB452B">
        <w:t>;</w:t>
      </w:r>
    </w:p>
    <w:p w14:paraId="2854ED8C" w14:textId="516022F1" w:rsidR="00A42977" w:rsidRPr="00BB452B" w:rsidRDefault="00A42977" w:rsidP="00A42977">
      <w:pPr>
        <w:pStyle w:val="ListParagraph"/>
        <w:numPr>
          <w:ilvl w:val="0"/>
          <w:numId w:val="1"/>
        </w:numPr>
      </w:pPr>
      <w:r w:rsidRPr="00BB452B">
        <w:t>where it is not practicable to obtain a prescription from a PBS prescriber for a substitute drug before the person needs the supply of the prescribed</w:t>
      </w:r>
      <w:r w:rsidR="00443C53" w:rsidRPr="00BB452B">
        <w:t xml:space="preserve"> pharmaceutical</w:t>
      </w:r>
      <w:r w:rsidRPr="00BB452B">
        <w:t xml:space="preserve"> </w:t>
      </w:r>
      <w:r w:rsidR="00A83AA2" w:rsidRPr="00BB452B">
        <w:t>benefit</w:t>
      </w:r>
      <w:r w:rsidRPr="00BB452B">
        <w:t>;</w:t>
      </w:r>
    </w:p>
    <w:p w14:paraId="5D29D6D8" w14:textId="102C11BB" w:rsidR="00A42977" w:rsidRPr="00BB452B" w:rsidRDefault="00786242" w:rsidP="00F91DA2">
      <w:pPr>
        <w:pStyle w:val="ListParagraph"/>
        <w:numPr>
          <w:ilvl w:val="0"/>
          <w:numId w:val="1"/>
        </w:numPr>
      </w:pPr>
      <w:r w:rsidRPr="00BB452B">
        <w:t xml:space="preserve">where </w:t>
      </w:r>
      <w:r w:rsidR="00F91DA2" w:rsidRPr="00BB452B">
        <w:t xml:space="preserve">the substitute benefit may be dispensed in accordance with section 30EL of the </w:t>
      </w:r>
      <w:r w:rsidR="00F91DA2" w:rsidRPr="00BB452B">
        <w:rPr>
          <w:i/>
        </w:rPr>
        <w:t>Therapeutic Goods Act 1989</w:t>
      </w:r>
      <w:r w:rsidR="00A42977" w:rsidRPr="00BB452B">
        <w:t>; and</w:t>
      </w:r>
    </w:p>
    <w:p w14:paraId="29240525" w14:textId="7ED33C16" w:rsidR="00F555FF" w:rsidRPr="00BB452B" w:rsidRDefault="00035DB3" w:rsidP="002578C6">
      <w:pPr>
        <w:pStyle w:val="ListParagraph"/>
        <w:numPr>
          <w:ilvl w:val="0"/>
          <w:numId w:val="1"/>
        </w:numPr>
      </w:pPr>
      <w:r w:rsidRPr="00BB452B">
        <w:t xml:space="preserve">where the pharmacist has enabled the person to make an informed choice by </w:t>
      </w:r>
      <w:r w:rsidR="00F555FF" w:rsidRPr="00BB452B">
        <w:t>telling</w:t>
      </w:r>
      <w:r w:rsidRPr="00BB452B">
        <w:t xml:space="preserve"> the person presenting the script if the supply of the substituted </w:t>
      </w:r>
      <w:r w:rsidR="001C7FED" w:rsidRPr="00BB452B">
        <w:t xml:space="preserve">pharmaceutical </w:t>
      </w:r>
      <w:r w:rsidR="00E60D4B" w:rsidRPr="00BB452B">
        <w:t xml:space="preserve">benefit </w:t>
      </w:r>
      <w:r w:rsidRPr="00BB452B">
        <w:t>under the Determination costs the person more than the supply of the</w:t>
      </w:r>
      <w:r w:rsidR="001C7FED" w:rsidRPr="00BB452B">
        <w:t xml:space="preserve"> pre</w:t>
      </w:r>
      <w:r w:rsidR="006403D3" w:rsidRPr="00BB452B">
        <w:t>s</w:t>
      </w:r>
      <w:r w:rsidR="001C7FED" w:rsidRPr="00BB452B">
        <w:t>cribed pharmaceutical benefit</w:t>
      </w:r>
      <w:r w:rsidR="00786242" w:rsidRPr="00BB452B">
        <w:t>, and</w:t>
      </w:r>
      <w:r w:rsidRPr="00BB452B">
        <w:t xml:space="preserve"> the </w:t>
      </w:r>
      <w:r w:rsidR="00786242" w:rsidRPr="00BB452B">
        <w:t xml:space="preserve">cost of </w:t>
      </w:r>
      <w:r w:rsidRPr="00BB452B">
        <w:t xml:space="preserve">supply of the substituted drug as a private prescription. </w:t>
      </w:r>
    </w:p>
    <w:p w14:paraId="65E62CC3" w14:textId="77777777" w:rsidR="00F555FF" w:rsidRPr="00BB452B" w:rsidRDefault="00F555FF" w:rsidP="00786242">
      <w:r w:rsidRPr="00BB452B">
        <w:t>The above cost disclosure condition requires an approved pharmacist</w:t>
      </w:r>
      <w:r w:rsidR="00E75245" w:rsidRPr="00BB452B">
        <w:t xml:space="preserve"> </w:t>
      </w:r>
      <w:r w:rsidRPr="00BB452B">
        <w:t>to enable the consumer to make an informed decision</w:t>
      </w:r>
      <w:r w:rsidR="002578C6" w:rsidRPr="00BB452B">
        <w:t xml:space="preserve"> before proceeding with the substituted supply</w:t>
      </w:r>
      <w:r w:rsidRPr="00BB452B">
        <w:t>:</w:t>
      </w:r>
    </w:p>
    <w:p w14:paraId="4A502A41" w14:textId="77777777" w:rsidR="00F555FF" w:rsidRPr="00BB452B" w:rsidRDefault="00F555FF" w:rsidP="00AC708D">
      <w:pPr>
        <w:pStyle w:val="ListParagraph"/>
        <w:numPr>
          <w:ilvl w:val="0"/>
          <w:numId w:val="4"/>
        </w:numPr>
      </w:pPr>
      <w:r w:rsidRPr="00BB452B">
        <w:t xml:space="preserve">if the cost to the consumer of being supplied the </w:t>
      </w:r>
      <w:r w:rsidR="001C7FED" w:rsidRPr="00BB452B">
        <w:t>s</w:t>
      </w:r>
      <w:r w:rsidRPr="00BB452B">
        <w:t xml:space="preserve">ubstituted </w:t>
      </w:r>
      <w:r w:rsidR="001C7FED" w:rsidRPr="00BB452B">
        <w:t>pharmaceutical benefit</w:t>
      </w:r>
      <w:r w:rsidRPr="00BB452B">
        <w:t xml:space="preserve"> under the proposed Determination exceeded the cost to the </w:t>
      </w:r>
      <w:r w:rsidR="002578C6" w:rsidRPr="00BB452B">
        <w:t>consumer</w:t>
      </w:r>
      <w:r w:rsidRPr="00BB452B">
        <w:t xml:space="preserve"> of being </w:t>
      </w:r>
      <w:r w:rsidRPr="00BB452B">
        <w:lastRenderedPageBreak/>
        <w:t xml:space="preserve">supplied the </w:t>
      </w:r>
      <w:r w:rsidR="001C7FED" w:rsidRPr="00BB452B">
        <w:t>p</w:t>
      </w:r>
      <w:r w:rsidRPr="00BB452B">
        <w:t xml:space="preserve">rescribed </w:t>
      </w:r>
      <w:r w:rsidR="001C7FED" w:rsidRPr="00BB452B">
        <w:t xml:space="preserve">pharmaceutical benefit </w:t>
      </w:r>
      <w:r w:rsidRPr="00BB452B">
        <w:t>– that fact, and the difference in cost; and</w:t>
      </w:r>
    </w:p>
    <w:p w14:paraId="0071CB4C" w14:textId="77777777" w:rsidR="00F555FF" w:rsidRPr="00BB452B" w:rsidRDefault="00F555FF" w:rsidP="00AC708D">
      <w:pPr>
        <w:pStyle w:val="ListParagraph"/>
        <w:numPr>
          <w:ilvl w:val="0"/>
          <w:numId w:val="4"/>
        </w:numPr>
      </w:pPr>
      <w:r w:rsidRPr="00BB452B">
        <w:t xml:space="preserve">if the cost to the </w:t>
      </w:r>
      <w:r w:rsidR="001C7FED" w:rsidRPr="00BB452B">
        <w:t>consumer of being supplied the s</w:t>
      </w:r>
      <w:r w:rsidRPr="00BB452B">
        <w:t xml:space="preserve">ubstituted </w:t>
      </w:r>
      <w:r w:rsidR="001C7FED" w:rsidRPr="00BB452B">
        <w:t>pharmaceutical benefit</w:t>
      </w:r>
      <w:r w:rsidRPr="00BB452B">
        <w:t xml:space="preserve"> under the proposed Determination exceeded the cost to the </w:t>
      </w:r>
      <w:r w:rsidR="002578C6" w:rsidRPr="00BB452B">
        <w:t>consumer</w:t>
      </w:r>
      <w:r w:rsidRPr="00BB452B">
        <w:t xml:space="preserve"> of purchasing the </w:t>
      </w:r>
      <w:r w:rsidR="001C7FED" w:rsidRPr="00BB452B">
        <w:t>s</w:t>
      </w:r>
      <w:r w:rsidRPr="00BB452B">
        <w:t xml:space="preserve">ubstituted </w:t>
      </w:r>
      <w:r w:rsidR="001C7FED" w:rsidRPr="00BB452B">
        <w:t>d</w:t>
      </w:r>
      <w:r w:rsidRPr="00BB452B">
        <w:t>rug/s from the pharmacist as a private script – that fact, and the difference in cost.</w:t>
      </w:r>
    </w:p>
    <w:p w14:paraId="2890C142" w14:textId="77777777" w:rsidR="00E40F4A" w:rsidRPr="00BB452B" w:rsidRDefault="00A42977" w:rsidP="00786242">
      <w:r w:rsidRPr="00BB452B">
        <w:t xml:space="preserve">The approved pharmacist is required to record the information justifying supply of the substitute pharmaceutical benefit and to notify the relevant PBS prescriber of the </w:t>
      </w:r>
      <w:r w:rsidR="003B2A6B" w:rsidRPr="00BB452B">
        <w:t xml:space="preserve">details of the </w:t>
      </w:r>
      <w:r w:rsidRPr="00BB452B">
        <w:t>substitution in the manner specified in the Determination.</w:t>
      </w:r>
    </w:p>
    <w:p w14:paraId="6F2D9B23" w14:textId="640725DE" w:rsidR="001B037F" w:rsidRPr="00BB452B" w:rsidRDefault="00786242" w:rsidP="00F91DA2">
      <w:r w:rsidRPr="00BB452B">
        <w:t>From 1</w:t>
      </w:r>
      <w:r w:rsidR="00F77461" w:rsidRPr="00BB452B">
        <w:t>6</w:t>
      </w:r>
      <w:r w:rsidRPr="00BB452B">
        <w:t xml:space="preserve"> </w:t>
      </w:r>
      <w:r w:rsidR="00CA4C1F" w:rsidRPr="00BB452B">
        <w:t xml:space="preserve">August </w:t>
      </w:r>
      <w:r w:rsidRPr="00BB452B">
        <w:t>2021</w:t>
      </w:r>
      <w:r w:rsidR="001B037F" w:rsidRPr="00BB452B">
        <w:t xml:space="preserve"> and until the TGA revokes its SSSI</w:t>
      </w:r>
      <w:r w:rsidRPr="00BB452B">
        <w:t xml:space="preserve">, </w:t>
      </w:r>
      <w:r w:rsidR="001B037F" w:rsidRPr="00BB452B">
        <w:t>the following substitutions of pharmaceutical benefits is permitted under subsection 89A3 of the Act.</w:t>
      </w:r>
    </w:p>
    <w:tbl>
      <w:tblPr>
        <w:tblStyle w:val="TableGrid"/>
        <w:tblW w:w="9067" w:type="dxa"/>
        <w:tblLook w:val="04A0" w:firstRow="1" w:lastRow="0" w:firstColumn="1" w:lastColumn="0" w:noHBand="0" w:noVBand="1"/>
      </w:tblPr>
      <w:tblGrid>
        <w:gridCol w:w="4531"/>
        <w:gridCol w:w="4536"/>
      </w:tblGrid>
      <w:tr w:rsidR="001B037F" w:rsidRPr="00BB452B" w14:paraId="00AD2B06" w14:textId="77777777" w:rsidTr="003A6AC5">
        <w:tc>
          <w:tcPr>
            <w:tcW w:w="4531" w:type="dxa"/>
          </w:tcPr>
          <w:p w14:paraId="5135EF91" w14:textId="77777777" w:rsidR="001B037F" w:rsidRPr="00BB452B" w:rsidRDefault="001B037F" w:rsidP="001E07B3">
            <w:pPr>
              <w:tabs>
                <w:tab w:val="left" w:pos="3544"/>
              </w:tabs>
              <w:rPr>
                <w:b/>
                <w:bCs/>
              </w:rPr>
            </w:pPr>
            <w:r w:rsidRPr="00BB452B">
              <w:rPr>
                <w:rFonts w:eastAsiaTheme="minorHAnsi"/>
                <w:b/>
                <w:bCs/>
                <w:color w:val="000000" w:themeColor="text1"/>
                <w:lang w:eastAsia="en-US"/>
              </w:rPr>
              <w:t>Pharmaceutical benefit in shortage</w:t>
            </w:r>
          </w:p>
        </w:tc>
        <w:tc>
          <w:tcPr>
            <w:tcW w:w="4536" w:type="dxa"/>
          </w:tcPr>
          <w:p w14:paraId="1D34765A" w14:textId="77777777" w:rsidR="001B037F" w:rsidRPr="00BB452B" w:rsidRDefault="001B037F" w:rsidP="001E07B3">
            <w:pPr>
              <w:tabs>
                <w:tab w:val="left" w:pos="3544"/>
              </w:tabs>
              <w:rPr>
                <w:b/>
                <w:bCs/>
              </w:rPr>
            </w:pPr>
            <w:r w:rsidRPr="00BB452B">
              <w:rPr>
                <w:b/>
                <w:bCs/>
              </w:rPr>
              <w:t>Approved substitute benefit</w:t>
            </w:r>
          </w:p>
        </w:tc>
      </w:tr>
      <w:tr w:rsidR="001B037F" w:rsidRPr="00BB452B" w14:paraId="79E472FA" w14:textId="77777777" w:rsidTr="001B037F">
        <w:tc>
          <w:tcPr>
            <w:tcW w:w="4531" w:type="dxa"/>
          </w:tcPr>
          <w:p w14:paraId="0F6103A7" w14:textId="09897671" w:rsidR="001B037F" w:rsidRPr="00BB452B" w:rsidRDefault="001B037F" w:rsidP="001E07B3">
            <w:pPr>
              <w:tabs>
                <w:tab w:val="left" w:pos="3544"/>
              </w:tabs>
              <w:rPr>
                <w:szCs w:val="24"/>
              </w:rPr>
            </w:pPr>
            <w:r w:rsidRPr="00BB452B">
              <w:t>Tocilizumab</w:t>
            </w:r>
            <w:r w:rsidRPr="00BB452B">
              <w:rPr>
                <w:szCs w:val="24"/>
              </w:rPr>
              <w:t>, injection 162 mg in 0.9 mL single use pre-filled syringe</w:t>
            </w:r>
          </w:p>
          <w:p w14:paraId="17D5C801" w14:textId="710400A1" w:rsidR="001B037F" w:rsidRPr="00BB452B" w:rsidRDefault="001B037F" w:rsidP="001E07B3">
            <w:pPr>
              <w:tabs>
                <w:tab w:val="left" w:pos="3544"/>
              </w:tabs>
              <w:rPr>
                <w:szCs w:val="24"/>
              </w:rPr>
            </w:pPr>
            <w:r w:rsidRPr="00BB452B">
              <w:t>Actemra Subcutaneous Injection</w:t>
            </w:r>
          </w:p>
        </w:tc>
        <w:tc>
          <w:tcPr>
            <w:tcW w:w="4536" w:type="dxa"/>
          </w:tcPr>
          <w:p w14:paraId="1DA8FB3C" w14:textId="0B4038B1" w:rsidR="001B037F" w:rsidRPr="00BB452B" w:rsidRDefault="001B037F" w:rsidP="001E07B3">
            <w:pPr>
              <w:tabs>
                <w:tab w:val="left" w:pos="3544"/>
              </w:tabs>
              <w:rPr>
                <w:szCs w:val="24"/>
              </w:rPr>
            </w:pPr>
            <w:r w:rsidRPr="00BB452B">
              <w:t>Tocilizumab</w:t>
            </w:r>
            <w:r w:rsidRPr="00BB452B">
              <w:rPr>
                <w:szCs w:val="24"/>
              </w:rPr>
              <w:t xml:space="preserve">, </w:t>
            </w:r>
            <w:r w:rsidRPr="00BB452B">
              <w:rPr>
                <w:rStyle w:val="form-strength"/>
                <w:szCs w:val="24"/>
                <w:bdr w:val="none" w:sz="0" w:space="0" w:color="auto" w:frame="1"/>
                <w:shd w:val="clear" w:color="auto" w:fill="FFFFFF"/>
              </w:rPr>
              <w:t xml:space="preserve">injection 162 mg in 0.9 mL single use pre-filled pen </w:t>
            </w:r>
          </w:p>
          <w:p w14:paraId="76BADE06" w14:textId="74416280" w:rsidR="001B037F" w:rsidRPr="00BB452B" w:rsidRDefault="001B037F" w:rsidP="001E07B3">
            <w:pPr>
              <w:tabs>
                <w:tab w:val="left" w:pos="3544"/>
              </w:tabs>
              <w:rPr>
                <w:szCs w:val="24"/>
              </w:rPr>
            </w:pPr>
            <w:r w:rsidRPr="00BB452B">
              <w:t xml:space="preserve">Actemra </w:t>
            </w:r>
            <w:proofErr w:type="spellStart"/>
            <w:r w:rsidRPr="00BB452B">
              <w:t>ACTPen</w:t>
            </w:r>
            <w:proofErr w:type="spellEnd"/>
          </w:p>
        </w:tc>
      </w:tr>
      <w:tr w:rsidR="001B037F" w:rsidRPr="00BB452B" w14:paraId="3045792E" w14:textId="77777777" w:rsidTr="001B037F">
        <w:tc>
          <w:tcPr>
            <w:tcW w:w="4531" w:type="dxa"/>
          </w:tcPr>
          <w:p w14:paraId="038EACD2" w14:textId="03F2D1B5" w:rsidR="001B037F" w:rsidRPr="00BB452B" w:rsidRDefault="001B037F" w:rsidP="001E07B3">
            <w:pPr>
              <w:tabs>
                <w:tab w:val="left" w:pos="3544"/>
              </w:tabs>
              <w:rPr>
                <w:szCs w:val="24"/>
              </w:rPr>
            </w:pPr>
            <w:r w:rsidRPr="00BB452B">
              <w:t>Tocilizumab</w:t>
            </w:r>
            <w:r w:rsidRPr="00BB452B">
              <w:rPr>
                <w:szCs w:val="24"/>
              </w:rPr>
              <w:t xml:space="preserve">, </w:t>
            </w:r>
            <w:r w:rsidRPr="00BB452B">
              <w:rPr>
                <w:rStyle w:val="form-strength"/>
                <w:color w:val="222222"/>
                <w:szCs w:val="24"/>
                <w:bdr w:val="none" w:sz="0" w:space="0" w:color="auto" w:frame="1"/>
                <w:shd w:val="clear" w:color="auto" w:fill="FFFFFF"/>
              </w:rPr>
              <w:t xml:space="preserve">injection 162 mg in 0.9 mL single use pre-filled pen </w:t>
            </w:r>
          </w:p>
          <w:p w14:paraId="1388B3C2" w14:textId="3EDAC7A1" w:rsidR="001B037F" w:rsidRPr="00BB452B" w:rsidRDefault="001B037F" w:rsidP="001E07B3">
            <w:pPr>
              <w:tabs>
                <w:tab w:val="left" w:pos="3544"/>
              </w:tabs>
              <w:rPr>
                <w:szCs w:val="24"/>
              </w:rPr>
            </w:pPr>
            <w:r w:rsidRPr="00BB452B">
              <w:t xml:space="preserve">Actemra </w:t>
            </w:r>
            <w:proofErr w:type="spellStart"/>
            <w:r w:rsidRPr="00BB452B">
              <w:t>ACTPen</w:t>
            </w:r>
            <w:proofErr w:type="spellEnd"/>
          </w:p>
        </w:tc>
        <w:tc>
          <w:tcPr>
            <w:tcW w:w="4536" w:type="dxa"/>
          </w:tcPr>
          <w:p w14:paraId="1A950337" w14:textId="2378B091" w:rsidR="001B037F" w:rsidRPr="00BB452B" w:rsidRDefault="001B037F" w:rsidP="001E07B3">
            <w:pPr>
              <w:tabs>
                <w:tab w:val="left" w:pos="3544"/>
              </w:tabs>
              <w:rPr>
                <w:szCs w:val="24"/>
              </w:rPr>
            </w:pPr>
            <w:r w:rsidRPr="00BB452B">
              <w:t>Tocilizumab</w:t>
            </w:r>
            <w:r w:rsidRPr="00BB452B">
              <w:rPr>
                <w:szCs w:val="24"/>
              </w:rPr>
              <w:t>, injection 162 mg in 0.9 mL single use pre-filled syringe</w:t>
            </w:r>
          </w:p>
          <w:p w14:paraId="61A92035" w14:textId="572F6DCD" w:rsidR="001B037F" w:rsidRPr="00BB452B" w:rsidRDefault="001B037F" w:rsidP="001E07B3">
            <w:pPr>
              <w:tabs>
                <w:tab w:val="left" w:pos="3544"/>
              </w:tabs>
              <w:rPr>
                <w:rStyle w:val="drug-name"/>
                <w:color w:val="222222"/>
                <w:szCs w:val="24"/>
                <w:bdr w:val="none" w:sz="0" w:space="0" w:color="auto" w:frame="1"/>
                <w:shd w:val="clear" w:color="auto" w:fill="FFFFFF"/>
              </w:rPr>
            </w:pPr>
            <w:r w:rsidRPr="00BB452B">
              <w:t>Actemra Subcutaneous Injection</w:t>
            </w:r>
          </w:p>
        </w:tc>
      </w:tr>
    </w:tbl>
    <w:p w14:paraId="00A5B585" w14:textId="77777777" w:rsidR="001B037F" w:rsidRPr="00BB452B" w:rsidRDefault="001B037F" w:rsidP="00F91DA2"/>
    <w:p w14:paraId="058DF00C" w14:textId="77777777" w:rsidR="00786242" w:rsidRPr="00BB452B" w:rsidRDefault="00786242">
      <w:pPr>
        <w:rPr>
          <w:rFonts w:eastAsia="Times New Roman"/>
          <w:b/>
          <w:bCs/>
          <w:color w:val="000000"/>
          <w:sz w:val="28"/>
          <w:szCs w:val="28"/>
          <w:lang w:eastAsia="en-AU"/>
        </w:rPr>
      </w:pPr>
      <w:r w:rsidRPr="00BB452B">
        <w:rPr>
          <w:rFonts w:eastAsia="Times New Roman"/>
          <w:b/>
          <w:bCs/>
          <w:color w:val="000000"/>
          <w:sz w:val="28"/>
          <w:szCs w:val="28"/>
          <w:lang w:eastAsia="en-AU"/>
        </w:rPr>
        <w:br w:type="page"/>
      </w:r>
    </w:p>
    <w:p w14:paraId="313EBDD9" w14:textId="77777777" w:rsidR="00E40F4A" w:rsidRPr="00BB452B" w:rsidRDefault="00E40F4A" w:rsidP="00E40F4A">
      <w:pPr>
        <w:shd w:val="clear" w:color="auto" w:fill="FFFFFF"/>
        <w:spacing w:before="120" w:after="120" w:line="240" w:lineRule="auto"/>
        <w:jc w:val="center"/>
        <w:rPr>
          <w:rFonts w:eastAsia="Times New Roman"/>
          <w:b/>
          <w:bCs/>
          <w:color w:val="000000"/>
          <w:sz w:val="28"/>
          <w:szCs w:val="28"/>
          <w:lang w:eastAsia="en-AU"/>
        </w:rPr>
      </w:pPr>
      <w:r w:rsidRPr="00BB452B">
        <w:rPr>
          <w:rFonts w:eastAsia="Times New Roman"/>
          <w:b/>
          <w:bCs/>
          <w:color w:val="000000"/>
          <w:sz w:val="28"/>
          <w:szCs w:val="28"/>
          <w:lang w:eastAsia="en-AU"/>
        </w:rPr>
        <w:lastRenderedPageBreak/>
        <w:t>Statement of Compatibility with Human Rights</w:t>
      </w:r>
    </w:p>
    <w:p w14:paraId="4F05FE3B" w14:textId="77777777" w:rsidR="00E40F4A" w:rsidRPr="00BB452B" w:rsidRDefault="00E40F4A" w:rsidP="001467A9">
      <w:pPr>
        <w:shd w:val="clear" w:color="auto" w:fill="FFFFFF"/>
        <w:spacing w:before="120" w:after="120" w:line="240" w:lineRule="auto"/>
        <w:rPr>
          <w:rFonts w:eastAsia="Times New Roman"/>
          <w:color w:val="000000"/>
          <w:lang w:eastAsia="en-AU"/>
        </w:rPr>
      </w:pPr>
      <w:r w:rsidRPr="00BB452B">
        <w:rPr>
          <w:rFonts w:eastAsia="Times New Roman"/>
          <w:i/>
          <w:iCs/>
          <w:color w:val="000000"/>
          <w:lang w:eastAsia="en-AU"/>
        </w:rPr>
        <w:t xml:space="preserve">Prepared in accordance with </w:t>
      </w:r>
      <w:r w:rsidR="005E3B12" w:rsidRPr="00BB452B">
        <w:rPr>
          <w:rFonts w:eastAsia="Times New Roman"/>
          <w:i/>
          <w:iCs/>
          <w:color w:val="000000"/>
          <w:lang w:eastAsia="en-AU"/>
        </w:rPr>
        <w:t>Part 3</w:t>
      </w:r>
      <w:r w:rsidRPr="00BB452B">
        <w:rPr>
          <w:rFonts w:eastAsia="Times New Roman"/>
          <w:i/>
          <w:iCs/>
          <w:color w:val="000000"/>
          <w:lang w:eastAsia="en-AU"/>
        </w:rPr>
        <w:t xml:space="preserve"> of the Human Rights (Parliamentary Scrutiny) Act 2011</w:t>
      </w:r>
    </w:p>
    <w:p w14:paraId="33F6F374" w14:textId="77777777" w:rsidR="001467A9" w:rsidRPr="00BB452B" w:rsidRDefault="00E40F4A" w:rsidP="001467A9">
      <w:pPr>
        <w:rPr>
          <w:b/>
          <w:i/>
        </w:rPr>
      </w:pPr>
      <w:r w:rsidRPr="00BB452B">
        <w:rPr>
          <w:b/>
          <w:i/>
        </w:rPr>
        <w:t>National Health (Pharmaceutical Benefits) (Pharmacist Substitution of Medicines without Prescription during Shortages) Determination 202</w:t>
      </w:r>
      <w:r w:rsidR="00301412" w:rsidRPr="00BB452B">
        <w:rPr>
          <w:b/>
          <w:i/>
        </w:rPr>
        <w:t>1</w:t>
      </w:r>
    </w:p>
    <w:p w14:paraId="23E670B3" w14:textId="77777777" w:rsidR="001467A9" w:rsidRPr="00BB452B" w:rsidRDefault="001467A9" w:rsidP="001467A9">
      <w:pPr>
        <w:shd w:val="clear" w:color="auto" w:fill="FFFFFF"/>
        <w:spacing w:after="120" w:line="240" w:lineRule="auto"/>
        <w:rPr>
          <w:rFonts w:eastAsia="Times New Roman"/>
          <w:color w:val="000000"/>
          <w:lang w:eastAsia="en-AU"/>
        </w:rPr>
      </w:pPr>
      <w:r w:rsidRPr="00BB452B">
        <w:rPr>
          <w:rFonts w:eastAsia="Times New Roman"/>
          <w:color w:val="000000"/>
          <w:lang w:eastAsia="en-AU"/>
        </w:rPr>
        <w:t xml:space="preserve">This </w:t>
      </w:r>
      <w:r w:rsidR="005E3B12" w:rsidRPr="00BB452B">
        <w:rPr>
          <w:rFonts w:eastAsia="Times New Roman"/>
          <w:color w:val="000000"/>
          <w:lang w:eastAsia="en-AU"/>
        </w:rPr>
        <w:t xml:space="preserve">Disallowable </w:t>
      </w:r>
      <w:r w:rsidRPr="00BB452B">
        <w:rPr>
          <w:rFonts w:eastAsia="Times New Roman"/>
          <w:color w:val="000000"/>
          <w:lang w:eastAsia="en-AU"/>
        </w:rPr>
        <w:t>legislative instrument is compatible with the human rights and freedoms recognised or declared in the international instruments listed in section 3 of the </w:t>
      </w:r>
      <w:r w:rsidRPr="00BB452B">
        <w:rPr>
          <w:rFonts w:eastAsia="Times New Roman"/>
          <w:i/>
          <w:iCs/>
          <w:color w:val="000000"/>
          <w:lang w:eastAsia="en-AU"/>
        </w:rPr>
        <w:t>Human Rights (Parliamentary Scrutiny) Act 2011</w:t>
      </w:r>
      <w:r w:rsidRPr="00BB452B">
        <w:rPr>
          <w:rFonts w:eastAsia="Times New Roman"/>
          <w:color w:val="000000"/>
          <w:lang w:eastAsia="en-AU"/>
        </w:rPr>
        <w:t>.</w:t>
      </w:r>
    </w:p>
    <w:p w14:paraId="5A7E4869" w14:textId="77777777" w:rsidR="001467A9" w:rsidRPr="00BB452B" w:rsidRDefault="001467A9" w:rsidP="001467A9">
      <w:pPr>
        <w:shd w:val="clear" w:color="auto" w:fill="FFFFFF"/>
        <w:spacing w:before="120" w:after="0" w:line="240" w:lineRule="auto"/>
        <w:jc w:val="center"/>
        <w:rPr>
          <w:rFonts w:eastAsia="Times New Roman"/>
          <w:color w:val="000000"/>
          <w:lang w:eastAsia="en-AU"/>
        </w:rPr>
      </w:pPr>
      <w:r w:rsidRPr="00BB452B">
        <w:rPr>
          <w:rFonts w:eastAsia="Times New Roman"/>
          <w:color w:val="000000"/>
          <w:sz w:val="20"/>
          <w:szCs w:val="20"/>
          <w:lang w:eastAsia="en-AU"/>
        </w:rPr>
        <w:t> </w:t>
      </w:r>
    </w:p>
    <w:p w14:paraId="39ACC5A0" w14:textId="77777777" w:rsidR="001467A9" w:rsidRPr="00BB452B" w:rsidRDefault="001467A9" w:rsidP="001467A9">
      <w:pPr>
        <w:shd w:val="clear" w:color="auto" w:fill="FFFFFF"/>
        <w:spacing w:after="120" w:line="240" w:lineRule="auto"/>
        <w:jc w:val="both"/>
        <w:rPr>
          <w:rFonts w:eastAsia="Times New Roman"/>
          <w:color w:val="000000"/>
          <w:lang w:eastAsia="en-AU"/>
        </w:rPr>
      </w:pPr>
      <w:r w:rsidRPr="00BB452B">
        <w:rPr>
          <w:rFonts w:eastAsia="Times New Roman"/>
          <w:b/>
          <w:bCs/>
          <w:color w:val="000000"/>
          <w:lang w:eastAsia="en-AU"/>
        </w:rPr>
        <w:t xml:space="preserve">Overview of the </w:t>
      </w:r>
      <w:r w:rsidR="005E3B12" w:rsidRPr="00BB452B">
        <w:rPr>
          <w:rFonts w:eastAsia="Times New Roman"/>
          <w:b/>
          <w:bCs/>
          <w:color w:val="000000"/>
          <w:lang w:eastAsia="en-AU"/>
        </w:rPr>
        <w:t xml:space="preserve">Disallowable </w:t>
      </w:r>
      <w:r w:rsidRPr="00BB452B">
        <w:rPr>
          <w:rFonts w:eastAsia="Times New Roman"/>
          <w:b/>
          <w:bCs/>
          <w:color w:val="000000"/>
          <w:lang w:eastAsia="en-AU"/>
        </w:rPr>
        <w:t>Legislative Instrument</w:t>
      </w:r>
    </w:p>
    <w:p w14:paraId="34267107" w14:textId="482F344E" w:rsidR="00211037" w:rsidRPr="00BB452B" w:rsidRDefault="001467A9" w:rsidP="00211037">
      <w:pPr>
        <w:rPr>
          <w:i/>
        </w:rPr>
      </w:pPr>
      <w:r w:rsidRPr="00BB452B">
        <w:rPr>
          <w:rFonts w:eastAsia="Times New Roman"/>
          <w:color w:val="000000"/>
          <w:lang w:eastAsia="en-AU"/>
        </w:rPr>
        <w:t>The purpose of this legislative instrument, made under subsection 89A(3) of the </w:t>
      </w:r>
      <w:r w:rsidRPr="00BB452B">
        <w:rPr>
          <w:rFonts w:eastAsia="Times New Roman"/>
          <w:i/>
          <w:iCs/>
          <w:color w:val="000000"/>
          <w:lang w:eastAsia="en-AU"/>
        </w:rPr>
        <w:t>National</w:t>
      </w:r>
      <w:r w:rsidR="003A6AC5" w:rsidRPr="00BB452B">
        <w:rPr>
          <w:rFonts w:eastAsia="Times New Roman"/>
          <w:i/>
          <w:iCs/>
          <w:color w:val="000000"/>
          <w:lang w:eastAsia="en-AU"/>
        </w:rPr>
        <w:t> </w:t>
      </w:r>
      <w:r w:rsidRPr="00BB452B">
        <w:rPr>
          <w:rFonts w:eastAsia="Times New Roman"/>
          <w:i/>
          <w:iCs/>
          <w:color w:val="000000"/>
          <w:lang w:eastAsia="en-AU"/>
        </w:rPr>
        <w:t>Health Act 1953</w:t>
      </w:r>
      <w:r w:rsidRPr="00BB452B">
        <w:rPr>
          <w:rFonts w:eastAsia="Times New Roman"/>
          <w:color w:val="000000"/>
          <w:lang w:eastAsia="en-AU"/>
        </w:rPr>
        <w:t> (the Act), is to</w:t>
      </w:r>
      <w:r w:rsidR="00211037" w:rsidRPr="00BB452B">
        <w:rPr>
          <w:rFonts w:eastAsia="Times New Roman"/>
          <w:color w:val="000000"/>
          <w:lang w:eastAsia="en-AU"/>
        </w:rPr>
        <w:t xml:space="preserve"> </w:t>
      </w:r>
      <w:r w:rsidR="00211037" w:rsidRPr="00BB452B">
        <w:t>permit a</w:t>
      </w:r>
      <w:r w:rsidR="00BC605C" w:rsidRPr="00BB452B">
        <w:t>n approved</w:t>
      </w:r>
      <w:r w:rsidR="00211037" w:rsidRPr="00BB452B">
        <w:t xml:space="preserve"> pharmacist</w:t>
      </w:r>
      <w:r w:rsidR="001C7FED" w:rsidRPr="00BB452B">
        <w:t xml:space="preserve"> </w:t>
      </w:r>
      <w:r w:rsidR="00211037" w:rsidRPr="00BB452B">
        <w:t>to supply a</w:t>
      </w:r>
      <w:r w:rsidR="003A6AC5" w:rsidRPr="00BB452B">
        <w:t> </w:t>
      </w:r>
      <w:r w:rsidR="00211037" w:rsidRPr="00BB452B">
        <w:t xml:space="preserve">substitute </w:t>
      </w:r>
      <w:r w:rsidR="00BC605C" w:rsidRPr="00BB452B">
        <w:t>pharmaceutical benefit</w:t>
      </w:r>
      <w:r w:rsidR="00211037" w:rsidRPr="00BB452B">
        <w:t xml:space="preserve"> when the prescribed </w:t>
      </w:r>
      <w:r w:rsidR="00BC605C" w:rsidRPr="00BB452B">
        <w:t>pharmaceutical benefit</w:t>
      </w:r>
      <w:r w:rsidR="00211037" w:rsidRPr="00BB452B">
        <w:t xml:space="preserve"> is subject to a Therapeutic Goods Administration (TGA) </w:t>
      </w:r>
      <w:r w:rsidR="003A6AC5" w:rsidRPr="00BB452B">
        <w:t>Serious Scarcity Substitution Instrument (SSSI)</w:t>
      </w:r>
      <w:r w:rsidR="00211037" w:rsidRPr="00BB452B">
        <w:t xml:space="preserve">. </w:t>
      </w:r>
      <w:r w:rsidR="00211037" w:rsidRPr="00BB452B">
        <w:rPr>
          <w:i/>
        </w:rPr>
        <w:t xml:space="preserve"> </w:t>
      </w:r>
    </w:p>
    <w:p w14:paraId="41CAF495" w14:textId="11CE4B3C" w:rsidR="00211037" w:rsidRPr="00BB452B" w:rsidRDefault="00211037" w:rsidP="003A6AC5">
      <w:pPr>
        <w:spacing w:after="0"/>
      </w:pPr>
      <w:r w:rsidRPr="00BB452B">
        <w:t xml:space="preserve">The supply of a substitute pharmaceutical benefit is authorised in situations where that </w:t>
      </w:r>
      <w:r w:rsidR="00274EED" w:rsidRPr="00BB452B">
        <w:t xml:space="preserve">where the substitute benefit may be dispensed in accordance with section 30EL of the </w:t>
      </w:r>
      <w:r w:rsidR="00274EED" w:rsidRPr="00BB452B">
        <w:rPr>
          <w:i/>
        </w:rPr>
        <w:t>Therapeutic</w:t>
      </w:r>
      <w:r w:rsidR="003A6AC5" w:rsidRPr="00BB452B">
        <w:rPr>
          <w:i/>
        </w:rPr>
        <w:t> </w:t>
      </w:r>
      <w:r w:rsidR="00274EED" w:rsidRPr="00BB452B">
        <w:rPr>
          <w:i/>
        </w:rPr>
        <w:t>Goods</w:t>
      </w:r>
      <w:r w:rsidR="003A6AC5" w:rsidRPr="00BB452B">
        <w:rPr>
          <w:i/>
        </w:rPr>
        <w:t> </w:t>
      </w:r>
      <w:r w:rsidR="00274EED" w:rsidRPr="00BB452B">
        <w:rPr>
          <w:i/>
        </w:rPr>
        <w:t>Act</w:t>
      </w:r>
      <w:r w:rsidR="003A6AC5" w:rsidRPr="00BB452B">
        <w:rPr>
          <w:i/>
        </w:rPr>
        <w:t> </w:t>
      </w:r>
      <w:r w:rsidR="00274EED" w:rsidRPr="00BB452B">
        <w:rPr>
          <w:i/>
        </w:rPr>
        <w:t>1989</w:t>
      </w:r>
      <w:r w:rsidR="00274EED" w:rsidRPr="00BB452B">
        <w:t xml:space="preserve"> and</w:t>
      </w:r>
      <w:r w:rsidRPr="00BB452B">
        <w:t>:</w:t>
      </w:r>
    </w:p>
    <w:p w14:paraId="2215C635" w14:textId="47E3FC2F" w:rsidR="00211037" w:rsidRPr="00BB452B" w:rsidRDefault="00211037" w:rsidP="003A6AC5">
      <w:pPr>
        <w:pStyle w:val="ListParagraph"/>
        <w:numPr>
          <w:ilvl w:val="0"/>
          <w:numId w:val="1"/>
        </w:numPr>
        <w:spacing w:after="0"/>
      </w:pPr>
      <w:r w:rsidRPr="00BB452B">
        <w:t xml:space="preserve">to a person with a </w:t>
      </w:r>
      <w:r w:rsidR="00BC605C" w:rsidRPr="00BB452B">
        <w:t xml:space="preserve">PBS </w:t>
      </w:r>
      <w:r w:rsidRPr="00BB452B">
        <w:t xml:space="preserve">prescription for a </w:t>
      </w:r>
      <w:r w:rsidR="00BC605C" w:rsidRPr="00BB452B">
        <w:t>pharmaceutical benefit</w:t>
      </w:r>
      <w:r w:rsidRPr="00BB452B">
        <w:t xml:space="preserve"> subject to </w:t>
      </w:r>
      <w:r w:rsidR="003B2A6B" w:rsidRPr="00BB452B">
        <w:t>the SS</w:t>
      </w:r>
      <w:r w:rsidR="003A6AC5" w:rsidRPr="00BB452B">
        <w:t>S</w:t>
      </w:r>
      <w:r w:rsidR="003B2A6B" w:rsidRPr="00BB452B">
        <w:t>M</w:t>
      </w:r>
      <w:r w:rsidR="003A6AC5" w:rsidRPr="00BB452B">
        <w:t>I</w:t>
      </w:r>
      <w:r w:rsidR="00301412" w:rsidRPr="00BB452B">
        <w:t xml:space="preserve"> and the approved pharmacist cannot supply the pharmaceutical benefit</w:t>
      </w:r>
      <w:r w:rsidRPr="00BB452B">
        <w:t>;</w:t>
      </w:r>
    </w:p>
    <w:p w14:paraId="13D38FC3" w14:textId="7A32C24E" w:rsidR="00301412" w:rsidRPr="00BB452B" w:rsidRDefault="00211037" w:rsidP="00274EED">
      <w:pPr>
        <w:pStyle w:val="ListParagraph"/>
        <w:numPr>
          <w:ilvl w:val="0"/>
          <w:numId w:val="1"/>
        </w:numPr>
      </w:pPr>
      <w:r w:rsidRPr="00BB452B">
        <w:t>where it is not practicable to obtain a prescription from a PBS prescriber for a substitute drug before the person needs the supply of the prescribed drug</w:t>
      </w:r>
      <w:r w:rsidR="00274EED" w:rsidRPr="00BB452B">
        <w:t>;</w:t>
      </w:r>
      <w:r w:rsidR="00301412" w:rsidRPr="00BB452B">
        <w:t xml:space="preserve"> and</w:t>
      </w:r>
    </w:p>
    <w:p w14:paraId="363EE59C" w14:textId="77777777" w:rsidR="00301412" w:rsidRPr="00BB452B" w:rsidRDefault="00301412" w:rsidP="00301412">
      <w:pPr>
        <w:pStyle w:val="ListParagraph"/>
        <w:numPr>
          <w:ilvl w:val="0"/>
          <w:numId w:val="1"/>
        </w:numPr>
      </w:pPr>
      <w:r w:rsidRPr="00BB452B">
        <w:t>where the pharmacist has enabled the person to make an informed choice about the cost of supply of the substituted drug as a pharmaceutical benefit or private prescription.</w:t>
      </w:r>
    </w:p>
    <w:p w14:paraId="25FB6D3C" w14:textId="77777777" w:rsidR="00E40F4A" w:rsidRPr="00BB452B" w:rsidRDefault="00211037" w:rsidP="00E40F4A">
      <w:pPr>
        <w:rPr>
          <w:b/>
        </w:rPr>
      </w:pPr>
      <w:r w:rsidRPr="00BB452B">
        <w:t>The approved pharmacist</w:t>
      </w:r>
      <w:r w:rsidR="001C7FED" w:rsidRPr="00BB452B">
        <w:t xml:space="preserve"> </w:t>
      </w:r>
      <w:r w:rsidRPr="00BB452B">
        <w:t xml:space="preserve">is required to record the information justifying supply of the substitute pharmaceutical benefit and to notify the relevant PBS prescriber of the </w:t>
      </w:r>
      <w:r w:rsidR="003B2A6B" w:rsidRPr="00BB452B">
        <w:t xml:space="preserve">details of the </w:t>
      </w:r>
      <w:r w:rsidRPr="00BB452B">
        <w:t>substitution in the manner specified in the Determination.</w:t>
      </w:r>
    </w:p>
    <w:p w14:paraId="399A6F4A" w14:textId="77777777" w:rsidR="001467A9" w:rsidRPr="00BB452B" w:rsidRDefault="001467A9" w:rsidP="001467A9">
      <w:pPr>
        <w:shd w:val="clear" w:color="auto" w:fill="FFFFFF"/>
        <w:spacing w:after="0" w:line="240" w:lineRule="auto"/>
        <w:rPr>
          <w:rFonts w:eastAsia="Times New Roman"/>
          <w:color w:val="000000"/>
          <w:lang w:eastAsia="en-AU"/>
        </w:rPr>
      </w:pPr>
      <w:r w:rsidRPr="00BB452B">
        <w:rPr>
          <w:rFonts w:eastAsia="Times New Roman"/>
          <w:b/>
          <w:bCs/>
          <w:color w:val="000000"/>
          <w:lang w:eastAsia="en-AU"/>
        </w:rPr>
        <w:t>Human rights implications</w:t>
      </w:r>
    </w:p>
    <w:p w14:paraId="74AC3136" w14:textId="77777777" w:rsidR="001467A9" w:rsidRPr="00BB452B" w:rsidRDefault="001467A9" w:rsidP="001467A9">
      <w:pPr>
        <w:shd w:val="clear" w:color="auto" w:fill="FFFFFF"/>
        <w:spacing w:before="120" w:after="180" w:line="240" w:lineRule="auto"/>
        <w:rPr>
          <w:rFonts w:eastAsia="Times New Roman"/>
          <w:color w:val="000000"/>
          <w:lang w:eastAsia="en-AU"/>
        </w:rPr>
      </w:pPr>
      <w:r w:rsidRPr="00BB452B">
        <w:rPr>
          <w:rFonts w:eastAsia="Times New Roman"/>
          <w:color w:val="000000"/>
          <w:lang w:val="en-GB" w:eastAsia="en-AU"/>
        </w:rPr>
        <w:t>The Determination engages Article 12 of the International Covenant on Economic, Social and Cultural Rights (ICESCR). The Determination assists in the progressive realisation by all appropriate means of the right of everyone to the enjoyment of the highest attainable standard of physical and mental health.</w:t>
      </w:r>
    </w:p>
    <w:p w14:paraId="0CE8E1D3" w14:textId="77777777" w:rsidR="001467A9" w:rsidRPr="00BB452B" w:rsidRDefault="001467A9" w:rsidP="001467A9">
      <w:pPr>
        <w:shd w:val="clear" w:color="auto" w:fill="FFFFFF"/>
        <w:spacing w:before="180" w:after="180" w:line="240" w:lineRule="auto"/>
        <w:rPr>
          <w:rFonts w:eastAsia="Times New Roman"/>
          <w:color w:val="000000"/>
          <w:lang w:eastAsia="en-AU"/>
        </w:rPr>
      </w:pPr>
      <w:r w:rsidRPr="00BB452B">
        <w:rPr>
          <w:rFonts w:eastAsia="Times New Roman"/>
          <w:color w:val="000000"/>
          <w:lang w:val="en-GB" w:eastAsia="en-AU"/>
        </w:rPr>
        <w:t>The Pharmaceutical Benefits Scheme (PBS) is a benefit scheme which assists with providing subsidised access for people to medicines. This is a positive and supportive step towards attaining the highest standard of health for all Australians. Efficient operational arrangements for the PBS support effective administration of the scheme. The Determination assists in the progressive realisation by all appropriate means of the right of everyone to the enjoyment of the highest attainable standard of physical and mental health.</w:t>
      </w:r>
    </w:p>
    <w:p w14:paraId="5D2C2335" w14:textId="77777777" w:rsidR="001467A9" w:rsidRPr="00BB452B" w:rsidRDefault="001467A9" w:rsidP="00301412">
      <w:pPr>
        <w:keepNext/>
        <w:keepLines/>
        <w:shd w:val="clear" w:color="auto" w:fill="FFFFFF"/>
        <w:spacing w:before="180" w:after="180" w:line="240" w:lineRule="auto"/>
        <w:rPr>
          <w:rFonts w:eastAsia="Times New Roman"/>
          <w:color w:val="000000"/>
          <w:lang w:eastAsia="en-AU"/>
        </w:rPr>
      </w:pPr>
      <w:r w:rsidRPr="00BB452B">
        <w:rPr>
          <w:rFonts w:eastAsia="Times New Roman"/>
          <w:b/>
          <w:bCs/>
          <w:color w:val="000000"/>
          <w:lang w:eastAsia="en-AU"/>
        </w:rPr>
        <w:lastRenderedPageBreak/>
        <w:t>Conclusion</w:t>
      </w:r>
    </w:p>
    <w:p w14:paraId="64EDA57B" w14:textId="226EA704" w:rsidR="001467A9" w:rsidRPr="00BB452B" w:rsidRDefault="001467A9" w:rsidP="00301412">
      <w:pPr>
        <w:keepNext/>
        <w:keepLines/>
        <w:shd w:val="clear" w:color="auto" w:fill="FFFFFF"/>
        <w:spacing w:before="120" w:after="240" w:line="240" w:lineRule="auto"/>
        <w:rPr>
          <w:rFonts w:eastAsia="Times New Roman"/>
          <w:color w:val="000000"/>
          <w:lang w:eastAsia="en-AU"/>
        </w:rPr>
      </w:pPr>
      <w:r w:rsidRPr="00BB452B">
        <w:rPr>
          <w:rFonts w:eastAsia="Times New Roman"/>
          <w:color w:val="000000"/>
          <w:lang w:eastAsia="en-AU"/>
        </w:rPr>
        <w:t xml:space="preserve">The Determination is compatible with human rights, as </w:t>
      </w:r>
      <w:r w:rsidR="00B4213E" w:rsidRPr="00BB452B">
        <w:rPr>
          <w:sz w:val="22"/>
          <w:szCs w:val="22"/>
        </w:rPr>
        <w:t>it promotes the protection of human rights.</w:t>
      </w:r>
      <w:r w:rsidRPr="00BB452B">
        <w:rPr>
          <w:rFonts w:eastAsia="Times New Roman"/>
          <w:color w:val="000000"/>
          <w:lang w:eastAsia="en-AU"/>
        </w:rPr>
        <w:t> </w:t>
      </w:r>
    </w:p>
    <w:p w14:paraId="0BF24597" w14:textId="54596162" w:rsidR="00E46E86" w:rsidRPr="00BB452B" w:rsidRDefault="002B0FE2" w:rsidP="00301412">
      <w:pPr>
        <w:keepNext/>
        <w:keepLines/>
        <w:shd w:val="clear" w:color="auto" w:fill="FFFFFF"/>
        <w:spacing w:after="0" w:line="240" w:lineRule="auto"/>
        <w:jc w:val="center"/>
        <w:rPr>
          <w:rFonts w:eastAsia="Times New Roman"/>
          <w:b/>
          <w:bCs/>
          <w:color w:val="000000"/>
          <w:lang w:eastAsia="en-AU"/>
        </w:rPr>
      </w:pPr>
      <w:r w:rsidRPr="00BB452B">
        <w:rPr>
          <w:rFonts w:eastAsia="Times New Roman"/>
          <w:b/>
          <w:bCs/>
          <w:color w:val="000000"/>
          <w:lang w:eastAsia="en-AU"/>
        </w:rPr>
        <w:t>Nikolai Tsyganov</w:t>
      </w:r>
    </w:p>
    <w:p w14:paraId="686471FE" w14:textId="7EC76EB3" w:rsidR="001467A9" w:rsidRPr="00BB452B" w:rsidRDefault="00152A81" w:rsidP="00301412">
      <w:pPr>
        <w:keepNext/>
        <w:keepLines/>
        <w:shd w:val="clear" w:color="auto" w:fill="FFFFFF"/>
        <w:spacing w:after="0" w:line="240" w:lineRule="auto"/>
        <w:jc w:val="center"/>
        <w:rPr>
          <w:rFonts w:eastAsia="Times New Roman"/>
          <w:b/>
          <w:bCs/>
          <w:color w:val="000000"/>
          <w:lang w:eastAsia="en-AU"/>
        </w:rPr>
      </w:pPr>
      <w:r w:rsidRPr="00BB452B">
        <w:rPr>
          <w:rFonts w:eastAsia="Times New Roman"/>
          <w:b/>
          <w:bCs/>
          <w:color w:val="000000"/>
          <w:lang w:eastAsia="en-AU"/>
        </w:rPr>
        <w:t xml:space="preserve">Acting </w:t>
      </w:r>
      <w:r w:rsidR="001467A9" w:rsidRPr="00BB452B">
        <w:rPr>
          <w:rFonts w:eastAsia="Times New Roman"/>
          <w:b/>
          <w:bCs/>
          <w:color w:val="000000"/>
          <w:lang w:eastAsia="en-AU"/>
        </w:rPr>
        <w:t>Assistant Secretary</w:t>
      </w:r>
    </w:p>
    <w:p w14:paraId="707609B1" w14:textId="77777777" w:rsidR="00301412" w:rsidRPr="00BB452B" w:rsidRDefault="00301412" w:rsidP="00301412">
      <w:pPr>
        <w:keepNext/>
        <w:keepLines/>
        <w:shd w:val="clear" w:color="auto" w:fill="FFFFFF"/>
        <w:spacing w:after="0" w:line="240" w:lineRule="auto"/>
        <w:jc w:val="center"/>
        <w:rPr>
          <w:rFonts w:eastAsia="Times New Roman"/>
          <w:b/>
          <w:color w:val="000000"/>
          <w:lang w:eastAsia="en-AU"/>
        </w:rPr>
      </w:pPr>
      <w:r w:rsidRPr="00BB452B">
        <w:rPr>
          <w:b/>
          <w:szCs w:val="22"/>
        </w:rPr>
        <w:t>Pricing and PBS Policy Branch</w:t>
      </w:r>
    </w:p>
    <w:p w14:paraId="7B5EC522" w14:textId="77777777" w:rsidR="001467A9" w:rsidRPr="00BB452B" w:rsidRDefault="001467A9" w:rsidP="00301412">
      <w:pPr>
        <w:keepNext/>
        <w:keepLines/>
        <w:shd w:val="clear" w:color="auto" w:fill="FFFFFF"/>
        <w:spacing w:after="0" w:line="240" w:lineRule="auto"/>
        <w:jc w:val="center"/>
        <w:rPr>
          <w:rFonts w:eastAsia="Times New Roman"/>
          <w:color w:val="000000"/>
          <w:lang w:eastAsia="en-AU"/>
        </w:rPr>
      </w:pPr>
      <w:r w:rsidRPr="00BB452B">
        <w:rPr>
          <w:rFonts w:eastAsia="Times New Roman"/>
          <w:b/>
          <w:bCs/>
          <w:color w:val="000000"/>
          <w:lang w:eastAsia="en-AU"/>
        </w:rPr>
        <w:t>Technology Assessment and Access Division</w:t>
      </w:r>
    </w:p>
    <w:p w14:paraId="7DBD90AD" w14:textId="77777777" w:rsidR="00E40F4A" w:rsidRPr="00E40F4A" w:rsidRDefault="001467A9" w:rsidP="00301412">
      <w:pPr>
        <w:keepNext/>
        <w:keepLines/>
        <w:jc w:val="center"/>
        <w:rPr>
          <w:b/>
        </w:rPr>
      </w:pPr>
      <w:r w:rsidRPr="00BB452B">
        <w:rPr>
          <w:rFonts w:eastAsia="Times New Roman"/>
          <w:b/>
          <w:bCs/>
          <w:color w:val="000000"/>
          <w:lang w:eastAsia="en-AU"/>
        </w:rPr>
        <w:t>Department of Health</w:t>
      </w:r>
    </w:p>
    <w:sectPr w:rsidR="00E40F4A" w:rsidRPr="00E40F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D00"/>
    <w:multiLevelType w:val="hybridMultilevel"/>
    <w:tmpl w:val="F57E9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A24E51"/>
    <w:multiLevelType w:val="multilevel"/>
    <w:tmpl w:val="9746F7EA"/>
    <w:lvl w:ilvl="0">
      <w:start w:val="1"/>
      <w:numFmt w:val="bullet"/>
      <w:lvlText w:val=""/>
      <w:lvlJc w:val="left"/>
      <w:pPr>
        <w:tabs>
          <w:tab w:val="num" w:pos="425"/>
        </w:tabs>
        <w:ind w:left="425" w:hanging="425"/>
      </w:pPr>
      <w:rPr>
        <w:rFonts w:ascii="Symbol" w:hAnsi="Symbol" w:hint="default"/>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ascii="Symbol" w:hAnsi="Symbol"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2" w15:restartNumberingAfterBreak="0">
    <w:nsid w:val="131252D1"/>
    <w:multiLevelType w:val="hybridMultilevel"/>
    <w:tmpl w:val="AAE6B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7B645BD"/>
    <w:multiLevelType w:val="multilevel"/>
    <w:tmpl w:val="9746F7EA"/>
    <w:lvl w:ilvl="0">
      <w:start w:val="1"/>
      <w:numFmt w:val="bullet"/>
      <w:lvlText w:val=""/>
      <w:lvlJc w:val="left"/>
      <w:pPr>
        <w:tabs>
          <w:tab w:val="num" w:pos="785"/>
        </w:tabs>
        <w:ind w:left="785" w:hanging="425"/>
      </w:pPr>
      <w:rPr>
        <w:rFonts w:ascii="Symbol" w:hAnsi="Symbol" w:hint="default"/>
        <w:b/>
        <w:i w:val="0"/>
      </w:rPr>
    </w:lvl>
    <w:lvl w:ilvl="1">
      <w:start w:val="1"/>
      <w:numFmt w:val="bullet"/>
      <w:lvlText w:val=""/>
      <w:lvlJc w:val="left"/>
      <w:pPr>
        <w:tabs>
          <w:tab w:val="num" w:pos="785"/>
        </w:tabs>
        <w:ind w:left="785" w:hanging="425"/>
      </w:pPr>
      <w:rPr>
        <w:rFonts w:ascii="Symbol" w:hAnsi="Symbol" w:hint="default"/>
        <w:b/>
        <w:i w:val="0"/>
      </w:rPr>
    </w:lvl>
    <w:lvl w:ilvl="2">
      <w:start w:val="1"/>
      <w:numFmt w:val="bullet"/>
      <w:lvlText w:val=""/>
      <w:lvlJc w:val="left"/>
      <w:pPr>
        <w:tabs>
          <w:tab w:val="num" w:pos="1210"/>
        </w:tabs>
        <w:ind w:left="1210" w:hanging="425"/>
      </w:pPr>
      <w:rPr>
        <w:rFonts w:ascii="Symbol" w:hAnsi="Symbol" w:hint="default"/>
        <w:b w:val="0"/>
        <w:i w:val="0"/>
      </w:rPr>
    </w:lvl>
    <w:lvl w:ilvl="3">
      <w:start w:val="1"/>
      <w:numFmt w:val="bullet"/>
      <w:lvlText w:val="–"/>
      <w:lvlJc w:val="left"/>
      <w:pPr>
        <w:tabs>
          <w:tab w:val="num" w:pos="1636"/>
        </w:tabs>
        <w:ind w:left="1636" w:hanging="426"/>
      </w:pPr>
      <w:rPr>
        <w:rFonts w:hint="default"/>
        <w:b w:val="0"/>
        <w:i w:val="0"/>
      </w:rPr>
    </w:lvl>
    <w:lvl w:ilvl="4">
      <w:start w:val="1"/>
      <w:numFmt w:val="bullet"/>
      <w:lvlText w:val="–"/>
      <w:lvlJc w:val="left"/>
      <w:pPr>
        <w:tabs>
          <w:tab w:val="num" w:pos="2061"/>
        </w:tabs>
        <w:ind w:left="2061" w:hanging="425"/>
      </w:pPr>
      <w:rPr>
        <w:rFonts w:hint="default"/>
        <w:b w:val="0"/>
        <w:i w:val="0"/>
      </w:rPr>
    </w:lvl>
    <w:lvl w:ilvl="5">
      <w:start w:val="1"/>
      <w:numFmt w:val="bullet"/>
      <w:lvlText w:val="–"/>
      <w:lvlJc w:val="left"/>
      <w:pPr>
        <w:tabs>
          <w:tab w:val="num" w:pos="2486"/>
        </w:tabs>
        <w:ind w:left="2486" w:hanging="425"/>
      </w:pPr>
      <w:rPr>
        <w:rFonts w:hint="default"/>
        <w:b w:val="0"/>
        <w:i w:val="0"/>
      </w:rPr>
    </w:lvl>
    <w:lvl w:ilvl="6">
      <w:start w:val="1"/>
      <w:numFmt w:val="bullet"/>
      <w:lvlText w:val="–"/>
      <w:lvlJc w:val="left"/>
      <w:pPr>
        <w:tabs>
          <w:tab w:val="num" w:pos="2911"/>
        </w:tabs>
        <w:ind w:left="2911" w:hanging="425"/>
      </w:pPr>
      <w:rPr>
        <w:rFonts w:hint="default"/>
        <w:b w:val="0"/>
        <w:i w:val="0"/>
      </w:rPr>
    </w:lvl>
    <w:lvl w:ilvl="7">
      <w:start w:val="1"/>
      <w:numFmt w:val="bullet"/>
      <w:lvlText w:val="–"/>
      <w:lvlJc w:val="left"/>
      <w:pPr>
        <w:tabs>
          <w:tab w:val="num" w:pos="3336"/>
        </w:tabs>
        <w:ind w:left="3336" w:hanging="425"/>
      </w:pPr>
      <w:rPr>
        <w:rFonts w:hint="default"/>
        <w:b w:val="0"/>
        <w:i w:val="0"/>
      </w:rPr>
    </w:lvl>
    <w:lvl w:ilvl="8">
      <w:start w:val="1"/>
      <w:numFmt w:val="bullet"/>
      <w:lvlText w:val="–"/>
      <w:lvlJc w:val="left"/>
      <w:pPr>
        <w:tabs>
          <w:tab w:val="num" w:pos="3762"/>
        </w:tabs>
        <w:ind w:left="3762" w:hanging="426"/>
      </w:pPr>
      <w:rPr>
        <w:rFonts w:hint="default"/>
        <w:b w:val="0"/>
        <w:i w:val="0"/>
      </w:rPr>
    </w:lvl>
  </w:abstractNum>
  <w:abstractNum w:abstractNumId="4" w15:restartNumberingAfterBreak="0">
    <w:nsid w:val="28934A6B"/>
    <w:multiLevelType w:val="multilevel"/>
    <w:tmpl w:val="D494DAFC"/>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5" w15:restartNumberingAfterBreak="0">
    <w:nsid w:val="3AF802B4"/>
    <w:multiLevelType w:val="hybridMultilevel"/>
    <w:tmpl w:val="C4162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926B9B"/>
    <w:multiLevelType w:val="hybridMultilevel"/>
    <w:tmpl w:val="4218114A"/>
    <w:lvl w:ilvl="0" w:tplc="276A5D6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6D112F8"/>
    <w:multiLevelType w:val="hybridMultilevel"/>
    <w:tmpl w:val="1C925A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BDE48930">
      <w:start w:val="1"/>
      <w:numFmt w:val="decimal"/>
      <w:lvlText w:val="%4."/>
      <w:lvlJc w:val="left"/>
      <w:pPr>
        <w:ind w:left="2880" w:hanging="360"/>
      </w:pPr>
      <w:rPr>
        <w:b w:val="0"/>
      </w:r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4A"/>
    <w:rsid w:val="000178C6"/>
    <w:rsid w:val="00035DB3"/>
    <w:rsid w:val="00045087"/>
    <w:rsid w:val="000B6444"/>
    <w:rsid w:val="001467A9"/>
    <w:rsid w:val="00152A81"/>
    <w:rsid w:val="00160276"/>
    <w:rsid w:val="001A749C"/>
    <w:rsid w:val="001B037F"/>
    <w:rsid w:val="001C33BD"/>
    <w:rsid w:val="001C7FED"/>
    <w:rsid w:val="001E3AC6"/>
    <w:rsid w:val="001F14BD"/>
    <w:rsid w:val="001F3A90"/>
    <w:rsid w:val="00211037"/>
    <w:rsid w:val="00243F7D"/>
    <w:rsid w:val="002578C6"/>
    <w:rsid w:val="00274EED"/>
    <w:rsid w:val="00280050"/>
    <w:rsid w:val="002806EA"/>
    <w:rsid w:val="002B0FE2"/>
    <w:rsid w:val="00300DC2"/>
    <w:rsid w:val="00301412"/>
    <w:rsid w:val="0030249B"/>
    <w:rsid w:val="00310F09"/>
    <w:rsid w:val="003432BC"/>
    <w:rsid w:val="00343BFB"/>
    <w:rsid w:val="00372527"/>
    <w:rsid w:val="00384616"/>
    <w:rsid w:val="003A6AC5"/>
    <w:rsid w:val="003B2A6B"/>
    <w:rsid w:val="00443C53"/>
    <w:rsid w:val="00445B25"/>
    <w:rsid w:val="00471807"/>
    <w:rsid w:val="004839D9"/>
    <w:rsid w:val="004F3F3C"/>
    <w:rsid w:val="005B3B3C"/>
    <w:rsid w:val="005E3B12"/>
    <w:rsid w:val="006002BC"/>
    <w:rsid w:val="006173D7"/>
    <w:rsid w:val="00621B3F"/>
    <w:rsid w:val="0063175E"/>
    <w:rsid w:val="006403D3"/>
    <w:rsid w:val="00646D07"/>
    <w:rsid w:val="006758BD"/>
    <w:rsid w:val="006D45BE"/>
    <w:rsid w:val="006E35FD"/>
    <w:rsid w:val="006F214C"/>
    <w:rsid w:val="006F66B9"/>
    <w:rsid w:val="007028A4"/>
    <w:rsid w:val="00711112"/>
    <w:rsid w:val="00714197"/>
    <w:rsid w:val="00720CAC"/>
    <w:rsid w:val="00762CEF"/>
    <w:rsid w:val="007744A6"/>
    <w:rsid w:val="00786242"/>
    <w:rsid w:val="007B1D3C"/>
    <w:rsid w:val="007D32C3"/>
    <w:rsid w:val="00840737"/>
    <w:rsid w:val="0085161E"/>
    <w:rsid w:val="008632B4"/>
    <w:rsid w:val="00884F80"/>
    <w:rsid w:val="00892E09"/>
    <w:rsid w:val="008F2077"/>
    <w:rsid w:val="008F2874"/>
    <w:rsid w:val="0090018B"/>
    <w:rsid w:val="00917136"/>
    <w:rsid w:val="00921C80"/>
    <w:rsid w:val="00931BC1"/>
    <w:rsid w:val="009361E9"/>
    <w:rsid w:val="00983DB8"/>
    <w:rsid w:val="009B6894"/>
    <w:rsid w:val="009D4A36"/>
    <w:rsid w:val="00A01F21"/>
    <w:rsid w:val="00A42977"/>
    <w:rsid w:val="00A633CC"/>
    <w:rsid w:val="00A83AA2"/>
    <w:rsid w:val="00AB20CA"/>
    <w:rsid w:val="00AC6788"/>
    <w:rsid w:val="00AC6855"/>
    <w:rsid w:val="00AC708D"/>
    <w:rsid w:val="00AD1BF7"/>
    <w:rsid w:val="00AD5670"/>
    <w:rsid w:val="00AE36A6"/>
    <w:rsid w:val="00AF0C66"/>
    <w:rsid w:val="00B0771A"/>
    <w:rsid w:val="00B4213E"/>
    <w:rsid w:val="00BB452B"/>
    <w:rsid w:val="00BC605C"/>
    <w:rsid w:val="00BD60E4"/>
    <w:rsid w:val="00C40B0B"/>
    <w:rsid w:val="00C57245"/>
    <w:rsid w:val="00C6233E"/>
    <w:rsid w:val="00C86737"/>
    <w:rsid w:val="00CA2A22"/>
    <w:rsid w:val="00CA4C1F"/>
    <w:rsid w:val="00CC37D0"/>
    <w:rsid w:val="00CC7BCF"/>
    <w:rsid w:val="00CE6A67"/>
    <w:rsid w:val="00CF5C54"/>
    <w:rsid w:val="00D928F7"/>
    <w:rsid w:val="00DC295C"/>
    <w:rsid w:val="00DC6B96"/>
    <w:rsid w:val="00DE3134"/>
    <w:rsid w:val="00E24F4D"/>
    <w:rsid w:val="00E40F4A"/>
    <w:rsid w:val="00E46E86"/>
    <w:rsid w:val="00E60D4B"/>
    <w:rsid w:val="00E75245"/>
    <w:rsid w:val="00EE2197"/>
    <w:rsid w:val="00F01CCF"/>
    <w:rsid w:val="00F14D6C"/>
    <w:rsid w:val="00F555FF"/>
    <w:rsid w:val="00F77461"/>
    <w:rsid w:val="00F91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C2E4F"/>
  <w15:docId w15:val="{1D114EB0-8B67-445F-9B33-30A4B3D1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0178C6"/>
    <w:pPr>
      <w:spacing w:before="100" w:beforeAutospacing="1" w:after="100" w:afterAutospacing="1" w:line="240" w:lineRule="auto"/>
    </w:pPr>
    <w:rPr>
      <w:rFonts w:eastAsia="Times New Roman"/>
      <w:lang w:eastAsia="en-AU"/>
    </w:rPr>
  </w:style>
  <w:style w:type="paragraph" w:customStyle="1" w:styleId="paragraph">
    <w:name w:val="paragraph"/>
    <w:basedOn w:val="Normal"/>
    <w:rsid w:val="000178C6"/>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00DC2"/>
    <w:pPr>
      <w:ind w:left="720"/>
      <w:contextualSpacing/>
    </w:pPr>
  </w:style>
  <w:style w:type="character" w:styleId="CommentReference">
    <w:name w:val="annotation reference"/>
    <w:basedOn w:val="DefaultParagraphFont"/>
    <w:uiPriority w:val="99"/>
    <w:semiHidden/>
    <w:unhideWhenUsed/>
    <w:rsid w:val="001F14BD"/>
    <w:rPr>
      <w:sz w:val="16"/>
      <w:szCs w:val="16"/>
    </w:rPr>
  </w:style>
  <w:style w:type="paragraph" w:styleId="CommentText">
    <w:name w:val="annotation text"/>
    <w:basedOn w:val="Normal"/>
    <w:link w:val="CommentTextChar"/>
    <w:uiPriority w:val="99"/>
    <w:unhideWhenUsed/>
    <w:rsid w:val="001F14BD"/>
    <w:pPr>
      <w:spacing w:line="240" w:lineRule="auto"/>
    </w:pPr>
    <w:rPr>
      <w:sz w:val="20"/>
      <w:szCs w:val="20"/>
    </w:rPr>
  </w:style>
  <w:style w:type="character" w:customStyle="1" w:styleId="CommentTextChar">
    <w:name w:val="Comment Text Char"/>
    <w:basedOn w:val="DefaultParagraphFont"/>
    <w:link w:val="CommentText"/>
    <w:uiPriority w:val="99"/>
    <w:rsid w:val="001F14BD"/>
    <w:rPr>
      <w:sz w:val="20"/>
      <w:szCs w:val="20"/>
    </w:rPr>
  </w:style>
  <w:style w:type="paragraph" w:styleId="CommentSubject">
    <w:name w:val="annotation subject"/>
    <w:basedOn w:val="CommentText"/>
    <w:next w:val="CommentText"/>
    <w:link w:val="CommentSubjectChar"/>
    <w:uiPriority w:val="99"/>
    <w:semiHidden/>
    <w:unhideWhenUsed/>
    <w:rsid w:val="001F14BD"/>
    <w:rPr>
      <w:b/>
      <w:bCs/>
    </w:rPr>
  </w:style>
  <w:style w:type="character" w:customStyle="1" w:styleId="CommentSubjectChar">
    <w:name w:val="Comment Subject Char"/>
    <w:basedOn w:val="CommentTextChar"/>
    <w:link w:val="CommentSubject"/>
    <w:uiPriority w:val="99"/>
    <w:semiHidden/>
    <w:rsid w:val="001F14BD"/>
    <w:rPr>
      <w:b/>
      <w:bCs/>
      <w:sz w:val="20"/>
      <w:szCs w:val="20"/>
    </w:rPr>
  </w:style>
  <w:style w:type="paragraph" w:styleId="BalloonText">
    <w:name w:val="Balloon Text"/>
    <w:basedOn w:val="Normal"/>
    <w:link w:val="BalloonTextChar"/>
    <w:uiPriority w:val="99"/>
    <w:semiHidden/>
    <w:unhideWhenUsed/>
    <w:rsid w:val="001F14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14BD"/>
    <w:rPr>
      <w:rFonts w:ascii="Tahoma" w:hAnsi="Tahoma" w:cs="Tahoma"/>
      <w:sz w:val="16"/>
      <w:szCs w:val="16"/>
    </w:rPr>
  </w:style>
  <w:style w:type="paragraph" w:customStyle="1" w:styleId="Dot1">
    <w:name w:val="Dot1"/>
    <w:aliases w:val="DOT"/>
    <w:basedOn w:val="Normal"/>
    <w:link w:val="Dot1Char"/>
    <w:uiPriority w:val="2"/>
    <w:qFormat/>
    <w:rsid w:val="00F555FF"/>
    <w:pPr>
      <w:numPr>
        <w:ilvl w:val="1"/>
        <w:numId w:val="2"/>
      </w:numPr>
      <w:spacing w:after="140" w:line="280" w:lineRule="atLeast"/>
    </w:pPr>
    <w:rPr>
      <w:rFonts w:ascii="Arial" w:eastAsia="Times New Roman" w:hAnsi="Arial" w:cs="Arial"/>
      <w:sz w:val="22"/>
      <w:szCs w:val="22"/>
      <w:lang w:eastAsia="en-AU"/>
    </w:rPr>
  </w:style>
  <w:style w:type="character" w:customStyle="1" w:styleId="Dot1Char">
    <w:name w:val="Dot1 Char"/>
    <w:aliases w:val="DOT Char"/>
    <w:basedOn w:val="DefaultParagraphFont"/>
    <w:link w:val="Dot1"/>
    <w:uiPriority w:val="2"/>
    <w:rsid w:val="00F555FF"/>
    <w:rPr>
      <w:rFonts w:ascii="Arial" w:eastAsia="Times New Roman" w:hAnsi="Arial" w:cs="Arial"/>
      <w:sz w:val="22"/>
      <w:szCs w:val="22"/>
      <w:lang w:eastAsia="en-AU"/>
    </w:rPr>
  </w:style>
  <w:style w:type="paragraph" w:styleId="Revision">
    <w:name w:val="Revision"/>
    <w:hidden/>
    <w:uiPriority w:val="99"/>
    <w:semiHidden/>
    <w:rsid w:val="00E24F4D"/>
    <w:pPr>
      <w:spacing w:after="0" w:line="240" w:lineRule="auto"/>
    </w:pPr>
  </w:style>
  <w:style w:type="paragraph" w:customStyle="1" w:styleId="CharCharCharChar">
    <w:name w:val="Char Char Char Char"/>
    <w:basedOn w:val="Normal"/>
    <w:rsid w:val="00917136"/>
    <w:pPr>
      <w:spacing w:after="0" w:line="240" w:lineRule="auto"/>
    </w:pPr>
    <w:rPr>
      <w:rFonts w:ascii="Arial" w:eastAsia="Times New Roman" w:hAnsi="Arial" w:cs="Arial"/>
      <w:sz w:val="22"/>
      <w:szCs w:val="22"/>
    </w:rPr>
  </w:style>
  <w:style w:type="paragraph" w:customStyle="1" w:styleId="CharCharCharChar0">
    <w:name w:val="Char Char Char Char"/>
    <w:basedOn w:val="Normal"/>
    <w:rsid w:val="00B4213E"/>
    <w:pPr>
      <w:spacing w:after="0" w:line="240" w:lineRule="auto"/>
    </w:pPr>
    <w:rPr>
      <w:rFonts w:ascii="Arial" w:eastAsia="Times New Roman" w:hAnsi="Arial" w:cs="Arial"/>
      <w:sz w:val="22"/>
      <w:szCs w:val="22"/>
    </w:rPr>
  </w:style>
  <w:style w:type="paragraph" w:customStyle="1" w:styleId="Tabletext">
    <w:name w:val="Tabletext"/>
    <w:aliases w:val="tt"/>
    <w:basedOn w:val="Normal"/>
    <w:rsid w:val="00F91DA2"/>
    <w:pPr>
      <w:spacing w:before="60" w:after="0" w:line="240" w:lineRule="atLeast"/>
    </w:pPr>
    <w:rPr>
      <w:rFonts w:eastAsia="Times New Roman"/>
      <w:sz w:val="20"/>
      <w:szCs w:val="20"/>
      <w:lang w:eastAsia="en-AU"/>
    </w:rPr>
  </w:style>
  <w:style w:type="character" w:styleId="Hyperlink">
    <w:name w:val="Hyperlink"/>
    <w:basedOn w:val="DefaultParagraphFont"/>
    <w:uiPriority w:val="99"/>
    <w:unhideWhenUsed/>
    <w:rsid w:val="00CA4C1F"/>
    <w:rPr>
      <w:color w:val="0000FF"/>
      <w:u w:val="single"/>
    </w:rPr>
  </w:style>
  <w:style w:type="table" w:styleId="TableGrid">
    <w:name w:val="Table Grid"/>
    <w:basedOn w:val="TableNormal"/>
    <w:rsid w:val="001B037F"/>
    <w:pPr>
      <w:spacing w:after="0" w:line="240" w:lineRule="auto"/>
    </w:pPr>
    <w:rPr>
      <w:rFonts w:eastAsia="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ug-name">
    <w:name w:val="drug-name"/>
    <w:basedOn w:val="DefaultParagraphFont"/>
    <w:rsid w:val="001B037F"/>
  </w:style>
  <w:style w:type="character" w:customStyle="1" w:styleId="form-strength">
    <w:name w:val="form-strength"/>
    <w:basedOn w:val="DefaultParagraphFont"/>
    <w:rsid w:val="001B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957997">
      <w:bodyDiv w:val="1"/>
      <w:marLeft w:val="0"/>
      <w:marRight w:val="0"/>
      <w:marTop w:val="0"/>
      <w:marBottom w:val="0"/>
      <w:divBdr>
        <w:top w:val="none" w:sz="0" w:space="0" w:color="auto"/>
        <w:left w:val="none" w:sz="0" w:space="0" w:color="auto"/>
        <w:bottom w:val="none" w:sz="0" w:space="0" w:color="auto"/>
        <w:right w:val="none" w:sz="0" w:space="0" w:color="auto"/>
      </w:divBdr>
    </w:div>
    <w:div w:id="1683774560">
      <w:bodyDiv w:val="1"/>
      <w:marLeft w:val="0"/>
      <w:marRight w:val="0"/>
      <w:marTop w:val="0"/>
      <w:marBottom w:val="0"/>
      <w:divBdr>
        <w:top w:val="none" w:sz="0" w:space="0" w:color="auto"/>
        <w:left w:val="none" w:sz="0" w:space="0" w:color="auto"/>
        <w:bottom w:val="none" w:sz="0" w:space="0" w:color="auto"/>
        <w:right w:val="none" w:sz="0" w:space="0" w:color="auto"/>
      </w:divBdr>
    </w:div>
    <w:div w:id="20305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Benham, Christine</dc:creator>
  <cp:lastModifiedBy>NG, Jason</cp:lastModifiedBy>
  <cp:revision>7</cp:revision>
  <cp:lastPrinted>2021-08-11T04:20:00Z</cp:lastPrinted>
  <dcterms:created xsi:type="dcterms:W3CDTF">2021-08-10T22:22:00Z</dcterms:created>
  <dcterms:modified xsi:type="dcterms:W3CDTF">2021-08-13T06:53:00Z</dcterms:modified>
</cp:coreProperties>
</file>