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B61CF" w14:textId="059FF4E6" w:rsidR="00A419EA" w:rsidRDefault="00ED081D" w:rsidP="001A7C14">
      <w:pPr>
        <w:autoSpaceDE w:val="0"/>
        <w:autoSpaceDN w:val="0"/>
        <w:adjustRightInd w:val="0"/>
        <w:spacing w:after="0"/>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14:paraId="6482C0DE" w14:textId="77777777" w:rsidR="00AD562B" w:rsidRDefault="00AD562B" w:rsidP="001A7C14">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p>
    <w:p w14:paraId="7A143476" w14:textId="228C7309" w:rsidR="00B60F0C" w:rsidRDefault="00B60F0C" w:rsidP="001A7C14">
      <w:pPr>
        <w:autoSpaceDE w:val="0"/>
        <w:autoSpaceDN w:val="0"/>
        <w:adjustRightInd w:val="0"/>
        <w:spacing w:after="0"/>
        <w:jc w:val="center"/>
        <w:rPr>
          <w:rFonts w:ascii="Times New Roman" w:hAnsi="Times New Roman"/>
          <w:bCs/>
          <w:i/>
          <w:iCs/>
          <w:szCs w:val="24"/>
        </w:rPr>
      </w:pPr>
      <w:r w:rsidRPr="00625284">
        <w:rPr>
          <w:rFonts w:ascii="Times New Roman" w:hAnsi="Times New Roman"/>
          <w:bCs/>
          <w:i/>
          <w:iCs/>
          <w:szCs w:val="24"/>
        </w:rPr>
        <w:t>Therapeutic Goods Act 1989</w:t>
      </w:r>
    </w:p>
    <w:p w14:paraId="0125EA61" w14:textId="77777777" w:rsidR="00AD562B" w:rsidRPr="00625284" w:rsidRDefault="00AD562B" w:rsidP="001A7C14">
      <w:pPr>
        <w:autoSpaceDE w:val="0"/>
        <w:autoSpaceDN w:val="0"/>
        <w:adjustRightInd w:val="0"/>
        <w:spacing w:after="0" w:line="240" w:lineRule="auto"/>
        <w:jc w:val="center"/>
        <w:rPr>
          <w:rFonts w:ascii="Times New Roman" w:hAnsi="Times New Roman"/>
          <w:bCs/>
          <w:i/>
          <w:iCs/>
          <w:szCs w:val="24"/>
        </w:rPr>
      </w:pPr>
    </w:p>
    <w:p w14:paraId="742D9337" w14:textId="5727B360" w:rsidR="00EF1F18" w:rsidRDefault="00EF1F18"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r w:rsidRPr="008727AB">
        <w:rPr>
          <w:rFonts w:ascii="Times New Roman" w:eastAsia="Times New Roman" w:hAnsi="Times New Roman" w:cs="Times New Roman"/>
          <w:bCs/>
          <w:i/>
          <w:sz w:val="24"/>
          <w:szCs w:val="24"/>
          <w:lang w:eastAsia="en-AU"/>
        </w:rPr>
        <w:t>Therapeutic Goods</w:t>
      </w:r>
      <w:r w:rsidR="008727AB" w:rsidRPr="008727AB">
        <w:rPr>
          <w:rFonts w:ascii="Times New Roman" w:eastAsia="Times New Roman" w:hAnsi="Times New Roman" w:cs="Times New Roman"/>
          <w:bCs/>
          <w:i/>
          <w:sz w:val="24"/>
          <w:szCs w:val="24"/>
          <w:lang w:eastAsia="en-AU"/>
        </w:rPr>
        <w:t xml:space="preserve"> </w:t>
      </w:r>
      <w:r w:rsidRPr="008727AB">
        <w:rPr>
          <w:rFonts w:ascii="Times New Roman" w:eastAsia="Times New Roman" w:hAnsi="Times New Roman" w:cs="Times New Roman"/>
          <w:bCs/>
          <w:i/>
          <w:sz w:val="24"/>
          <w:szCs w:val="24"/>
          <w:lang w:eastAsia="en-AU"/>
        </w:rPr>
        <w:t>(Permissible Ingredients) Determination </w:t>
      </w:r>
      <w:r w:rsidR="00045C71">
        <w:rPr>
          <w:rFonts w:ascii="Times New Roman" w:eastAsia="Times New Roman" w:hAnsi="Times New Roman" w:cs="Times New Roman"/>
          <w:bCs/>
          <w:i/>
          <w:sz w:val="24"/>
          <w:szCs w:val="24"/>
          <w:lang w:eastAsia="en-AU"/>
        </w:rPr>
        <w:t>(No.</w:t>
      </w:r>
      <w:r w:rsidR="00B60F0C">
        <w:rPr>
          <w:rFonts w:ascii="Times New Roman" w:eastAsia="Times New Roman" w:hAnsi="Times New Roman" w:cs="Times New Roman"/>
          <w:bCs/>
          <w:i/>
          <w:sz w:val="24"/>
          <w:szCs w:val="24"/>
          <w:lang w:eastAsia="en-AU"/>
        </w:rPr>
        <w:t xml:space="preserve"> </w:t>
      </w:r>
      <w:r w:rsidR="00950992">
        <w:rPr>
          <w:rFonts w:ascii="Times New Roman" w:eastAsia="Times New Roman" w:hAnsi="Times New Roman" w:cs="Times New Roman"/>
          <w:bCs/>
          <w:i/>
          <w:sz w:val="24"/>
          <w:szCs w:val="24"/>
          <w:lang w:eastAsia="en-AU"/>
        </w:rPr>
        <w:t>2</w:t>
      </w:r>
      <w:r w:rsidR="00045C71">
        <w:rPr>
          <w:rFonts w:ascii="Times New Roman" w:eastAsia="Times New Roman" w:hAnsi="Times New Roman" w:cs="Times New Roman"/>
          <w:bCs/>
          <w:i/>
          <w:sz w:val="24"/>
          <w:szCs w:val="24"/>
          <w:lang w:eastAsia="en-AU"/>
        </w:rPr>
        <w:t xml:space="preserve">) </w:t>
      </w:r>
      <w:r w:rsidR="00685980" w:rsidRPr="008727AB">
        <w:rPr>
          <w:rFonts w:ascii="Times New Roman" w:eastAsia="Times New Roman" w:hAnsi="Times New Roman" w:cs="Times New Roman"/>
          <w:bCs/>
          <w:i/>
          <w:sz w:val="24"/>
          <w:szCs w:val="24"/>
          <w:lang w:eastAsia="en-AU"/>
        </w:rPr>
        <w:t>20</w:t>
      </w:r>
      <w:r w:rsidR="009A1C10">
        <w:rPr>
          <w:rFonts w:ascii="Times New Roman" w:eastAsia="Times New Roman" w:hAnsi="Times New Roman" w:cs="Times New Roman"/>
          <w:bCs/>
          <w:i/>
          <w:sz w:val="24"/>
          <w:szCs w:val="24"/>
          <w:lang w:eastAsia="en-AU"/>
        </w:rPr>
        <w:t>2</w:t>
      </w:r>
      <w:r w:rsidR="00F6166F">
        <w:rPr>
          <w:rFonts w:ascii="Times New Roman" w:eastAsia="Times New Roman" w:hAnsi="Times New Roman" w:cs="Times New Roman"/>
          <w:bCs/>
          <w:i/>
          <w:sz w:val="24"/>
          <w:szCs w:val="24"/>
          <w:lang w:eastAsia="en-AU"/>
        </w:rPr>
        <w:t>1</w:t>
      </w:r>
    </w:p>
    <w:p w14:paraId="2685996F" w14:textId="77777777" w:rsidR="00AD562B" w:rsidRPr="008727AB" w:rsidRDefault="00AD562B"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p>
    <w:p w14:paraId="1375AB08" w14:textId="57159690"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8727AB">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w:t>
      </w:r>
      <w:r w:rsidR="00B60F0C">
        <w:rPr>
          <w:rFonts w:ascii="Times New Roman" w:eastAsia="Times New Roman" w:hAnsi="Times New Roman" w:cs="Times New Roman"/>
          <w:sz w:val="24"/>
          <w:szCs w:val="24"/>
          <w:lang w:eastAsia="en-AU"/>
        </w:rPr>
        <w:t>TGA</w:t>
      </w:r>
      <w:r>
        <w:rPr>
          <w:rFonts w:ascii="Times New Roman" w:eastAsia="Times New Roman" w:hAnsi="Times New Roman" w:cs="Times New Roman"/>
          <w:sz w:val="24"/>
          <w:szCs w:val="24"/>
          <w:lang w:eastAsia="en-AU"/>
        </w:rPr>
        <w:t>”) within the Australian Government Department of Health.</w:t>
      </w:r>
    </w:p>
    <w:p w14:paraId="242F03BC"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p>
    <w:p w14:paraId="3AAF151F" w14:textId="449F2B01"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26BB of the Act relevantly provides that the Minister of Health may, by legislative instrument, </w:t>
      </w:r>
      <w:proofErr w:type="gramStart"/>
      <w:r>
        <w:rPr>
          <w:rFonts w:ascii="Times New Roman" w:eastAsia="Times New Roman" w:hAnsi="Times New Roman" w:cs="Times New Roman"/>
          <w:sz w:val="24"/>
          <w:szCs w:val="24"/>
          <w:lang w:eastAsia="en-AU"/>
        </w:rPr>
        <w:t>make a determination</w:t>
      </w:r>
      <w:proofErr w:type="gramEnd"/>
      <w:r>
        <w:rPr>
          <w:rFonts w:ascii="Times New Roman" w:eastAsia="Times New Roman" w:hAnsi="Times New Roman" w:cs="Times New Roman"/>
          <w:sz w:val="24"/>
          <w:szCs w:val="24"/>
          <w:lang w:eastAsia="en-AU"/>
        </w:rPr>
        <w:t xml:space="preserve"> </w:t>
      </w:r>
      <w:r w:rsidR="004E05C9">
        <w:rPr>
          <w:rFonts w:ascii="Times New Roman" w:eastAsia="Times New Roman" w:hAnsi="Times New Roman" w:cs="Times New Roman"/>
          <w:sz w:val="24"/>
          <w:szCs w:val="24"/>
          <w:lang w:eastAsia="en-AU"/>
        </w:rPr>
        <w:t>specifying ingredients and, for some or all of those ingredients, requirements in relation to those ingredients being contained in a medicine.  Under subsections 26BB(2), (2A) and (3) of the Act, such requirements may relate to particular ingredients not being con</w:t>
      </w:r>
      <w:r w:rsidR="00226F3C">
        <w:rPr>
          <w:rFonts w:ascii="Times New Roman" w:eastAsia="Times New Roman" w:hAnsi="Times New Roman" w:cs="Times New Roman"/>
          <w:sz w:val="24"/>
          <w:szCs w:val="24"/>
          <w:lang w:eastAsia="en-AU"/>
        </w:rPr>
        <w:t xml:space="preserve">tained in particular medicines or </w:t>
      </w:r>
      <w:r w:rsidR="004E05C9">
        <w:rPr>
          <w:rFonts w:ascii="Times New Roman" w:eastAsia="Times New Roman" w:hAnsi="Times New Roman" w:cs="Times New Roman"/>
          <w:sz w:val="24"/>
          <w:szCs w:val="24"/>
          <w:lang w:eastAsia="en-AU"/>
        </w:rPr>
        <w:t>being contained in p</w:t>
      </w:r>
      <w:r w:rsidR="00226F3C">
        <w:rPr>
          <w:rFonts w:ascii="Times New Roman" w:eastAsia="Times New Roman" w:hAnsi="Times New Roman" w:cs="Times New Roman"/>
          <w:sz w:val="24"/>
          <w:szCs w:val="24"/>
          <w:lang w:eastAsia="en-AU"/>
        </w:rPr>
        <w:t xml:space="preserve">articular medicines only in specified </w:t>
      </w:r>
      <w:r w:rsidR="004E05C9">
        <w:rPr>
          <w:rFonts w:ascii="Times New Roman" w:eastAsia="Times New Roman" w:hAnsi="Times New Roman" w:cs="Times New Roman"/>
          <w:sz w:val="24"/>
          <w:szCs w:val="24"/>
          <w:lang w:eastAsia="en-AU"/>
        </w:rPr>
        <w:t>circumstances or to permitted concentrations or total amounts of an ingredient in a medicine.</w:t>
      </w:r>
    </w:p>
    <w:p w14:paraId="69CA0739"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0684020F" w14:textId="77777777" w:rsidR="004E05C9" w:rsidRDefault="00226F3C"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L</w:t>
      </w:r>
      <w:r w:rsidR="004E05C9">
        <w:rPr>
          <w:rFonts w:ascii="Times New Roman" w:eastAsia="Times New Roman" w:hAnsi="Times New Roman" w:cs="Times New Roman"/>
          <w:sz w:val="24"/>
          <w:szCs w:val="24"/>
          <w:lang w:eastAsia="en-AU"/>
        </w:rPr>
        <w:t xml:space="preserve">egislative instruments made </w:t>
      </w:r>
      <w:r>
        <w:rPr>
          <w:rFonts w:ascii="Times New Roman" w:eastAsia="Times New Roman" w:hAnsi="Times New Roman" w:cs="Times New Roman"/>
          <w:sz w:val="24"/>
          <w:szCs w:val="24"/>
          <w:lang w:eastAsia="en-AU"/>
        </w:rPr>
        <w:t>under section 26BB of the Act are designed</w:t>
      </w:r>
      <w:r w:rsidR="004E05C9">
        <w:rPr>
          <w:rFonts w:ascii="Times New Roman" w:eastAsia="Times New Roman" w:hAnsi="Times New Roman" w:cs="Times New Roman"/>
          <w:sz w:val="24"/>
          <w:szCs w:val="24"/>
          <w:lang w:eastAsia="en-AU"/>
        </w:rPr>
        <w:t xml:space="preserve"> to specify those ingredients that may be contained in a medicine that is listed in the Australian Register of Therapeutic Goods (“the Register”) under section 26A or 26AE of the Act, and </w:t>
      </w:r>
      <w:r>
        <w:rPr>
          <w:rFonts w:ascii="Times New Roman" w:eastAsia="Times New Roman" w:hAnsi="Times New Roman" w:cs="Times New Roman"/>
          <w:sz w:val="24"/>
          <w:szCs w:val="24"/>
          <w:lang w:eastAsia="en-AU"/>
        </w:rPr>
        <w:t xml:space="preserve">to specify </w:t>
      </w:r>
      <w:r w:rsidR="004E05C9">
        <w:rPr>
          <w:rFonts w:ascii="Times New Roman" w:eastAsia="Times New Roman" w:hAnsi="Times New Roman" w:cs="Times New Roman"/>
          <w:sz w:val="24"/>
          <w:szCs w:val="24"/>
          <w:lang w:eastAsia="en-AU"/>
        </w:rPr>
        <w:t>requirements in relation to the inclusion of those ingredients in such medicines.</w:t>
      </w:r>
    </w:p>
    <w:p w14:paraId="114F9F97"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441C0023" w14:textId="231E2C2B"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E60C26" w:rsidRPr="008727AB">
        <w:rPr>
          <w:rFonts w:ascii="Times New Roman" w:eastAsia="Times New Roman" w:hAnsi="Times New Roman" w:cs="Times New Roman"/>
          <w:bCs/>
          <w:i/>
          <w:sz w:val="24"/>
          <w:szCs w:val="24"/>
          <w:lang w:eastAsia="en-AU"/>
        </w:rPr>
        <w:t>Therapeutic Goods (Permiss</w:t>
      </w:r>
      <w:r w:rsidR="00E60C26">
        <w:rPr>
          <w:rFonts w:ascii="Times New Roman" w:eastAsia="Times New Roman" w:hAnsi="Times New Roman" w:cs="Times New Roman"/>
          <w:bCs/>
          <w:i/>
          <w:sz w:val="24"/>
          <w:szCs w:val="24"/>
          <w:lang w:eastAsia="en-AU"/>
        </w:rPr>
        <w:t>ible Ingredients) Determination (No.</w:t>
      </w:r>
      <w:r w:rsidR="00950992">
        <w:rPr>
          <w:rFonts w:ascii="Times New Roman" w:eastAsia="Times New Roman" w:hAnsi="Times New Roman" w:cs="Times New Roman"/>
          <w:bCs/>
          <w:i/>
          <w:sz w:val="24"/>
          <w:szCs w:val="24"/>
          <w:lang w:eastAsia="en-AU"/>
        </w:rPr>
        <w:t>2</w:t>
      </w:r>
      <w:r w:rsidR="00E60C26">
        <w:rPr>
          <w:rFonts w:ascii="Times New Roman" w:eastAsia="Times New Roman" w:hAnsi="Times New Roman" w:cs="Times New Roman"/>
          <w:bCs/>
          <w:i/>
          <w:sz w:val="24"/>
          <w:szCs w:val="24"/>
          <w:lang w:eastAsia="en-AU"/>
        </w:rPr>
        <w:t xml:space="preserve">) </w:t>
      </w:r>
      <w:r w:rsidR="00F6166F" w:rsidRPr="008727AB">
        <w:rPr>
          <w:rFonts w:ascii="Times New Roman" w:eastAsia="Times New Roman" w:hAnsi="Times New Roman" w:cs="Times New Roman"/>
          <w:bCs/>
          <w:i/>
          <w:sz w:val="24"/>
          <w:szCs w:val="24"/>
          <w:lang w:eastAsia="en-AU"/>
        </w:rPr>
        <w:t>20</w:t>
      </w:r>
      <w:r w:rsidR="00F6166F">
        <w:rPr>
          <w:rFonts w:ascii="Times New Roman" w:eastAsia="Times New Roman" w:hAnsi="Times New Roman" w:cs="Times New Roman"/>
          <w:bCs/>
          <w:i/>
          <w:sz w:val="24"/>
          <w:szCs w:val="24"/>
          <w:lang w:eastAsia="en-AU"/>
        </w:rPr>
        <w:t xml:space="preserve">21 </w:t>
      </w:r>
      <w:r w:rsidR="00E60C26" w:rsidRPr="00E60C26">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sz w:val="24"/>
          <w:szCs w:val="24"/>
          <w:lang w:eastAsia="en-AU"/>
        </w:rPr>
        <w:t>Determination</w:t>
      </w:r>
      <w:r w:rsidR="00E60C2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67371">
        <w:rPr>
          <w:rFonts w:ascii="Times New Roman" w:eastAsia="Times New Roman" w:hAnsi="Times New Roman" w:cs="Times New Roman"/>
          <w:sz w:val="24"/>
          <w:szCs w:val="24"/>
          <w:lang w:eastAsia="en-AU"/>
        </w:rPr>
        <w:t>repeal</w:t>
      </w:r>
      <w:r w:rsidR="007C503B">
        <w:rPr>
          <w:rFonts w:ascii="Times New Roman" w:eastAsia="Times New Roman" w:hAnsi="Times New Roman" w:cs="Times New Roman"/>
          <w:sz w:val="24"/>
          <w:szCs w:val="24"/>
          <w:lang w:eastAsia="en-AU"/>
        </w:rPr>
        <w:t xml:space="preserve">s </w:t>
      </w:r>
      <w:r w:rsidR="00E67371">
        <w:rPr>
          <w:rFonts w:ascii="Times New Roman" w:eastAsia="Times New Roman" w:hAnsi="Times New Roman" w:cs="Times New Roman"/>
          <w:sz w:val="24"/>
          <w:szCs w:val="24"/>
          <w:lang w:eastAsia="en-AU"/>
        </w:rPr>
        <w:t>and replace</w:t>
      </w:r>
      <w:r w:rsidR="007C503B">
        <w:rPr>
          <w:rFonts w:ascii="Times New Roman" w:eastAsia="Times New Roman" w:hAnsi="Times New Roman" w:cs="Times New Roman"/>
          <w:sz w:val="24"/>
          <w:szCs w:val="24"/>
          <w:lang w:eastAsia="en-AU"/>
        </w:rPr>
        <w:t>s</w:t>
      </w:r>
      <w:r w:rsidR="00E673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Pr="004E05C9">
        <w:rPr>
          <w:rFonts w:ascii="Times New Roman" w:eastAsia="Times New Roman" w:hAnsi="Times New Roman" w:cs="Times New Roman"/>
          <w:i/>
          <w:sz w:val="24"/>
          <w:szCs w:val="24"/>
          <w:lang w:eastAsia="en-AU"/>
        </w:rPr>
        <w:t>Therapeutic Goods</w:t>
      </w:r>
      <w:r w:rsidR="001C38AF">
        <w:rPr>
          <w:rFonts w:ascii="Times New Roman" w:eastAsia="Times New Roman" w:hAnsi="Times New Roman" w:cs="Times New Roman"/>
          <w:i/>
          <w:sz w:val="24"/>
          <w:szCs w:val="24"/>
          <w:lang w:eastAsia="en-AU"/>
        </w:rPr>
        <w:t xml:space="preserve"> </w:t>
      </w:r>
      <w:r w:rsidRPr="004E05C9">
        <w:rPr>
          <w:rFonts w:ascii="Times New Roman" w:eastAsia="Times New Roman" w:hAnsi="Times New Roman" w:cs="Times New Roman"/>
          <w:i/>
          <w:sz w:val="24"/>
          <w:szCs w:val="24"/>
          <w:lang w:eastAsia="en-AU"/>
        </w:rPr>
        <w:t>(Permissible Ingredients) Determination (No.</w:t>
      </w:r>
      <w:r w:rsidR="00B60F0C">
        <w:rPr>
          <w:rFonts w:ascii="Times New Roman" w:eastAsia="Times New Roman" w:hAnsi="Times New Roman" w:cs="Times New Roman"/>
          <w:i/>
          <w:sz w:val="24"/>
          <w:szCs w:val="24"/>
          <w:lang w:eastAsia="en-AU"/>
        </w:rPr>
        <w:t xml:space="preserve"> </w:t>
      </w:r>
      <w:r w:rsidR="00950992">
        <w:rPr>
          <w:rFonts w:ascii="Times New Roman" w:eastAsia="Times New Roman" w:hAnsi="Times New Roman" w:cs="Times New Roman"/>
          <w:i/>
          <w:sz w:val="24"/>
          <w:szCs w:val="24"/>
          <w:lang w:eastAsia="en-AU"/>
        </w:rPr>
        <w:t>1</w:t>
      </w:r>
      <w:r w:rsidRPr="004E05C9">
        <w:rPr>
          <w:rFonts w:ascii="Times New Roman" w:eastAsia="Times New Roman" w:hAnsi="Times New Roman" w:cs="Times New Roman"/>
          <w:i/>
          <w:sz w:val="24"/>
          <w:szCs w:val="24"/>
          <w:lang w:eastAsia="en-AU"/>
        </w:rPr>
        <w:t>) 20</w:t>
      </w:r>
      <w:r w:rsidR="00E96741">
        <w:rPr>
          <w:rFonts w:ascii="Times New Roman" w:eastAsia="Times New Roman" w:hAnsi="Times New Roman" w:cs="Times New Roman"/>
          <w:i/>
          <w:sz w:val="24"/>
          <w:szCs w:val="24"/>
          <w:lang w:eastAsia="en-AU"/>
        </w:rPr>
        <w:t>2</w:t>
      </w:r>
      <w:r w:rsidR="00950992">
        <w:rPr>
          <w:rFonts w:ascii="Times New Roman" w:eastAsia="Times New Roman" w:hAnsi="Times New Roman" w:cs="Times New Roman"/>
          <w:i/>
          <w:sz w:val="24"/>
          <w:szCs w:val="24"/>
          <w:lang w:eastAsia="en-AU"/>
        </w:rPr>
        <w:t>1</w:t>
      </w:r>
      <w:r w:rsidR="00B60F0C">
        <w:rPr>
          <w:rFonts w:ascii="Times New Roman" w:eastAsia="Times New Roman" w:hAnsi="Times New Roman" w:cs="Times New Roman"/>
          <w:i/>
          <w:sz w:val="24"/>
          <w:szCs w:val="24"/>
          <w:lang w:eastAsia="en-AU"/>
        </w:rPr>
        <w:t xml:space="preserve"> </w:t>
      </w:r>
      <w:r w:rsidR="00B60F0C">
        <w:rPr>
          <w:rFonts w:ascii="Times New Roman" w:eastAsia="Times New Roman" w:hAnsi="Times New Roman" w:cs="Times New Roman"/>
          <w:sz w:val="24"/>
          <w:szCs w:val="24"/>
          <w:lang w:eastAsia="en-AU"/>
        </w:rPr>
        <w:t xml:space="preserve">(“the </w:t>
      </w:r>
      <w:r w:rsidR="00E67371">
        <w:rPr>
          <w:rFonts w:ascii="Times New Roman" w:eastAsia="Times New Roman" w:hAnsi="Times New Roman" w:cs="Times New Roman"/>
          <w:sz w:val="24"/>
          <w:szCs w:val="24"/>
          <w:lang w:eastAsia="en-AU"/>
        </w:rPr>
        <w:t xml:space="preserve">former </w:t>
      </w:r>
      <w:r w:rsidR="00B60F0C">
        <w:rPr>
          <w:rFonts w:ascii="Times New Roman" w:eastAsia="Times New Roman" w:hAnsi="Times New Roman" w:cs="Times New Roman"/>
          <w:sz w:val="24"/>
          <w:szCs w:val="24"/>
          <w:lang w:eastAsia="en-AU"/>
        </w:rPr>
        <w:t>Determination”)</w:t>
      </w:r>
      <w:r w:rsidR="007C503B">
        <w:rPr>
          <w:rFonts w:ascii="Times New Roman" w:eastAsia="Times New Roman" w:hAnsi="Times New Roman" w:cs="Times New Roman"/>
          <w:sz w:val="24"/>
          <w:szCs w:val="24"/>
          <w:lang w:eastAsia="en-AU"/>
        </w:rPr>
        <w:t>, and specifies those ingredients that may be contained in a medicine that is listed in the Register and requirements in relation to the inclusion of those ingredients in such medicines</w:t>
      </w:r>
      <w:r w:rsidR="001C38AF">
        <w:rPr>
          <w:rFonts w:ascii="Times New Roman" w:eastAsia="Times New Roman" w:hAnsi="Times New Roman" w:cs="Times New Roman"/>
          <w:sz w:val="24"/>
          <w:szCs w:val="24"/>
          <w:lang w:eastAsia="en-AU"/>
        </w:rPr>
        <w:t>.</w:t>
      </w:r>
    </w:p>
    <w:p w14:paraId="44353B94" w14:textId="77777777" w:rsidR="005B70D2" w:rsidRDefault="005B70D2" w:rsidP="009A530B">
      <w:pPr>
        <w:autoSpaceDE w:val="0"/>
        <w:autoSpaceDN w:val="0"/>
        <w:adjustRightInd w:val="0"/>
        <w:spacing w:after="0"/>
        <w:rPr>
          <w:rFonts w:ascii="Times New Roman" w:eastAsia="Times New Roman" w:hAnsi="Times New Roman" w:cs="Times New Roman"/>
          <w:sz w:val="24"/>
          <w:szCs w:val="24"/>
          <w:lang w:eastAsia="en-AU"/>
        </w:rPr>
      </w:pPr>
    </w:p>
    <w:p w14:paraId="013E1782" w14:textId="761B1BF5" w:rsidR="00EF1F18" w:rsidRDefault="00EF1F18" w:rsidP="001A7C14">
      <w:pPr>
        <w:autoSpaceDE w:val="0"/>
        <w:autoSpaceDN w:val="0"/>
        <w:adjustRightInd w:val="0"/>
        <w:spacing w:after="0"/>
        <w:rPr>
          <w:rFonts w:ascii="Times New Roman" w:eastAsia="Times New Roman" w:hAnsi="Times New Roman" w:cs="Times New Roman"/>
          <w:b/>
          <w:bCs/>
          <w:sz w:val="24"/>
          <w:szCs w:val="24"/>
          <w:lang w:eastAsia="en-AU"/>
        </w:rPr>
      </w:pPr>
      <w:r w:rsidRPr="00B028DC">
        <w:rPr>
          <w:rFonts w:ascii="Times New Roman" w:eastAsia="Times New Roman" w:hAnsi="Times New Roman" w:cs="Times New Roman"/>
          <w:b/>
          <w:bCs/>
          <w:sz w:val="24"/>
          <w:szCs w:val="24"/>
          <w:lang w:eastAsia="en-AU"/>
        </w:rPr>
        <w:t>B</w:t>
      </w:r>
      <w:r w:rsidR="00E01934" w:rsidRPr="00B028DC">
        <w:rPr>
          <w:rFonts w:ascii="Times New Roman" w:eastAsia="Times New Roman" w:hAnsi="Times New Roman" w:cs="Times New Roman"/>
          <w:b/>
          <w:bCs/>
          <w:sz w:val="24"/>
          <w:szCs w:val="24"/>
          <w:lang w:eastAsia="en-AU"/>
        </w:rPr>
        <w:t>ackground</w:t>
      </w:r>
    </w:p>
    <w:p w14:paraId="090C8A55" w14:textId="77777777" w:rsidR="005B70D2" w:rsidRPr="00B028DC" w:rsidRDefault="005B70D2" w:rsidP="001A7C14">
      <w:pPr>
        <w:autoSpaceDE w:val="0"/>
        <w:autoSpaceDN w:val="0"/>
        <w:adjustRightInd w:val="0"/>
        <w:spacing w:after="0"/>
        <w:rPr>
          <w:rFonts w:ascii="Times New Roman" w:eastAsia="Times New Roman" w:hAnsi="Times New Roman" w:cs="Times New Roman"/>
          <w:sz w:val="24"/>
          <w:szCs w:val="24"/>
          <w:lang w:val="en-US" w:eastAsia="en-AU"/>
        </w:rPr>
      </w:pPr>
    </w:p>
    <w:p w14:paraId="46189311" w14:textId="7CDD84D4"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Medicines that are listed in the Register under section 26A of the Act </w:t>
      </w:r>
      <w:proofErr w:type="gramStart"/>
      <w:r w:rsidRPr="00D4773E">
        <w:rPr>
          <w:rFonts w:ascii="Times New Roman" w:eastAsia="Times New Roman" w:hAnsi="Times New Roman" w:cs="Times New Roman"/>
          <w:sz w:val="24"/>
          <w:szCs w:val="24"/>
          <w:lang w:eastAsia="en-AU"/>
        </w:rPr>
        <w:t>are considered to be</w:t>
      </w:r>
      <w:proofErr w:type="gramEnd"/>
      <w:r w:rsidRPr="00D4773E">
        <w:rPr>
          <w:rFonts w:ascii="Times New Roman" w:eastAsia="Times New Roman" w:hAnsi="Times New Roman" w:cs="Times New Roman"/>
          <w:sz w:val="24"/>
          <w:szCs w:val="24"/>
          <w:lang w:eastAsia="en-AU"/>
        </w:rPr>
        <w:t xml:space="preserve"> low risk and are not individually evaluated before those medicines are listed.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w:t>
      </w:r>
      <w:r w:rsidR="00B60F0C">
        <w:rPr>
          <w:rFonts w:ascii="Times New Roman" w:eastAsia="Times New Roman" w:hAnsi="Times New Roman" w:cs="Times New Roman"/>
          <w:sz w:val="24"/>
          <w:szCs w:val="24"/>
          <w:lang w:eastAsia="en-AU"/>
        </w:rPr>
        <w:t xml:space="preserve">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When listed under section 26AE, these listed medicines are commonly referred to as ‘assessed listed </w:t>
      </w:r>
      <w:proofErr w:type="gramStart"/>
      <w:r w:rsidRPr="00D4773E">
        <w:rPr>
          <w:rFonts w:ascii="Times New Roman" w:eastAsia="Times New Roman" w:hAnsi="Times New Roman" w:cs="Times New Roman"/>
          <w:sz w:val="24"/>
          <w:szCs w:val="24"/>
          <w:lang w:eastAsia="en-AU"/>
        </w:rPr>
        <w:t>medicines’</w:t>
      </w:r>
      <w:proofErr w:type="gramEnd"/>
      <w:r w:rsidRPr="00D4773E">
        <w:rPr>
          <w:rFonts w:ascii="Times New Roman" w:eastAsia="Times New Roman" w:hAnsi="Times New Roman" w:cs="Times New Roman"/>
          <w:sz w:val="24"/>
          <w:szCs w:val="24"/>
          <w:lang w:eastAsia="en-AU"/>
        </w:rPr>
        <w:t>.</w:t>
      </w:r>
    </w:p>
    <w:p w14:paraId="593DB8C4"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37CEDFE6" w14:textId="48FA808C"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As the safety and quality of medicines listed under section</w:t>
      </w:r>
      <w:r w:rsidR="00B60F0C">
        <w:rPr>
          <w:rFonts w:ascii="Times New Roman" w:eastAsia="Times New Roman" w:hAnsi="Times New Roman" w:cs="Times New Roman"/>
          <w:sz w:val="24"/>
          <w:szCs w:val="24"/>
          <w:lang w:eastAsia="en-AU"/>
        </w:rPr>
        <w:t>s</w:t>
      </w:r>
      <w:r w:rsidRPr="00D4773E">
        <w:rPr>
          <w:rFonts w:ascii="Times New Roman" w:eastAsia="Times New Roman" w:hAnsi="Times New Roman" w:cs="Times New Roman"/>
          <w:sz w:val="24"/>
          <w:szCs w:val="24"/>
          <w:lang w:eastAsia="en-AU"/>
        </w:rPr>
        <w:t xml:space="preserve"> 26A and 26AE are not evaluated by the TGA before being given marketing approval, the Act contains mechanisms to help ensure that those medicines are of appropriate quality and able to be used safely by consumers. </w:t>
      </w:r>
      <w:r w:rsidR="00E60C26">
        <w:rPr>
          <w:rFonts w:ascii="Times New Roman" w:eastAsia="Times New Roman" w:hAnsi="Times New Roman" w:cs="Times New Roman"/>
          <w:sz w:val="24"/>
          <w:szCs w:val="24"/>
          <w:lang w:eastAsia="en-AU"/>
        </w:rPr>
        <w:t xml:space="preserve"> </w:t>
      </w:r>
      <w:proofErr w:type="gramStart"/>
      <w:r w:rsidRPr="00D4773E">
        <w:rPr>
          <w:rFonts w:ascii="Times New Roman" w:eastAsia="Times New Roman" w:hAnsi="Times New Roman" w:cs="Times New Roman"/>
          <w:sz w:val="24"/>
          <w:szCs w:val="24"/>
          <w:lang w:eastAsia="en-AU"/>
        </w:rPr>
        <w:t>In particular, medicines</w:t>
      </w:r>
      <w:proofErr w:type="gramEnd"/>
      <w:r w:rsidRPr="00D4773E">
        <w:rPr>
          <w:rFonts w:ascii="Times New Roman" w:eastAsia="Times New Roman" w:hAnsi="Times New Roman" w:cs="Times New Roman"/>
          <w:sz w:val="24"/>
          <w:szCs w:val="24"/>
          <w:lang w:eastAsia="en-AU"/>
        </w:rPr>
        <w:t xml:space="preserve"> listed under section 26A and 26AE may only contain </w:t>
      </w:r>
      <w:r w:rsidRPr="00D4773E">
        <w:rPr>
          <w:rFonts w:ascii="Times New Roman" w:eastAsia="Times New Roman" w:hAnsi="Times New Roman" w:cs="Times New Roman"/>
          <w:sz w:val="24"/>
          <w:szCs w:val="24"/>
          <w:lang w:eastAsia="en-AU"/>
        </w:rPr>
        <w:lastRenderedPageBreak/>
        <w:t xml:space="preserve">ingredients from an approved list of ingredients that have been evaluated in relation to their quality and safety and suitability for use in such medicines.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Sponsors of such medicines may </w:t>
      </w:r>
      <w:r w:rsidR="008E082F">
        <w:rPr>
          <w:rFonts w:ascii="Times New Roman" w:eastAsia="Times New Roman" w:hAnsi="Times New Roman" w:cs="Times New Roman"/>
          <w:sz w:val="24"/>
          <w:szCs w:val="24"/>
          <w:lang w:eastAsia="en-AU"/>
        </w:rPr>
        <w:t xml:space="preserve">also </w:t>
      </w:r>
      <w:r w:rsidRPr="00D4773E">
        <w:rPr>
          <w:rFonts w:ascii="Times New Roman" w:eastAsia="Times New Roman" w:hAnsi="Times New Roman" w:cs="Times New Roman"/>
          <w:sz w:val="24"/>
          <w:szCs w:val="24"/>
          <w:lang w:eastAsia="en-AU"/>
        </w:rPr>
        <w:t xml:space="preserve">only use indications (statements of therapeutic use) from a list of pre-approved </w:t>
      </w:r>
      <w:proofErr w:type="gramStart"/>
      <w:r w:rsidRPr="00D4773E">
        <w:rPr>
          <w:rFonts w:ascii="Times New Roman" w:eastAsia="Times New Roman" w:hAnsi="Times New Roman" w:cs="Times New Roman"/>
          <w:sz w:val="24"/>
          <w:szCs w:val="24"/>
          <w:lang w:eastAsia="en-AU"/>
        </w:rPr>
        <w:t>low level</w:t>
      </w:r>
      <w:proofErr w:type="gramEnd"/>
      <w:r w:rsidRPr="00D4773E">
        <w:rPr>
          <w:rFonts w:ascii="Times New Roman" w:eastAsia="Times New Roman" w:hAnsi="Times New Roman" w:cs="Times New Roman"/>
          <w:sz w:val="24"/>
          <w:szCs w:val="24"/>
          <w:lang w:eastAsia="en-AU"/>
        </w:rPr>
        <w:t xml:space="preserve"> indications to ensure that these products do not overstate their therapeutic benefits.</w:t>
      </w:r>
    </w:p>
    <w:p w14:paraId="4D224BDB"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16704F00" w14:textId="502C1451"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Under paragraphs 26A(2)(ca) and (</w:t>
      </w:r>
      <w:proofErr w:type="spellStart"/>
      <w:r w:rsidRPr="00D4773E">
        <w:rPr>
          <w:rFonts w:ascii="Times New Roman" w:eastAsia="Times New Roman" w:hAnsi="Times New Roman" w:cs="Times New Roman"/>
          <w:sz w:val="24"/>
          <w:szCs w:val="24"/>
          <w:lang w:eastAsia="en-AU"/>
        </w:rPr>
        <w:t>cb</w:t>
      </w:r>
      <w:proofErr w:type="spellEnd"/>
      <w:r w:rsidRPr="00D4773E">
        <w:rPr>
          <w:rFonts w:ascii="Times New Roman" w:eastAsia="Times New Roman" w:hAnsi="Times New Roman" w:cs="Times New Roman"/>
          <w:sz w:val="24"/>
          <w:szCs w:val="24"/>
          <w:lang w:eastAsia="en-AU"/>
        </w:rPr>
        <w:t xml:space="preserve">)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Paragraphs 26AB(2)(d) and (e) contain equivalent certification requirements for applicants seeking marketing approval in relation to assessed listed medicines. </w:t>
      </w:r>
      <w:r w:rsidR="00AC4380">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A listed (or assessed listed) medicine may be cancelled from the Register if it appears to the Secretary that such a certification is incorrect.</w:t>
      </w:r>
    </w:p>
    <w:p w14:paraId="4614586B"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6D9381AC" w14:textId="371F5E9E"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Separately, items 3, 4A, 5, 7 and 8 of Schedule 4 to the </w:t>
      </w:r>
      <w:r w:rsidRPr="00D4773E">
        <w:rPr>
          <w:rFonts w:ascii="Times New Roman" w:eastAsia="Times New Roman" w:hAnsi="Times New Roman" w:cs="Times New Roman"/>
          <w:i/>
          <w:iCs/>
          <w:sz w:val="24"/>
          <w:szCs w:val="24"/>
          <w:lang w:eastAsia="en-AU"/>
        </w:rPr>
        <w:t>Therapeutic Goods Regulations 1990</w:t>
      </w:r>
      <w:r w:rsidR="00877FA7">
        <w:rPr>
          <w:rFonts w:ascii="Times New Roman" w:eastAsia="Times New Roman" w:hAnsi="Times New Roman" w:cs="Times New Roman"/>
          <w:iCs/>
          <w:sz w:val="24"/>
          <w:szCs w:val="24"/>
          <w:lang w:eastAsia="en-AU"/>
        </w:rPr>
        <w:t xml:space="preserve"> (“the Regulations”)</w:t>
      </w:r>
      <w:r w:rsidRPr="00D4773E">
        <w:rPr>
          <w:rFonts w:ascii="Times New Roman" w:eastAsia="Times New Roman" w:hAnsi="Times New Roman" w:cs="Times New Roman"/>
          <w:sz w:val="24"/>
          <w:szCs w:val="24"/>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 and must not contravene a requirement in such a determination.</w:t>
      </w:r>
    </w:p>
    <w:p w14:paraId="497DAAC4"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4EE2990C" w14:textId="57E8D02B" w:rsidR="00D4773E" w:rsidRDefault="00226F3C"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such, determinations </w:t>
      </w:r>
      <w:r w:rsidR="0062190F">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section 26BB are</w:t>
      </w:r>
      <w:r w:rsidR="00D4773E" w:rsidRPr="00D4773E">
        <w:rPr>
          <w:rFonts w:ascii="Times New Roman" w:eastAsia="Times New Roman" w:hAnsi="Times New Roman" w:cs="Times New Roman"/>
          <w:sz w:val="24"/>
          <w:szCs w:val="24"/>
          <w:lang w:eastAsia="en-AU"/>
        </w:rPr>
        <w:t xml:space="preserve"> designed to provide a comprehensive list of ingredients which have been assessed or otherwise considered to be safe for use in listed medicines (including assessed listed medicines), and associated requirements to be followed when using particular ingredients in such products.</w:t>
      </w:r>
      <w:r w:rsidR="00D4773E">
        <w:rPr>
          <w:rFonts w:ascii="Times New Roman" w:eastAsia="Times New Roman" w:hAnsi="Times New Roman" w:cs="Times New Roman"/>
          <w:sz w:val="24"/>
          <w:szCs w:val="24"/>
          <w:lang w:eastAsia="en-AU"/>
        </w:rPr>
        <w:t xml:space="preserve">  These requirements may relate to a range of matters including, for example, </w:t>
      </w:r>
      <w:r>
        <w:rPr>
          <w:rFonts w:ascii="Times New Roman" w:eastAsia="Times New Roman" w:hAnsi="Times New Roman" w:cs="Times New Roman"/>
          <w:sz w:val="24"/>
          <w:szCs w:val="24"/>
          <w:lang w:eastAsia="en-AU"/>
        </w:rPr>
        <w:t xml:space="preserve">how an ingredient may be used in a medicine or </w:t>
      </w:r>
      <w:r w:rsidR="00D4773E">
        <w:rPr>
          <w:rFonts w:ascii="Times New Roman" w:eastAsia="Times New Roman" w:hAnsi="Times New Roman" w:cs="Times New Roman"/>
          <w:sz w:val="24"/>
          <w:szCs w:val="24"/>
          <w:lang w:eastAsia="en-AU"/>
        </w:rPr>
        <w:t>the inclusion of relevant safety information on product labels</w:t>
      </w:r>
      <w:r>
        <w:rPr>
          <w:rFonts w:ascii="Times New Roman" w:eastAsia="Times New Roman" w:hAnsi="Times New Roman" w:cs="Times New Roman"/>
          <w:sz w:val="24"/>
          <w:szCs w:val="24"/>
          <w:lang w:eastAsia="en-AU"/>
        </w:rPr>
        <w:t>.</w:t>
      </w:r>
    </w:p>
    <w:p w14:paraId="1986DC36" w14:textId="77777777" w:rsidR="005B70D2" w:rsidRDefault="005B70D2" w:rsidP="001A7C14">
      <w:pPr>
        <w:autoSpaceDE w:val="0"/>
        <w:autoSpaceDN w:val="0"/>
        <w:adjustRightInd w:val="0"/>
        <w:spacing w:after="0" w:line="240" w:lineRule="auto"/>
        <w:rPr>
          <w:rFonts w:ascii="Times New Roman" w:eastAsia="Times New Roman" w:hAnsi="Times New Roman" w:cs="Times New Roman"/>
          <w:sz w:val="24"/>
          <w:szCs w:val="24"/>
          <w:lang w:eastAsia="en-AU"/>
        </w:rPr>
      </w:pPr>
    </w:p>
    <w:p w14:paraId="2B026CDA" w14:textId="57CB284D" w:rsidR="00A4560C" w:rsidRPr="00A4560C" w:rsidRDefault="00A4560C" w:rsidP="001A7C14">
      <w:pPr>
        <w:spacing w:after="120"/>
        <w:rPr>
          <w:rFonts w:ascii="Arial" w:eastAsia="Times New Roman" w:hAnsi="Arial" w:cs="Arial"/>
          <w:sz w:val="19"/>
          <w:szCs w:val="19"/>
          <w:lang w:val="en-US" w:eastAsia="en-AU"/>
        </w:rPr>
      </w:pPr>
      <w:r w:rsidRPr="00A4560C">
        <w:rPr>
          <w:rFonts w:ascii="Times New Roman" w:eastAsia="Times New Roman" w:hAnsi="Times New Roman" w:cs="Times New Roman"/>
          <w:sz w:val="24"/>
          <w:szCs w:val="24"/>
          <w:lang w:eastAsia="en-AU"/>
        </w:rPr>
        <w:t xml:space="preserve">The requirements imposed under the Determination </w:t>
      </w:r>
      <w:r w:rsidR="007C503B">
        <w:rPr>
          <w:rFonts w:ascii="Times New Roman" w:eastAsia="Times New Roman" w:hAnsi="Times New Roman" w:cs="Times New Roman"/>
          <w:sz w:val="24"/>
          <w:szCs w:val="24"/>
          <w:lang w:eastAsia="en-AU"/>
        </w:rPr>
        <w:t xml:space="preserve">are </w:t>
      </w:r>
      <w:r w:rsidRPr="00A4560C">
        <w:rPr>
          <w:rFonts w:ascii="Times New Roman" w:eastAsia="Times New Roman" w:hAnsi="Times New Roman" w:cs="Times New Roman"/>
          <w:sz w:val="24"/>
          <w:szCs w:val="24"/>
          <w:lang w:eastAsia="en-AU"/>
        </w:rPr>
        <w:t xml:space="preserve">principally </w:t>
      </w:r>
      <w:r w:rsidR="007C503B">
        <w:rPr>
          <w:rFonts w:ascii="Times New Roman" w:eastAsia="Times New Roman" w:hAnsi="Times New Roman" w:cs="Times New Roman"/>
          <w:sz w:val="24"/>
          <w:szCs w:val="24"/>
          <w:lang w:eastAsia="en-AU"/>
        </w:rPr>
        <w:t>designed to</w:t>
      </w:r>
      <w:r w:rsidRPr="00A4560C">
        <w:rPr>
          <w:rFonts w:ascii="Times New Roman" w:eastAsia="Times New Roman" w:hAnsi="Times New Roman" w:cs="Times New Roman"/>
          <w:sz w:val="24"/>
          <w:szCs w:val="24"/>
          <w:lang w:eastAsia="en-AU"/>
        </w:rPr>
        <w:t xml:space="preserve"> ensur</w:t>
      </w:r>
      <w:r w:rsidR="007C503B">
        <w:rPr>
          <w:rFonts w:ascii="Times New Roman" w:eastAsia="Times New Roman" w:hAnsi="Times New Roman" w:cs="Times New Roman"/>
          <w:sz w:val="24"/>
          <w:szCs w:val="24"/>
          <w:lang w:eastAsia="en-AU"/>
        </w:rPr>
        <w:t>e</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 xml:space="preserve">or support </w:t>
      </w:r>
      <w:r w:rsidRPr="00A4560C">
        <w:rPr>
          <w:rFonts w:ascii="Times New Roman" w:eastAsia="Times New Roman" w:hAnsi="Times New Roman" w:cs="Times New Roman"/>
          <w:sz w:val="24"/>
          <w:szCs w:val="24"/>
          <w:lang w:eastAsia="en-AU"/>
        </w:rPr>
        <w:t xml:space="preserve">the quality and safety of </w:t>
      </w:r>
      <w:r w:rsidR="007C503B">
        <w:rPr>
          <w:rFonts w:ascii="Times New Roman" w:eastAsia="Times New Roman" w:hAnsi="Times New Roman" w:cs="Times New Roman"/>
          <w:sz w:val="24"/>
          <w:szCs w:val="24"/>
          <w:lang w:eastAsia="en-AU"/>
        </w:rPr>
        <w:t xml:space="preserve">listed medicines that contain permitted </w:t>
      </w:r>
      <w:r w:rsidRPr="00A4560C">
        <w:rPr>
          <w:rFonts w:ascii="Times New Roman" w:eastAsia="Times New Roman" w:hAnsi="Times New Roman" w:cs="Times New Roman"/>
          <w:sz w:val="24"/>
          <w:szCs w:val="24"/>
          <w:lang w:eastAsia="en-AU"/>
        </w:rPr>
        <w:t>ingredient</w:t>
      </w:r>
      <w:r w:rsidR="007C503B">
        <w:rPr>
          <w:rFonts w:ascii="Times New Roman" w:eastAsia="Times New Roman" w:hAnsi="Times New Roman" w:cs="Times New Roman"/>
          <w:sz w:val="24"/>
          <w:szCs w:val="24"/>
          <w:lang w:eastAsia="en-AU"/>
        </w:rPr>
        <w:t>s</w:t>
      </w:r>
      <w:r w:rsidRPr="00A4560C">
        <w:rPr>
          <w:rFonts w:ascii="Times New Roman" w:eastAsia="Times New Roman" w:hAnsi="Times New Roman" w:cs="Times New Roman"/>
          <w:sz w:val="24"/>
          <w:szCs w:val="24"/>
          <w:lang w:eastAsia="en-AU"/>
        </w:rPr>
        <w:t>.</w:t>
      </w:r>
      <w:r w:rsidR="00E60C26">
        <w:rPr>
          <w:rFonts w:ascii="Times New Roman" w:eastAsia="Times New Roman" w:hAnsi="Times New Roman" w:cs="Times New Roman"/>
          <w:sz w:val="24"/>
          <w:szCs w:val="24"/>
          <w:lang w:eastAsia="en-AU"/>
        </w:rPr>
        <w:t xml:space="preserve"> </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The r</w:t>
      </w:r>
      <w:r w:rsidRPr="00A4560C">
        <w:rPr>
          <w:rFonts w:ascii="Times New Roman" w:eastAsia="Times New Roman" w:hAnsi="Times New Roman" w:cs="Times New Roman"/>
          <w:sz w:val="24"/>
          <w:szCs w:val="24"/>
          <w:lang w:eastAsia="en-AU"/>
        </w:rPr>
        <w:t>equirements may relate</w:t>
      </w:r>
      <w:r w:rsidR="007C503B">
        <w:rPr>
          <w:rFonts w:ascii="Times New Roman" w:eastAsia="Times New Roman" w:hAnsi="Times New Roman" w:cs="Times New Roman"/>
          <w:sz w:val="24"/>
          <w:szCs w:val="24"/>
          <w:lang w:eastAsia="en-AU"/>
        </w:rPr>
        <w:t xml:space="preserve"> to</w:t>
      </w:r>
      <w:r w:rsidRPr="00A4560C">
        <w:rPr>
          <w:rFonts w:ascii="Times New Roman" w:eastAsia="Times New Roman" w:hAnsi="Times New Roman" w:cs="Times New Roman"/>
          <w:sz w:val="24"/>
          <w:szCs w:val="24"/>
          <w:lang w:eastAsia="en-AU"/>
        </w:rPr>
        <w:t>, for example:</w:t>
      </w:r>
    </w:p>
    <w:p w14:paraId="1716BFC3" w14:textId="62D153A4" w:rsidR="00A4560C" w:rsidRPr="00AF44AF" w:rsidRDefault="00A4560C" w:rsidP="00B95A3B">
      <w:pPr>
        <w:pStyle w:val="ListParagraph"/>
        <w:numPr>
          <w:ilvl w:val="0"/>
          <w:numId w:val="11"/>
        </w:numPr>
        <w:spacing w:before="0" w:beforeAutospacing="0" w:after="120" w:afterAutospacing="0" w:line="276" w:lineRule="auto"/>
        <w:ind w:left="714" w:hanging="357"/>
      </w:pPr>
      <w:r w:rsidRPr="00AF44AF">
        <w:t xml:space="preserve">how </w:t>
      </w:r>
      <w:r w:rsidR="007C503B">
        <w:t>a permitted</w:t>
      </w:r>
      <w:r w:rsidRPr="00AF44AF">
        <w:t xml:space="preserve"> ingredient is to be used in the medicine, that is, as an active, homoeopathic or excipient </w:t>
      </w:r>
      <w:proofErr w:type="gramStart"/>
      <w:r w:rsidRPr="00AF44AF">
        <w:t>ingredient;</w:t>
      </w:r>
      <w:proofErr w:type="gramEnd"/>
    </w:p>
    <w:p w14:paraId="5EC76A23" w14:textId="0AA1EE28"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 xml:space="preserve">the intended method of ingestion or application of the medicine, for example, oral or topical </w:t>
      </w:r>
      <w:proofErr w:type="gramStart"/>
      <w:r w:rsidRPr="00AF44AF">
        <w:t>use;</w:t>
      </w:r>
      <w:proofErr w:type="gramEnd"/>
    </w:p>
    <w:p w14:paraId="233FB9CD" w14:textId="2FEF7CF5"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 xml:space="preserve">the source of the ingredient, or procedures to be followed in its </w:t>
      </w:r>
      <w:proofErr w:type="gramStart"/>
      <w:r w:rsidRPr="00AF44AF">
        <w:t>manufacture;</w:t>
      </w:r>
      <w:proofErr w:type="gramEnd"/>
    </w:p>
    <w:p w14:paraId="5EC7B554" w14:textId="4DFA7DF1"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appropriate limits on the volume or concentration of an ingredient; and</w:t>
      </w:r>
    </w:p>
    <w:p w14:paraId="2FA4BD86" w14:textId="746ABECD" w:rsidR="00A4560C" w:rsidRPr="00AF44AF" w:rsidRDefault="00A4560C" w:rsidP="001A7C14">
      <w:pPr>
        <w:pStyle w:val="ListParagraph"/>
        <w:numPr>
          <w:ilvl w:val="0"/>
          <w:numId w:val="11"/>
        </w:numPr>
        <w:spacing w:before="120" w:beforeAutospacing="0" w:after="0" w:afterAutospacing="0" w:line="276" w:lineRule="auto"/>
        <w:ind w:left="714" w:hanging="357"/>
      </w:pPr>
      <w:r w:rsidRPr="00AF44AF">
        <w:t>the inclusion of relevant safety information on product labels, for example, allergen advice or advice about the use of medicine containing the ingredient for susceptible members of the population such as children and pregnant women.</w:t>
      </w:r>
    </w:p>
    <w:p w14:paraId="08E44D00" w14:textId="77777777" w:rsidR="005B70D2" w:rsidRDefault="005B70D2" w:rsidP="001A7C14">
      <w:pPr>
        <w:keepNext/>
        <w:spacing w:after="0"/>
        <w:contextualSpacing/>
        <w:rPr>
          <w:rFonts w:ascii="Times New Roman" w:eastAsia="Times New Roman" w:hAnsi="Times New Roman" w:cs="Times New Roman"/>
          <w:sz w:val="24"/>
          <w:szCs w:val="24"/>
          <w:lang w:eastAsia="en-AU"/>
        </w:rPr>
      </w:pPr>
    </w:p>
    <w:p w14:paraId="1C9706BC" w14:textId="30EA3458" w:rsidR="006D4AB8" w:rsidRDefault="006D4AB8" w:rsidP="002000F0">
      <w:pPr>
        <w:rPr>
          <w:rFonts w:ascii="Times New Roman" w:eastAsia="Times New Roman" w:hAnsi="Times New Roman" w:cs="Times New Roman"/>
          <w:sz w:val="24"/>
          <w:szCs w:val="24"/>
          <w:lang w:eastAsia="en-AU"/>
        </w:rPr>
      </w:pPr>
      <w:r w:rsidRPr="002000F0">
        <w:rPr>
          <w:rFonts w:ascii="Times New Roman" w:eastAsia="Times New Roman" w:hAnsi="Times New Roman" w:cs="Times New Roman"/>
          <w:sz w:val="24"/>
          <w:szCs w:val="24"/>
          <w:lang w:eastAsia="en-AU"/>
        </w:rPr>
        <w:t xml:space="preserve">The Determination incorporates </w:t>
      </w:r>
      <w:proofErr w:type="gramStart"/>
      <w:r w:rsidRPr="002000F0">
        <w:rPr>
          <w:rFonts w:ascii="Times New Roman" w:eastAsia="Times New Roman" w:hAnsi="Times New Roman" w:cs="Times New Roman"/>
          <w:sz w:val="24"/>
          <w:szCs w:val="24"/>
          <w:lang w:eastAsia="en-AU"/>
        </w:rPr>
        <w:t>a number of</w:t>
      </w:r>
      <w:proofErr w:type="gramEnd"/>
      <w:r w:rsidRPr="002000F0">
        <w:rPr>
          <w:rFonts w:ascii="Times New Roman" w:eastAsia="Times New Roman" w:hAnsi="Times New Roman" w:cs="Times New Roman"/>
          <w:sz w:val="24"/>
          <w:szCs w:val="24"/>
          <w:lang w:eastAsia="en-AU"/>
        </w:rPr>
        <w:t xml:space="preserve"> changes in comparison to the former Determination, including in particular:</w:t>
      </w:r>
    </w:p>
    <w:p w14:paraId="609D0557" w14:textId="57912F7B" w:rsidR="00B923F2" w:rsidRDefault="00B923F2" w:rsidP="00B923F2">
      <w:pPr>
        <w:keepNext/>
        <w:numPr>
          <w:ilvl w:val="0"/>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bookmarkStart w:id="0" w:name="_Hlk78988040"/>
      <w:r>
        <w:rPr>
          <w:rFonts w:ascii="Times New Roman" w:hAnsi="Times New Roman" w:cs="Times New Roman"/>
          <w:sz w:val="24"/>
        </w:rPr>
        <w:t xml:space="preserve">the addition of the following </w:t>
      </w:r>
      <w:r w:rsidR="00BB668F">
        <w:rPr>
          <w:rFonts w:ascii="Times New Roman" w:hAnsi="Times New Roman" w:cs="Times New Roman"/>
          <w:sz w:val="24"/>
        </w:rPr>
        <w:t>two</w:t>
      </w:r>
      <w:r>
        <w:rPr>
          <w:rFonts w:ascii="Times New Roman" w:hAnsi="Times New Roman" w:cs="Times New Roman"/>
          <w:sz w:val="24"/>
        </w:rPr>
        <w:t xml:space="preserve"> new ingredients for use in listed and assessed listed medicines:</w:t>
      </w:r>
    </w:p>
    <w:p w14:paraId="02E2BD37" w14:textId="33841932" w:rsidR="00B923F2" w:rsidRPr="002E53C3" w:rsidRDefault="00B923F2" w:rsidP="00B923F2">
      <w:pPr>
        <w:keepNext/>
        <w:numPr>
          <w:ilvl w:val="1"/>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r>
        <w:rPr>
          <w:rFonts w:ascii="Times New Roman" w:hAnsi="Times New Roman" w:cs="Times New Roman"/>
          <w:sz w:val="24"/>
        </w:rPr>
        <w:t>s</w:t>
      </w:r>
      <w:r w:rsidRPr="002E53C3">
        <w:rPr>
          <w:rFonts w:ascii="Times New Roman" w:hAnsi="Times New Roman" w:cs="Times New Roman"/>
          <w:sz w:val="24"/>
        </w:rPr>
        <w:t>odium butyrate</w:t>
      </w:r>
      <w:r>
        <w:rPr>
          <w:rFonts w:ascii="Times New Roman" w:hAnsi="Times New Roman" w:cs="Times New Roman"/>
          <w:sz w:val="24"/>
        </w:rPr>
        <w:t>;</w:t>
      </w:r>
      <w:r w:rsidR="00260B5E">
        <w:rPr>
          <w:rFonts w:ascii="Times New Roman" w:hAnsi="Times New Roman" w:cs="Times New Roman"/>
          <w:sz w:val="24"/>
        </w:rPr>
        <w:t xml:space="preserve"> and</w:t>
      </w:r>
    </w:p>
    <w:p w14:paraId="4F819BF4" w14:textId="77777777" w:rsidR="00B923F2" w:rsidRPr="002E53C3" w:rsidRDefault="00B923F2" w:rsidP="00B923F2">
      <w:pPr>
        <w:keepNext/>
        <w:numPr>
          <w:ilvl w:val="1"/>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proofErr w:type="spellStart"/>
      <w:r>
        <w:rPr>
          <w:rFonts w:ascii="Times New Roman" w:hAnsi="Times New Roman" w:cs="Times New Roman"/>
          <w:sz w:val="24"/>
        </w:rPr>
        <w:t>lacto</w:t>
      </w:r>
      <w:proofErr w:type="spellEnd"/>
      <w:r>
        <w:rPr>
          <w:rFonts w:ascii="Times New Roman" w:hAnsi="Times New Roman" w:cs="Times New Roman"/>
          <w:sz w:val="24"/>
        </w:rPr>
        <w:t>-N-</w:t>
      </w:r>
      <w:proofErr w:type="spellStart"/>
      <w:proofErr w:type="gramStart"/>
      <w:r>
        <w:rPr>
          <w:rFonts w:ascii="Times New Roman" w:hAnsi="Times New Roman" w:cs="Times New Roman"/>
          <w:sz w:val="24"/>
        </w:rPr>
        <w:t>neotetraose</w:t>
      </w:r>
      <w:proofErr w:type="spellEnd"/>
      <w:r>
        <w:rPr>
          <w:rFonts w:ascii="Times New Roman" w:hAnsi="Times New Roman" w:cs="Times New Roman"/>
          <w:sz w:val="24"/>
        </w:rPr>
        <w:t>;</w:t>
      </w:r>
      <w:proofErr w:type="gramEnd"/>
    </w:p>
    <w:p w14:paraId="65354748" w14:textId="77D774EC" w:rsidR="005B58AB" w:rsidRPr="00033398" w:rsidRDefault="005B58AB" w:rsidP="005B58A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the addition of the following </w:t>
      </w:r>
      <w:r w:rsidR="00BB668F">
        <w:rPr>
          <w:rFonts w:ascii="Times New Roman" w:eastAsia="Times New Roman" w:hAnsi="Times New Roman" w:cs="Times New Roman"/>
          <w:sz w:val="24"/>
          <w:szCs w:val="24"/>
          <w:lang w:eastAsia="en-AU"/>
        </w:rPr>
        <w:t>five</w:t>
      </w:r>
      <w:r w:rsidRPr="00033398">
        <w:rPr>
          <w:rFonts w:ascii="Times New Roman" w:eastAsia="Times New Roman" w:hAnsi="Times New Roman" w:cs="Times New Roman"/>
          <w:sz w:val="24"/>
          <w:szCs w:val="24"/>
          <w:lang w:eastAsia="en-AU"/>
        </w:rPr>
        <w:t xml:space="preserve"> ingredients for use </w:t>
      </w:r>
      <w:r w:rsidR="00B923F2">
        <w:rPr>
          <w:rFonts w:ascii="Times New Roman" w:eastAsia="Times New Roman" w:hAnsi="Times New Roman" w:cs="Times New Roman"/>
          <w:sz w:val="24"/>
          <w:szCs w:val="24"/>
          <w:lang w:eastAsia="en-AU"/>
        </w:rPr>
        <w:t>as part of</w:t>
      </w:r>
      <w:r w:rsidR="00B923F2" w:rsidRPr="00033398">
        <w:rPr>
          <w:rFonts w:ascii="Times New Roman" w:eastAsia="Times New Roman" w:hAnsi="Times New Roman" w:cs="Times New Roman"/>
          <w:sz w:val="24"/>
          <w:szCs w:val="24"/>
          <w:lang w:eastAsia="en-AU"/>
        </w:rPr>
        <w:t xml:space="preserve"> flavour </w:t>
      </w:r>
      <w:r w:rsidR="00B923F2">
        <w:rPr>
          <w:rFonts w:ascii="Times New Roman" w:eastAsia="Times New Roman" w:hAnsi="Times New Roman" w:cs="Times New Roman"/>
          <w:sz w:val="24"/>
          <w:szCs w:val="24"/>
          <w:lang w:eastAsia="en-AU"/>
        </w:rPr>
        <w:t xml:space="preserve">or fragrance </w:t>
      </w:r>
      <w:r w:rsidRPr="00033398">
        <w:rPr>
          <w:rFonts w:ascii="Times New Roman" w:eastAsia="Times New Roman" w:hAnsi="Times New Roman" w:cs="Times New Roman"/>
          <w:sz w:val="24"/>
          <w:szCs w:val="24"/>
          <w:lang w:eastAsia="en-AU"/>
        </w:rPr>
        <w:t>proprietary excipient formulations in listed and assessed listed medicines:</w:t>
      </w:r>
    </w:p>
    <w:p w14:paraId="47FC84A6"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ja-JP"/>
        </w:rPr>
        <w:t>2-(4-Methylphenoxy)-N-1H-pyrazol-3-yl-N-(2-</w:t>
      </w:r>
      <w:proofErr w:type="gramStart"/>
      <w:r w:rsidRPr="00033398">
        <w:rPr>
          <w:rFonts w:ascii="Times New Roman" w:eastAsia="MS Mincho" w:hAnsi="Times New Roman" w:cs="Times New Roman"/>
          <w:sz w:val="24"/>
          <w:szCs w:val="24"/>
          <w:lang w:eastAsia="ja-JP"/>
        </w:rPr>
        <w:t>thienylmethyl)acetamide</w:t>
      </w:r>
      <w:proofErr w:type="gramEnd"/>
      <w:r w:rsidRPr="00033398">
        <w:rPr>
          <w:rFonts w:ascii="Times New Roman" w:eastAsia="MS Mincho" w:hAnsi="Times New Roman" w:cs="Times New Roman"/>
          <w:sz w:val="24"/>
          <w:szCs w:val="24"/>
          <w:lang w:eastAsia="ja-JP"/>
        </w:rPr>
        <w:t>;</w:t>
      </w:r>
    </w:p>
    <w:p w14:paraId="3D79B8EF" w14:textId="03D3DE4B"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ethyl trans-2-</w:t>
      </w:r>
      <w:proofErr w:type="gramStart"/>
      <w:r w:rsidRPr="00033398">
        <w:rPr>
          <w:rFonts w:ascii="Times New Roman" w:eastAsia="Times New Roman" w:hAnsi="Times New Roman" w:cs="Times New Roman"/>
          <w:sz w:val="24"/>
          <w:szCs w:val="24"/>
          <w:lang w:eastAsia="en-AU"/>
        </w:rPr>
        <w:t>hex</w:t>
      </w:r>
      <w:r w:rsidR="00B923F2">
        <w:rPr>
          <w:rFonts w:ascii="Times New Roman" w:eastAsia="Times New Roman" w:hAnsi="Times New Roman" w:cs="Times New Roman"/>
          <w:sz w:val="24"/>
          <w:szCs w:val="24"/>
          <w:lang w:eastAsia="en-AU"/>
        </w:rPr>
        <w:t>e</w:t>
      </w:r>
      <w:r w:rsidRPr="00033398">
        <w:rPr>
          <w:rFonts w:ascii="Times New Roman" w:eastAsia="Times New Roman" w:hAnsi="Times New Roman" w:cs="Times New Roman"/>
          <w:sz w:val="24"/>
          <w:szCs w:val="24"/>
          <w:lang w:eastAsia="en-AU"/>
        </w:rPr>
        <w:t>noate;</w:t>
      </w:r>
      <w:proofErr w:type="gramEnd"/>
    </w:p>
    <w:p w14:paraId="01B8807F"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ja-JP"/>
        </w:rPr>
        <w:t xml:space="preserve">linseed oil fatty </w:t>
      </w:r>
      <w:proofErr w:type="gramStart"/>
      <w:r w:rsidRPr="00033398">
        <w:rPr>
          <w:rFonts w:ascii="Times New Roman" w:eastAsia="MS Mincho" w:hAnsi="Times New Roman" w:cs="Times New Roman"/>
          <w:sz w:val="24"/>
          <w:szCs w:val="24"/>
          <w:lang w:eastAsia="ja-JP"/>
        </w:rPr>
        <w:t>acids;</w:t>
      </w:r>
      <w:proofErr w:type="gramEnd"/>
    </w:p>
    <w:p w14:paraId="1E26292F"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l-limonene; and</w:t>
      </w:r>
    </w:p>
    <w:p w14:paraId="3906A786" w14:textId="6B447774"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Z-beta</w:t>
      </w:r>
      <w:r w:rsidRPr="00033398">
        <w:rPr>
          <w:rFonts w:ascii="Cambria" w:eastAsia="MS Mincho" w:hAnsi="Cambria" w:cs="Times New Roman"/>
          <w:szCs w:val="20"/>
        </w:rPr>
        <w:t xml:space="preserve"> </w:t>
      </w:r>
      <w:proofErr w:type="spellStart"/>
      <w:proofErr w:type="gramStart"/>
      <w:r w:rsidRPr="00033398">
        <w:rPr>
          <w:rFonts w:ascii="Times New Roman" w:eastAsia="MS Mincho" w:hAnsi="Times New Roman" w:cs="Times New Roman"/>
          <w:sz w:val="24"/>
          <w:szCs w:val="24"/>
          <w:lang w:eastAsia="en-AU"/>
        </w:rPr>
        <w:t>damasc</w:t>
      </w:r>
      <w:r w:rsidR="00B923F2">
        <w:rPr>
          <w:rFonts w:ascii="Times New Roman" w:eastAsia="MS Mincho" w:hAnsi="Times New Roman" w:cs="Times New Roman"/>
          <w:sz w:val="24"/>
          <w:szCs w:val="24"/>
          <w:lang w:eastAsia="en-AU"/>
        </w:rPr>
        <w:t>one</w:t>
      </w:r>
      <w:proofErr w:type="spellEnd"/>
      <w:r w:rsidRPr="00033398">
        <w:rPr>
          <w:rFonts w:ascii="Times New Roman" w:eastAsia="MS Mincho" w:hAnsi="Times New Roman" w:cs="Times New Roman"/>
          <w:sz w:val="24"/>
          <w:szCs w:val="24"/>
          <w:lang w:eastAsia="en-AU"/>
        </w:rPr>
        <w:t>;</w:t>
      </w:r>
      <w:proofErr w:type="gramEnd"/>
    </w:p>
    <w:p w14:paraId="4F559A0B" w14:textId="15FC8D14" w:rsidR="005B58AB" w:rsidRPr="00033398" w:rsidRDefault="005B58AB" w:rsidP="005B58A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the </w:t>
      </w:r>
      <w:r w:rsidR="00BB668F">
        <w:rPr>
          <w:rFonts w:ascii="Times New Roman" w:eastAsia="Times New Roman" w:hAnsi="Times New Roman" w:cs="Times New Roman"/>
          <w:sz w:val="24"/>
          <w:szCs w:val="24"/>
          <w:lang w:eastAsia="en-AU"/>
        </w:rPr>
        <w:t>inclusion</w:t>
      </w:r>
      <w:r w:rsidRPr="00033398">
        <w:rPr>
          <w:rFonts w:ascii="Times New Roman" w:eastAsia="Times New Roman" w:hAnsi="Times New Roman" w:cs="Times New Roman"/>
          <w:sz w:val="24"/>
          <w:szCs w:val="24"/>
          <w:lang w:eastAsia="en-AU"/>
        </w:rPr>
        <w:t xml:space="preserve"> of the following </w:t>
      </w:r>
      <w:r w:rsidR="00BB668F">
        <w:rPr>
          <w:rFonts w:ascii="Times New Roman" w:eastAsia="Times New Roman" w:hAnsi="Times New Roman" w:cs="Times New Roman"/>
          <w:sz w:val="24"/>
          <w:szCs w:val="24"/>
          <w:lang w:eastAsia="en-AU"/>
        </w:rPr>
        <w:t>three</w:t>
      </w:r>
      <w:r w:rsidRPr="00033398">
        <w:rPr>
          <w:rFonts w:ascii="Times New Roman" w:eastAsia="Times New Roman" w:hAnsi="Times New Roman" w:cs="Times New Roman"/>
          <w:sz w:val="24"/>
          <w:szCs w:val="24"/>
          <w:lang w:eastAsia="en-AU"/>
        </w:rPr>
        <w:t xml:space="preserve"> ingredients for use in listed and assessed listed medicines. These ingredients reflect </w:t>
      </w:r>
      <w:proofErr w:type="gramStart"/>
      <w:r w:rsidRPr="00033398">
        <w:rPr>
          <w:rFonts w:ascii="Times New Roman" w:eastAsia="Times New Roman" w:hAnsi="Times New Roman" w:cs="Times New Roman"/>
          <w:sz w:val="24"/>
          <w:szCs w:val="24"/>
          <w:lang w:eastAsia="en-AU"/>
        </w:rPr>
        <w:t>particular proprietary</w:t>
      </w:r>
      <w:proofErr w:type="gramEnd"/>
      <w:r w:rsidRPr="00033398">
        <w:rPr>
          <w:rFonts w:ascii="Times New Roman" w:eastAsia="Times New Roman" w:hAnsi="Times New Roman" w:cs="Times New Roman"/>
          <w:sz w:val="24"/>
          <w:szCs w:val="24"/>
          <w:lang w:eastAsia="en-AU"/>
        </w:rPr>
        <w:t xml:space="preserve"> formulations that are and have been included in listed medicines in Australia for some time but were inadvertently omitted from the first (and subsequent) determinations </w:t>
      </w:r>
      <w:r w:rsidR="00BB668F">
        <w:rPr>
          <w:rFonts w:ascii="Times New Roman" w:eastAsia="Times New Roman" w:hAnsi="Times New Roman" w:cs="Times New Roman"/>
          <w:sz w:val="24"/>
          <w:szCs w:val="24"/>
          <w:lang w:eastAsia="en-AU"/>
        </w:rPr>
        <w:t xml:space="preserve">made </w:t>
      </w:r>
      <w:r w:rsidRPr="00033398">
        <w:rPr>
          <w:rFonts w:ascii="Times New Roman" w:eastAsia="Times New Roman" w:hAnsi="Times New Roman" w:cs="Times New Roman"/>
          <w:sz w:val="24"/>
          <w:szCs w:val="24"/>
          <w:lang w:eastAsia="en-AU"/>
        </w:rPr>
        <w:t>under section 26BB of the Act. These ingredient</w:t>
      </w:r>
      <w:r w:rsidR="00260B5E">
        <w:rPr>
          <w:rFonts w:ascii="Times New Roman" w:eastAsia="Times New Roman" w:hAnsi="Times New Roman" w:cs="Times New Roman"/>
          <w:sz w:val="24"/>
          <w:szCs w:val="24"/>
          <w:lang w:eastAsia="en-AU"/>
        </w:rPr>
        <w:t>s</w:t>
      </w:r>
      <w:r w:rsidRPr="00033398">
        <w:rPr>
          <w:rFonts w:ascii="Times New Roman" w:eastAsia="Times New Roman" w:hAnsi="Times New Roman" w:cs="Times New Roman"/>
          <w:sz w:val="24"/>
          <w:szCs w:val="24"/>
          <w:lang w:eastAsia="en-AU"/>
        </w:rPr>
        <w:t xml:space="preserve"> </w:t>
      </w:r>
      <w:r w:rsidR="00BB668F">
        <w:rPr>
          <w:rFonts w:ascii="Times New Roman" w:eastAsia="Times New Roman" w:hAnsi="Times New Roman" w:cs="Times New Roman"/>
          <w:sz w:val="24"/>
          <w:szCs w:val="24"/>
          <w:lang w:eastAsia="en-AU"/>
        </w:rPr>
        <w:t>have been</w:t>
      </w:r>
      <w:r w:rsidRPr="00033398">
        <w:rPr>
          <w:rFonts w:ascii="Times New Roman" w:eastAsia="Times New Roman" w:hAnsi="Times New Roman" w:cs="Times New Roman"/>
          <w:sz w:val="24"/>
          <w:szCs w:val="24"/>
          <w:lang w:eastAsia="en-AU"/>
        </w:rPr>
        <w:t xml:space="preserve"> reviewed by the TGA and determined to be appropriate for use in listed </w:t>
      </w:r>
      <w:r w:rsidR="00BB668F">
        <w:rPr>
          <w:rFonts w:ascii="Times New Roman" w:eastAsia="Times New Roman" w:hAnsi="Times New Roman" w:cs="Times New Roman"/>
          <w:sz w:val="24"/>
          <w:szCs w:val="24"/>
          <w:lang w:eastAsia="en-AU"/>
        </w:rPr>
        <w:t xml:space="preserve">and assessed listed </w:t>
      </w:r>
      <w:proofErr w:type="gramStart"/>
      <w:r w:rsidRPr="00033398">
        <w:rPr>
          <w:rFonts w:ascii="Times New Roman" w:eastAsia="Times New Roman" w:hAnsi="Times New Roman" w:cs="Times New Roman"/>
          <w:sz w:val="24"/>
          <w:szCs w:val="24"/>
          <w:lang w:eastAsia="en-AU"/>
        </w:rPr>
        <w:t>medicines;</w:t>
      </w:r>
      <w:proofErr w:type="gramEnd"/>
    </w:p>
    <w:p w14:paraId="22037416"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2-</w:t>
      </w:r>
      <w:proofErr w:type="gramStart"/>
      <w:r w:rsidRPr="00033398">
        <w:rPr>
          <w:rFonts w:ascii="Times New Roman" w:eastAsia="MS Mincho" w:hAnsi="Times New Roman" w:cs="Times New Roman"/>
          <w:sz w:val="24"/>
          <w:szCs w:val="24"/>
          <w:lang w:eastAsia="en-AU"/>
        </w:rPr>
        <w:t>isopropylphenol;</w:t>
      </w:r>
      <w:proofErr w:type="gramEnd"/>
    </w:p>
    <w:p w14:paraId="79892C88"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ja-JP"/>
        </w:rPr>
        <w:t>polybutadiene; and</w:t>
      </w:r>
    </w:p>
    <w:p w14:paraId="1E7E549F"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proofErr w:type="gramStart"/>
      <w:r w:rsidRPr="00033398">
        <w:rPr>
          <w:rFonts w:ascii="Times New Roman" w:eastAsia="MS Mincho" w:hAnsi="Times New Roman" w:cs="Times New Roman"/>
          <w:sz w:val="24"/>
          <w:szCs w:val="24"/>
          <w:lang w:eastAsia="en-AU"/>
        </w:rPr>
        <w:t>polystyrene;</w:t>
      </w:r>
      <w:proofErr w:type="gramEnd"/>
    </w:p>
    <w:p w14:paraId="6F810AEF" w14:textId="31F13B11" w:rsidR="005B58AB" w:rsidRPr="00033398" w:rsidRDefault="005B58AB" w:rsidP="005B58A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updating the names </w:t>
      </w:r>
      <w:proofErr w:type="gramStart"/>
      <w:r w:rsidRPr="00033398">
        <w:rPr>
          <w:rFonts w:ascii="Times New Roman" w:eastAsia="Times New Roman" w:hAnsi="Times New Roman" w:cs="Times New Roman"/>
          <w:sz w:val="24"/>
          <w:szCs w:val="24"/>
          <w:lang w:eastAsia="en-AU"/>
        </w:rPr>
        <w:t xml:space="preserve">of  </w:t>
      </w:r>
      <w:r w:rsidR="00BB668F">
        <w:rPr>
          <w:rFonts w:ascii="Times New Roman" w:eastAsia="Times New Roman" w:hAnsi="Times New Roman" w:cs="Times New Roman"/>
          <w:sz w:val="24"/>
          <w:szCs w:val="24"/>
          <w:lang w:eastAsia="en-AU"/>
        </w:rPr>
        <w:t>two</w:t>
      </w:r>
      <w:proofErr w:type="gramEnd"/>
      <w:r w:rsidR="00BB668F">
        <w:rPr>
          <w:rFonts w:ascii="Times New Roman" w:eastAsia="Times New Roman" w:hAnsi="Times New Roman" w:cs="Times New Roman"/>
          <w:sz w:val="24"/>
          <w:szCs w:val="24"/>
          <w:lang w:eastAsia="en-AU"/>
        </w:rPr>
        <w:t xml:space="preserve"> </w:t>
      </w:r>
      <w:r w:rsidRPr="00033398">
        <w:rPr>
          <w:rFonts w:ascii="Times New Roman" w:eastAsia="Times New Roman" w:hAnsi="Times New Roman" w:cs="Times New Roman"/>
          <w:sz w:val="24"/>
          <w:szCs w:val="24"/>
          <w:lang w:eastAsia="en-AU"/>
        </w:rPr>
        <w:t xml:space="preserve">ingredients </w:t>
      </w:r>
      <w:r w:rsidR="00BB668F">
        <w:rPr>
          <w:rFonts w:ascii="Times New Roman" w:eastAsia="Times New Roman" w:hAnsi="Times New Roman" w:cs="Times New Roman"/>
          <w:sz w:val="24"/>
          <w:szCs w:val="24"/>
          <w:lang w:eastAsia="en-AU"/>
        </w:rPr>
        <w:t>for consistency with</w:t>
      </w:r>
      <w:r w:rsidRPr="00033398">
        <w:rPr>
          <w:rFonts w:ascii="Times New Roman" w:eastAsia="Times New Roman" w:hAnsi="Times New Roman" w:cs="Times New Roman"/>
          <w:sz w:val="24"/>
          <w:szCs w:val="24"/>
          <w:lang w:eastAsia="en-AU"/>
        </w:rPr>
        <w:t xml:space="preserve"> the amended Australian Approved Names:</w:t>
      </w:r>
    </w:p>
    <w:p w14:paraId="448D7559"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proofErr w:type="spellStart"/>
      <w:r w:rsidRPr="00033398">
        <w:rPr>
          <w:rFonts w:ascii="Times New Roman" w:eastAsia="Times New Roman" w:hAnsi="Times New Roman" w:cs="Times New Roman"/>
          <w:sz w:val="24"/>
          <w:szCs w:val="24"/>
          <w:lang w:eastAsia="en-AU"/>
        </w:rPr>
        <w:t>dupical</w:t>
      </w:r>
      <w:proofErr w:type="spellEnd"/>
      <w:r w:rsidRPr="00033398">
        <w:rPr>
          <w:rFonts w:ascii="Times New Roman" w:eastAsia="Times New Roman" w:hAnsi="Times New Roman" w:cs="Times New Roman"/>
          <w:sz w:val="24"/>
          <w:szCs w:val="24"/>
          <w:lang w:eastAsia="en-AU"/>
        </w:rPr>
        <w:t xml:space="preserve"> to </w:t>
      </w:r>
      <w:r w:rsidRPr="00033398">
        <w:rPr>
          <w:rFonts w:ascii="Times New Roman" w:eastAsia="MS Mincho" w:hAnsi="Times New Roman" w:cs="Times New Roman"/>
          <w:sz w:val="24"/>
          <w:szCs w:val="24"/>
          <w:lang w:eastAsia="en-AU"/>
        </w:rPr>
        <w:t>4-(octahydro-4,7-methano-5H-inden-5-ylidene)-butanal; and</w:t>
      </w:r>
    </w:p>
    <w:p w14:paraId="01DBC15C"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proofErr w:type="spellStart"/>
      <w:r w:rsidRPr="00033398">
        <w:rPr>
          <w:rFonts w:ascii="Times New Roman" w:eastAsia="Times New Roman" w:hAnsi="Times New Roman" w:cs="Times New Roman"/>
          <w:sz w:val="24"/>
          <w:szCs w:val="24"/>
          <w:lang w:eastAsia="en-AU"/>
        </w:rPr>
        <w:t>ectoin</w:t>
      </w:r>
      <w:proofErr w:type="spellEnd"/>
      <w:r w:rsidRPr="00033398">
        <w:rPr>
          <w:rFonts w:ascii="Times New Roman" w:eastAsia="Times New Roman" w:hAnsi="Times New Roman" w:cs="Times New Roman"/>
          <w:sz w:val="24"/>
          <w:szCs w:val="24"/>
          <w:lang w:eastAsia="en-AU"/>
        </w:rPr>
        <w:t xml:space="preserve"> to </w:t>
      </w:r>
      <w:proofErr w:type="spellStart"/>
      <w:proofErr w:type="gramStart"/>
      <w:r w:rsidRPr="00033398">
        <w:rPr>
          <w:rFonts w:ascii="Times New Roman" w:eastAsia="Times New Roman" w:hAnsi="Times New Roman" w:cs="Times New Roman"/>
          <w:sz w:val="24"/>
          <w:szCs w:val="24"/>
          <w:lang w:eastAsia="en-AU"/>
        </w:rPr>
        <w:t>ectoine</w:t>
      </w:r>
      <w:proofErr w:type="spellEnd"/>
      <w:r w:rsidRPr="00033398">
        <w:rPr>
          <w:rFonts w:ascii="Times New Roman" w:eastAsia="Times New Roman" w:hAnsi="Times New Roman" w:cs="Times New Roman"/>
          <w:sz w:val="24"/>
          <w:szCs w:val="24"/>
          <w:lang w:eastAsia="en-AU"/>
        </w:rPr>
        <w:t>;</w:t>
      </w:r>
      <w:proofErr w:type="gramEnd"/>
    </w:p>
    <w:p w14:paraId="66959AB8" w14:textId="09D46DC1" w:rsidR="005B58AB" w:rsidRPr="00033398" w:rsidRDefault="005B58AB" w:rsidP="005B58A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updating the applicable requirements for </w:t>
      </w:r>
      <w:r w:rsidR="001B101E">
        <w:rPr>
          <w:rFonts w:ascii="Times New Roman" w:eastAsia="Times New Roman" w:hAnsi="Times New Roman" w:cs="Times New Roman"/>
          <w:sz w:val="24"/>
          <w:szCs w:val="24"/>
          <w:lang w:eastAsia="en-AU"/>
        </w:rPr>
        <w:t>t</w:t>
      </w:r>
      <w:r w:rsidR="0091110C">
        <w:rPr>
          <w:rFonts w:ascii="Times New Roman" w:eastAsia="Times New Roman" w:hAnsi="Times New Roman" w:cs="Times New Roman"/>
          <w:sz w:val="24"/>
          <w:szCs w:val="24"/>
          <w:lang w:eastAsia="en-AU"/>
        </w:rPr>
        <w:t>hree</w:t>
      </w:r>
      <w:r w:rsidRPr="00033398">
        <w:rPr>
          <w:rFonts w:ascii="Times New Roman" w:eastAsia="Times New Roman" w:hAnsi="Times New Roman" w:cs="Times New Roman"/>
          <w:sz w:val="24"/>
          <w:szCs w:val="24"/>
          <w:lang w:eastAsia="en-AU"/>
        </w:rPr>
        <w:t xml:space="preserve"> ingredients:</w:t>
      </w:r>
    </w:p>
    <w:p w14:paraId="145D7CCF" w14:textId="35833571"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 xml:space="preserve">sodium hyaluronate, </w:t>
      </w:r>
      <w:r w:rsidRPr="00033398">
        <w:rPr>
          <w:rFonts w:ascii="Times New Roman" w:eastAsia="Times New Roman" w:hAnsi="Times New Roman" w:cs="Times New Roman"/>
          <w:color w:val="000000"/>
          <w:sz w:val="24"/>
          <w:szCs w:val="24"/>
          <w:shd w:val="clear" w:color="auto" w:fill="FFFFFF"/>
          <w:lang w:eastAsia="en-AU"/>
        </w:rPr>
        <w:t xml:space="preserve">to allow for its use as an active ingredient </w:t>
      </w:r>
      <w:r w:rsidR="001B101E">
        <w:rPr>
          <w:rFonts w:ascii="Times New Roman" w:eastAsia="Times New Roman" w:hAnsi="Times New Roman" w:cs="Times New Roman"/>
          <w:color w:val="000000"/>
          <w:sz w:val="24"/>
          <w:szCs w:val="24"/>
          <w:shd w:val="clear" w:color="auto" w:fill="FFFFFF"/>
          <w:lang w:eastAsia="en-AU"/>
        </w:rPr>
        <w:t xml:space="preserve">rather than, as currently, an excipient) </w:t>
      </w:r>
      <w:r w:rsidRPr="00033398">
        <w:rPr>
          <w:rFonts w:ascii="Times New Roman" w:eastAsia="Times New Roman" w:hAnsi="Times New Roman" w:cs="Times New Roman"/>
          <w:color w:val="000000"/>
          <w:sz w:val="24"/>
          <w:szCs w:val="24"/>
          <w:shd w:val="clear" w:color="auto" w:fill="FFFFFF"/>
          <w:lang w:eastAsia="en-AU"/>
        </w:rPr>
        <w:t>following an application that was made to the Secretary for this variation</w:t>
      </w:r>
      <w:r w:rsidR="00C37C77">
        <w:rPr>
          <w:rFonts w:ascii="Times New Roman" w:eastAsia="Times New Roman" w:hAnsi="Times New Roman" w:cs="Times New Roman"/>
          <w:color w:val="000000"/>
          <w:sz w:val="24"/>
          <w:szCs w:val="24"/>
          <w:shd w:val="clear" w:color="auto" w:fill="FFFFFF"/>
          <w:lang w:eastAsia="en-AU"/>
        </w:rPr>
        <w:t xml:space="preserve">, and to </w:t>
      </w:r>
      <w:r w:rsidR="0050391D">
        <w:rPr>
          <w:rFonts w:ascii="Times New Roman" w:eastAsia="Times New Roman" w:hAnsi="Times New Roman" w:cs="Times New Roman"/>
          <w:color w:val="000000"/>
          <w:sz w:val="24"/>
          <w:szCs w:val="24"/>
          <w:shd w:val="clear" w:color="auto" w:fill="FFFFFF"/>
          <w:lang w:eastAsia="en-AU"/>
        </w:rPr>
        <w:t xml:space="preserve">align the applicable requirements </w:t>
      </w:r>
      <w:r w:rsidR="001B101E">
        <w:rPr>
          <w:rFonts w:ascii="Times New Roman" w:eastAsia="Times New Roman" w:hAnsi="Times New Roman" w:cs="Times New Roman"/>
          <w:color w:val="000000"/>
          <w:sz w:val="24"/>
          <w:szCs w:val="24"/>
          <w:shd w:val="clear" w:color="auto" w:fill="FFFFFF"/>
          <w:lang w:eastAsia="en-AU"/>
        </w:rPr>
        <w:t>for</w:t>
      </w:r>
      <w:r w:rsidR="0050391D">
        <w:rPr>
          <w:rFonts w:ascii="Times New Roman" w:eastAsia="Times New Roman" w:hAnsi="Times New Roman" w:cs="Times New Roman"/>
          <w:color w:val="000000"/>
          <w:sz w:val="24"/>
          <w:szCs w:val="24"/>
          <w:shd w:val="clear" w:color="auto" w:fill="FFFFFF"/>
          <w:lang w:eastAsia="en-AU"/>
        </w:rPr>
        <w:t xml:space="preserve"> </w:t>
      </w:r>
      <w:r w:rsidR="0050391D" w:rsidRPr="00033398">
        <w:rPr>
          <w:rFonts w:ascii="Times New Roman" w:eastAsia="MS Mincho" w:hAnsi="Times New Roman" w:cs="Times New Roman"/>
          <w:sz w:val="24"/>
          <w:szCs w:val="24"/>
          <w:lang w:eastAsia="en-AU"/>
        </w:rPr>
        <w:t>sodium hyaluronate</w:t>
      </w:r>
      <w:r w:rsidR="0050391D">
        <w:rPr>
          <w:rFonts w:ascii="Times New Roman" w:eastAsia="Times New Roman" w:hAnsi="Times New Roman" w:cs="Times New Roman"/>
          <w:color w:val="000000"/>
          <w:sz w:val="24"/>
          <w:szCs w:val="24"/>
          <w:shd w:val="clear" w:color="auto" w:fill="FFFFFF"/>
          <w:lang w:eastAsia="en-AU"/>
        </w:rPr>
        <w:t xml:space="preserve"> when used as an excipient </w:t>
      </w:r>
      <w:r w:rsidR="001B101E">
        <w:rPr>
          <w:rFonts w:ascii="Times New Roman" w:eastAsia="Times New Roman" w:hAnsi="Times New Roman" w:cs="Times New Roman"/>
          <w:color w:val="000000"/>
          <w:sz w:val="24"/>
          <w:szCs w:val="24"/>
          <w:shd w:val="clear" w:color="auto" w:fill="FFFFFF"/>
          <w:lang w:eastAsia="en-AU"/>
        </w:rPr>
        <w:t xml:space="preserve">in preparations </w:t>
      </w:r>
      <w:r w:rsidR="0050391D">
        <w:rPr>
          <w:rFonts w:ascii="Times New Roman" w:eastAsia="Times New Roman" w:hAnsi="Times New Roman" w:cs="Times New Roman"/>
          <w:color w:val="000000"/>
          <w:sz w:val="24"/>
          <w:szCs w:val="24"/>
          <w:shd w:val="clear" w:color="auto" w:fill="FFFFFF"/>
          <w:lang w:eastAsia="en-AU"/>
        </w:rPr>
        <w:t>for</w:t>
      </w:r>
      <w:r w:rsidR="00C37C77">
        <w:rPr>
          <w:rFonts w:ascii="Times New Roman" w:eastAsia="Times New Roman" w:hAnsi="Times New Roman" w:cs="Times New Roman"/>
          <w:color w:val="000000"/>
          <w:sz w:val="24"/>
          <w:szCs w:val="24"/>
          <w:shd w:val="clear" w:color="auto" w:fill="FFFFFF"/>
          <w:lang w:eastAsia="en-AU"/>
        </w:rPr>
        <w:t xml:space="preserve"> topical </w:t>
      </w:r>
      <w:r w:rsidR="0050391D">
        <w:rPr>
          <w:rFonts w:ascii="Times New Roman" w:eastAsia="Times New Roman" w:hAnsi="Times New Roman" w:cs="Times New Roman"/>
          <w:color w:val="000000"/>
          <w:sz w:val="24"/>
          <w:szCs w:val="24"/>
          <w:shd w:val="clear" w:color="auto" w:fill="FFFFFF"/>
          <w:lang w:eastAsia="en-AU"/>
        </w:rPr>
        <w:t>dermal application with the safe limits established during the evaluation of the application</w:t>
      </w:r>
      <w:r w:rsidRPr="00033398">
        <w:rPr>
          <w:rFonts w:ascii="Times New Roman" w:eastAsia="Times New Roman" w:hAnsi="Times New Roman" w:cs="Times New Roman"/>
          <w:sz w:val="24"/>
          <w:szCs w:val="24"/>
          <w:lang w:eastAsia="en-AU"/>
        </w:rPr>
        <w:t>; and</w:t>
      </w:r>
    </w:p>
    <w:p w14:paraId="6189D442" w14:textId="05A60FF6" w:rsidR="005B58AB"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
          <w:sz w:val="24"/>
          <w:szCs w:val="24"/>
          <w:lang w:eastAsia="en-AU"/>
        </w:rPr>
        <w:t>Artemisia annua</w:t>
      </w:r>
      <w:r w:rsidRPr="00033398">
        <w:rPr>
          <w:rFonts w:ascii="Times New Roman" w:eastAsia="Times New Roman" w:hAnsi="Times New Roman" w:cs="Times New Roman"/>
          <w:sz w:val="24"/>
          <w:szCs w:val="24"/>
          <w:lang w:eastAsia="en-AU"/>
        </w:rPr>
        <w:t xml:space="preserve"> and </w:t>
      </w:r>
      <w:r w:rsidRPr="00033398">
        <w:rPr>
          <w:rFonts w:ascii="Times New Roman" w:eastAsia="Times New Roman" w:hAnsi="Times New Roman" w:cs="Times New Roman"/>
          <w:i/>
          <w:sz w:val="24"/>
          <w:szCs w:val="24"/>
          <w:lang w:eastAsia="en-AU"/>
        </w:rPr>
        <w:t>Artemisia absinthium,</w:t>
      </w:r>
      <w:r w:rsidRPr="00033398">
        <w:rPr>
          <w:rFonts w:ascii="Times New Roman" w:eastAsia="Times New Roman" w:hAnsi="Times New Roman" w:cs="Times New Roman"/>
          <w:sz w:val="24"/>
          <w:szCs w:val="24"/>
          <w:lang w:eastAsia="en-AU"/>
        </w:rPr>
        <w:t xml:space="preserve"> to </w:t>
      </w:r>
      <w:r w:rsidR="001B101E">
        <w:rPr>
          <w:rFonts w:ascii="Times New Roman" w:eastAsia="Times New Roman" w:hAnsi="Times New Roman" w:cs="Times New Roman"/>
          <w:sz w:val="24"/>
          <w:szCs w:val="24"/>
          <w:lang w:eastAsia="en-AU"/>
        </w:rPr>
        <w:t xml:space="preserve">reflect </w:t>
      </w:r>
      <w:r w:rsidRPr="00033398">
        <w:rPr>
          <w:rFonts w:ascii="Times New Roman" w:eastAsia="Times New Roman" w:hAnsi="Times New Roman" w:cs="Times New Roman"/>
          <w:sz w:val="24"/>
          <w:szCs w:val="24"/>
          <w:lang w:eastAsia="en-AU"/>
        </w:rPr>
        <w:t xml:space="preserve">the risk of embryotoxicity associated with these </w:t>
      </w:r>
      <w:proofErr w:type="gramStart"/>
      <w:r w:rsidRPr="00033398">
        <w:rPr>
          <w:rFonts w:ascii="Times New Roman" w:eastAsia="Times New Roman" w:hAnsi="Times New Roman" w:cs="Times New Roman"/>
          <w:sz w:val="24"/>
          <w:szCs w:val="24"/>
          <w:lang w:eastAsia="en-AU"/>
        </w:rPr>
        <w:t>ingredients;</w:t>
      </w:r>
      <w:proofErr w:type="gramEnd"/>
    </w:p>
    <w:p w14:paraId="6EC413DB" w14:textId="77777777" w:rsidR="00E011DB" w:rsidRPr="00033398" w:rsidRDefault="00E011DB" w:rsidP="00E011D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the removal of applicable requirements for the following ingredients:</w:t>
      </w:r>
    </w:p>
    <w:p w14:paraId="733ABDDA" w14:textId="77777777" w:rsidR="00E011DB" w:rsidRPr="00E011DB" w:rsidRDefault="00E011DB" w:rsidP="00E011D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 xml:space="preserve">Calcifediol monohydrate and omega-3-acid ethyl esters 60, to reflect the expiry of periods of exclusive uses for </w:t>
      </w:r>
      <w:proofErr w:type="gramStart"/>
      <w:r w:rsidRPr="00E011DB">
        <w:rPr>
          <w:rFonts w:ascii="Times New Roman" w:eastAsia="Times New Roman" w:hAnsi="Times New Roman" w:cs="Times New Roman"/>
          <w:sz w:val="24"/>
          <w:szCs w:val="24"/>
          <w:lang w:eastAsia="en-AU"/>
        </w:rPr>
        <w:t>sponsors;</w:t>
      </w:r>
      <w:proofErr w:type="gramEnd"/>
    </w:p>
    <w:p w14:paraId="2F9259CB" w14:textId="77777777" w:rsidR="00E011DB" w:rsidRPr="00E011DB" w:rsidRDefault="00E011DB" w:rsidP="00E011D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i/>
          <w:iCs/>
          <w:sz w:val="24"/>
          <w:szCs w:val="24"/>
          <w:lang w:eastAsia="en-AU"/>
        </w:rPr>
        <w:lastRenderedPageBreak/>
        <w:t xml:space="preserve">Phyllanthus </w:t>
      </w:r>
      <w:proofErr w:type="spellStart"/>
      <w:r w:rsidRPr="00E011DB">
        <w:rPr>
          <w:rFonts w:ascii="Times New Roman" w:eastAsia="Times New Roman" w:hAnsi="Times New Roman" w:cs="Times New Roman"/>
          <w:i/>
          <w:iCs/>
          <w:sz w:val="24"/>
          <w:szCs w:val="24"/>
          <w:lang w:eastAsia="en-AU"/>
        </w:rPr>
        <w:t>emblica</w:t>
      </w:r>
      <w:proofErr w:type="spellEnd"/>
      <w:r w:rsidRPr="00E011DB">
        <w:rPr>
          <w:rFonts w:ascii="Times New Roman" w:eastAsia="Times New Roman" w:hAnsi="Times New Roman" w:cs="Times New Roman"/>
          <w:i/>
          <w:iCs/>
          <w:sz w:val="24"/>
          <w:szCs w:val="24"/>
          <w:lang w:eastAsia="en-AU"/>
        </w:rPr>
        <w:t xml:space="preserve"> </w:t>
      </w:r>
      <w:r w:rsidRPr="00E011DB">
        <w:rPr>
          <w:rFonts w:ascii="Times New Roman" w:eastAsia="Times New Roman" w:hAnsi="Times New Roman" w:cs="Times New Roman"/>
          <w:iCs/>
          <w:sz w:val="24"/>
          <w:szCs w:val="24"/>
          <w:lang w:eastAsia="en-AU"/>
        </w:rPr>
        <w:t xml:space="preserve">and </w:t>
      </w:r>
      <w:r w:rsidRPr="00E011DB">
        <w:rPr>
          <w:rFonts w:ascii="Times New Roman" w:eastAsia="Times New Roman" w:hAnsi="Times New Roman" w:cs="Times New Roman"/>
          <w:i/>
          <w:iCs/>
          <w:sz w:val="24"/>
          <w:szCs w:val="24"/>
          <w:lang w:eastAsia="en-AU"/>
        </w:rPr>
        <w:t xml:space="preserve">Momordica </w:t>
      </w:r>
      <w:proofErr w:type="spellStart"/>
      <w:r w:rsidRPr="00E011DB">
        <w:rPr>
          <w:rFonts w:ascii="Times New Roman" w:eastAsia="Times New Roman" w:hAnsi="Times New Roman" w:cs="Times New Roman"/>
          <w:i/>
          <w:iCs/>
          <w:sz w:val="24"/>
          <w:szCs w:val="24"/>
          <w:lang w:eastAsia="en-AU"/>
        </w:rPr>
        <w:t>cochinchinensis</w:t>
      </w:r>
      <w:proofErr w:type="spellEnd"/>
      <w:r w:rsidRPr="00E011DB">
        <w:rPr>
          <w:rFonts w:ascii="Times New Roman" w:eastAsia="Times New Roman" w:hAnsi="Times New Roman" w:cs="Times New Roman"/>
          <w:sz w:val="24"/>
          <w:szCs w:val="24"/>
          <w:lang w:eastAsia="en-AU"/>
        </w:rPr>
        <w:t xml:space="preserve">, to reflect that the TGA no longer evaluates or allocates names for herbal constituents that can be used as therapeutic or quality markers in herbal </w:t>
      </w:r>
      <w:proofErr w:type="gramStart"/>
      <w:r w:rsidRPr="00E011DB">
        <w:rPr>
          <w:rFonts w:ascii="Times New Roman" w:eastAsia="Times New Roman" w:hAnsi="Times New Roman" w:cs="Times New Roman"/>
          <w:sz w:val="24"/>
          <w:szCs w:val="24"/>
          <w:lang w:eastAsia="en-AU"/>
        </w:rPr>
        <w:t>ingredients</w:t>
      </w:r>
      <w:r w:rsidRPr="00E011DB">
        <w:rPr>
          <w:rFonts w:ascii="Times New Roman" w:eastAsia="Times New Roman" w:hAnsi="Times New Roman" w:cs="Times New Roman"/>
          <w:iCs/>
          <w:sz w:val="24"/>
          <w:szCs w:val="24"/>
          <w:lang w:eastAsia="en-AU"/>
        </w:rPr>
        <w:t>;</w:t>
      </w:r>
      <w:proofErr w:type="gramEnd"/>
      <w:r w:rsidRPr="00E011DB">
        <w:rPr>
          <w:rFonts w:ascii="Times New Roman" w:eastAsia="Times New Roman" w:hAnsi="Times New Roman" w:cs="Times New Roman"/>
          <w:iCs/>
          <w:sz w:val="24"/>
          <w:szCs w:val="24"/>
          <w:lang w:eastAsia="en-AU"/>
        </w:rPr>
        <w:t xml:space="preserve"> </w:t>
      </w:r>
    </w:p>
    <w:p w14:paraId="1C8B957E" w14:textId="15057FF1" w:rsidR="00E011DB" w:rsidRPr="00E011DB" w:rsidRDefault="00E011DB" w:rsidP="00E011D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iCs/>
          <w:sz w:val="24"/>
          <w:szCs w:val="24"/>
          <w:lang w:eastAsia="en-AU"/>
        </w:rPr>
        <w:t xml:space="preserve">magnesium amino acid </w:t>
      </w:r>
      <w:proofErr w:type="gramStart"/>
      <w:r w:rsidRPr="00E011DB">
        <w:rPr>
          <w:rFonts w:ascii="Times New Roman" w:eastAsia="Times New Roman" w:hAnsi="Times New Roman" w:cs="Times New Roman"/>
          <w:iCs/>
          <w:sz w:val="24"/>
          <w:szCs w:val="24"/>
          <w:lang w:eastAsia="en-AU"/>
        </w:rPr>
        <w:t>chelate</w:t>
      </w:r>
      <w:proofErr w:type="gramEnd"/>
      <w:r w:rsidRPr="00E011DB">
        <w:rPr>
          <w:rFonts w:ascii="Times New Roman" w:eastAsia="Times New Roman" w:hAnsi="Times New Roman" w:cs="Times New Roman"/>
          <w:iCs/>
          <w:sz w:val="24"/>
          <w:szCs w:val="24"/>
          <w:lang w:eastAsia="en-AU"/>
        </w:rPr>
        <w:t>, to reflect that requirements specific to inorganic magnesium salts are not applicable;</w:t>
      </w:r>
      <w:r>
        <w:rPr>
          <w:rFonts w:ascii="Times New Roman" w:eastAsia="Times New Roman" w:hAnsi="Times New Roman" w:cs="Times New Roman"/>
          <w:iCs/>
          <w:sz w:val="24"/>
          <w:szCs w:val="24"/>
          <w:lang w:eastAsia="en-AU"/>
        </w:rPr>
        <w:t xml:space="preserve"> </w:t>
      </w:r>
      <w:r w:rsidR="00ED3578">
        <w:rPr>
          <w:rFonts w:ascii="Times New Roman" w:eastAsia="Times New Roman" w:hAnsi="Times New Roman" w:cs="Times New Roman"/>
          <w:iCs/>
          <w:sz w:val="24"/>
          <w:szCs w:val="24"/>
          <w:lang w:eastAsia="en-AU"/>
        </w:rPr>
        <w:t>and</w:t>
      </w:r>
    </w:p>
    <w:p w14:paraId="70E586A0" w14:textId="324142BA" w:rsidR="00E011DB" w:rsidRPr="00E011DB" w:rsidRDefault="00E011DB" w:rsidP="00E011D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 xml:space="preserve">benzoic acid, ethanol and ribose, to </w:t>
      </w:r>
      <w:r w:rsidR="001B101E">
        <w:rPr>
          <w:rFonts w:ascii="Times New Roman" w:eastAsia="Times New Roman" w:hAnsi="Times New Roman" w:cs="Times New Roman"/>
          <w:sz w:val="24"/>
          <w:szCs w:val="24"/>
          <w:lang w:eastAsia="en-AU"/>
        </w:rPr>
        <w:t xml:space="preserve">avoid duplication </w:t>
      </w:r>
      <w:r w:rsidR="00674D24">
        <w:rPr>
          <w:rFonts w:ascii="Times New Roman" w:eastAsia="Times New Roman" w:hAnsi="Times New Roman" w:cs="Times New Roman"/>
          <w:sz w:val="24"/>
          <w:szCs w:val="24"/>
          <w:lang w:eastAsia="en-AU"/>
        </w:rPr>
        <w:t>with</w:t>
      </w:r>
      <w:r w:rsidRPr="00E011DB">
        <w:rPr>
          <w:rFonts w:ascii="Times New Roman" w:eastAsia="Times New Roman" w:hAnsi="Times New Roman" w:cs="Times New Roman"/>
          <w:sz w:val="24"/>
          <w:szCs w:val="24"/>
          <w:lang w:eastAsia="en-AU"/>
        </w:rPr>
        <w:t xml:space="preserve"> </w:t>
      </w:r>
      <w:r w:rsidR="00674D24">
        <w:rPr>
          <w:rFonts w:ascii="Times New Roman" w:eastAsia="Times New Roman" w:hAnsi="Times New Roman" w:cs="Times New Roman"/>
          <w:sz w:val="24"/>
          <w:szCs w:val="24"/>
          <w:lang w:eastAsia="en-AU"/>
        </w:rPr>
        <w:t xml:space="preserve">equivalent </w:t>
      </w:r>
      <w:r w:rsidRPr="00E011DB">
        <w:rPr>
          <w:rFonts w:ascii="Times New Roman" w:eastAsia="Times New Roman" w:hAnsi="Times New Roman" w:cs="Times New Roman"/>
          <w:sz w:val="24"/>
          <w:szCs w:val="24"/>
          <w:lang w:eastAsia="en-AU"/>
        </w:rPr>
        <w:t xml:space="preserve">requirements </w:t>
      </w:r>
      <w:r w:rsidR="001B101E">
        <w:rPr>
          <w:rFonts w:ascii="Times New Roman" w:eastAsia="Times New Roman" w:hAnsi="Times New Roman" w:cs="Times New Roman"/>
          <w:sz w:val="24"/>
          <w:szCs w:val="24"/>
          <w:lang w:eastAsia="en-AU"/>
        </w:rPr>
        <w:t xml:space="preserve">already </w:t>
      </w:r>
      <w:r w:rsidRPr="00E011DB">
        <w:rPr>
          <w:rFonts w:ascii="Times New Roman" w:eastAsia="Times New Roman" w:hAnsi="Times New Roman" w:cs="Times New Roman"/>
          <w:sz w:val="24"/>
          <w:szCs w:val="24"/>
          <w:lang w:eastAsia="en-AU"/>
        </w:rPr>
        <w:t xml:space="preserve">separately apply to </w:t>
      </w:r>
      <w:r w:rsidR="00674D24">
        <w:rPr>
          <w:rFonts w:ascii="Times New Roman" w:eastAsia="Times New Roman" w:hAnsi="Times New Roman" w:cs="Times New Roman"/>
          <w:sz w:val="24"/>
          <w:szCs w:val="24"/>
          <w:lang w:eastAsia="en-AU"/>
        </w:rPr>
        <w:t xml:space="preserve">listed or assessed listed </w:t>
      </w:r>
      <w:proofErr w:type="gramStart"/>
      <w:r w:rsidRPr="00E011DB">
        <w:rPr>
          <w:rFonts w:ascii="Times New Roman" w:eastAsia="Times New Roman" w:hAnsi="Times New Roman" w:cs="Times New Roman"/>
          <w:sz w:val="24"/>
          <w:szCs w:val="24"/>
          <w:lang w:eastAsia="en-AU"/>
        </w:rPr>
        <w:t>medicines  contain</w:t>
      </w:r>
      <w:r w:rsidR="001B101E">
        <w:rPr>
          <w:rFonts w:ascii="Times New Roman" w:eastAsia="Times New Roman" w:hAnsi="Times New Roman" w:cs="Times New Roman"/>
          <w:sz w:val="24"/>
          <w:szCs w:val="24"/>
          <w:lang w:eastAsia="en-AU"/>
        </w:rPr>
        <w:t>ing</w:t>
      </w:r>
      <w:proofErr w:type="gramEnd"/>
      <w:r w:rsidRPr="00E011DB">
        <w:rPr>
          <w:rFonts w:ascii="Times New Roman" w:eastAsia="Times New Roman" w:hAnsi="Times New Roman" w:cs="Times New Roman"/>
          <w:sz w:val="24"/>
          <w:szCs w:val="24"/>
          <w:lang w:eastAsia="en-AU"/>
        </w:rPr>
        <w:t xml:space="preserve"> the</w:t>
      </w:r>
      <w:r w:rsidR="001B101E">
        <w:rPr>
          <w:rFonts w:ascii="Times New Roman" w:eastAsia="Times New Roman" w:hAnsi="Times New Roman" w:cs="Times New Roman"/>
          <w:sz w:val="24"/>
          <w:szCs w:val="24"/>
          <w:lang w:eastAsia="en-AU"/>
        </w:rPr>
        <w:t>se</w:t>
      </w:r>
      <w:r w:rsidRPr="00E011DB">
        <w:rPr>
          <w:rFonts w:ascii="Times New Roman" w:eastAsia="Times New Roman" w:hAnsi="Times New Roman" w:cs="Times New Roman"/>
          <w:sz w:val="24"/>
          <w:szCs w:val="24"/>
          <w:lang w:eastAsia="en-AU"/>
        </w:rPr>
        <w:t xml:space="preserve"> ingredients under </w:t>
      </w:r>
      <w:r w:rsidRPr="00E011DB">
        <w:rPr>
          <w:rFonts w:ascii="Times New Roman" w:eastAsia="Times New Roman" w:hAnsi="Times New Roman" w:cs="Times New Roman"/>
          <w:i/>
          <w:sz w:val="24"/>
          <w:szCs w:val="24"/>
          <w:lang w:eastAsia="en-AU"/>
        </w:rPr>
        <w:t>Therapeutic Goods Order No. 92 - Standard for labels of non-prescription medicines</w:t>
      </w:r>
      <w:r w:rsidRPr="00E011DB">
        <w:rPr>
          <w:rFonts w:ascii="Times New Roman" w:eastAsia="Times New Roman" w:hAnsi="Times New Roman" w:cs="Times New Roman"/>
          <w:sz w:val="24"/>
          <w:szCs w:val="24"/>
          <w:lang w:eastAsia="en-AU"/>
        </w:rPr>
        <w:t>;</w:t>
      </w:r>
    </w:p>
    <w:p w14:paraId="301D3D79" w14:textId="2F0AA660" w:rsidR="005B58AB" w:rsidRPr="00E011DB" w:rsidRDefault="005B58AB" w:rsidP="00E011DB">
      <w:pPr>
        <w:pStyle w:val="ListParagraph"/>
        <w:numPr>
          <w:ilvl w:val="0"/>
          <w:numId w:val="11"/>
        </w:numPr>
      </w:pPr>
      <w:r w:rsidRPr="00E011DB">
        <w:t xml:space="preserve">minor amendments to </w:t>
      </w:r>
      <w:r w:rsidR="00B923F2" w:rsidRPr="00E011DB">
        <w:t>29</w:t>
      </w:r>
      <w:r w:rsidRPr="00E011DB">
        <w:t xml:space="preserve"> ingredients to reflect the expiry of transition periods for requirements relating to those </w:t>
      </w:r>
      <w:proofErr w:type="gramStart"/>
      <w:r w:rsidRPr="00E011DB">
        <w:t>ingredients;</w:t>
      </w:r>
      <w:proofErr w:type="gramEnd"/>
    </w:p>
    <w:p w14:paraId="6CCC09F8" w14:textId="0CA9B882" w:rsidR="005B58AB" w:rsidRPr="00033398" w:rsidRDefault="005B58AB" w:rsidP="005B58A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minor clarifications and correction of minor typographical errors for the purpose of improving the internal consistency of the Determination, including </w:t>
      </w:r>
      <w:r w:rsidRPr="00033398">
        <w:rPr>
          <w:rFonts w:ascii="Times New Roman" w:eastAsia="Times New Roman" w:hAnsi="Times New Roman" w:cs="Times New Roman"/>
          <w:iCs/>
          <w:sz w:val="24"/>
          <w:szCs w:val="24"/>
          <w:lang w:eastAsia="en-AU"/>
        </w:rPr>
        <w:t xml:space="preserve">the correction of requirements for the following </w:t>
      </w:r>
      <w:r w:rsidR="00674D24">
        <w:rPr>
          <w:rFonts w:ascii="Times New Roman" w:eastAsia="Times New Roman" w:hAnsi="Times New Roman" w:cs="Times New Roman"/>
          <w:iCs/>
          <w:sz w:val="24"/>
          <w:szCs w:val="24"/>
          <w:lang w:eastAsia="en-AU"/>
        </w:rPr>
        <w:t>four</w:t>
      </w:r>
      <w:r w:rsidRPr="00033398">
        <w:rPr>
          <w:rFonts w:ascii="Times New Roman" w:eastAsia="Times New Roman" w:hAnsi="Times New Roman" w:cs="Times New Roman"/>
          <w:iCs/>
          <w:sz w:val="24"/>
          <w:szCs w:val="24"/>
          <w:lang w:eastAsia="en-AU"/>
        </w:rPr>
        <w:t xml:space="preserve"> ingredients:</w:t>
      </w:r>
    </w:p>
    <w:p w14:paraId="6AA76614" w14:textId="77777777"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Cs/>
          <w:sz w:val="24"/>
          <w:szCs w:val="24"/>
          <w:lang w:eastAsia="en-AU"/>
        </w:rPr>
        <w:t xml:space="preserve">blackstrap </w:t>
      </w:r>
      <w:proofErr w:type="gramStart"/>
      <w:r w:rsidRPr="00033398">
        <w:rPr>
          <w:rFonts w:ascii="Times New Roman" w:eastAsia="Times New Roman" w:hAnsi="Times New Roman" w:cs="Times New Roman"/>
          <w:iCs/>
          <w:sz w:val="24"/>
          <w:szCs w:val="24"/>
          <w:lang w:eastAsia="en-AU"/>
        </w:rPr>
        <w:t>molasses;</w:t>
      </w:r>
      <w:proofErr w:type="gramEnd"/>
      <w:r w:rsidRPr="00033398">
        <w:rPr>
          <w:rFonts w:ascii="Times New Roman" w:eastAsia="Times New Roman" w:hAnsi="Times New Roman" w:cs="Times New Roman"/>
          <w:iCs/>
          <w:sz w:val="24"/>
          <w:szCs w:val="24"/>
          <w:lang w:eastAsia="en-AU"/>
        </w:rPr>
        <w:t xml:space="preserve"> </w:t>
      </w:r>
    </w:p>
    <w:p w14:paraId="3303F830" w14:textId="59A6A9A2" w:rsidR="005B58AB" w:rsidRPr="00033398"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
          <w:iCs/>
          <w:sz w:val="24"/>
          <w:szCs w:val="24"/>
          <w:lang w:eastAsia="en-AU"/>
        </w:rPr>
        <w:t xml:space="preserve">Carthamus </w:t>
      </w:r>
      <w:proofErr w:type="gramStart"/>
      <w:r w:rsidRPr="00033398">
        <w:rPr>
          <w:rFonts w:ascii="Times New Roman" w:eastAsia="Times New Roman" w:hAnsi="Times New Roman" w:cs="Times New Roman"/>
          <w:i/>
          <w:iCs/>
          <w:sz w:val="24"/>
          <w:szCs w:val="24"/>
          <w:lang w:eastAsia="en-AU"/>
        </w:rPr>
        <w:t>tinctorius</w:t>
      </w:r>
      <w:r w:rsidRPr="00033398">
        <w:rPr>
          <w:rFonts w:ascii="Times New Roman" w:eastAsia="Times New Roman" w:hAnsi="Times New Roman" w:cs="Times New Roman"/>
          <w:iCs/>
          <w:sz w:val="24"/>
          <w:szCs w:val="24"/>
          <w:lang w:eastAsia="en-AU"/>
        </w:rPr>
        <w:t>;</w:t>
      </w:r>
      <w:proofErr w:type="gramEnd"/>
    </w:p>
    <w:p w14:paraId="6555F69D" w14:textId="77777777" w:rsidR="00260B5E" w:rsidRPr="00260B5E" w:rsidRDefault="005B58AB"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Cs/>
          <w:sz w:val="24"/>
          <w:szCs w:val="24"/>
          <w:lang w:eastAsia="en-AU"/>
        </w:rPr>
        <w:t>strong ammonia solution;</w:t>
      </w:r>
      <w:r w:rsidR="00260B5E">
        <w:rPr>
          <w:rFonts w:ascii="Times New Roman" w:eastAsia="Times New Roman" w:hAnsi="Times New Roman" w:cs="Times New Roman"/>
          <w:iCs/>
          <w:sz w:val="24"/>
          <w:szCs w:val="24"/>
          <w:lang w:eastAsia="en-AU"/>
        </w:rPr>
        <w:t xml:space="preserve"> and</w:t>
      </w:r>
      <w:r w:rsidRPr="00033398">
        <w:rPr>
          <w:rFonts w:ascii="Times New Roman" w:eastAsia="Times New Roman" w:hAnsi="Times New Roman" w:cs="Times New Roman"/>
          <w:iCs/>
          <w:sz w:val="24"/>
          <w:szCs w:val="24"/>
          <w:lang w:eastAsia="en-AU"/>
        </w:rPr>
        <w:t xml:space="preserve"> </w:t>
      </w:r>
    </w:p>
    <w:p w14:paraId="4D2689DA" w14:textId="3EA12CE4" w:rsidR="00E85F25" w:rsidRPr="00E011DB" w:rsidRDefault="00260B5E" w:rsidP="005B58AB">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Cs/>
          <w:sz w:val="24"/>
          <w:szCs w:val="24"/>
          <w:lang w:eastAsia="en-AU"/>
        </w:rPr>
        <w:t xml:space="preserve">ferrous </w:t>
      </w:r>
      <w:proofErr w:type="gramStart"/>
      <w:r>
        <w:rPr>
          <w:rFonts w:ascii="Times New Roman" w:eastAsia="Times New Roman" w:hAnsi="Times New Roman" w:cs="Times New Roman"/>
          <w:iCs/>
          <w:sz w:val="24"/>
          <w:szCs w:val="24"/>
          <w:lang w:eastAsia="en-AU"/>
        </w:rPr>
        <w:t>fumarate;</w:t>
      </w:r>
      <w:proofErr w:type="gramEnd"/>
    </w:p>
    <w:p w14:paraId="75308266" w14:textId="77777777" w:rsidR="00E011DB" w:rsidRPr="00033398" w:rsidRDefault="00E011DB" w:rsidP="00E011DB">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the removal of the following ingredients:</w:t>
      </w:r>
    </w:p>
    <w:p w14:paraId="61078B1F" w14:textId="66180C05" w:rsidR="00E011DB" w:rsidRPr="00E011DB" w:rsidRDefault="00E011DB" w:rsidP="00E011DB">
      <w:pPr>
        <w:keepNext/>
        <w:numPr>
          <w:ilvl w:val="1"/>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r w:rsidRPr="00033398">
        <w:rPr>
          <w:rFonts w:ascii="Times New Roman" w:eastAsia="Times New Roman" w:hAnsi="Times New Roman" w:cs="Times New Roman"/>
          <w:sz w:val="24"/>
          <w:szCs w:val="24"/>
          <w:lang w:eastAsia="en-AU"/>
        </w:rPr>
        <w:t xml:space="preserve">sodium glycerophosphate, to reflect that this ingredient is included in Schedule 4 to the </w:t>
      </w:r>
      <w:r w:rsidR="00674D24">
        <w:rPr>
          <w:rFonts w:ascii="Times New Roman" w:eastAsia="Times New Roman" w:hAnsi="Times New Roman" w:cs="Times New Roman"/>
          <w:sz w:val="24"/>
          <w:szCs w:val="24"/>
          <w:lang w:eastAsia="en-AU"/>
        </w:rPr>
        <w:t xml:space="preserve">current </w:t>
      </w:r>
      <w:r w:rsidRPr="00033398">
        <w:rPr>
          <w:rFonts w:ascii="Times New Roman" w:eastAsia="Times New Roman" w:hAnsi="Times New Roman" w:cs="Times New Roman"/>
          <w:sz w:val="24"/>
          <w:szCs w:val="24"/>
          <w:lang w:eastAsia="en-AU"/>
        </w:rPr>
        <w:t xml:space="preserve">Poisons Standard </w:t>
      </w:r>
      <w:r w:rsidR="00674D24">
        <w:rPr>
          <w:rFonts w:ascii="Times New Roman" w:eastAsia="Times New Roman" w:hAnsi="Times New Roman" w:cs="Times New Roman"/>
          <w:sz w:val="24"/>
          <w:szCs w:val="24"/>
          <w:lang w:eastAsia="en-AU"/>
        </w:rPr>
        <w:t xml:space="preserve">(for the purposes of section 9A of the Act, </w:t>
      </w:r>
      <w:r w:rsidRPr="00033398">
        <w:rPr>
          <w:rFonts w:ascii="Times New Roman" w:eastAsia="Times New Roman" w:hAnsi="Times New Roman" w:cs="Times New Roman"/>
          <w:sz w:val="24"/>
          <w:szCs w:val="24"/>
          <w:lang w:eastAsia="en-AU"/>
        </w:rPr>
        <w:t xml:space="preserve">Schedule 4 to the Regulations </w:t>
      </w:r>
      <w:r w:rsidR="00674D24">
        <w:rPr>
          <w:rFonts w:ascii="Times New Roman" w:eastAsia="Times New Roman" w:hAnsi="Times New Roman" w:cs="Times New Roman"/>
          <w:sz w:val="24"/>
          <w:szCs w:val="24"/>
          <w:lang w:eastAsia="en-AU"/>
        </w:rPr>
        <w:t xml:space="preserve">prescribes those therapeutic goods that are required to be included in the part of the Register for listable  goods.  Schedule 4 </w:t>
      </w:r>
      <w:r w:rsidRPr="00033398">
        <w:rPr>
          <w:rFonts w:ascii="Times New Roman" w:eastAsia="Times New Roman" w:hAnsi="Times New Roman" w:cs="Times New Roman"/>
          <w:sz w:val="24"/>
          <w:szCs w:val="24"/>
          <w:lang w:eastAsia="en-AU"/>
        </w:rPr>
        <w:t>require</w:t>
      </w:r>
      <w:r w:rsidR="00ED3578">
        <w:rPr>
          <w:rFonts w:ascii="Times New Roman" w:eastAsia="Times New Roman" w:hAnsi="Times New Roman" w:cs="Times New Roman"/>
          <w:sz w:val="24"/>
          <w:szCs w:val="24"/>
          <w:lang w:eastAsia="en-AU"/>
        </w:rPr>
        <w:t>s</w:t>
      </w:r>
      <w:r w:rsidRPr="00033398">
        <w:rPr>
          <w:rFonts w:ascii="Times New Roman" w:eastAsia="Times New Roman" w:hAnsi="Times New Roman" w:cs="Times New Roman"/>
          <w:sz w:val="24"/>
          <w:szCs w:val="24"/>
          <w:lang w:eastAsia="en-AU"/>
        </w:rPr>
        <w:t xml:space="preserve"> that to be listable a medicine must not contain a substance that is included in a schedule to the Poisons Standard</w:t>
      </w:r>
      <w:proofErr w:type="gramStart"/>
      <w:r w:rsidR="00674D24">
        <w:rPr>
          <w:rFonts w:ascii="Times New Roman" w:eastAsia="Times New Roman" w:hAnsi="Times New Roman" w:cs="Times New Roman"/>
          <w:sz w:val="24"/>
          <w:szCs w:val="24"/>
          <w:lang w:eastAsia="en-AU"/>
        </w:rPr>
        <w:t>)</w:t>
      </w:r>
      <w:r w:rsidRPr="00033398">
        <w:rPr>
          <w:rFonts w:ascii="Times New Roman" w:eastAsia="Times New Roman" w:hAnsi="Times New Roman" w:cs="Times New Roman"/>
          <w:sz w:val="24"/>
          <w:szCs w:val="24"/>
          <w:lang w:eastAsia="en-AU"/>
        </w:rPr>
        <w:t>;</w:t>
      </w:r>
      <w:proofErr w:type="gramEnd"/>
    </w:p>
    <w:p w14:paraId="79711F11" w14:textId="77777777" w:rsidR="00E011DB" w:rsidRPr="00E011DB" w:rsidRDefault="00E011DB" w:rsidP="00E011DB">
      <w:pPr>
        <w:keepNext/>
        <w:numPr>
          <w:ilvl w:val="1"/>
          <w:numId w:val="11"/>
        </w:numPr>
        <w:autoSpaceDE w:val="0"/>
        <w:autoSpaceDN w:val="0"/>
        <w:adjustRightInd w:val="0"/>
        <w:spacing w:before="120" w:after="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 xml:space="preserve">dill weed oil, to reflect that this ingredient is already included in the Determination as dill herb </w:t>
      </w:r>
      <w:proofErr w:type="gramStart"/>
      <w:r w:rsidRPr="00E011DB">
        <w:rPr>
          <w:rFonts w:ascii="Times New Roman" w:eastAsia="Times New Roman" w:hAnsi="Times New Roman" w:cs="Times New Roman"/>
          <w:sz w:val="24"/>
          <w:szCs w:val="24"/>
          <w:lang w:eastAsia="en-AU"/>
        </w:rPr>
        <w:t>oil;</w:t>
      </w:r>
      <w:proofErr w:type="gramEnd"/>
    </w:p>
    <w:p w14:paraId="03C1C438" w14:textId="77777777" w:rsidR="00E011DB" w:rsidRPr="00E011DB" w:rsidRDefault="00E011DB" w:rsidP="00E011DB">
      <w:pPr>
        <w:keepNext/>
        <w:numPr>
          <w:ilvl w:val="1"/>
          <w:numId w:val="11"/>
        </w:numPr>
        <w:autoSpaceDE w:val="0"/>
        <w:autoSpaceDN w:val="0"/>
        <w:adjustRightInd w:val="0"/>
        <w:spacing w:before="120" w:after="0" w:line="240" w:lineRule="auto"/>
        <w:rPr>
          <w:rFonts w:ascii="Times New Roman" w:eastAsia="Times New Roman" w:hAnsi="Times New Roman" w:cs="Times New Roman"/>
          <w:sz w:val="24"/>
          <w:szCs w:val="24"/>
          <w:lang w:eastAsia="en-AU"/>
        </w:rPr>
      </w:pPr>
      <w:r w:rsidRPr="00B923F2">
        <w:rPr>
          <w:rFonts w:ascii="Times New Roman" w:eastAsia="Times New Roman" w:hAnsi="Times New Roman" w:cs="Times New Roman"/>
          <w:sz w:val="24"/>
          <w:szCs w:val="24"/>
          <w:lang w:eastAsia="en-AU"/>
        </w:rPr>
        <w:t xml:space="preserve">oligofructose, to reflect that this ingredient is already included in the Determination as </w:t>
      </w:r>
      <w:proofErr w:type="spellStart"/>
      <w:r w:rsidRPr="00B923F2">
        <w:rPr>
          <w:rFonts w:ascii="Times New Roman" w:eastAsia="Times New Roman" w:hAnsi="Times New Roman" w:cs="Times New Roman"/>
          <w:sz w:val="24"/>
          <w:szCs w:val="24"/>
          <w:lang w:eastAsia="en-AU"/>
        </w:rPr>
        <w:t>fructooligosaccharides</w:t>
      </w:r>
      <w:proofErr w:type="spellEnd"/>
      <w:r w:rsidRPr="00E011DB">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and</w:t>
      </w:r>
    </w:p>
    <w:p w14:paraId="634F5EF7" w14:textId="0BE9EB72" w:rsidR="005B58AB" w:rsidRDefault="00E011DB" w:rsidP="00E011DB">
      <w:pPr>
        <w:keepNext/>
        <w:numPr>
          <w:ilvl w:val="1"/>
          <w:numId w:val="11"/>
        </w:numPr>
        <w:autoSpaceDE w:val="0"/>
        <w:autoSpaceDN w:val="0"/>
        <w:adjustRightInd w:val="0"/>
        <w:spacing w:before="120" w:after="0" w:line="240" w:lineRule="auto"/>
      </w:pPr>
      <w:r w:rsidRPr="002D2381">
        <w:rPr>
          <w:rFonts w:ascii="Times New Roman" w:eastAsia="Times New Roman" w:hAnsi="Times New Roman" w:cs="Times New Roman"/>
          <w:sz w:val="24"/>
          <w:szCs w:val="24"/>
          <w:lang w:eastAsia="en-AU"/>
        </w:rPr>
        <w:t xml:space="preserve">Malus pumila and 4-(4-hydroxy-4-methylpentyl)-3-cyclohexene carboxaldehyde, </w:t>
      </w:r>
      <w:r w:rsidRPr="00E011DB">
        <w:rPr>
          <w:rFonts w:ascii="Times New Roman" w:eastAsia="Times New Roman" w:hAnsi="Times New Roman" w:cs="Times New Roman"/>
          <w:sz w:val="24"/>
          <w:szCs w:val="24"/>
          <w:lang w:eastAsia="en-AU"/>
        </w:rPr>
        <w:t>to reflect that</w:t>
      </w:r>
      <w:r w:rsidRPr="002D2381">
        <w:rPr>
          <w:rFonts w:ascii="Times New Roman" w:eastAsia="Times New Roman" w:hAnsi="Times New Roman" w:cs="Times New Roman"/>
          <w:sz w:val="24"/>
          <w:szCs w:val="24"/>
          <w:lang w:eastAsia="en-AU"/>
        </w:rPr>
        <w:t xml:space="preserve"> the previous requirements </w:t>
      </w:r>
      <w:r w:rsidR="00674D24">
        <w:rPr>
          <w:rFonts w:ascii="Times New Roman" w:eastAsia="Times New Roman" w:hAnsi="Times New Roman" w:cs="Times New Roman"/>
          <w:sz w:val="24"/>
          <w:szCs w:val="24"/>
          <w:lang w:eastAsia="en-AU"/>
        </w:rPr>
        <w:t xml:space="preserve">for these ingredients </w:t>
      </w:r>
      <w:r w:rsidRPr="002D2381">
        <w:rPr>
          <w:rFonts w:ascii="Times New Roman" w:eastAsia="Times New Roman" w:hAnsi="Times New Roman" w:cs="Times New Roman"/>
          <w:sz w:val="24"/>
          <w:szCs w:val="24"/>
          <w:lang w:eastAsia="en-AU"/>
        </w:rPr>
        <w:t>specified that medicine</w:t>
      </w:r>
      <w:r>
        <w:rPr>
          <w:rFonts w:ascii="Times New Roman" w:eastAsia="Times New Roman" w:hAnsi="Times New Roman" w:cs="Times New Roman"/>
          <w:sz w:val="24"/>
          <w:szCs w:val="24"/>
          <w:lang w:eastAsia="en-AU"/>
        </w:rPr>
        <w:t>s</w:t>
      </w:r>
      <w:r w:rsidRPr="002D2381">
        <w:rPr>
          <w:rFonts w:ascii="Times New Roman" w:eastAsia="Times New Roman" w:hAnsi="Times New Roman" w:cs="Times New Roman"/>
          <w:sz w:val="24"/>
          <w:szCs w:val="24"/>
          <w:lang w:eastAsia="en-AU"/>
        </w:rPr>
        <w:t xml:space="preserve"> contain</w:t>
      </w:r>
      <w:r w:rsidRPr="00E011DB">
        <w:rPr>
          <w:rFonts w:ascii="Times New Roman" w:eastAsia="Times New Roman" w:hAnsi="Times New Roman" w:cs="Times New Roman"/>
          <w:sz w:val="24"/>
          <w:szCs w:val="24"/>
          <w:lang w:eastAsia="en-AU"/>
        </w:rPr>
        <w:t>ing</w:t>
      </w:r>
      <w:r w:rsidRPr="002D2381">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se</w:t>
      </w:r>
      <w:r w:rsidRPr="002D2381">
        <w:rPr>
          <w:rFonts w:ascii="Times New Roman" w:eastAsia="Times New Roman" w:hAnsi="Times New Roman" w:cs="Times New Roman"/>
          <w:sz w:val="24"/>
          <w:szCs w:val="24"/>
          <w:lang w:eastAsia="en-AU"/>
        </w:rPr>
        <w:t xml:space="preserve"> ingredient</w:t>
      </w:r>
      <w:r>
        <w:rPr>
          <w:rFonts w:ascii="Times New Roman" w:eastAsia="Times New Roman" w:hAnsi="Times New Roman" w:cs="Times New Roman"/>
          <w:sz w:val="24"/>
          <w:szCs w:val="24"/>
          <w:lang w:eastAsia="en-AU"/>
        </w:rPr>
        <w:t>s</w:t>
      </w:r>
      <w:r w:rsidRPr="002D2381">
        <w:rPr>
          <w:rFonts w:ascii="Times New Roman" w:eastAsia="Times New Roman" w:hAnsi="Times New Roman" w:cs="Times New Roman"/>
          <w:sz w:val="24"/>
          <w:szCs w:val="24"/>
          <w:lang w:eastAsia="en-AU"/>
        </w:rPr>
        <w:t xml:space="preserve"> must not be listed in the Register on or after 2 March 2020 or be released for supply after 2 March 2021</w:t>
      </w:r>
      <w:r w:rsidRPr="00E011DB">
        <w:rPr>
          <w:rFonts w:ascii="Times New Roman" w:eastAsia="Times New Roman" w:hAnsi="Times New Roman" w:cs="Times New Roman"/>
          <w:sz w:val="24"/>
          <w:szCs w:val="24"/>
          <w:lang w:eastAsia="en-AU"/>
        </w:rPr>
        <w:t>.</w:t>
      </w:r>
    </w:p>
    <w:p w14:paraId="241800AB" w14:textId="77777777" w:rsidR="00E011DB" w:rsidRPr="00E011DB" w:rsidRDefault="00E011DB" w:rsidP="00E011DB">
      <w:pPr>
        <w:keepNext/>
        <w:autoSpaceDE w:val="0"/>
        <w:autoSpaceDN w:val="0"/>
        <w:adjustRightInd w:val="0"/>
        <w:spacing w:before="120" w:after="0" w:line="240" w:lineRule="auto"/>
      </w:pPr>
    </w:p>
    <w:bookmarkEnd w:id="0"/>
    <w:p w14:paraId="43BACDC7" w14:textId="2A7A6636" w:rsidR="00EF1F18" w:rsidRDefault="00EF1F18" w:rsidP="005E0079">
      <w:pPr>
        <w:rPr>
          <w:rFonts w:ascii="Times New Roman" w:eastAsia="Times New Roman" w:hAnsi="Times New Roman" w:cs="Times New Roman"/>
          <w:b/>
          <w:bCs/>
          <w:sz w:val="24"/>
          <w:szCs w:val="24"/>
          <w:lang w:eastAsia="en-AU"/>
        </w:rPr>
      </w:pPr>
      <w:r w:rsidRPr="0026650C">
        <w:rPr>
          <w:rFonts w:ascii="Times New Roman" w:eastAsia="Times New Roman" w:hAnsi="Times New Roman" w:cs="Times New Roman"/>
          <w:b/>
          <w:bCs/>
          <w:sz w:val="24"/>
          <w:szCs w:val="24"/>
          <w:lang w:eastAsia="en-AU"/>
        </w:rPr>
        <w:t>C</w:t>
      </w:r>
      <w:r w:rsidR="00E1152E" w:rsidRPr="0026650C">
        <w:rPr>
          <w:rFonts w:ascii="Times New Roman" w:eastAsia="Times New Roman" w:hAnsi="Times New Roman" w:cs="Times New Roman"/>
          <w:b/>
          <w:bCs/>
          <w:sz w:val="24"/>
          <w:szCs w:val="24"/>
          <w:lang w:eastAsia="en-AU"/>
        </w:rPr>
        <w:t>onsultation</w:t>
      </w:r>
    </w:p>
    <w:p w14:paraId="2CFE2BA4" w14:textId="48328DBB" w:rsidR="003661A6" w:rsidRDefault="00810644" w:rsidP="003661A6">
      <w:pPr>
        <w:rPr>
          <w:rFonts w:ascii="Times New Roman" w:hAnsi="Times New Roman" w:cs="Times New Roman"/>
          <w:sz w:val="24"/>
          <w:szCs w:val="24"/>
        </w:rPr>
      </w:pPr>
      <w:r>
        <w:rPr>
          <w:rFonts w:ascii="Times New Roman" w:hAnsi="Times New Roman" w:cs="Times New Roman"/>
          <w:sz w:val="24"/>
          <w:szCs w:val="24"/>
        </w:rPr>
        <w:t xml:space="preserve">Between June 2020 and </w:t>
      </w:r>
      <w:proofErr w:type="gramStart"/>
      <w:r>
        <w:rPr>
          <w:rFonts w:ascii="Times New Roman" w:hAnsi="Times New Roman" w:cs="Times New Roman"/>
          <w:sz w:val="24"/>
          <w:szCs w:val="24"/>
        </w:rPr>
        <w:t>July 2021</w:t>
      </w:r>
      <w:proofErr w:type="gramEnd"/>
      <w:r>
        <w:rPr>
          <w:rFonts w:ascii="Times New Roman" w:hAnsi="Times New Roman" w:cs="Times New Roman"/>
          <w:sz w:val="24"/>
          <w:szCs w:val="24"/>
        </w:rPr>
        <w:t xml:space="preserve"> t</w:t>
      </w:r>
      <w:r w:rsidR="003661A6">
        <w:rPr>
          <w:rFonts w:ascii="Times New Roman" w:hAnsi="Times New Roman" w:cs="Times New Roman"/>
          <w:sz w:val="24"/>
          <w:szCs w:val="24"/>
        </w:rPr>
        <w:t>he TGA engaged directly</w:t>
      </w:r>
      <w:r w:rsidR="003661A6" w:rsidRPr="000B55C8">
        <w:rPr>
          <w:rFonts w:ascii="Times New Roman" w:hAnsi="Times New Roman" w:cs="Times New Roman"/>
          <w:sz w:val="24"/>
          <w:szCs w:val="24"/>
        </w:rPr>
        <w:t xml:space="preserve"> </w:t>
      </w:r>
      <w:r w:rsidR="003661A6">
        <w:rPr>
          <w:rFonts w:ascii="Times New Roman" w:hAnsi="Times New Roman" w:cs="Times New Roman"/>
          <w:sz w:val="24"/>
          <w:szCs w:val="24"/>
        </w:rPr>
        <w:t xml:space="preserve">with applicants </w:t>
      </w:r>
      <w:r>
        <w:rPr>
          <w:rFonts w:ascii="Times New Roman" w:hAnsi="Times New Roman" w:cs="Times New Roman"/>
          <w:sz w:val="24"/>
          <w:szCs w:val="24"/>
        </w:rPr>
        <w:t xml:space="preserve">who applied for the approval of </w:t>
      </w:r>
      <w:r w:rsidR="00CF4EB0">
        <w:rPr>
          <w:rFonts w:ascii="Times New Roman" w:hAnsi="Times New Roman" w:cs="Times New Roman"/>
          <w:sz w:val="24"/>
          <w:szCs w:val="24"/>
        </w:rPr>
        <w:t xml:space="preserve">the ingredients sodium butyrate and </w:t>
      </w:r>
      <w:proofErr w:type="spellStart"/>
      <w:r w:rsidR="00CF4EB0">
        <w:rPr>
          <w:rFonts w:ascii="Times New Roman" w:hAnsi="Times New Roman" w:cs="Times New Roman"/>
          <w:sz w:val="24"/>
          <w:szCs w:val="24"/>
        </w:rPr>
        <w:t>lacto</w:t>
      </w:r>
      <w:proofErr w:type="spellEnd"/>
      <w:r w:rsidR="00CF4EB0">
        <w:rPr>
          <w:rFonts w:ascii="Times New Roman" w:hAnsi="Times New Roman" w:cs="Times New Roman"/>
          <w:sz w:val="24"/>
          <w:szCs w:val="24"/>
        </w:rPr>
        <w:t>-N-</w:t>
      </w:r>
      <w:proofErr w:type="spellStart"/>
      <w:r w:rsidR="00CF4EB0">
        <w:rPr>
          <w:rFonts w:ascii="Times New Roman" w:hAnsi="Times New Roman" w:cs="Times New Roman"/>
          <w:sz w:val="24"/>
          <w:szCs w:val="24"/>
        </w:rPr>
        <w:t>neotetraose</w:t>
      </w:r>
      <w:proofErr w:type="spellEnd"/>
      <w:r w:rsidR="00CF4EB0">
        <w:rPr>
          <w:rFonts w:ascii="Times New Roman" w:hAnsi="Times New Roman" w:cs="Times New Roman"/>
          <w:sz w:val="24"/>
          <w:szCs w:val="24"/>
        </w:rPr>
        <w:t xml:space="preserve">, </w:t>
      </w:r>
      <w:r>
        <w:rPr>
          <w:rFonts w:ascii="Times New Roman" w:hAnsi="Times New Roman" w:cs="Times New Roman"/>
          <w:sz w:val="24"/>
          <w:szCs w:val="24"/>
        </w:rPr>
        <w:t>in connection with those applications.  The TGA also engaged with the applicant who applied</w:t>
      </w:r>
      <w:r w:rsidR="00CF4EB0">
        <w:rPr>
          <w:rFonts w:ascii="Times New Roman" w:hAnsi="Times New Roman" w:cs="Times New Roman"/>
          <w:sz w:val="24"/>
          <w:szCs w:val="24"/>
        </w:rPr>
        <w:t xml:space="preserve"> </w:t>
      </w:r>
      <w:r w:rsidR="003661A6">
        <w:rPr>
          <w:rFonts w:ascii="Times New Roman" w:hAnsi="Times New Roman" w:cs="Times New Roman"/>
          <w:sz w:val="24"/>
          <w:szCs w:val="24"/>
        </w:rPr>
        <w:t xml:space="preserve">for </w:t>
      </w:r>
      <w:r w:rsidR="00CF4EB0">
        <w:rPr>
          <w:rFonts w:ascii="Times New Roman" w:hAnsi="Times New Roman" w:cs="Times New Roman"/>
          <w:sz w:val="24"/>
          <w:szCs w:val="24"/>
        </w:rPr>
        <w:t xml:space="preserve">the </w:t>
      </w:r>
      <w:r w:rsidR="003661A6">
        <w:rPr>
          <w:rFonts w:ascii="Times New Roman" w:hAnsi="Times New Roman" w:cs="Times New Roman"/>
          <w:sz w:val="24"/>
          <w:szCs w:val="24"/>
        </w:rPr>
        <w:t>variation to the ingredient sodium hyaluronate</w:t>
      </w:r>
      <w:r w:rsidR="009D2FD9">
        <w:rPr>
          <w:rFonts w:ascii="Times New Roman" w:hAnsi="Times New Roman" w:cs="Times New Roman"/>
          <w:sz w:val="24"/>
          <w:szCs w:val="24"/>
        </w:rPr>
        <w:t>, across the same timeframe</w:t>
      </w:r>
      <w:r w:rsidR="003661A6" w:rsidRPr="00912C13">
        <w:rPr>
          <w:rFonts w:ascii="Times New Roman" w:hAnsi="Times New Roman" w:cs="Times New Roman"/>
          <w:sz w:val="24"/>
          <w:szCs w:val="24"/>
        </w:rPr>
        <w:t>.</w:t>
      </w:r>
      <w:r w:rsidR="003661A6">
        <w:rPr>
          <w:rFonts w:ascii="Times New Roman" w:hAnsi="Times New Roman" w:cs="Times New Roman"/>
          <w:sz w:val="24"/>
          <w:szCs w:val="24"/>
        </w:rPr>
        <w:t xml:space="preserve"> </w:t>
      </w:r>
    </w:p>
    <w:p w14:paraId="2DDCF6D7" w14:textId="17876C79" w:rsidR="003661A6" w:rsidRPr="005B58AB" w:rsidRDefault="003661A6" w:rsidP="003661A6">
      <w:pPr>
        <w:rPr>
          <w:rFonts w:ascii="Times New Roman" w:hAnsi="Times New Roman" w:cs="Times New Roman"/>
          <w:sz w:val="24"/>
          <w:szCs w:val="24"/>
        </w:rPr>
      </w:pPr>
      <w:r w:rsidRPr="00A55498">
        <w:rPr>
          <w:rFonts w:ascii="Times New Roman" w:hAnsi="Times New Roman" w:cs="Times New Roman"/>
          <w:sz w:val="24"/>
          <w:szCs w:val="24"/>
        </w:rPr>
        <w:t>In December 2020, the TGA contacted all sponsors of listed medicines contain</w:t>
      </w:r>
      <w:r w:rsidR="00E11FD7">
        <w:rPr>
          <w:rFonts w:ascii="Times New Roman" w:hAnsi="Times New Roman" w:cs="Times New Roman"/>
          <w:sz w:val="24"/>
          <w:szCs w:val="24"/>
        </w:rPr>
        <w:t>ing</w:t>
      </w:r>
      <w:r w:rsidRPr="00A55498">
        <w:rPr>
          <w:rFonts w:ascii="Times New Roman" w:hAnsi="Times New Roman" w:cs="Times New Roman"/>
          <w:sz w:val="24"/>
          <w:szCs w:val="24"/>
        </w:rPr>
        <w:t xml:space="preserve"> </w:t>
      </w:r>
      <w:r w:rsidR="00E11FD7">
        <w:rPr>
          <w:rFonts w:ascii="Times New Roman" w:hAnsi="Times New Roman" w:cs="Times New Roman"/>
          <w:sz w:val="24"/>
          <w:szCs w:val="24"/>
        </w:rPr>
        <w:t xml:space="preserve">the ingredients </w:t>
      </w:r>
      <w:r w:rsidRPr="00A55498">
        <w:rPr>
          <w:rFonts w:ascii="Times New Roman" w:hAnsi="Times New Roman" w:cs="Times New Roman"/>
          <w:i/>
          <w:sz w:val="24"/>
          <w:szCs w:val="24"/>
        </w:rPr>
        <w:t xml:space="preserve">Artemisia annua </w:t>
      </w:r>
      <w:r w:rsidRPr="00A55498">
        <w:rPr>
          <w:rFonts w:ascii="Times New Roman" w:hAnsi="Times New Roman" w:cs="Times New Roman"/>
          <w:sz w:val="24"/>
          <w:szCs w:val="24"/>
        </w:rPr>
        <w:t xml:space="preserve">and </w:t>
      </w:r>
      <w:r w:rsidRPr="00A55498">
        <w:rPr>
          <w:rFonts w:ascii="Times New Roman" w:hAnsi="Times New Roman" w:cs="Times New Roman"/>
          <w:i/>
          <w:sz w:val="24"/>
          <w:szCs w:val="24"/>
        </w:rPr>
        <w:t>Artemisia absinthium</w:t>
      </w:r>
      <w:r w:rsidRPr="00A55498">
        <w:rPr>
          <w:rFonts w:ascii="Times New Roman" w:hAnsi="Times New Roman" w:cs="Times New Roman"/>
          <w:sz w:val="24"/>
          <w:szCs w:val="24"/>
        </w:rPr>
        <w:t xml:space="preserve"> </w:t>
      </w:r>
      <w:r>
        <w:rPr>
          <w:rFonts w:ascii="Times New Roman" w:hAnsi="Times New Roman" w:cs="Times New Roman"/>
          <w:sz w:val="24"/>
          <w:szCs w:val="24"/>
        </w:rPr>
        <w:t>that</w:t>
      </w:r>
      <w:r w:rsidRPr="00A55498">
        <w:rPr>
          <w:rFonts w:ascii="Times New Roman" w:hAnsi="Times New Roman" w:cs="Times New Roman"/>
          <w:sz w:val="24"/>
          <w:szCs w:val="24"/>
        </w:rPr>
        <w:t xml:space="preserve"> did not carry a warning statement </w:t>
      </w:r>
      <w:r w:rsidRPr="00A55498">
        <w:rPr>
          <w:rFonts w:ascii="Times New Roman" w:hAnsi="Times New Roman" w:cs="Times New Roman"/>
          <w:sz w:val="24"/>
          <w:szCs w:val="24"/>
        </w:rPr>
        <w:lastRenderedPageBreak/>
        <w:t xml:space="preserve">discouraging use during pregnancy. </w:t>
      </w:r>
      <w:r w:rsidR="00E11FD7">
        <w:rPr>
          <w:rFonts w:ascii="Times New Roman" w:hAnsi="Times New Roman" w:cs="Times New Roman"/>
          <w:sz w:val="24"/>
          <w:szCs w:val="24"/>
        </w:rPr>
        <w:t xml:space="preserve">The TGA advised </w:t>
      </w:r>
      <w:r w:rsidR="005522F5" w:rsidRPr="00A55498">
        <w:rPr>
          <w:rFonts w:ascii="Times New Roman" w:hAnsi="Times New Roman" w:cs="Times New Roman"/>
          <w:sz w:val="24"/>
          <w:szCs w:val="24"/>
        </w:rPr>
        <w:t>sponsors that</w:t>
      </w:r>
      <w:r w:rsidRPr="00A55498">
        <w:rPr>
          <w:rFonts w:ascii="Times New Roman" w:hAnsi="Times New Roman" w:cs="Times New Roman"/>
          <w:sz w:val="24"/>
          <w:szCs w:val="24"/>
        </w:rPr>
        <w:t xml:space="preserve"> the evidence before the TGA suggested that the use of </w:t>
      </w:r>
      <w:r w:rsidRPr="00A55498">
        <w:rPr>
          <w:rFonts w:ascii="Times New Roman" w:hAnsi="Times New Roman" w:cs="Times New Roman"/>
          <w:i/>
          <w:sz w:val="24"/>
          <w:szCs w:val="24"/>
        </w:rPr>
        <w:t xml:space="preserve">Artemisia annua </w:t>
      </w:r>
      <w:r w:rsidRPr="00A55498">
        <w:rPr>
          <w:rFonts w:ascii="Times New Roman" w:hAnsi="Times New Roman" w:cs="Times New Roman"/>
          <w:sz w:val="24"/>
          <w:szCs w:val="24"/>
        </w:rPr>
        <w:t xml:space="preserve">and </w:t>
      </w:r>
      <w:r w:rsidRPr="00A55498">
        <w:rPr>
          <w:rFonts w:ascii="Times New Roman" w:hAnsi="Times New Roman" w:cs="Times New Roman"/>
          <w:i/>
          <w:sz w:val="24"/>
          <w:szCs w:val="24"/>
        </w:rPr>
        <w:t>Artemisia absinthium</w:t>
      </w:r>
      <w:r w:rsidRPr="00A55498">
        <w:rPr>
          <w:rFonts w:ascii="Times New Roman" w:hAnsi="Times New Roman" w:cs="Times New Roman"/>
          <w:sz w:val="24"/>
          <w:szCs w:val="24"/>
        </w:rPr>
        <w:t xml:space="preserve"> products during pregnancy was not appropriate. </w:t>
      </w:r>
      <w:r>
        <w:rPr>
          <w:rFonts w:ascii="Times New Roman" w:hAnsi="Times New Roman" w:cs="Times New Roman"/>
          <w:sz w:val="24"/>
          <w:szCs w:val="24"/>
        </w:rPr>
        <w:t>S</w:t>
      </w:r>
      <w:r w:rsidRPr="00A55498">
        <w:rPr>
          <w:rFonts w:ascii="Times New Roman" w:hAnsi="Times New Roman" w:cs="Times New Roman"/>
          <w:sz w:val="24"/>
          <w:szCs w:val="24"/>
        </w:rPr>
        <w:t xml:space="preserve">ponsors were provided an opportunity to present additional evidence to support the safety of these ingredients during pregnancy, however the responses did not provide sufficient evidence to suggest that the use of </w:t>
      </w:r>
      <w:r w:rsidRPr="00A55498">
        <w:rPr>
          <w:rFonts w:ascii="Times New Roman" w:hAnsi="Times New Roman" w:cs="Times New Roman"/>
          <w:i/>
          <w:sz w:val="24"/>
          <w:szCs w:val="24"/>
        </w:rPr>
        <w:t xml:space="preserve">Artemisia annua </w:t>
      </w:r>
      <w:r w:rsidRPr="00A55498">
        <w:rPr>
          <w:rFonts w:ascii="Times New Roman" w:hAnsi="Times New Roman" w:cs="Times New Roman"/>
          <w:sz w:val="24"/>
          <w:szCs w:val="24"/>
        </w:rPr>
        <w:t xml:space="preserve">and </w:t>
      </w:r>
      <w:r w:rsidRPr="00A55498">
        <w:rPr>
          <w:rFonts w:ascii="Times New Roman" w:hAnsi="Times New Roman" w:cs="Times New Roman"/>
          <w:i/>
          <w:sz w:val="24"/>
          <w:szCs w:val="24"/>
        </w:rPr>
        <w:t>Artemisia absinthium</w:t>
      </w:r>
      <w:r w:rsidRPr="00A55498">
        <w:rPr>
          <w:rFonts w:ascii="Times New Roman" w:hAnsi="Times New Roman" w:cs="Times New Roman"/>
          <w:sz w:val="24"/>
          <w:szCs w:val="24"/>
        </w:rPr>
        <w:t xml:space="preserve"> is appropriate during pregnancy. In February 2021, the TGA advised sponsors of </w:t>
      </w:r>
      <w:r w:rsidR="00FF6ED6">
        <w:rPr>
          <w:rFonts w:ascii="Times New Roman" w:hAnsi="Times New Roman" w:cs="Times New Roman"/>
          <w:sz w:val="24"/>
          <w:szCs w:val="24"/>
        </w:rPr>
        <w:t>affected</w:t>
      </w:r>
      <w:r w:rsidRPr="00A55498">
        <w:rPr>
          <w:rFonts w:ascii="Times New Roman" w:hAnsi="Times New Roman" w:cs="Times New Roman"/>
          <w:sz w:val="24"/>
          <w:szCs w:val="24"/>
        </w:rPr>
        <w:t xml:space="preserve"> medicines that their products would be required to carry the warning statement ‘Do not use if pregnant or likely to become pregnant’ from March 2021.</w:t>
      </w:r>
    </w:p>
    <w:p w14:paraId="10F65BCB" w14:textId="77777777" w:rsidR="003661A6" w:rsidRPr="00EE5F22" w:rsidRDefault="003661A6" w:rsidP="003661A6">
      <w:pPr>
        <w:rPr>
          <w:rFonts w:ascii="Times New Roman" w:hAnsi="Times New Roman" w:cs="Times New Roman"/>
          <w:sz w:val="24"/>
          <w:szCs w:val="24"/>
        </w:rPr>
      </w:pPr>
      <w:r>
        <w:rPr>
          <w:rFonts w:ascii="Times New Roman" w:hAnsi="Times New Roman" w:cs="Times New Roman"/>
          <w:sz w:val="24"/>
          <w:szCs w:val="24"/>
        </w:rPr>
        <w:t>The removal of duplicative requirements from the Determination that are already reflected separately in TGO 92 was consulted on with the</w:t>
      </w:r>
      <w:r w:rsidRPr="00EE5F22">
        <w:rPr>
          <w:rFonts w:ascii="Times New Roman" w:hAnsi="Times New Roman" w:cs="Times New Roman"/>
          <w:sz w:val="24"/>
          <w:szCs w:val="24"/>
        </w:rPr>
        <w:t xml:space="preserve"> </w:t>
      </w:r>
      <w:r w:rsidRPr="003B6684">
        <w:rPr>
          <w:rFonts w:ascii="Times New Roman" w:hAnsi="Times New Roman" w:cs="Times New Roman"/>
          <w:sz w:val="24"/>
          <w:szCs w:val="24"/>
        </w:rPr>
        <w:t>Complementary and Over the Counter Medicines Regulatory and Technical Consultative Forum (“</w:t>
      </w:r>
      <w:proofErr w:type="spellStart"/>
      <w:r w:rsidRPr="003B6684">
        <w:rPr>
          <w:rFonts w:ascii="Times New Roman" w:hAnsi="Times New Roman" w:cs="Times New Roman"/>
          <w:sz w:val="24"/>
          <w:szCs w:val="24"/>
        </w:rPr>
        <w:t>ComTech</w:t>
      </w:r>
      <w:proofErr w:type="spellEnd"/>
      <w:r w:rsidRPr="003B6684">
        <w:rPr>
          <w:rFonts w:ascii="Times New Roman" w:hAnsi="Times New Roman" w:cs="Times New Roman"/>
          <w:sz w:val="24"/>
          <w:szCs w:val="24"/>
        </w:rPr>
        <w:t xml:space="preserve">”) </w:t>
      </w:r>
      <w:r>
        <w:rPr>
          <w:rFonts w:ascii="Times New Roman" w:hAnsi="Times New Roman" w:cs="Times New Roman"/>
          <w:sz w:val="24"/>
          <w:szCs w:val="24"/>
        </w:rPr>
        <w:t xml:space="preserve">in November 2020. </w:t>
      </w:r>
      <w:proofErr w:type="spellStart"/>
      <w:r>
        <w:rPr>
          <w:rFonts w:ascii="Times New Roman" w:hAnsi="Times New Roman" w:cs="Times New Roman"/>
          <w:sz w:val="24"/>
          <w:szCs w:val="24"/>
        </w:rPr>
        <w:t>ComTech</w:t>
      </w:r>
      <w:proofErr w:type="spellEnd"/>
      <w:r>
        <w:rPr>
          <w:rFonts w:ascii="Times New Roman" w:hAnsi="Times New Roman" w:cs="Times New Roman"/>
          <w:sz w:val="24"/>
          <w:szCs w:val="24"/>
        </w:rPr>
        <w:t xml:space="preserve"> is a forum that facilitates consultation between the TGA and representatives from the complementary and over the counter medicines industries including Accord Australasia, the Association of Therapeutic Goods Consultants, Complementary Medicines Australia, Consumer Health Products Australia and the Generic and Biosimilar Medicines Association.  </w:t>
      </w:r>
      <w:proofErr w:type="spellStart"/>
      <w:r>
        <w:rPr>
          <w:rFonts w:ascii="Times New Roman" w:hAnsi="Times New Roman" w:cs="Times New Roman"/>
          <w:sz w:val="24"/>
          <w:szCs w:val="24"/>
        </w:rPr>
        <w:t>ComTech</w:t>
      </w:r>
      <w:proofErr w:type="spellEnd"/>
      <w:r>
        <w:rPr>
          <w:rFonts w:ascii="Times New Roman" w:hAnsi="Times New Roman" w:cs="Times New Roman"/>
          <w:sz w:val="24"/>
          <w:szCs w:val="24"/>
        </w:rPr>
        <w:t xml:space="preserve"> were generally supportive of the removal of legislative duplication</w:t>
      </w:r>
      <w:r w:rsidRPr="00EE5F22">
        <w:rPr>
          <w:rFonts w:ascii="Times New Roman" w:hAnsi="Times New Roman" w:cs="Times New Roman"/>
          <w:sz w:val="24"/>
          <w:szCs w:val="24"/>
        </w:rPr>
        <w:t>.</w:t>
      </w:r>
    </w:p>
    <w:p w14:paraId="10FC5204" w14:textId="7CFBBAC2" w:rsidR="00EE5F22" w:rsidRPr="002000F0" w:rsidRDefault="003E5AEA">
      <w:pPr>
        <w:autoSpaceDE w:val="0"/>
        <w:autoSpaceDN w:val="0"/>
        <w:adjustRightInd w:val="0"/>
        <w:spacing w:after="0"/>
        <w:rPr>
          <w:rFonts w:ascii="Times New Roman" w:eastAsia="Times New Roman" w:hAnsi="Times New Roman" w:cs="Times New Roman"/>
          <w:sz w:val="24"/>
          <w:szCs w:val="24"/>
          <w:lang w:eastAsia="en-AU"/>
        </w:rPr>
      </w:pPr>
      <w:r w:rsidRPr="00807896">
        <w:rPr>
          <w:rFonts w:ascii="Times New Roman" w:eastAsia="Times New Roman" w:hAnsi="Times New Roman" w:cs="Times New Roman"/>
          <w:sz w:val="24"/>
          <w:szCs w:val="24"/>
          <w:lang w:eastAsia="en-AU"/>
        </w:rPr>
        <w:t xml:space="preserve">The </w:t>
      </w:r>
      <w:r w:rsidR="005873CF" w:rsidRPr="005873CF">
        <w:rPr>
          <w:rFonts w:ascii="Times New Roman" w:eastAsia="Times New Roman" w:hAnsi="Times New Roman" w:cs="Times New Roman"/>
          <w:sz w:val="24"/>
          <w:szCs w:val="24"/>
          <w:lang w:eastAsia="en-AU"/>
        </w:rPr>
        <w:t>Office of Best Practice Regulation</w:t>
      </w:r>
      <w:r w:rsidR="005873C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OBPR</w:t>
      </w:r>
      <w:r w:rsidR="005873C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807896">
        <w:rPr>
          <w:rFonts w:ascii="Times New Roman" w:eastAsia="Times New Roman" w:hAnsi="Times New Roman" w:cs="Times New Roman"/>
          <w:sz w:val="24"/>
          <w:szCs w:val="24"/>
          <w:lang w:eastAsia="en-AU"/>
        </w:rPr>
        <w:t xml:space="preserve">has </w:t>
      </w:r>
      <w:r w:rsidR="00066CCA">
        <w:rPr>
          <w:rFonts w:ascii="Times New Roman" w:eastAsia="Times New Roman" w:hAnsi="Times New Roman" w:cs="Times New Roman"/>
          <w:sz w:val="24"/>
          <w:szCs w:val="24"/>
          <w:lang w:eastAsia="en-AU"/>
        </w:rPr>
        <w:t xml:space="preserve">also </w:t>
      </w:r>
      <w:r w:rsidRPr="00807896">
        <w:rPr>
          <w:rFonts w:ascii="Times New Roman" w:eastAsia="Times New Roman" w:hAnsi="Times New Roman" w:cs="Times New Roman"/>
          <w:sz w:val="24"/>
          <w:szCs w:val="24"/>
          <w:lang w:eastAsia="en-AU"/>
        </w:rPr>
        <w:t>previously advised that a regulatory impact statement is not required for updates to determinations made under section 26BB of the Act that are minor or machinery in nature</w:t>
      </w:r>
      <w:r>
        <w:rPr>
          <w:rFonts w:ascii="Times New Roman" w:eastAsia="Times New Roman" w:hAnsi="Times New Roman" w:cs="Times New Roman"/>
          <w:sz w:val="24"/>
          <w:szCs w:val="24"/>
          <w:lang w:eastAsia="en-AU"/>
        </w:rPr>
        <w:t>, including</w:t>
      </w:r>
      <w:r w:rsidRPr="00807896">
        <w:rPr>
          <w:rFonts w:ascii="Times New Roman" w:eastAsia="Times New Roman" w:hAnsi="Times New Roman" w:cs="Times New Roman"/>
          <w:sz w:val="24"/>
          <w:szCs w:val="24"/>
          <w:lang w:eastAsia="en-AU"/>
        </w:rPr>
        <w:t xml:space="preserve"> the introduction of new permitted ingredients, corrections of errors, clarifications of requirements and ingredient names, changes to reflect scheduling decisions in the Poisons Standard </w:t>
      </w:r>
      <w:r w:rsidR="00FF6ED6">
        <w:rPr>
          <w:rFonts w:ascii="Times New Roman" w:eastAsia="Times New Roman" w:hAnsi="Times New Roman" w:cs="Times New Roman"/>
          <w:sz w:val="24"/>
          <w:szCs w:val="24"/>
          <w:lang w:eastAsia="en-AU"/>
        </w:rPr>
        <w:t>and</w:t>
      </w:r>
      <w:r w:rsidRPr="00807896">
        <w:rPr>
          <w:rFonts w:ascii="Times New Roman" w:eastAsia="Times New Roman" w:hAnsi="Times New Roman" w:cs="Times New Roman"/>
          <w:sz w:val="24"/>
          <w:szCs w:val="24"/>
          <w:lang w:eastAsia="en-AU"/>
        </w:rPr>
        <w:t xml:space="preserve"> the outcomes of TGA safety evaluations where the regulatory impacts are minor or machinery in nature (OBPR references 14416, 20999 and 21645</w:t>
      </w:r>
      <w:r>
        <w:rPr>
          <w:rFonts w:ascii="Times New Roman" w:eastAsia="Times New Roman" w:hAnsi="Times New Roman" w:cs="Times New Roman"/>
          <w:sz w:val="24"/>
          <w:szCs w:val="24"/>
          <w:lang w:eastAsia="en-AU"/>
        </w:rPr>
        <w:t>).</w:t>
      </w:r>
    </w:p>
    <w:p w14:paraId="28613D5A" w14:textId="77777777" w:rsidR="005B70D2" w:rsidRPr="007A52D3"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7A00BF75" w14:textId="02ADDD4F" w:rsidR="0050197A" w:rsidRDefault="0050197A" w:rsidP="000152DF">
      <w:pPr>
        <w:keepNext/>
        <w:autoSpaceDE w:val="0"/>
        <w:autoSpaceDN w:val="0"/>
        <w:adjustRightInd w:val="0"/>
        <w:spacing w:after="0"/>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Incorporation</w:t>
      </w:r>
      <w:r>
        <w:rPr>
          <w:rFonts w:ascii="Times New Roman" w:hAnsi="Times New Roman" w:cs="Times New Roman"/>
          <w:b/>
          <w:sz w:val="24"/>
          <w:szCs w:val="24"/>
          <w:lang w:eastAsia="en-AU"/>
        </w:rPr>
        <w:t xml:space="preserve"> by reference</w:t>
      </w:r>
    </w:p>
    <w:p w14:paraId="630FC084" w14:textId="77777777" w:rsidR="005B70D2" w:rsidRPr="001A7C14" w:rsidRDefault="005B70D2" w:rsidP="000152DF">
      <w:pPr>
        <w:keepNext/>
        <w:autoSpaceDE w:val="0"/>
        <w:autoSpaceDN w:val="0"/>
        <w:adjustRightInd w:val="0"/>
        <w:spacing w:after="0"/>
        <w:rPr>
          <w:rFonts w:ascii="Times New Roman" w:eastAsia="Times New Roman" w:hAnsi="Times New Roman" w:cs="Times New Roman"/>
          <w:b/>
          <w:bCs/>
          <w:sz w:val="24"/>
          <w:szCs w:val="24"/>
          <w:lang w:eastAsia="en-AU"/>
        </w:rPr>
      </w:pPr>
    </w:p>
    <w:p w14:paraId="09BDDD8C" w14:textId="7F27DB71"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w:t>
      </w:r>
      <w:r w:rsidRPr="0034672A">
        <w:rPr>
          <w:rFonts w:ascii="Times New Roman" w:eastAsia="Times New Roman" w:hAnsi="Times New Roman" w:cs="Times New Roman"/>
          <w:sz w:val="24"/>
          <w:szCs w:val="24"/>
          <w:lang w:eastAsia="en-AU"/>
        </w:rPr>
        <w:t>Determination</w:t>
      </w:r>
      <w:r>
        <w:rPr>
          <w:rFonts w:ascii="Times New Roman" w:hAnsi="Times New Roman" w:cs="Times New Roman"/>
          <w:sz w:val="24"/>
          <w:szCs w:val="24"/>
        </w:rPr>
        <w:t xml:space="preserve"> references each of the British Pharmacopoeia, European Pharmacopoeia and United States Pharmacopeia-National Formulary, and the note in section 4 of the Determination makes it clear that each of these pharmacopoeia are those as defined in subsection 3(1) of the Act.</w:t>
      </w:r>
    </w:p>
    <w:p w14:paraId="371A8AD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3E90904" w14:textId="716FDD53"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definitions of the pharmacopoeia in subsection 3(1) of the Act refer to the publications of each as in effect immediately before the commencement of the relevant definition in the Act, and to any subsequent amendments or editions. </w:t>
      </w:r>
      <w:r w:rsidR="00E60C26">
        <w:rPr>
          <w:rFonts w:ascii="Times New Roman" w:hAnsi="Times New Roman" w:cs="Times New Roman"/>
          <w:sz w:val="24"/>
          <w:szCs w:val="24"/>
        </w:rPr>
        <w:t xml:space="preserve"> </w:t>
      </w:r>
      <w:r>
        <w:rPr>
          <w:rFonts w:ascii="Times New Roman" w:hAnsi="Times New Roman" w:cs="Times New Roman"/>
          <w:sz w:val="24"/>
          <w:szCs w:val="24"/>
        </w:rPr>
        <w:t xml:space="preserve">The intention in this Determination is therefore to adopt the defined meaning of the pharmacopoeia as set out in subsection 3(1) of the Act (an approach permitted by subsection </w:t>
      </w:r>
      <w:r w:rsidR="004E2CE6">
        <w:rPr>
          <w:rFonts w:ascii="Times New Roman" w:hAnsi="Times New Roman" w:cs="Times New Roman"/>
          <w:sz w:val="24"/>
          <w:szCs w:val="24"/>
        </w:rPr>
        <w:t>26</w:t>
      </w:r>
      <w:proofErr w:type="gramStart"/>
      <w:r w:rsidR="004E2CE6">
        <w:rPr>
          <w:rFonts w:ascii="Times New Roman" w:hAnsi="Times New Roman" w:cs="Times New Roman"/>
          <w:sz w:val="24"/>
          <w:szCs w:val="24"/>
        </w:rPr>
        <w:t>BB</w:t>
      </w:r>
      <w:r>
        <w:rPr>
          <w:rFonts w:ascii="Times New Roman" w:hAnsi="Times New Roman" w:cs="Times New Roman"/>
          <w:sz w:val="24"/>
          <w:szCs w:val="24"/>
        </w:rPr>
        <w:t>(</w:t>
      </w:r>
      <w:proofErr w:type="gramEnd"/>
      <w:r w:rsidR="004E2CE6">
        <w:rPr>
          <w:rFonts w:ascii="Times New Roman" w:hAnsi="Times New Roman" w:cs="Times New Roman"/>
          <w:sz w:val="24"/>
          <w:szCs w:val="24"/>
        </w:rPr>
        <w:t>8</w:t>
      </w:r>
      <w:r>
        <w:rPr>
          <w:rFonts w:ascii="Times New Roman" w:hAnsi="Times New Roman" w:cs="Times New Roman"/>
          <w:sz w:val="24"/>
          <w:szCs w:val="24"/>
        </w:rPr>
        <w:t xml:space="preserve">) of the Act). </w:t>
      </w:r>
      <w:r w:rsidR="00E60C26">
        <w:rPr>
          <w:rFonts w:ascii="Times New Roman" w:hAnsi="Times New Roman" w:cs="Times New Roman"/>
          <w:sz w:val="24"/>
          <w:szCs w:val="24"/>
        </w:rPr>
        <w:t xml:space="preserve"> </w:t>
      </w:r>
      <w:r>
        <w:rPr>
          <w:rFonts w:ascii="Times New Roman" w:hAnsi="Times New Roman" w:cs="Times New Roman"/>
          <w:sz w:val="24"/>
          <w:szCs w:val="24"/>
        </w:rPr>
        <w:t xml:space="preserve">That pharmacopoeia may be accessed from </w:t>
      </w:r>
      <w:hyperlink r:id="rId8" w:history="1">
        <w:r w:rsidRPr="00BB66B5">
          <w:rPr>
            <w:rStyle w:val="Hyperlink"/>
            <w:rFonts w:ascii="Times New Roman" w:hAnsi="Times New Roman" w:cs="Times New Roman"/>
            <w:sz w:val="24"/>
            <w:szCs w:val="24"/>
          </w:rPr>
          <w:t>www.pharmacopoeia.com/</w:t>
        </w:r>
      </w:hyperlink>
      <w:r>
        <w:rPr>
          <w:rFonts w:ascii="Times New Roman" w:hAnsi="Times New Roman" w:cs="Times New Roman"/>
          <w:sz w:val="24"/>
          <w:szCs w:val="24"/>
        </w:rPr>
        <w:t xml:space="preserve">, </w:t>
      </w:r>
      <w:hyperlink r:id="rId9" w:history="1">
        <w:r w:rsidR="00EF4059" w:rsidRPr="00061A97">
          <w:rPr>
            <w:rStyle w:val="Hyperlink"/>
            <w:rFonts w:ascii="Times New Roman" w:hAnsi="Times New Roman" w:cs="Times New Roman"/>
            <w:sz w:val="24"/>
            <w:szCs w:val="24"/>
          </w:rPr>
          <w:t>https://pheur.edqm.eu/home</w:t>
        </w:r>
      </w:hyperlink>
      <w:r>
        <w:rPr>
          <w:rFonts w:ascii="Times New Roman" w:hAnsi="Times New Roman" w:cs="Times New Roman"/>
          <w:sz w:val="24"/>
          <w:szCs w:val="24"/>
        </w:rPr>
        <w:t xml:space="preserve"> and </w:t>
      </w:r>
      <w:hyperlink r:id="rId10" w:history="1">
        <w:r w:rsidRPr="00BB66B5">
          <w:rPr>
            <w:rStyle w:val="Hyperlink"/>
            <w:rFonts w:ascii="Times New Roman" w:hAnsi="Times New Roman" w:cs="Times New Roman"/>
            <w:sz w:val="24"/>
            <w:szCs w:val="24"/>
          </w:rPr>
          <w:t>www.uspnf.com/</w:t>
        </w:r>
      </w:hyperlink>
      <w:r>
        <w:rPr>
          <w:rFonts w:ascii="Times New Roman" w:hAnsi="Times New Roman" w:cs="Times New Roman"/>
          <w:sz w:val="24"/>
          <w:szCs w:val="24"/>
        </w:rPr>
        <w:t xml:space="preserve">. </w:t>
      </w:r>
    </w:p>
    <w:p w14:paraId="322983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E0BD165" w14:textId="6B8A9C6E" w:rsidR="0050197A" w:rsidRDefault="0050197A" w:rsidP="001A7C14">
      <w:pPr>
        <w:autoSpaceDE w:val="0"/>
        <w:autoSpaceDN w:val="0"/>
        <w:adjustRightInd w:val="0"/>
        <w:spacing w:after="0"/>
        <w:rPr>
          <w:rStyle w:val="Hyperlink"/>
        </w:rPr>
      </w:pPr>
      <w:r>
        <w:rPr>
          <w:rFonts w:ascii="Times New Roman" w:hAnsi="Times New Roman" w:cs="Times New Roman"/>
          <w:sz w:val="24"/>
          <w:szCs w:val="24"/>
        </w:rPr>
        <w:t xml:space="preserve">The Determination also adopts the </w:t>
      </w:r>
      <w:r w:rsidRPr="006B644D">
        <w:rPr>
          <w:rFonts w:ascii="Times New Roman" w:hAnsi="Times New Roman" w:cs="Times New Roman"/>
          <w:sz w:val="24"/>
          <w:szCs w:val="24"/>
        </w:rPr>
        <w:t>Food Chemicals Codex (</w:t>
      </w:r>
      <w:r>
        <w:rPr>
          <w:rFonts w:ascii="Times New Roman" w:hAnsi="Times New Roman" w:cs="Times New Roman"/>
          <w:sz w:val="24"/>
          <w:szCs w:val="24"/>
        </w:rPr>
        <w:t xml:space="preserve">“the </w:t>
      </w:r>
      <w:r w:rsidRPr="006B644D">
        <w:rPr>
          <w:rFonts w:ascii="Times New Roman" w:hAnsi="Times New Roman" w:cs="Times New Roman"/>
          <w:sz w:val="24"/>
          <w:szCs w:val="24"/>
        </w:rPr>
        <w:t>FCC</w:t>
      </w:r>
      <w:r>
        <w:rPr>
          <w:rFonts w:ascii="Times New Roman" w:hAnsi="Times New Roman" w:cs="Times New Roman"/>
          <w:sz w:val="24"/>
          <w:szCs w:val="24"/>
        </w:rPr>
        <w:t>”</w:t>
      </w:r>
      <w:r w:rsidRPr="006B644D">
        <w:rPr>
          <w:rFonts w:ascii="Times New Roman" w:hAnsi="Times New Roman" w:cs="Times New Roman"/>
          <w:sz w:val="24"/>
          <w:szCs w:val="24"/>
        </w:rPr>
        <w:t>) published by the United States Pharmacopeial Convention</w:t>
      </w:r>
      <w:r>
        <w:rPr>
          <w:rFonts w:ascii="Times New Roman" w:hAnsi="Times New Roman" w:cs="Times New Roman"/>
          <w:sz w:val="24"/>
          <w:szCs w:val="24"/>
        </w:rPr>
        <w:t xml:space="preserve"> (available at </w:t>
      </w:r>
      <w:hyperlink r:id="rId11" w:history="1">
        <w:r w:rsidR="00A177A5" w:rsidRPr="00A177A5">
          <w:rPr>
            <w:rStyle w:val="Hyperlink"/>
            <w:rFonts w:ascii="Times New Roman" w:hAnsi="Times New Roman" w:cs="Times New Roman"/>
            <w:sz w:val="24"/>
            <w:szCs w:val="24"/>
          </w:rPr>
          <w:t>www.foodchemicalscodex.org/</w:t>
        </w:r>
      </w:hyperlink>
      <w:r>
        <w:rPr>
          <w:rFonts w:ascii="Times New Roman" w:hAnsi="Times New Roman" w:cs="Times New Roman"/>
          <w:sz w:val="24"/>
          <w:szCs w:val="24"/>
        </w:rPr>
        <w:t xml:space="preserve">). </w:t>
      </w:r>
      <w:r w:rsidR="004E2CE6">
        <w:rPr>
          <w:rFonts w:ascii="Times New Roman" w:hAnsi="Times New Roman" w:cs="Times New Roman"/>
          <w:sz w:val="24"/>
          <w:szCs w:val="24"/>
        </w:rPr>
        <w:t xml:space="preserve"> </w:t>
      </w:r>
      <w:r>
        <w:rPr>
          <w:rFonts w:ascii="Times New Roman" w:hAnsi="Times New Roman" w:cs="Times New Roman"/>
          <w:sz w:val="24"/>
          <w:szCs w:val="24"/>
        </w:rPr>
        <w:t>The intended manner of adoption of the FCC is also as it is in force or existing from time to time</w:t>
      </w:r>
      <w:r w:rsidR="004E2CE6">
        <w:rPr>
          <w:rFonts w:ascii="Times New Roman" w:hAnsi="Times New Roman" w:cs="Times New Roman"/>
          <w:sz w:val="24"/>
          <w:szCs w:val="24"/>
        </w:rPr>
        <w:t>, as permitted by subsection 26</w:t>
      </w:r>
      <w:proofErr w:type="gramStart"/>
      <w:r w:rsidR="004E2CE6">
        <w:rPr>
          <w:rFonts w:ascii="Times New Roman" w:hAnsi="Times New Roman" w:cs="Times New Roman"/>
          <w:sz w:val="24"/>
          <w:szCs w:val="24"/>
        </w:rPr>
        <w:t>BB(</w:t>
      </w:r>
      <w:proofErr w:type="gramEnd"/>
      <w:r w:rsidR="004E2CE6">
        <w:rPr>
          <w:rFonts w:ascii="Times New Roman" w:hAnsi="Times New Roman" w:cs="Times New Roman"/>
          <w:sz w:val="24"/>
          <w:szCs w:val="24"/>
        </w:rPr>
        <w:t>8) of the Act</w:t>
      </w:r>
      <w:r>
        <w:rPr>
          <w:rFonts w:ascii="Times New Roman" w:hAnsi="Times New Roman" w:cs="Times New Roman"/>
          <w:sz w:val="24"/>
          <w:szCs w:val="24"/>
        </w:rPr>
        <w:t xml:space="preserve">. </w:t>
      </w:r>
      <w:r w:rsidR="00E60C26">
        <w:rPr>
          <w:rFonts w:ascii="Times New Roman" w:hAnsi="Times New Roman" w:cs="Times New Roman"/>
          <w:sz w:val="24"/>
          <w:szCs w:val="24"/>
        </w:rPr>
        <w:t xml:space="preserve"> </w:t>
      </w:r>
      <w:r w:rsidRPr="00A2081A">
        <w:rPr>
          <w:rFonts w:ascii="Times New Roman" w:hAnsi="Times New Roman" w:cs="Times New Roman"/>
          <w:sz w:val="24"/>
          <w:szCs w:val="24"/>
          <w:lang w:eastAsia="en-AU"/>
        </w:rPr>
        <w:t xml:space="preserve">The Determination </w:t>
      </w:r>
      <w:r>
        <w:rPr>
          <w:rFonts w:ascii="Times New Roman" w:hAnsi="Times New Roman" w:cs="Times New Roman"/>
          <w:sz w:val="24"/>
          <w:szCs w:val="24"/>
          <w:lang w:eastAsia="en-AU"/>
        </w:rPr>
        <w:t xml:space="preserve">adopts each of the </w:t>
      </w:r>
      <w:r w:rsidRPr="00CF10D9">
        <w:rPr>
          <w:rStyle w:val="Hyperlink"/>
          <w:rFonts w:ascii="Times New Roman" w:hAnsi="Times New Roman" w:cs="Times New Roman"/>
          <w:i/>
          <w:sz w:val="24"/>
          <w:szCs w:val="24"/>
        </w:rPr>
        <w:t xml:space="preserve">Animal </w:t>
      </w:r>
      <w:r w:rsidRPr="00CF10D9">
        <w:rPr>
          <w:rStyle w:val="Hyperlink"/>
          <w:rFonts w:ascii="Times New Roman" w:hAnsi="Times New Roman" w:cs="Times New Roman"/>
          <w:i/>
          <w:sz w:val="24"/>
          <w:szCs w:val="24"/>
        </w:rPr>
        <w:lastRenderedPageBreak/>
        <w:t>Products Act 1999</w:t>
      </w:r>
      <w:r>
        <w:rPr>
          <w:rStyle w:val="Hyperlink"/>
        </w:rPr>
        <w:t xml:space="preserve"> </w:t>
      </w:r>
      <w:r w:rsidRPr="00CF10D9">
        <w:rPr>
          <w:rStyle w:val="Hyperlink"/>
          <w:rFonts w:ascii="Times New Roman" w:hAnsi="Times New Roman" w:cs="Times New Roman"/>
          <w:sz w:val="24"/>
          <w:szCs w:val="24"/>
        </w:rPr>
        <w:t xml:space="preserve">and the </w:t>
      </w:r>
      <w:r w:rsidRPr="00CF10D9">
        <w:rPr>
          <w:rStyle w:val="Hyperlink"/>
          <w:rFonts w:ascii="Times New Roman" w:hAnsi="Times New Roman" w:cs="Times New Roman"/>
          <w:i/>
          <w:sz w:val="24"/>
          <w:szCs w:val="24"/>
        </w:rPr>
        <w:t>Animal Welfare Act 1999</w:t>
      </w:r>
      <w:r>
        <w:rPr>
          <w:rStyle w:val="Hyperlink"/>
          <w:rFonts w:ascii="Times New Roman" w:hAnsi="Times New Roman" w:cs="Times New Roman"/>
          <w:sz w:val="24"/>
          <w:szCs w:val="24"/>
        </w:rPr>
        <w:t xml:space="preserve"> </w:t>
      </w:r>
      <w:r>
        <w:rPr>
          <w:rFonts w:ascii="Times New Roman" w:hAnsi="Times New Roman" w:cs="Times New Roman"/>
          <w:sz w:val="24"/>
          <w:szCs w:val="24"/>
          <w:lang w:eastAsia="en-AU"/>
        </w:rPr>
        <w:t xml:space="preserve">of New Zealand on the same basis. </w:t>
      </w:r>
      <w:r w:rsidR="004E2CE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These Acts are available for free from </w:t>
      </w:r>
      <w:hyperlink r:id="rId12" w:history="1">
        <w:r w:rsidRPr="00BB66B5">
          <w:rPr>
            <w:rStyle w:val="Hyperlink"/>
            <w:rFonts w:ascii="Times New Roman" w:hAnsi="Times New Roman" w:cs="Times New Roman"/>
            <w:sz w:val="24"/>
            <w:szCs w:val="24"/>
          </w:rPr>
          <w:t>www.legislation.govt.nz/</w:t>
        </w:r>
      </w:hyperlink>
      <w:r>
        <w:rPr>
          <w:rStyle w:val="Hyperlink"/>
        </w:rPr>
        <w:t>.</w:t>
      </w:r>
    </w:p>
    <w:p w14:paraId="7D08AC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66CDB99" w14:textId="037AAE44"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The Determination also includes a reference to a World Health Organization publication ‘</w:t>
      </w:r>
      <w:r w:rsidRPr="00B94E86">
        <w:rPr>
          <w:rFonts w:ascii="Times New Roman" w:hAnsi="Times New Roman" w:cs="Times New Roman"/>
          <w:i/>
          <w:sz w:val="24"/>
          <w:szCs w:val="24"/>
          <w:lang w:eastAsia="en-AU"/>
        </w:rPr>
        <w:t>Expert consultation on oral rehydration salts formulation</w:t>
      </w:r>
      <w:r>
        <w:rPr>
          <w:rFonts w:ascii="Times New Roman" w:hAnsi="Times New Roman" w:cs="Times New Roman"/>
          <w:sz w:val="24"/>
          <w:szCs w:val="24"/>
          <w:lang w:eastAsia="en-AU"/>
        </w:rPr>
        <w:t>’, dated 18 July 2001.</w:t>
      </w:r>
      <w:r w:rsidR="00E60C2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 This document is available for free from</w:t>
      </w:r>
      <w:r w:rsidRPr="00CC73D8">
        <w:rPr>
          <w:rFonts w:ascii="Times New Roman" w:hAnsi="Times New Roman" w:cs="Times New Roman"/>
          <w:sz w:val="24"/>
          <w:szCs w:val="24"/>
          <w:lang w:eastAsia="en-AU"/>
        </w:rPr>
        <w:t xml:space="preserve"> </w:t>
      </w:r>
      <w:hyperlink r:id="rId13" w:history="1">
        <w:r w:rsidRPr="00BB66B5">
          <w:rPr>
            <w:rStyle w:val="Hyperlink"/>
            <w:rFonts w:ascii="Times New Roman" w:hAnsi="Times New Roman" w:cs="Times New Roman"/>
            <w:sz w:val="24"/>
            <w:szCs w:val="24"/>
          </w:rPr>
          <w:t>www.rehydrate.org/ors/expert-consultation.html</w:t>
        </w:r>
      </w:hyperlink>
      <w:r w:rsidRPr="00CC73D8">
        <w:rPr>
          <w:rFonts w:ascii="Times New Roman" w:hAnsi="Times New Roman" w:cs="Times New Roman"/>
          <w:sz w:val="24"/>
          <w:szCs w:val="24"/>
        </w:rPr>
        <w:t>.</w:t>
      </w:r>
    </w:p>
    <w:p w14:paraId="147C2040" w14:textId="77777777" w:rsidR="005B70D2" w:rsidRPr="001A7C14"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69313021" w14:textId="62FB30B8"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the persons most affected by their adoption in this Determination (</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w:t>
      </w:r>
      <w:r>
        <w:rPr>
          <w:rFonts w:ascii="Times New Roman" w:hAnsi="Times New Roman" w:cs="Times New Roman"/>
          <w:sz w:val="24"/>
          <w:szCs w:val="24"/>
          <w:lang w:eastAsia="en-AU"/>
        </w:rPr>
        <w:t> </w:t>
      </w:r>
      <w:r w:rsidRPr="00A2081A">
        <w:rPr>
          <w:rFonts w:ascii="Times New Roman" w:hAnsi="Times New Roman" w:cs="Times New Roman"/>
          <w:sz w:val="24"/>
          <w:szCs w:val="24"/>
          <w:lang w:eastAsia="en-AU"/>
        </w:rPr>
        <w:t>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Pr>
          <w:rFonts w:ascii="Times New Roman" w:hAnsi="Times New Roman" w:cs="Times New Roman"/>
          <w:sz w:val="24"/>
          <w:szCs w:val="24"/>
          <w:lang w:eastAsia="en-AU"/>
        </w:rPr>
        <w:t xml:space="preserve">s industry using the Determination), </w:t>
      </w:r>
      <w:r w:rsidRPr="00A2081A">
        <w:rPr>
          <w:rFonts w:ascii="Times New Roman" w:hAnsi="Times New Roman" w:cs="Times New Roman"/>
          <w:sz w:val="24"/>
          <w:szCs w:val="24"/>
          <w:lang w:eastAsia="en-AU"/>
        </w:rPr>
        <w:t xml:space="preserve">would be in possession of these </w:t>
      </w:r>
      <w:r>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in order to manufacture 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or ingredients</w:t>
      </w:r>
      <w:r>
        <w:rPr>
          <w:rFonts w:ascii="Times New Roman" w:hAnsi="Times New Roman" w:cs="Times New Roman"/>
          <w:sz w:val="24"/>
          <w:szCs w:val="24"/>
          <w:lang w:eastAsia="en-AU"/>
        </w:rPr>
        <w:t>.</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As important international benchmarks for the safety and quality of therapeutic goods, it would be </w:t>
      </w:r>
      <w:r>
        <w:rPr>
          <w:rFonts w:ascii="Times New Roman" w:hAnsi="Times New Roman" w:cs="Times New Roman"/>
          <w:sz w:val="24"/>
          <w:szCs w:val="24"/>
        </w:rPr>
        <w:t>in</w:t>
      </w:r>
      <w:r w:rsidRPr="00B13B06">
        <w:rPr>
          <w:rFonts w:ascii="Times New Roman" w:hAnsi="Times New Roman" w:cs="Times New Roman"/>
          <w:sz w:val="24"/>
          <w:szCs w:val="24"/>
        </w:rPr>
        <w:t xml:space="preserve">feasible from a regulatory perspective </w:t>
      </w:r>
      <w:r>
        <w:rPr>
          <w:rFonts w:ascii="Times New Roman" w:hAnsi="Times New Roman" w:cs="Times New Roman"/>
          <w:sz w:val="24"/>
          <w:szCs w:val="24"/>
        </w:rPr>
        <w:t xml:space="preserve">(particularly in relation to the safety of listed medicines that are not, for the most part, evaluated before being given marketing approval) </w:t>
      </w:r>
      <w:r w:rsidRPr="00B13B06">
        <w:rPr>
          <w:rFonts w:ascii="Times New Roman" w:hAnsi="Times New Roman" w:cs="Times New Roman"/>
          <w:sz w:val="24"/>
          <w:szCs w:val="24"/>
        </w:rPr>
        <w:t xml:space="preserve">to not adopt such benchmarks </w:t>
      </w:r>
      <w:r>
        <w:rPr>
          <w:rFonts w:ascii="Times New Roman" w:hAnsi="Times New Roman" w:cs="Times New Roman"/>
          <w:sz w:val="24"/>
          <w:szCs w:val="24"/>
        </w:rPr>
        <w:t>on the basis that</w:t>
      </w:r>
      <w:r w:rsidRPr="00B13B06">
        <w:rPr>
          <w:rFonts w:ascii="Times New Roman" w:hAnsi="Times New Roman" w:cs="Times New Roman"/>
          <w:sz w:val="24"/>
          <w:szCs w:val="24"/>
        </w:rPr>
        <w:t xml:space="preserve"> the</w:t>
      </w:r>
      <w:r>
        <w:rPr>
          <w:rFonts w:ascii="Times New Roman" w:hAnsi="Times New Roman" w:cs="Times New Roman"/>
          <w:sz w:val="24"/>
          <w:szCs w:val="24"/>
        </w:rPr>
        <w:t xml:space="preserve"> publications</w:t>
      </w:r>
      <w:r w:rsidRPr="00B13B06">
        <w:rPr>
          <w:rFonts w:ascii="Times New Roman" w:hAnsi="Times New Roman" w:cs="Times New Roman"/>
          <w:sz w:val="24"/>
          <w:szCs w:val="24"/>
        </w:rPr>
        <w:t xml:space="preserve"> are not available for free.</w:t>
      </w:r>
    </w:p>
    <w:p w14:paraId="5988E2FA"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350BBCA7" w14:textId="73E9EAB5" w:rsidR="00E715AB" w:rsidRDefault="00E715AB" w:rsidP="001A7C14">
      <w:pPr>
        <w:autoSpaceDE w:val="0"/>
        <w:autoSpaceDN w:val="0"/>
        <w:adjustRightInd w:val="0"/>
        <w:spacing w:after="0"/>
        <w:rPr>
          <w:rFonts w:ascii="Times New Roman" w:hAnsi="Times New Roman" w:cs="Times New Roman"/>
          <w:sz w:val="24"/>
          <w:szCs w:val="24"/>
        </w:rPr>
      </w:pPr>
      <w:r w:rsidRPr="00CA165D">
        <w:rPr>
          <w:rFonts w:ascii="Times New Roman" w:hAnsi="Times New Roman" w:cs="Times New Roman"/>
          <w:sz w:val="24"/>
          <w:szCs w:val="24"/>
        </w:rPr>
        <w:t>However, by prior written arrangement</w:t>
      </w:r>
      <w:r>
        <w:rPr>
          <w:rFonts w:ascii="Times New Roman" w:hAnsi="Times New Roman" w:cs="Times New Roman"/>
          <w:sz w:val="24"/>
          <w:szCs w:val="24"/>
        </w:rPr>
        <w:t xml:space="preserve"> with the TGA</w:t>
      </w:r>
      <w:r w:rsidRPr="00CA165D">
        <w:rPr>
          <w:rFonts w:ascii="Times New Roman" w:hAnsi="Times New Roman" w:cs="Times New Roman"/>
          <w:sz w:val="24"/>
          <w:szCs w:val="24"/>
        </w:rPr>
        <w:t xml:space="preserve">, </w:t>
      </w:r>
      <w:r>
        <w:rPr>
          <w:rFonts w:ascii="Times New Roman" w:hAnsi="Times New Roman" w:cs="Times New Roman"/>
          <w:sz w:val="24"/>
          <w:szCs w:val="24"/>
        </w:rPr>
        <w:t>members of the public may request to view the</w:t>
      </w:r>
      <w:r w:rsidRPr="00CA165D">
        <w:rPr>
          <w:rFonts w:ascii="Times New Roman" w:hAnsi="Times New Roman" w:cs="Times New Roman"/>
          <w:sz w:val="24"/>
          <w:szCs w:val="24"/>
        </w:rPr>
        <w:t xml:space="preserve"> pharmacopoeia </w:t>
      </w:r>
      <w:r>
        <w:rPr>
          <w:rFonts w:ascii="Times New Roman" w:hAnsi="Times New Roman" w:cs="Times New Roman"/>
          <w:sz w:val="24"/>
          <w:szCs w:val="24"/>
        </w:rPr>
        <w:t xml:space="preserve">and the FCC without charge </w:t>
      </w:r>
      <w:r w:rsidRPr="00CA165D">
        <w:rPr>
          <w:rFonts w:ascii="Times New Roman" w:hAnsi="Times New Roman" w:cs="Times New Roman"/>
          <w:sz w:val="24"/>
          <w:szCs w:val="24"/>
        </w:rPr>
        <w:t>at the TGA office in Symonston, ACT.</w:t>
      </w:r>
    </w:p>
    <w:p w14:paraId="6FDE1CA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F1060FE" w14:textId="025BA7AF" w:rsidR="0050197A" w:rsidRDefault="0050197A" w:rsidP="001A7C14">
      <w:pPr>
        <w:autoSpaceDE w:val="0"/>
        <w:autoSpaceDN w:val="0"/>
        <w:adjustRightInd w:val="0"/>
        <w:spacing w:after="0"/>
        <w:rPr>
          <w:rFonts w:ascii="Times New Roman" w:hAnsi="Times New Roman" w:cs="Times New Roman"/>
          <w:sz w:val="24"/>
          <w:szCs w:val="24"/>
        </w:rPr>
      </w:pPr>
      <w:r w:rsidRPr="00B13B06">
        <w:rPr>
          <w:rFonts w:ascii="Times New Roman" w:hAnsi="Times New Roman" w:cs="Times New Roman"/>
          <w:sz w:val="24"/>
          <w:szCs w:val="24"/>
        </w:rPr>
        <w:t xml:space="preserve">It should </w:t>
      </w:r>
      <w:r>
        <w:rPr>
          <w:rFonts w:ascii="Times New Roman" w:hAnsi="Times New Roman" w:cs="Times New Roman"/>
          <w:sz w:val="24"/>
          <w:szCs w:val="24"/>
        </w:rPr>
        <w:t xml:space="preserve">also </w:t>
      </w:r>
      <w:r w:rsidRPr="00B13B06">
        <w:rPr>
          <w:rFonts w:ascii="Times New Roman" w:hAnsi="Times New Roman" w:cs="Times New Roman"/>
          <w:sz w:val="24"/>
          <w:szCs w:val="24"/>
        </w:rPr>
        <w:t>be noted</w:t>
      </w:r>
      <w:r w:rsidR="00DC56A0">
        <w:rPr>
          <w:rFonts w:ascii="Times New Roman" w:hAnsi="Times New Roman" w:cs="Times New Roman"/>
          <w:sz w:val="24"/>
          <w:szCs w:val="24"/>
        </w:rPr>
        <w:t>, in relation to the pharmacopoeia,</w:t>
      </w:r>
      <w:r w:rsidRPr="00B13B06">
        <w:rPr>
          <w:rFonts w:ascii="Times New Roman" w:hAnsi="Times New Roman" w:cs="Times New Roman"/>
          <w:sz w:val="24"/>
          <w:szCs w:val="24"/>
        </w:rPr>
        <w:t xml:space="preserve"> that the National Library’s Trove online system (</w:t>
      </w:r>
      <w:hyperlink r:id="rId14" w:history="1">
        <w:r w:rsidRPr="00BB66B5">
          <w:rPr>
            <w:rStyle w:val="Hyperlink"/>
            <w:rFonts w:ascii="Times New Roman" w:hAnsi="Times New Roman" w:cs="Times New Roman"/>
            <w:sz w:val="24"/>
            <w:szCs w:val="24"/>
          </w:rPr>
          <w:t>www.trove.nla.gov.au/</w:t>
        </w:r>
      </w:hyperlink>
      <w:r w:rsidRPr="00B13B06">
        <w:rPr>
          <w:rFonts w:ascii="Times New Roman" w:hAnsi="Times New Roman" w:cs="Times New Roman"/>
          <w:sz w:val="24"/>
          <w:szCs w:val="24"/>
        </w:rPr>
        <w:t>) allows users to identify libraries in Australia that are 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 xml:space="preserve">of the pharmacopoeia may be viewed (for example, the University of Tasmania or the University of Western Australia in relation to the </w:t>
      </w:r>
      <w:r>
        <w:rPr>
          <w:rFonts w:ascii="Times New Roman" w:hAnsi="Times New Roman" w:cs="Times New Roman"/>
          <w:sz w:val="24"/>
          <w:szCs w:val="24"/>
        </w:rPr>
        <w:t>British Pharmacopoeia</w:t>
      </w:r>
      <w:r w:rsidRPr="00B13B06">
        <w:rPr>
          <w:rFonts w:ascii="Times New Roman" w:hAnsi="Times New Roman" w:cs="Times New Roman"/>
          <w:sz w:val="24"/>
          <w:szCs w:val="24"/>
        </w:rPr>
        <w:t xml:space="preserve">). </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Members of the public may also approach any library that participates in inter-library loans </w:t>
      </w:r>
      <w:r>
        <w:rPr>
          <w:rFonts w:ascii="Times New Roman" w:hAnsi="Times New Roman" w:cs="Times New Roman"/>
          <w:sz w:val="24"/>
          <w:szCs w:val="24"/>
        </w:rPr>
        <w:t xml:space="preserve">with those university libraries </w:t>
      </w:r>
      <w:r w:rsidRPr="00B13B06">
        <w:rPr>
          <w:rFonts w:ascii="Times New Roman" w:hAnsi="Times New Roman" w:cs="Times New Roman"/>
          <w:sz w:val="24"/>
          <w:szCs w:val="24"/>
        </w:rPr>
        <w:t xml:space="preserve">to request an inter-library loan, </w:t>
      </w:r>
      <w:r>
        <w:rPr>
          <w:rFonts w:ascii="Times New Roman" w:hAnsi="Times New Roman" w:cs="Times New Roman"/>
          <w:sz w:val="24"/>
          <w:szCs w:val="24"/>
        </w:rPr>
        <w:t xml:space="preserve">or </w:t>
      </w:r>
      <w:r w:rsidRPr="00B13B06">
        <w:rPr>
          <w:rFonts w:ascii="Times New Roman" w:hAnsi="Times New Roman" w:cs="Times New Roman"/>
          <w:sz w:val="24"/>
          <w:szCs w:val="24"/>
        </w:rPr>
        <w:t>to obtain a photocopy of a particular part or monograph for personal study or research (but not for commercial purposes), at a usual cost of $16.50 per request (enquiries should be made with local libraries, State libraries and the National Library).</w:t>
      </w:r>
    </w:p>
    <w:p w14:paraId="113CA7A3"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265C58B" w14:textId="56DB8B99"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2004 version of the European Pharmacopoeia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5" w:history="1">
        <w:r w:rsidRPr="00BB66B5">
          <w:rPr>
            <w:rStyle w:val="Hyperlink"/>
            <w:rFonts w:ascii="Times New Roman" w:hAnsi="Times New Roman" w:cs="Times New Roman"/>
            <w:sz w:val="24"/>
            <w:szCs w:val="24"/>
          </w:rPr>
          <w:t>www.openlibrary.org/books/OL22071008M/European_pharmacopoeia</w:t>
        </w:r>
      </w:hyperlink>
      <w:r w:rsidRPr="00331C88">
        <w:rPr>
          <w:rFonts w:ascii="Times New Roman" w:hAnsi="Times New Roman" w:cs="Times New Roman"/>
          <w:sz w:val="24"/>
          <w:szCs w:val="24"/>
        </w:rPr>
        <w:t>),</w:t>
      </w:r>
      <w:r>
        <w:rPr>
          <w:rFonts w:ascii="Times New Roman" w:hAnsi="Times New Roman" w:cs="Times New Roman"/>
          <w:sz w:val="24"/>
          <w:szCs w:val="24"/>
        </w:rPr>
        <w:t xml:space="preserve"> </w:t>
      </w:r>
      <w:r w:rsidRPr="00331C88">
        <w:rPr>
          <w:rFonts w:ascii="Times New Roman" w:hAnsi="Times New Roman" w:cs="Times New Roman"/>
          <w:sz w:val="24"/>
          <w:szCs w:val="24"/>
        </w:rPr>
        <w:t>and that access to</w:t>
      </w:r>
      <w:r>
        <w:rPr>
          <w:rFonts w:ascii="Times New Roman" w:hAnsi="Times New Roman" w:cs="Times New Roman"/>
          <w:sz w:val="24"/>
          <w:szCs w:val="24"/>
        </w:rPr>
        <w:t> </w:t>
      </w:r>
      <w:r w:rsidRPr="00331C88">
        <w:rPr>
          <w:rFonts w:ascii="Times New Roman" w:hAnsi="Times New Roman" w:cs="Times New Roman"/>
          <w:sz w:val="24"/>
          <w:szCs w:val="24"/>
        </w:rPr>
        <w:t>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Western Sydney University</w:t>
      </w:r>
      <w:r>
        <w:rPr>
          <w:rFonts w:ascii="Times New Roman" w:hAnsi="Times New Roman" w:cs="Times New Roman"/>
          <w:sz w:val="24"/>
          <w:szCs w:val="24"/>
        </w:rPr>
        <w:t>, which are</w:t>
      </w:r>
      <w:r w:rsidRPr="00331C88">
        <w:rPr>
          <w:rFonts w:ascii="Times New Roman" w:hAnsi="Times New Roman" w:cs="Times New Roman"/>
          <w:sz w:val="24"/>
          <w:szCs w:val="24"/>
        </w:rPr>
        <w:t xml:space="preserve"> both open to the public.</w:t>
      </w:r>
    </w:p>
    <w:p w14:paraId="7C177C36"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5583419" w14:textId="0BB66386"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Details of the Determination are set out in </w:t>
      </w:r>
      <w:r w:rsidRPr="006B644D">
        <w:rPr>
          <w:rFonts w:ascii="Times New Roman" w:hAnsi="Times New Roman" w:cs="Times New Roman"/>
          <w:b/>
          <w:sz w:val="24"/>
          <w:szCs w:val="24"/>
        </w:rPr>
        <w:t>Attachment A</w:t>
      </w:r>
      <w:r w:rsidRPr="00953BDD">
        <w:rPr>
          <w:rFonts w:ascii="Times New Roman" w:hAnsi="Times New Roman" w:cs="Times New Roman"/>
          <w:sz w:val="24"/>
          <w:szCs w:val="24"/>
        </w:rPr>
        <w:t>.</w:t>
      </w:r>
    </w:p>
    <w:p w14:paraId="6F14BAE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3D36B50" w14:textId="216C7BAB"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The Determination is compatible with the human rights and freedoms recognised or declared under section 3 of the </w:t>
      </w:r>
      <w:r w:rsidRPr="00953BDD">
        <w:rPr>
          <w:rFonts w:ascii="Times New Roman" w:hAnsi="Times New Roman" w:cs="Times New Roman"/>
          <w:i/>
          <w:sz w:val="24"/>
          <w:szCs w:val="24"/>
        </w:rPr>
        <w:t>Human Rights (Parliamentary Scrutiny) Act 2011</w:t>
      </w:r>
      <w:r w:rsidRPr="00953BDD">
        <w:rPr>
          <w:rFonts w:ascii="Times New Roman" w:hAnsi="Times New Roman" w:cs="Times New Roman"/>
          <w:sz w:val="24"/>
          <w:szCs w:val="24"/>
        </w:rPr>
        <w:t>.</w:t>
      </w:r>
      <w:r w:rsidR="00E60C26">
        <w:rPr>
          <w:rFonts w:ascii="Times New Roman" w:hAnsi="Times New Roman" w:cs="Times New Roman"/>
          <w:sz w:val="24"/>
          <w:szCs w:val="24"/>
        </w:rPr>
        <w:t xml:space="preserve"> </w:t>
      </w:r>
      <w:r w:rsidRPr="00953BDD">
        <w:rPr>
          <w:rFonts w:ascii="Times New Roman" w:hAnsi="Times New Roman" w:cs="Times New Roman"/>
          <w:sz w:val="24"/>
          <w:szCs w:val="24"/>
        </w:rPr>
        <w:t xml:space="preserve"> A full statement of compatibility is set out in </w:t>
      </w:r>
      <w:r w:rsidRPr="006B644D">
        <w:rPr>
          <w:rFonts w:ascii="Times New Roman" w:hAnsi="Times New Roman" w:cs="Times New Roman"/>
          <w:b/>
          <w:sz w:val="24"/>
          <w:szCs w:val="24"/>
        </w:rPr>
        <w:t>Attachment B</w:t>
      </w:r>
      <w:r w:rsidRPr="00953BDD">
        <w:rPr>
          <w:rFonts w:ascii="Times New Roman" w:hAnsi="Times New Roman" w:cs="Times New Roman"/>
          <w:sz w:val="24"/>
          <w:szCs w:val="24"/>
        </w:rPr>
        <w:t>.</w:t>
      </w:r>
    </w:p>
    <w:p w14:paraId="59D103B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2B80A9F" w14:textId="77777777" w:rsidR="005B70D2"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953BDD">
        <w:rPr>
          <w:rFonts w:ascii="Times New Roman" w:hAnsi="Times New Roman" w:cs="Times New Roman"/>
          <w:sz w:val="24"/>
          <w:szCs w:val="24"/>
        </w:rPr>
        <w:lastRenderedPageBreak/>
        <w:t xml:space="preserve">This Determination is a disallowable legislative </w:t>
      </w:r>
      <w:r w:rsidRPr="008929E8">
        <w:rPr>
          <w:rFonts w:ascii="Times New Roman" w:hAnsi="Times New Roman" w:cs="Times New Roman"/>
          <w:sz w:val="24"/>
          <w:szCs w:val="24"/>
        </w:rPr>
        <w:t xml:space="preserve">instrument </w:t>
      </w:r>
      <w:r w:rsidRPr="00D01BFB">
        <w:rPr>
          <w:rFonts w:ascii="Times New Roman" w:hAnsi="Times New Roman" w:cs="Times New Roman"/>
          <w:sz w:val="24"/>
          <w:szCs w:val="24"/>
        </w:rPr>
        <w:t xml:space="preserve">for the purposes of the </w:t>
      </w:r>
      <w:r w:rsidRPr="00D01BFB">
        <w:rPr>
          <w:rFonts w:ascii="Times New Roman" w:hAnsi="Times New Roman" w:cs="Times New Roman"/>
          <w:i/>
          <w:sz w:val="24"/>
          <w:szCs w:val="24"/>
        </w:rPr>
        <w:t xml:space="preserve">Legislation Act </w:t>
      </w:r>
      <w:proofErr w:type="gramStart"/>
      <w:r w:rsidRPr="00D01BFB">
        <w:rPr>
          <w:rFonts w:ascii="Times New Roman" w:hAnsi="Times New Roman" w:cs="Times New Roman"/>
          <w:i/>
          <w:sz w:val="24"/>
          <w:szCs w:val="24"/>
        </w:rPr>
        <w:t>2003</w:t>
      </w:r>
      <w:r w:rsidRPr="008929E8">
        <w:rPr>
          <w:rFonts w:ascii="Times New Roman" w:hAnsi="Times New Roman" w:cs="Times New Roman"/>
          <w:sz w:val="24"/>
          <w:szCs w:val="24"/>
        </w:rPr>
        <w:t>,</w:t>
      </w:r>
      <w:r>
        <w:rPr>
          <w:rFonts w:ascii="Times New Roman" w:hAnsi="Times New Roman" w:cs="Times New Roman"/>
          <w:sz w:val="24"/>
          <w:szCs w:val="24"/>
        </w:rPr>
        <w:t xml:space="preserve"> </w:t>
      </w:r>
      <w:r w:rsidRPr="009F78E6">
        <w:rPr>
          <w:rFonts w:ascii="Times New Roman" w:hAnsi="Times New Roman" w:cs="Times New Roman"/>
          <w:sz w:val="24"/>
          <w:szCs w:val="24"/>
        </w:rPr>
        <w:t>and</w:t>
      </w:r>
      <w:proofErr w:type="gramEnd"/>
      <w:r w:rsidRPr="009F78E6">
        <w:rPr>
          <w:rFonts w:ascii="Times New Roman" w:hAnsi="Times New Roman" w:cs="Times New Roman"/>
          <w:sz w:val="24"/>
          <w:szCs w:val="24"/>
        </w:rPr>
        <w:t xml:space="preserve"> </w:t>
      </w:r>
      <w:r w:rsidRPr="00B16682">
        <w:rPr>
          <w:rFonts w:ascii="Times New Roman" w:hAnsi="Times New Roman" w:cs="Times New Roman"/>
          <w:sz w:val="24"/>
          <w:szCs w:val="24"/>
        </w:rPr>
        <w:t xml:space="preserve">commences </w:t>
      </w:r>
      <w:r w:rsidR="009F78E6" w:rsidRPr="00B16682">
        <w:rPr>
          <w:rFonts w:ascii="Times New Roman" w:hAnsi="Times New Roman" w:cs="Times New Roman"/>
          <w:sz w:val="24"/>
          <w:szCs w:val="24"/>
        </w:rPr>
        <w:t>the day after registration</w:t>
      </w:r>
      <w:r w:rsidRPr="00B16682">
        <w:rPr>
          <w:rFonts w:ascii="Times New Roman" w:eastAsia="Times New Roman" w:hAnsi="Times New Roman" w:cs="Times New Roman"/>
          <w:sz w:val="24"/>
          <w:szCs w:val="24"/>
          <w:lang w:eastAsia="en-AU"/>
        </w:rPr>
        <w:t>.</w:t>
      </w:r>
    </w:p>
    <w:p w14:paraId="4F8CA9DD" w14:textId="5306B0C3" w:rsidR="0029115B" w:rsidRDefault="0050197A" w:rsidP="00ED7851">
      <w:pPr>
        <w:spacing w:before="100" w:beforeAutospacing="1" w:after="100" w:afterAutospacing="1" w:line="240" w:lineRule="auto"/>
        <w:jc w:val="right"/>
        <w:rPr>
          <w:rFonts w:ascii="Times New Roman" w:eastAsia="Times New Roman" w:hAnsi="Times New Roman" w:cs="Times New Roman"/>
          <w:b/>
          <w:sz w:val="24"/>
          <w:szCs w:val="24"/>
          <w:lang w:eastAsia="en-AU"/>
        </w:rPr>
      </w:pPr>
      <w:r w:rsidRPr="00CF4F5B">
        <w:rPr>
          <w:rFonts w:ascii="Times New Roman" w:eastAsia="Times New Roman" w:hAnsi="Times New Roman" w:cs="Times New Roman"/>
          <w:sz w:val="24"/>
          <w:szCs w:val="24"/>
          <w:lang w:eastAsia="en-AU"/>
        </w:rPr>
        <w:br w:type="page"/>
      </w:r>
      <w:r w:rsidR="0040312B" w:rsidRPr="0040312B">
        <w:rPr>
          <w:rFonts w:ascii="Times New Roman" w:eastAsia="Times New Roman" w:hAnsi="Times New Roman" w:cs="Times New Roman"/>
          <w:b/>
          <w:sz w:val="24"/>
          <w:szCs w:val="24"/>
          <w:lang w:eastAsia="en-AU"/>
        </w:rPr>
        <w:lastRenderedPageBreak/>
        <w:t>Attachment A</w:t>
      </w:r>
    </w:p>
    <w:p w14:paraId="625D6C8F" w14:textId="6038952B"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w:t>
      </w:r>
      <w:r w:rsidRPr="0040312B">
        <w:rPr>
          <w:rFonts w:ascii="Times New Roman" w:eastAsia="Times New Roman" w:hAnsi="Times New Roman" w:cs="Times New Roman"/>
          <w:b/>
          <w:i/>
          <w:sz w:val="24"/>
          <w:szCs w:val="24"/>
          <w:lang w:eastAsia="en-AU"/>
        </w:rPr>
        <w:t xml:space="preserve">Therapeutic Goods (Permissible Ingredients) Determination </w:t>
      </w:r>
      <w:r w:rsidR="00045C71">
        <w:rPr>
          <w:rFonts w:ascii="Times New Roman" w:eastAsia="Times New Roman" w:hAnsi="Times New Roman" w:cs="Times New Roman"/>
          <w:b/>
          <w:i/>
          <w:sz w:val="24"/>
          <w:szCs w:val="24"/>
          <w:lang w:eastAsia="en-AU"/>
        </w:rPr>
        <w:t>(No.</w:t>
      </w:r>
      <w:r w:rsidR="00C92827">
        <w:rPr>
          <w:rFonts w:ascii="Times New Roman" w:eastAsia="Times New Roman" w:hAnsi="Times New Roman" w:cs="Times New Roman"/>
          <w:b/>
          <w:i/>
          <w:sz w:val="24"/>
          <w:szCs w:val="24"/>
          <w:lang w:eastAsia="en-AU"/>
        </w:rPr>
        <w:t xml:space="preserve"> </w:t>
      </w:r>
      <w:r w:rsidR="00FF6ED6">
        <w:rPr>
          <w:rFonts w:ascii="Times New Roman" w:eastAsia="Times New Roman" w:hAnsi="Times New Roman" w:cs="Times New Roman"/>
          <w:b/>
          <w:i/>
          <w:sz w:val="24"/>
          <w:szCs w:val="24"/>
          <w:lang w:eastAsia="en-AU"/>
        </w:rPr>
        <w:t>2</w:t>
      </w:r>
      <w:r w:rsidR="00045C71">
        <w:rPr>
          <w:rFonts w:ascii="Times New Roman" w:eastAsia="Times New Roman" w:hAnsi="Times New Roman" w:cs="Times New Roman"/>
          <w:b/>
          <w:i/>
          <w:sz w:val="24"/>
          <w:szCs w:val="24"/>
          <w:lang w:eastAsia="en-AU"/>
        </w:rPr>
        <w:t xml:space="preserve">) </w:t>
      </w:r>
      <w:r w:rsidRPr="0040312B">
        <w:rPr>
          <w:rFonts w:ascii="Times New Roman" w:eastAsia="Times New Roman" w:hAnsi="Times New Roman" w:cs="Times New Roman"/>
          <w:b/>
          <w:i/>
          <w:sz w:val="24"/>
          <w:szCs w:val="24"/>
          <w:lang w:eastAsia="en-AU"/>
        </w:rPr>
        <w:t>20</w:t>
      </w:r>
      <w:r w:rsidR="009A1C10">
        <w:rPr>
          <w:rFonts w:ascii="Times New Roman" w:eastAsia="Times New Roman" w:hAnsi="Times New Roman" w:cs="Times New Roman"/>
          <w:b/>
          <w:i/>
          <w:sz w:val="24"/>
          <w:szCs w:val="24"/>
          <w:lang w:eastAsia="en-AU"/>
        </w:rPr>
        <w:t>2</w:t>
      </w:r>
      <w:r w:rsidR="00F6166F">
        <w:rPr>
          <w:rFonts w:ascii="Times New Roman" w:eastAsia="Times New Roman" w:hAnsi="Times New Roman" w:cs="Times New Roman"/>
          <w:b/>
          <w:i/>
          <w:sz w:val="24"/>
          <w:szCs w:val="24"/>
          <w:lang w:eastAsia="en-AU"/>
        </w:rPr>
        <w:t>1</w:t>
      </w:r>
    </w:p>
    <w:p w14:paraId="351A8BA8" w14:textId="5C42663F"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w:t>
      </w:r>
      <w:proofErr w:type="gramStart"/>
      <w:r w:rsidRPr="0040312B">
        <w:rPr>
          <w:rFonts w:ascii="Times New Roman" w:eastAsia="Times New Roman" w:hAnsi="Times New Roman" w:cs="Times New Roman"/>
          <w:b/>
          <w:sz w:val="24"/>
          <w:szCs w:val="24"/>
          <w:lang w:eastAsia="en-AU"/>
        </w:rPr>
        <w:t xml:space="preserve">1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Name</w:t>
      </w:r>
      <w:proofErr w:type="gramEnd"/>
    </w:p>
    <w:p w14:paraId="7A596BC1" w14:textId="77777777" w:rsidR="005B70D2" w:rsidRPr="00AD562B"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566C8079" w14:textId="75BF73A6"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name of the </w:t>
      </w:r>
      <w:r w:rsidR="00C92827">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is the </w:t>
      </w:r>
      <w:r w:rsidRPr="00AE2E87">
        <w:rPr>
          <w:rFonts w:ascii="Times New Roman" w:eastAsia="Times New Roman" w:hAnsi="Times New Roman" w:cs="Times New Roman"/>
          <w:i/>
          <w:sz w:val="24"/>
          <w:szCs w:val="24"/>
          <w:lang w:eastAsia="en-AU"/>
        </w:rPr>
        <w:t xml:space="preserve">Therapeutic Goods (Permissible Ingredients) Determination </w:t>
      </w:r>
      <w:r w:rsidR="00045C71">
        <w:rPr>
          <w:rFonts w:ascii="Times New Roman" w:eastAsia="Times New Roman" w:hAnsi="Times New Roman" w:cs="Times New Roman"/>
          <w:i/>
          <w:sz w:val="24"/>
          <w:szCs w:val="24"/>
          <w:lang w:eastAsia="en-AU"/>
        </w:rPr>
        <w:t>(No.</w:t>
      </w:r>
      <w:r w:rsidR="00C92827">
        <w:rPr>
          <w:rFonts w:ascii="Times New Roman" w:eastAsia="Times New Roman" w:hAnsi="Times New Roman" w:cs="Times New Roman"/>
          <w:i/>
          <w:sz w:val="24"/>
          <w:szCs w:val="24"/>
          <w:lang w:eastAsia="en-AU"/>
        </w:rPr>
        <w:t xml:space="preserve"> </w:t>
      </w:r>
      <w:r w:rsidR="00950992">
        <w:rPr>
          <w:rFonts w:ascii="Times New Roman" w:eastAsia="Times New Roman" w:hAnsi="Times New Roman" w:cs="Times New Roman"/>
          <w:i/>
          <w:sz w:val="24"/>
          <w:szCs w:val="24"/>
          <w:lang w:eastAsia="en-AU"/>
        </w:rPr>
        <w:t>2</w:t>
      </w:r>
      <w:r w:rsidR="00045C71">
        <w:rPr>
          <w:rFonts w:ascii="Times New Roman" w:eastAsia="Times New Roman" w:hAnsi="Times New Roman" w:cs="Times New Roman"/>
          <w:i/>
          <w:sz w:val="24"/>
          <w:szCs w:val="24"/>
          <w:lang w:eastAsia="en-AU"/>
        </w:rPr>
        <w:t xml:space="preserve">) </w:t>
      </w:r>
      <w:r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F6166F">
        <w:rPr>
          <w:rFonts w:ascii="Times New Roman" w:eastAsia="Times New Roman" w:hAnsi="Times New Roman" w:cs="Times New Roman"/>
          <w:i/>
          <w:sz w:val="24"/>
          <w:szCs w:val="24"/>
          <w:lang w:eastAsia="en-AU"/>
        </w:rPr>
        <w:t>1</w:t>
      </w:r>
      <w:r w:rsidR="00AE2E87">
        <w:rPr>
          <w:rFonts w:ascii="Times New Roman" w:eastAsia="Times New Roman" w:hAnsi="Times New Roman" w:cs="Times New Roman"/>
          <w:sz w:val="24"/>
          <w:szCs w:val="24"/>
          <w:lang w:eastAsia="en-AU"/>
        </w:rPr>
        <w:t xml:space="preserve"> (“the Determination”)</w:t>
      </w:r>
      <w:r>
        <w:rPr>
          <w:rFonts w:ascii="Times New Roman" w:eastAsia="Times New Roman" w:hAnsi="Times New Roman" w:cs="Times New Roman"/>
          <w:sz w:val="24"/>
          <w:szCs w:val="24"/>
          <w:lang w:eastAsia="en-AU"/>
        </w:rPr>
        <w:t>.</w:t>
      </w:r>
    </w:p>
    <w:p w14:paraId="2D769B9C"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1B8996FF" w14:textId="470210B1"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w:t>
      </w:r>
      <w:proofErr w:type="gramStart"/>
      <w:r w:rsidRPr="0040312B">
        <w:rPr>
          <w:rFonts w:ascii="Times New Roman" w:eastAsia="Times New Roman" w:hAnsi="Times New Roman" w:cs="Times New Roman"/>
          <w:b/>
          <w:sz w:val="24"/>
          <w:szCs w:val="24"/>
          <w:lang w:eastAsia="en-AU"/>
        </w:rPr>
        <w:t>2</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 xml:space="preserve"> Commencement</w:t>
      </w:r>
      <w:proofErr w:type="gramEnd"/>
    </w:p>
    <w:p w14:paraId="3547213B" w14:textId="77777777" w:rsidR="0036611B" w:rsidRPr="00AD562B" w:rsidRDefault="0036611B" w:rsidP="001A7C14">
      <w:pPr>
        <w:autoSpaceDE w:val="0"/>
        <w:autoSpaceDN w:val="0"/>
        <w:adjustRightInd w:val="0"/>
        <w:spacing w:after="0"/>
        <w:rPr>
          <w:rFonts w:ascii="Times New Roman" w:eastAsia="Times New Roman" w:hAnsi="Times New Roman" w:cs="Times New Roman"/>
          <w:b/>
          <w:bCs/>
          <w:sz w:val="24"/>
          <w:szCs w:val="24"/>
          <w:lang w:eastAsia="en-AU"/>
        </w:rPr>
      </w:pPr>
    </w:p>
    <w:p w14:paraId="087283D7" w14:textId="726AD4C7" w:rsidR="0050197A"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607014">
        <w:rPr>
          <w:rFonts w:ascii="Times New Roman" w:eastAsia="Times New Roman" w:hAnsi="Times New Roman" w:cs="Times New Roman"/>
          <w:sz w:val="24"/>
          <w:szCs w:val="24"/>
          <w:lang w:eastAsia="en-AU"/>
        </w:rPr>
        <w:t xml:space="preserve">This section provides that the Determination </w:t>
      </w:r>
      <w:r w:rsidR="00FB4355" w:rsidRPr="00607014">
        <w:rPr>
          <w:rFonts w:ascii="Times New Roman" w:eastAsia="Times New Roman" w:hAnsi="Times New Roman" w:cs="Times New Roman"/>
          <w:sz w:val="24"/>
          <w:szCs w:val="24"/>
          <w:lang w:eastAsia="en-AU"/>
        </w:rPr>
        <w:t xml:space="preserve">commences </w:t>
      </w:r>
      <w:r w:rsidR="009F78E6" w:rsidRPr="00607014">
        <w:rPr>
          <w:rFonts w:ascii="Times New Roman" w:eastAsia="Times New Roman" w:hAnsi="Times New Roman" w:cs="Times New Roman"/>
          <w:sz w:val="24"/>
          <w:szCs w:val="24"/>
          <w:lang w:eastAsia="en-AU"/>
        </w:rPr>
        <w:t>the day after registration</w:t>
      </w:r>
      <w:r w:rsidRPr="00607014">
        <w:rPr>
          <w:rFonts w:ascii="Times New Roman" w:eastAsia="Times New Roman" w:hAnsi="Times New Roman" w:cs="Times New Roman"/>
          <w:sz w:val="24"/>
          <w:szCs w:val="24"/>
          <w:lang w:eastAsia="en-AU"/>
        </w:rPr>
        <w:t>.</w:t>
      </w:r>
    </w:p>
    <w:p w14:paraId="0771BF32"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EEDC031" w14:textId="3B94520C"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w:t>
      </w:r>
      <w:proofErr w:type="gramStart"/>
      <w:r w:rsidRPr="0040312B">
        <w:rPr>
          <w:rFonts w:ascii="Times New Roman" w:eastAsia="Times New Roman" w:hAnsi="Times New Roman" w:cs="Times New Roman"/>
          <w:b/>
          <w:sz w:val="24"/>
          <w:szCs w:val="24"/>
          <w:lang w:eastAsia="en-AU"/>
        </w:rPr>
        <w:t xml:space="preserve">3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Authority</w:t>
      </w:r>
      <w:proofErr w:type="gramEnd"/>
    </w:p>
    <w:p w14:paraId="441C748B" w14:textId="77777777" w:rsidR="0036611B" w:rsidRPr="00AD562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51F2D730" w14:textId="73ADCB18"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w:t>
      </w:r>
      <w:r w:rsidR="00FB4355">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w:t>
      </w:r>
      <w:proofErr w:type="gramStart"/>
      <w:r>
        <w:rPr>
          <w:rFonts w:ascii="Times New Roman" w:eastAsia="Times New Roman" w:hAnsi="Times New Roman" w:cs="Times New Roman"/>
          <w:sz w:val="24"/>
          <w:szCs w:val="24"/>
          <w:lang w:eastAsia="en-AU"/>
        </w:rPr>
        <w:t>B</w:t>
      </w:r>
      <w:r w:rsidR="001B7ED3">
        <w:rPr>
          <w:rFonts w:ascii="Times New Roman" w:eastAsia="Times New Roman" w:hAnsi="Times New Roman" w:cs="Times New Roman"/>
          <w:sz w:val="24"/>
          <w:szCs w:val="24"/>
          <w:lang w:eastAsia="en-AU"/>
        </w:rPr>
        <w:t>B(</w:t>
      </w:r>
      <w:proofErr w:type="gramEnd"/>
      <w:r w:rsidR="001B7ED3">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of the</w:t>
      </w:r>
      <w:r w:rsidR="00C92827">
        <w:rPr>
          <w:rFonts w:ascii="Times New Roman" w:eastAsia="Times New Roman" w:hAnsi="Times New Roman" w:cs="Times New Roman"/>
          <w:sz w:val="24"/>
          <w:szCs w:val="24"/>
          <w:lang w:eastAsia="en-AU"/>
        </w:rPr>
        <w:t xml:space="preserve"> </w:t>
      </w:r>
      <w:r w:rsidR="00C92827" w:rsidRPr="00AC41A5">
        <w:rPr>
          <w:rFonts w:ascii="Times New Roman" w:eastAsia="Times New Roman" w:hAnsi="Times New Roman" w:cs="Times New Roman"/>
          <w:i/>
          <w:sz w:val="24"/>
          <w:szCs w:val="24"/>
          <w:lang w:eastAsia="en-AU"/>
        </w:rPr>
        <w:t>Therapeutic Goods Act 1989</w:t>
      </w:r>
      <w:r w:rsidR="00C92827">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Act</w:t>
      </w:r>
      <w:r w:rsidR="00C9282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6D555B37"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6C363FE6" w14:textId="0C7158C5"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Section </w:t>
      </w:r>
      <w:proofErr w:type="gramStart"/>
      <w:r w:rsidRPr="00AE2E87">
        <w:rPr>
          <w:rFonts w:ascii="Times New Roman" w:eastAsia="Times New Roman" w:hAnsi="Times New Roman" w:cs="Times New Roman"/>
          <w:b/>
          <w:sz w:val="24"/>
          <w:szCs w:val="24"/>
          <w:lang w:eastAsia="en-AU"/>
        </w:rPr>
        <w:t>4</w:t>
      </w:r>
      <w:r w:rsidR="001B7ED3">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001B7ED3">
        <w:rPr>
          <w:rFonts w:ascii="Times New Roman" w:eastAsia="Times New Roman" w:hAnsi="Times New Roman" w:cs="Times New Roman"/>
          <w:b/>
          <w:sz w:val="24"/>
          <w:szCs w:val="24"/>
          <w:lang w:eastAsia="en-AU"/>
        </w:rPr>
        <w:t>Interpretation</w:t>
      </w:r>
      <w:proofErr w:type="gramEnd"/>
    </w:p>
    <w:p w14:paraId="736737B5" w14:textId="77777777" w:rsidR="0036611B" w:rsidRPr="00AE2E87"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D82FB5D" w14:textId="309C7F8A"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 xml:space="preserve">Subsection 4(1) provides definitions for </w:t>
      </w:r>
      <w:proofErr w:type="gramStart"/>
      <w:r w:rsidRPr="0091180B">
        <w:rPr>
          <w:rFonts w:ascii="Times New Roman" w:eastAsia="Times New Roman" w:hAnsi="Times New Roman" w:cs="Times New Roman"/>
          <w:sz w:val="24"/>
          <w:szCs w:val="24"/>
          <w:lang w:eastAsia="en-AU"/>
        </w:rPr>
        <w:t>a number of</w:t>
      </w:r>
      <w:proofErr w:type="gramEnd"/>
      <w:r w:rsidRPr="0091180B">
        <w:rPr>
          <w:rFonts w:ascii="Times New Roman" w:eastAsia="Times New Roman" w:hAnsi="Times New Roman" w:cs="Times New Roman"/>
          <w:sz w:val="24"/>
          <w:szCs w:val="24"/>
          <w:lang w:eastAsia="en-AU"/>
        </w:rPr>
        <w:t xml:space="preserve"> terms used in the Determination. These include ‘code tables’, ‘excipient’, ‘homoeopathic preparation ingredient’ and ‘TGA eBusiness Services’.</w:t>
      </w:r>
    </w:p>
    <w:p w14:paraId="7ED596F6"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DCB529C" w14:textId="6879ABE9"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The note to this section also makes it clear that a number of expressions used in the Determination have the same meaning as in the Act, for example ‘British Pharmacopoeia’, ‘European Pharmacopoeia’ and ‘United States Pharmacopeia-National Formulary’.</w:t>
      </w:r>
    </w:p>
    <w:p w14:paraId="1EC4FFBC"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83E573B" w14:textId="618F20D8" w:rsidR="00AE2E87"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4(2) provides that the terms set out in closed brackets in column 4 of the table in Schedule 1 to the Determination that are associated with warning statements in relation to particular ingredients, are terms from the code tables under the heading ‘Product Warning’, and are not required to be included on the label of the medicine.</w:t>
      </w:r>
    </w:p>
    <w:p w14:paraId="4AEBDA41"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AA57C3B" w14:textId="7B18BDB4"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proofErr w:type="gramStart"/>
      <w:r w:rsidRPr="007B443E">
        <w:rPr>
          <w:rFonts w:ascii="Times New Roman" w:eastAsia="Times New Roman" w:hAnsi="Times New Roman" w:cs="Times New Roman"/>
          <w:b/>
          <w:sz w:val="24"/>
          <w:szCs w:val="24"/>
          <w:lang w:eastAsia="en-AU"/>
        </w:rPr>
        <w:t xml:space="preserve">5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Permissible</w:t>
      </w:r>
      <w:proofErr w:type="gramEnd"/>
      <w:r w:rsidRPr="007B443E">
        <w:rPr>
          <w:rFonts w:ascii="Times New Roman" w:eastAsia="Times New Roman" w:hAnsi="Times New Roman" w:cs="Times New Roman"/>
          <w:b/>
          <w:sz w:val="24"/>
          <w:szCs w:val="24"/>
          <w:lang w:eastAsia="en-AU"/>
        </w:rPr>
        <w:t xml:space="preserve"> ingredients </w:t>
      </w:r>
    </w:p>
    <w:p w14:paraId="7F32AE94"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99B9869" w14:textId="3750F3C7"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the ingredients specified in column 2 of the table in Schedule 1 to the Determination are specified for the purposes of paragraph 26BB(1)(a) of the Act.</w:t>
      </w:r>
    </w:p>
    <w:p w14:paraId="37A4E30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132B7BB" w14:textId="224EC9A9"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6B644D">
        <w:rPr>
          <w:rFonts w:ascii="Times New Roman" w:eastAsia="Times New Roman" w:hAnsi="Times New Roman" w:cs="Times New Roman"/>
          <w:b/>
          <w:sz w:val="24"/>
          <w:szCs w:val="24"/>
          <w:lang w:eastAsia="en-AU"/>
        </w:rPr>
        <w:t xml:space="preserve">Section </w:t>
      </w:r>
      <w:proofErr w:type="gramStart"/>
      <w:r w:rsidRPr="006B644D">
        <w:rPr>
          <w:rFonts w:ascii="Times New Roman" w:eastAsia="Times New Roman" w:hAnsi="Times New Roman" w:cs="Times New Roman"/>
          <w:b/>
          <w:sz w:val="24"/>
          <w:szCs w:val="24"/>
          <w:lang w:eastAsia="en-AU"/>
        </w:rPr>
        <w:t>6</w:t>
      </w:r>
      <w:r w:rsidR="008F4502">
        <w:rPr>
          <w:rFonts w:ascii="Times New Roman" w:eastAsia="Times New Roman" w:hAnsi="Times New Roman" w:cs="Times New Roman"/>
          <w:b/>
          <w:sz w:val="24"/>
          <w:szCs w:val="24"/>
          <w:lang w:eastAsia="en-AU"/>
        </w:rPr>
        <w:t xml:space="preserve"> </w:t>
      </w:r>
      <w:r w:rsidRPr="006B644D">
        <w:rPr>
          <w:rFonts w:ascii="Times New Roman" w:eastAsia="Times New Roman" w:hAnsi="Times New Roman" w:cs="Times New Roman"/>
          <w:b/>
          <w:sz w:val="24"/>
          <w:szCs w:val="24"/>
          <w:lang w:eastAsia="en-AU"/>
        </w:rPr>
        <w:t xml:space="preserve"> Requirements</w:t>
      </w:r>
      <w:proofErr w:type="gramEnd"/>
      <w:r w:rsidRPr="006B644D">
        <w:rPr>
          <w:rFonts w:ascii="Times New Roman" w:eastAsia="Times New Roman" w:hAnsi="Times New Roman" w:cs="Times New Roman"/>
          <w:b/>
          <w:sz w:val="24"/>
          <w:szCs w:val="24"/>
          <w:lang w:eastAsia="en-AU"/>
        </w:rPr>
        <w:t xml:space="preserve"> in relation to permissible ingredients being contained in medicine</w:t>
      </w:r>
    </w:p>
    <w:p w14:paraId="439B1FCD" w14:textId="77777777" w:rsidR="0036611B" w:rsidRPr="006B644D"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1BF54A2" w14:textId="17C1522B"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for an ingredient mentioned in column 2 of an item in the table in Schedule 1 to the Determination, the requirements in paragraphs 6(a) to (c) are specified for the purposes of paragraph 26BB(1)(b) of the Act. </w:t>
      </w:r>
      <w:r w:rsidR="00E60C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These include, for example, that the </w:t>
      </w:r>
      <w:r>
        <w:rPr>
          <w:rFonts w:ascii="Times New Roman" w:eastAsia="Times New Roman" w:hAnsi="Times New Roman" w:cs="Times New Roman"/>
          <w:sz w:val="24"/>
          <w:szCs w:val="24"/>
          <w:lang w:eastAsia="en-AU"/>
        </w:rPr>
        <w:lastRenderedPageBreak/>
        <w:t>ingredient must only be used in a medicine for a purpose specified in relation to the ingredient in column 3 of that item.</w:t>
      </w:r>
    </w:p>
    <w:p w14:paraId="6E79FE28"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241E7A35" w14:textId="620957B2"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proofErr w:type="gramStart"/>
      <w:r>
        <w:rPr>
          <w:rFonts w:ascii="Times New Roman" w:eastAsia="Times New Roman" w:hAnsi="Times New Roman" w:cs="Times New Roman"/>
          <w:b/>
          <w:sz w:val="24"/>
          <w:szCs w:val="24"/>
          <w:lang w:eastAsia="en-AU"/>
        </w:rPr>
        <w:t>7</w:t>
      </w:r>
      <w:r w:rsidRPr="007B443E">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Repeals</w:t>
      </w:r>
      <w:proofErr w:type="gramEnd"/>
    </w:p>
    <w:p w14:paraId="1B762AF2"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4043154E" w14:textId="07E844EE"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each instrument that is specified in Schedule 2 to the Determination is repealed as set out in the applicable items in that Schedule.</w:t>
      </w:r>
    </w:p>
    <w:p w14:paraId="74A903C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AC09063" w14:textId="3016E9C9" w:rsidR="00AE2E87" w:rsidRDefault="00AE2E87"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Schedule 1 </w:t>
      </w:r>
      <w:r>
        <w:rPr>
          <w:rFonts w:ascii="Times New Roman" w:eastAsia="Times New Roman" w:hAnsi="Times New Roman" w:cs="Times New Roman"/>
          <w:b/>
          <w:sz w:val="24"/>
          <w:szCs w:val="24"/>
          <w:lang w:eastAsia="en-AU"/>
        </w:rPr>
        <w:t>–</w:t>
      </w:r>
      <w:r w:rsidRPr="00AE2E87">
        <w:rPr>
          <w:rFonts w:ascii="Times New Roman" w:eastAsia="Times New Roman" w:hAnsi="Times New Roman" w:cs="Times New Roman"/>
          <w:b/>
          <w:sz w:val="24"/>
          <w:szCs w:val="24"/>
          <w:lang w:eastAsia="en-AU"/>
        </w:rPr>
        <w:t xml:space="preserve"> </w:t>
      </w:r>
      <w:r w:rsidR="0091180B" w:rsidRPr="0091180B">
        <w:rPr>
          <w:rFonts w:ascii="Times New Roman" w:eastAsia="Times New Roman" w:hAnsi="Times New Roman" w:cs="Times New Roman"/>
          <w:b/>
          <w:sz w:val="24"/>
          <w:szCs w:val="24"/>
          <w:lang w:eastAsia="en-AU"/>
        </w:rPr>
        <w:t>Specified permissible ingredients and requirements applying to these ingredients when contained in a medicine</w:t>
      </w:r>
    </w:p>
    <w:p w14:paraId="7A138953" w14:textId="77777777" w:rsidR="0036611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86FF46B" w14:textId="3ACC9A59" w:rsidR="00045C71" w:rsidRDefault="00CA2F70" w:rsidP="001A7C14">
      <w:pPr>
        <w:autoSpaceDE w:val="0"/>
        <w:autoSpaceDN w:val="0"/>
        <w:adjustRightInd w:val="0"/>
        <w:spacing w:after="0"/>
        <w:rPr>
          <w:rFonts w:ascii="Times New Roman" w:eastAsia="Times New Roman" w:hAnsi="Times New Roman" w:cs="Times New Roman"/>
          <w:sz w:val="24"/>
          <w:szCs w:val="24"/>
          <w:lang w:eastAsia="en-AU"/>
        </w:rPr>
      </w:pPr>
      <w:r w:rsidRPr="00CA2F70">
        <w:rPr>
          <w:rFonts w:ascii="Times New Roman" w:eastAsia="Times New Roman" w:hAnsi="Times New Roman" w:cs="Times New Roman"/>
          <w:sz w:val="24"/>
          <w:szCs w:val="24"/>
          <w:lang w:eastAsia="en-AU"/>
        </w:rPr>
        <w:t>This Schedule specifies ingredients and related requirements for the purposes of sections 5 and 6 of the Determination.</w:t>
      </w:r>
    </w:p>
    <w:p w14:paraId="564A11C3"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23BE486" w14:textId="37716564" w:rsidR="00CA2F70" w:rsidRDefault="00CA2F70" w:rsidP="001A7C14">
      <w:pPr>
        <w:autoSpaceDE w:val="0"/>
        <w:autoSpaceDN w:val="0"/>
        <w:adjustRightInd w:val="0"/>
        <w:spacing w:after="0"/>
        <w:rPr>
          <w:rFonts w:ascii="Times New Roman" w:eastAsia="Times New Roman" w:hAnsi="Times New Roman" w:cs="Times New Roman"/>
          <w:b/>
          <w:bCs/>
          <w:sz w:val="24"/>
          <w:szCs w:val="24"/>
          <w:lang w:eastAsia="en-AU"/>
        </w:rPr>
      </w:pPr>
      <w:r w:rsidRPr="00CA2F70">
        <w:rPr>
          <w:rFonts w:ascii="Times New Roman" w:eastAsia="Times New Roman" w:hAnsi="Times New Roman" w:cs="Times New Roman"/>
          <w:b/>
          <w:bCs/>
          <w:sz w:val="24"/>
          <w:szCs w:val="24"/>
          <w:lang w:eastAsia="en-AU"/>
        </w:rPr>
        <w:t>Schedule 2 – Repeals</w:t>
      </w:r>
    </w:p>
    <w:p w14:paraId="144B8479" w14:textId="77777777" w:rsidR="0036611B" w:rsidRPr="00CA2F70" w:rsidRDefault="0036611B" w:rsidP="001A7C14">
      <w:pPr>
        <w:autoSpaceDE w:val="0"/>
        <w:autoSpaceDN w:val="0"/>
        <w:adjustRightInd w:val="0"/>
        <w:spacing w:after="0"/>
        <w:rPr>
          <w:rFonts w:ascii="Times New Roman" w:eastAsia="Times New Roman" w:hAnsi="Times New Roman" w:cs="Times New Roman"/>
          <w:sz w:val="24"/>
          <w:szCs w:val="24"/>
          <w:lang w:val="en-US" w:eastAsia="en-AU"/>
        </w:rPr>
      </w:pPr>
    </w:p>
    <w:p w14:paraId="09B08BCF" w14:textId="30A5892D" w:rsidR="00045C71" w:rsidRDefault="00CA2F70" w:rsidP="001A7C14">
      <w:pPr>
        <w:autoSpaceDE w:val="0"/>
        <w:autoSpaceDN w:val="0"/>
        <w:adjustRightInd w:val="0"/>
        <w:spacing w:after="0"/>
        <w:rPr>
          <w:rFonts w:ascii="Times New Roman" w:eastAsia="Times New Roman" w:hAnsi="Times New Roman" w:cs="Times New Roman"/>
          <w:i/>
          <w:iCs/>
          <w:sz w:val="24"/>
          <w:szCs w:val="24"/>
          <w:lang w:eastAsia="en-AU"/>
        </w:rPr>
      </w:pPr>
      <w:r w:rsidRPr="00CA2F70">
        <w:rPr>
          <w:rFonts w:ascii="Times New Roman" w:eastAsia="Times New Roman" w:hAnsi="Times New Roman" w:cs="Times New Roman"/>
          <w:sz w:val="24"/>
          <w:szCs w:val="24"/>
          <w:lang w:eastAsia="en-AU"/>
        </w:rPr>
        <w:t xml:space="preserve">This Schedule repeals the </w:t>
      </w:r>
      <w:r w:rsidRPr="00CA2F70">
        <w:rPr>
          <w:rFonts w:ascii="Times New Roman" w:eastAsia="Times New Roman" w:hAnsi="Times New Roman" w:cs="Times New Roman"/>
          <w:i/>
          <w:iCs/>
          <w:sz w:val="24"/>
          <w:szCs w:val="24"/>
          <w:lang w:eastAsia="en-AU"/>
        </w:rPr>
        <w:t>Therapeutic Goods (Permissible Ingredients) Determination (No. </w:t>
      </w:r>
      <w:r w:rsidR="00950992">
        <w:rPr>
          <w:rFonts w:ascii="Times New Roman" w:eastAsia="Times New Roman" w:hAnsi="Times New Roman" w:cs="Times New Roman"/>
          <w:i/>
          <w:iCs/>
          <w:sz w:val="24"/>
          <w:szCs w:val="24"/>
          <w:lang w:eastAsia="en-AU"/>
        </w:rPr>
        <w:t>1</w:t>
      </w:r>
      <w:r w:rsidRPr="00CA2F70">
        <w:rPr>
          <w:rFonts w:ascii="Times New Roman" w:eastAsia="Times New Roman" w:hAnsi="Times New Roman" w:cs="Times New Roman"/>
          <w:i/>
          <w:iCs/>
          <w:sz w:val="24"/>
          <w:szCs w:val="24"/>
          <w:lang w:eastAsia="en-AU"/>
        </w:rPr>
        <w:t>) 20</w:t>
      </w:r>
      <w:r w:rsidR="00FA7084">
        <w:rPr>
          <w:rFonts w:ascii="Times New Roman" w:eastAsia="Times New Roman" w:hAnsi="Times New Roman" w:cs="Times New Roman"/>
          <w:i/>
          <w:iCs/>
          <w:sz w:val="24"/>
          <w:szCs w:val="24"/>
          <w:lang w:eastAsia="en-AU"/>
        </w:rPr>
        <w:t>2</w:t>
      </w:r>
      <w:r w:rsidR="00950992">
        <w:rPr>
          <w:rFonts w:ascii="Times New Roman" w:eastAsia="Times New Roman" w:hAnsi="Times New Roman" w:cs="Times New Roman"/>
          <w:i/>
          <w:iCs/>
          <w:sz w:val="24"/>
          <w:szCs w:val="24"/>
          <w:lang w:eastAsia="en-AU"/>
        </w:rPr>
        <w:t>1</w:t>
      </w:r>
      <w:r w:rsidRPr="00CA2F70">
        <w:rPr>
          <w:rFonts w:ascii="Times New Roman" w:eastAsia="Times New Roman" w:hAnsi="Times New Roman" w:cs="Times New Roman"/>
          <w:i/>
          <w:iCs/>
          <w:sz w:val="24"/>
          <w:szCs w:val="24"/>
          <w:lang w:eastAsia="en-AU"/>
        </w:rPr>
        <w:t>.</w:t>
      </w:r>
    </w:p>
    <w:p w14:paraId="443DB472" w14:textId="77777777" w:rsidR="0036611B" w:rsidRPr="00607014"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54F027CA" w14:textId="77777777" w:rsidR="00EF1F18" w:rsidRDefault="00EF1F18">
      <w:pPr>
        <w:spacing w:before="100" w:beforeAutospacing="1" w:after="100" w:afterAutospacing="1"/>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br w:type="page"/>
      </w:r>
    </w:p>
    <w:p w14:paraId="1C3354F0" w14:textId="77777777" w:rsidR="005F2423" w:rsidRPr="00A419EA" w:rsidRDefault="005F2423" w:rsidP="00607014">
      <w:pPr>
        <w:spacing w:before="100" w:beforeAutospacing="1" w:after="100" w:afterAutospacing="1"/>
        <w:jc w:val="right"/>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lastRenderedPageBreak/>
        <w:t>Attachment B</w:t>
      </w:r>
    </w:p>
    <w:p w14:paraId="784E4BE2" w14:textId="77777777" w:rsidR="00EF1F18" w:rsidRDefault="00EF1F18" w:rsidP="00720518">
      <w:pPr>
        <w:spacing w:before="120" w:after="0"/>
        <w:jc w:val="center"/>
        <w:rPr>
          <w:rFonts w:ascii="Times New Roman" w:eastAsia="Times New Roman" w:hAnsi="Times New Roman" w:cs="Times New Roman"/>
          <w:b/>
          <w:bCs/>
          <w:sz w:val="24"/>
          <w:szCs w:val="24"/>
          <w:lang w:eastAsia="en-AU"/>
        </w:rPr>
      </w:pPr>
      <w:r w:rsidRPr="005F2423">
        <w:rPr>
          <w:rFonts w:ascii="Times New Roman" w:eastAsia="Times New Roman" w:hAnsi="Times New Roman" w:cs="Times New Roman"/>
          <w:b/>
          <w:bCs/>
          <w:sz w:val="24"/>
          <w:szCs w:val="24"/>
          <w:lang w:eastAsia="en-AU"/>
        </w:rPr>
        <w:t>Statement of Compatibility with Human Rights</w:t>
      </w:r>
    </w:p>
    <w:p w14:paraId="6EC20EFD" w14:textId="77777777" w:rsidR="00510EB5" w:rsidRPr="005F2423" w:rsidRDefault="00510EB5" w:rsidP="00720518">
      <w:pPr>
        <w:spacing w:after="0"/>
        <w:jc w:val="center"/>
        <w:rPr>
          <w:rFonts w:ascii="Times New Roman" w:eastAsia="Times New Roman" w:hAnsi="Times New Roman" w:cs="Times New Roman"/>
          <w:sz w:val="24"/>
          <w:szCs w:val="24"/>
          <w:lang w:val="en-US" w:eastAsia="en-AU"/>
        </w:rPr>
      </w:pPr>
    </w:p>
    <w:p w14:paraId="25C603B6" w14:textId="77777777" w:rsidR="00510EB5" w:rsidRDefault="00EF1F18" w:rsidP="00510EB5">
      <w:pPr>
        <w:spacing w:after="0"/>
        <w:jc w:val="center"/>
        <w:rPr>
          <w:rFonts w:ascii="Times New Roman" w:eastAsia="Times New Roman" w:hAnsi="Times New Roman" w:cs="Times New Roman"/>
          <w:sz w:val="24"/>
          <w:szCs w:val="24"/>
          <w:lang w:eastAsia="en-AU"/>
        </w:rPr>
      </w:pPr>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r w:rsidR="00510EB5" w:rsidRPr="00510EB5">
        <w:rPr>
          <w:rFonts w:ascii="Times New Roman" w:eastAsia="Times New Roman" w:hAnsi="Times New Roman" w:cs="Times New Roman"/>
          <w:sz w:val="24"/>
          <w:szCs w:val="24"/>
          <w:lang w:eastAsia="en-AU"/>
        </w:rPr>
        <w:t xml:space="preserve"> </w:t>
      </w:r>
    </w:p>
    <w:p w14:paraId="38892413" w14:textId="77777777" w:rsidR="00510EB5" w:rsidRPr="00A419EA" w:rsidRDefault="00510EB5" w:rsidP="00720518">
      <w:pPr>
        <w:spacing w:after="0"/>
        <w:jc w:val="center"/>
        <w:rPr>
          <w:rFonts w:ascii="Times New Roman" w:eastAsia="Times New Roman" w:hAnsi="Times New Roman" w:cs="Times New Roman"/>
          <w:sz w:val="24"/>
          <w:szCs w:val="24"/>
          <w:lang w:val="en-US" w:eastAsia="en-AU"/>
        </w:rPr>
      </w:pPr>
    </w:p>
    <w:p w14:paraId="0039C745" w14:textId="598C5D1C" w:rsidR="005F2423" w:rsidRDefault="005F2423" w:rsidP="00720518">
      <w:pPr>
        <w:spacing w:after="0"/>
        <w:jc w:val="center"/>
        <w:rPr>
          <w:rFonts w:ascii="Times New Roman" w:eastAsia="Times New Roman" w:hAnsi="Times New Roman" w:cs="Times New Roman"/>
          <w:sz w:val="24"/>
          <w:szCs w:val="24"/>
          <w:lang w:eastAsia="en-AU"/>
        </w:rPr>
      </w:pPr>
      <w:r w:rsidRPr="005F2423">
        <w:rPr>
          <w:rFonts w:ascii="Times New Roman" w:eastAsia="Times New Roman" w:hAnsi="Times New Roman" w:cs="Times New Roman"/>
          <w:b/>
          <w:i/>
          <w:sz w:val="24"/>
          <w:szCs w:val="24"/>
          <w:lang w:eastAsia="en-AU"/>
        </w:rPr>
        <w:t>Therapeutic Goods (Permissible Ingredients) Determination (No.</w:t>
      </w:r>
      <w:r w:rsidR="00C92827">
        <w:rPr>
          <w:rFonts w:ascii="Times New Roman" w:eastAsia="Times New Roman" w:hAnsi="Times New Roman" w:cs="Times New Roman"/>
          <w:b/>
          <w:i/>
          <w:sz w:val="24"/>
          <w:szCs w:val="24"/>
          <w:lang w:eastAsia="en-AU"/>
        </w:rPr>
        <w:t xml:space="preserve"> </w:t>
      </w:r>
      <w:r w:rsidR="00FF6ED6">
        <w:rPr>
          <w:rFonts w:ascii="Times New Roman" w:eastAsia="Times New Roman" w:hAnsi="Times New Roman" w:cs="Times New Roman"/>
          <w:b/>
          <w:i/>
          <w:sz w:val="24"/>
          <w:szCs w:val="24"/>
          <w:lang w:eastAsia="en-AU"/>
        </w:rPr>
        <w:t>2</w:t>
      </w:r>
      <w:r w:rsidRPr="005F2423">
        <w:rPr>
          <w:rFonts w:ascii="Times New Roman" w:eastAsia="Times New Roman" w:hAnsi="Times New Roman" w:cs="Times New Roman"/>
          <w:b/>
          <w:i/>
          <w:sz w:val="24"/>
          <w:szCs w:val="24"/>
          <w:lang w:eastAsia="en-AU"/>
        </w:rPr>
        <w:t>) 20</w:t>
      </w:r>
      <w:r w:rsidR="009A1C10">
        <w:rPr>
          <w:rFonts w:ascii="Times New Roman" w:eastAsia="Times New Roman" w:hAnsi="Times New Roman" w:cs="Times New Roman"/>
          <w:b/>
          <w:i/>
          <w:sz w:val="24"/>
          <w:szCs w:val="24"/>
          <w:lang w:eastAsia="en-AU"/>
        </w:rPr>
        <w:t>2</w:t>
      </w:r>
      <w:r w:rsidR="00F6166F">
        <w:rPr>
          <w:rFonts w:ascii="Times New Roman" w:eastAsia="Times New Roman" w:hAnsi="Times New Roman" w:cs="Times New Roman"/>
          <w:b/>
          <w:i/>
          <w:sz w:val="24"/>
          <w:szCs w:val="24"/>
          <w:lang w:eastAsia="en-AU"/>
        </w:rPr>
        <w:t>1</w:t>
      </w:r>
    </w:p>
    <w:p w14:paraId="439E57CA" w14:textId="77777777" w:rsidR="004761AE" w:rsidRDefault="004761AE" w:rsidP="00720518">
      <w:pPr>
        <w:spacing w:after="0"/>
        <w:rPr>
          <w:rFonts w:ascii="Times New Roman" w:eastAsia="Times New Roman" w:hAnsi="Times New Roman" w:cs="Times New Roman"/>
          <w:sz w:val="24"/>
          <w:szCs w:val="24"/>
          <w:lang w:eastAsia="en-AU"/>
        </w:rPr>
      </w:pPr>
    </w:p>
    <w:p w14:paraId="2C9AC34B" w14:textId="18487A94" w:rsidR="00510EB5" w:rsidRDefault="00EF1F18" w:rsidP="00510EB5">
      <w:pPr>
        <w:spacing w:after="0"/>
        <w:contextualSpacing/>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This </w:t>
      </w:r>
      <w:r w:rsidR="005F2423">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14:paraId="4842CD1E" w14:textId="77777777" w:rsidR="00EF1F18" w:rsidRPr="00A419EA" w:rsidRDefault="00EF1F18" w:rsidP="00720518">
      <w:pPr>
        <w:spacing w:after="0"/>
        <w:rPr>
          <w:rFonts w:ascii="Times New Roman" w:eastAsia="Times New Roman" w:hAnsi="Times New Roman" w:cs="Times New Roman"/>
          <w:sz w:val="24"/>
          <w:szCs w:val="24"/>
          <w:lang w:val="en-US" w:eastAsia="en-AU"/>
        </w:rPr>
      </w:pPr>
    </w:p>
    <w:p w14:paraId="45C3CC91" w14:textId="77777777" w:rsidR="00EF1F18" w:rsidRDefault="00EF1F18" w:rsidP="00720518">
      <w:pPr>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Overview of the Legislative Instrument</w:t>
      </w:r>
    </w:p>
    <w:p w14:paraId="038BBA42" w14:textId="77777777" w:rsidR="00005653" w:rsidRPr="00A419EA" w:rsidRDefault="00005653" w:rsidP="00720518">
      <w:pPr>
        <w:spacing w:after="0"/>
        <w:rPr>
          <w:rFonts w:ascii="Times New Roman" w:eastAsia="Times New Roman" w:hAnsi="Times New Roman" w:cs="Times New Roman"/>
          <w:sz w:val="24"/>
          <w:szCs w:val="24"/>
          <w:lang w:val="en-US" w:eastAsia="en-AU"/>
        </w:rPr>
      </w:pPr>
    </w:p>
    <w:p w14:paraId="227538D1" w14:textId="78DCEC3C" w:rsidR="00B82A8D"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5F2423" w:rsidRPr="00AE2E87">
        <w:rPr>
          <w:rFonts w:ascii="Times New Roman" w:eastAsia="Times New Roman" w:hAnsi="Times New Roman" w:cs="Times New Roman"/>
          <w:i/>
          <w:sz w:val="24"/>
          <w:szCs w:val="24"/>
          <w:lang w:eastAsia="en-AU"/>
        </w:rPr>
        <w:t xml:space="preserve">Therapeutic Goods (Permissible Ingredients) Determination </w:t>
      </w:r>
      <w:r w:rsidR="005F2423">
        <w:rPr>
          <w:rFonts w:ascii="Times New Roman" w:eastAsia="Times New Roman" w:hAnsi="Times New Roman" w:cs="Times New Roman"/>
          <w:i/>
          <w:sz w:val="24"/>
          <w:szCs w:val="24"/>
          <w:lang w:eastAsia="en-AU"/>
        </w:rPr>
        <w:t>(No.</w:t>
      </w:r>
      <w:r w:rsidR="0046549C">
        <w:rPr>
          <w:rFonts w:ascii="Times New Roman" w:eastAsia="Times New Roman" w:hAnsi="Times New Roman" w:cs="Times New Roman"/>
          <w:i/>
          <w:sz w:val="24"/>
          <w:szCs w:val="24"/>
          <w:lang w:eastAsia="en-AU"/>
        </w:rPr>
        <w:t xml:space="preserve"> </w:t>
      </w:r>
      <w:r w:rsidR="000374FB">
        <w:rPr>
          <w:rFonts w:ascii="Times New Roman" w:eastAsia="Times New Roman" w:hAnsi="Times New Roman" w:cs="Times New Roman"/>
          <w:i/>
          <w:sz w:val="24"/>
          <w:szCs w:val="24"/>
          <w:lang w:eastAsia="en-AU"/>
        </w:rPr>
        <w:t>2</w:t>
      </w:r>
      <w:r w:rsidR="005F2423">
        <w:rPr>
          <w:rFonts w:ascii="Times New Roman" w:eastAsia="Times New Roman" w:hAnsi="Times New Roman" w:cs="Times New Roman"/>
          <w:i/>
          <w:sz w:val="24"/>
          <w:szCs w:val="24"/>
          <w:lang w:eastAsia="en-AU"/>
        </w:rPr>
        <w:t xml:space="preserve">) </w:t>
      </w:r>
      <w:r w:rsidR="005F2423"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F6166F">
        <w:rPr>
          <w:rFonts w:ascii="Times New Roman" w:eastAsia="Times New Roman" w:hAnsi="Times New Roman" w:cs="Times New Roman"/>
          <w:i/>
          <w:sz w:val="24"/>
          <w:szCs w:val="24"/>
          <w:lang w:eastAsia="en-AU"/>
        </w:rPr>
        <w:t>1</w:t>
      </w:r>
      <w:r w:rsidR="005F2423">
        <w:rPr>
          <w:rFonts w:ascii="Times New Roman" w:eastAsia="Times New Roman" w:hAnsi="Times New Roman" w:cs="Times New Roman"/>
          <w:sz w:val="24"/>
          <w:szCs w:val="24"/>
          <w:lang w:eastAsia="en-AU"/>
        </w:rPr>
        <w:t xml:space="preserve"> (“the instrument”)</w:t>
      </w:r>
      <w:r w:rsidRPr="00A419EA">
        <w:rPr>
          <w:rFonts w:ascii="Times New Roman" w:eastAsia="Times New Roman" w:hAnsi="Times New Roman" w:cs="Times New Roman"/>
          <w:sz w:val="24"/>
          <w:szCs w:val="24"/>
          <w:lang w:eastAsia="en-AU"/>
        </w:rPr>
        <w:t xml:space="preserve"> is made by </w:t>
      </w:r>
      <w:r w:rsidR="008E75B9">
        <w:rPr>
          <w:rFonts w:ascii="Times New Roman" w:eastAsia="Times New Roman" w:hAnsi="Times New Roman" w:cs="Times New Roman"/>
          <w:sz w:val="24"/>
          <w:szCs w:val="24"/>
          <w:lang w:eastAsia="en-AU"/>
        </w:rPr>
        <w:t xml:space="preserve">a delegate of </w:t>
      </w:r>
      <w:r w:rsidRPr="00A419EA">
        <w:rPr>
          <w:rFonts w:ascii="Times New Roman" w:eastAsia="Times New Roman" w:hAnsi="Times New Roman" w:cs="Times New Roman"/>
          <w:sz w:val="24"/>
          <w:szCs w:val="24"/>
          <w:lang w:eastAsia="en-AU"/>
        </w:rPr>
        <w:t xml:space="preserve">the Minister under </w:t>
      </w:r>
      <w:r w:rsidR="008E75B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w:t>
      </w:r>
      <w:proofErr w:type="gramStart"/>
      <w:r>
        <w:rPr>
          <w:rFonts w:ascii="Times New Roman" w:eastAsia="Times New Roman" w:hAnsi="Times New Roman" w:cs="Times New Roman"/>
          <w:sz w:val="24"/>
          <w:szCs w:val="24"/>
          <w:lang w:eastAsia="en-AU"/>
        </w:rPr>
        <w:t>B</w:t>
      </w:r>
      <w:r w:rsidR="001B7ED3">
        <w:rPr>
          <w:rFonts w:ascii="Times New Roman" w:eastAsia="Times New Roman" w:hAnsi="Times New Roman" w:cs="Times New Roman"/>
          <w:sz w:val="24"/>
          <w:szCs w:val="24"/>
          <w:lang w:eastAsia="en-AU"/>
        </w:rPr>
        <w:t>B</w:t>
      </w:r>
      <w:r w:rsidR="008E75B9">
        <w:rPr>
          <w:rFonts w:ascii="Times New Roman" w:eastAsia="Times New Roman" w:hAnsi="Times New Roman" w:cs="Times New Roman"/>
          <w:sz w:val="24"/>
          <w:szCs w:val="24"/>
          <w:lang w:eastAsia="en-AU"/>
        </w:rPr>
        <w:t>(</w:t>
      </w:r>
      <w:proofErr w:type="gramEnd"/>
      <w:r w:rsidR="008E75B9">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the Act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w:t>
      </w:r>
      <w:r w:rsidRPr="00A419EA">
        <w:rPr>
          <w:rFonts w:ascii="Times New Roman" w:eastAsia="Times New Roman" w:hAnsi="Times New Roman" w:cs="Times New Roman"/>
          <w:i/>
          <w:iCs/>
          <w:sz w:val="24"/>
          <w:szCs w:val="24"/>
          <w:lang w:eastAsia="en-AU"/>
        </w:rPr>
        <w:t>.</w:t>
      </w:r>
    </w:p>
    <w:p w14:paraId="7918988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99ABA85" w14:textId="49FC3D56"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purpose of the instrument is to specify those ingredients that may be contained in a medicine that is listed in the Australian Register of Therapeutic Goods (“the Register”) under section 26A or 26AE of the Act, and requirements in relation to the inclusion of those ingredients in such medicines.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The instrument repeals and replaces the existing </w:t>
      </w:r>
      <w:r w:rsidRPr="00D731D4">
        <w:rPr>
          <w:rFonts w:ascii="Times New Roman" w:eastAsia="Times New Roman" w:hAnsi="Times New Roman" w:cs="Times New Roman"/>
          <w:i/>
          <w:iCs/>
          <w:sz w:val="24"/>
          <w:szCs w:val="24"/>
          <w:lang w:eastAsia="en-AU"/>
        </w:rPr>
        <w:t>Therapeutic Goods (Permissible I</w:t>
      </w:r>
      <w:r>
        <w:rPr>
          <w:rFonts w:ascii="Times New Roman" w:eastAsia="Times New Roman" w:hAnsi="Times New Roman" w:cs="Times New Roman"/>
          <w:i/>
          <w:iCs/>
          <w:sz w:val="24"/>
          <w:szCs w:val="24"/>
          <w:lang w:eastAsia="en-AU"/>
        </w:rPr>
        <w:t xml:space="preserve">ngredients) Determination (No. </w:t>
      </w:r>
      <w:r w:rsidR="000374FB">
        <w:rPr>
          <w:rFonts w:ascii="Times New Roman" w:eastAsia="Times New Roman" w:hAnsi="Times New Roman" w:cs="Times New Roman"/>
          <w:i/>
          <w:iCs/>
          <w:sz w:val="24"/>
          <w:szCs w:val="24"/>
          <w:lang w:eastAsia="en-AU"/>
        </w:rPr>
        <w:t>1</w:t>
      </w:r>
      <w:r w:rsidRPr="00D731D4">
        <w:rPr>
          <w:rFonts w:ascii="Times New Roman" w:eastAsia="Times New Roman" w:hAnsi="Times New Roman" w:cs="Times New Roman"/>
          <w:i/>
          <w:iCs/>
          <w:sz w:val="24"/>
          <w:szCs w:val="24"/>
          <w:lang w:eastAsia="en-AU"/>
        </w:rPr>
        <w:t xml:space="preserve">) </w:t>
      </w:r>
      <w:r w:rsidR="00E96741" w:rsidRPr="00D731D4">
        <w:rPr>
          <w:rFonts w:ascii="Times New Roman" w:eastAsia="Times New Roman" w:hAnsi="Times New Roman" w:cs="Times New Roman"/>
          <w:sz w:val="24"/>
          <w:szCs w:val="24"/>
          <w:lang w:eastAsia="en-AU"/>
        </w:rPr>
        <w:t>20</w:t>
      </w:r>
      <w:r w:rsidR="00E96741">
        <w:rPr>
          <w:rFonts w:ascii="Times New Roman" w:eastAsia="Times New Roman" w:hAnsi="Times New Roman" w:cs="Times New Roman"/>
          <w:sz w:val="24"/>
          <w:szCs w:val="24"/>
          <w:lang w:eastAsia="en-AU"/>
        </w:rPr>
        <w:t>2</w:t>
      </w:r>
      <w:r w:rsidR="000374FB">
        <w:rPr>
          <w:rFonts w:ascii="Times New Roman" w:eastAsia="Times New Roman" w:hAnsi="Times New Roman" w:cs="Times New Roman"/>
          <w:sz w:val="24"/>
          <w:szCs w:val="24"/>
          <w:lang w:eastAsia="en-AU"/>
        </w:rPr>
        <w:t>1</w:t>
      </w:r>
      <w:r w:rsidR="00E96741" w:rsidRPr="00D731D4">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(“the former instrument”).</w:t>
      </w:r>
    </w:p>
    <w:p w14:paraId="666DC18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3FF27308" w14:textId="1A338E7E"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Medicines that are listed in the Register under section 26A of the Act </w:t>
      </w:r>
      <w:proofErr w:type="gramStart"/>
      <w:r w:rsidRPr="00D731D4">
        <w:rPr>
          <w:rFonts w:ascii="Times New Roman" w:eastAsia="Times New Roman" w:hAnsi="Times New Roman" w:cs="Times New Roman"/>
          <w:sz w:val="24"/>
          <w:szCs w:val="24"/>
          <w:lang w:eastAsia="en-AU"/>
        </w:rPr>
        <w:t>are considered to be</w:t>
      </w:r>
      <w:proofErr w:type="gramEnd"/>
      <w:r w:rsidRPr="00D731D4">
        <w:rPr>
          <w:rFonts w:ascii="Times New Roman" w:eastAsia="Times New Roman" w:hAnsi="Times New Roman" w:cs="Times New Roman"/>
          <w:sz w:val="24"/>
          <w:szCs w:val="24"/>
          <w:lang w:eastAsia="en-AU"/>
        </w:rPr>
        <w:t xml:space="preserve"> low risk and are not individually evaluated before they are listed.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When listed under section 26AE, these listed medicines are commonly referred to as ‘assessed listed </w:t>
      </w:r>
      <w:proofErr w:type="gramStart"/>
      <w:r w:rsidRPr="00D731D4">
        <w:rPr>
          <w:rFonts w:ascii="Times New Roman" w:eastAsia="Times New Roman" w:hAnsi="Times New Roman" w:cs="Times New Roman"/>
          <w:sz w:val="24"/>
          <w:szCs w:val="24"/>
          <w:lang w:eastAsia="en-AU"/>
        </w:rPr>
        <w:t>medicines’</w:t>
      </w:r>
      <w:proofErr w:type="gramEnd"/>
      <w:r w:rsidRPr="00D731D4">
        <w:rPr>
          <w:rFonts w:ascii="Times New Roman" w:eastAsia="Times New Roman" w:hAnsi="Times New Roman" w:cs="Times New Roman"/>
          <w:sz w:val="24"/>
          <w:szCs w:val="24"/>
          <w:lang w:eastAsia="en-AU"/>
        </w:rPr>
        <w:t>.</w:t>
      </w:r>
    </w:p>
    <w:p w14:paraId="2B17E1A6"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5333D757" w14:textId="22BA20B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As the safety and quality of medicines listed under section 26A and 26AE are not evaluated by the Therapeutic Goods Administration (“the TGA”) before being given marketing approval, the Act contains mechanisms to help ensure that listed medicines are of appropriate quality and able to be used safely by consumers. </w:t>
      </w:r>
      <w:r w:rsidR="00B8782A">
        <w:rPr>
          <w:rFonts w:ascii="Times New Roman" w:eastAsia="Times New Roman" w:hAnsi="Times New Roman" w:cs="Times New Roman"/>
          <w:sz w:val="24"/>
          <w:szCs w:val="24"/>
          <w:lang w:eastAsia="en-AU"/>
        </w:rPr>
        <w:t xml:space="preserve"> </w:t>
      </w:r>
      <w:proofErr w:type="gramStart"/>
      <w:r w:rsidRPr="00D731D4">
        <w:rPr>
          <w:rFonts w:ascii="Times New Roman" w:eastAsia="Times New Roman" w:hAnsi="Times New Roman" w:cs="Times New Roman"/>
          <w:sz w:val="24"/>
          <w:szCs w:val="24"/>
          <w:lang w:eastAsia="en-AU"/>
        </w:rPr>
        <w:t>In particular, listed</w:t>
      </w:r>
      <w:proofErr w:type="gramEnd"/>
      <w:r w:rsidRPr="00D731D4">
        <w:rPr>
          <w:rFonts w:ascii="Times New Roman" w:eastAsia="Times New Roman" w:hAnsi="Times New Roman" w:cs="Times New Roman"/>
          <w:sz w:val="24"/>
          <w:szCs w:val="24"/>
          <w:lang w:eastAsia="en-AU"/>
        </w:rPr>
        <w:t xml:space="preserve"> medicines may only contain ingredients from an approved list of ingredients that have been evaluated in relation to their quality and safety and suitability for use in such medicines.</w:t>
      </w:r>
    </w:p>
    <w:p w14:paraId="34F8E97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6D911DB" w14:textId="12BA5272"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Under paragraphs 26A(2)(ca) and (</w:t>
      </w:r>
      <w:proofErr w:type="spellStart"/>
      <w:r w:rsidRPr="00D731D4">
        <w:rPr>
          <w:rFonts w:ascii="Times New Roman" w:eastAsia="Times New Roman" w:hAnsi="Times New Roman" w:cs="Times New Roman"/>
          <w:sz w:val="24"/>
          <w:szCs w:val="24"/>
          <w:lang w:eastAsia="en-AU"/>
        </w:rPr>
        <w:t>cb</w:t>
      </w:r>
      <w:proofErr w:type="spellEnd"/>
      <w:r w:rsidRPr="00D731D4">
        <w:rPr>
          <w:rFonts w:ascii="Times New Roman" w:eastAsia="Times New Roman" w:hAnsi="Times New Roman" w:cs="Times New Roman"/>
          <w:sz w:val="24"/>
          <w:szCs w:val="24"/>
          <w:lang w:eastAsia="en-AU"/>
        </w:rPr>
        <w:t xml:space="preserve">) of the Act,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specified in such a determination.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Paragraphs 26AB(2)(d) and (e) set out equivalent certification requirements for applicants seeking marketing approval for an assessed listed medicine.</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 A listed (or </w:t>
      </w:r>
      <w:r w:rsidRPr="00D731D4">
        <w:rPr>
          <w:rFonts w:ascii="Times New Roman" w:eastAsia="Times New Roman" w:hAnsi="Times New Roman" w:cs="Times New Roman"/>
          <w:sz w:val="24"/>
          <w:szCs w:val="24"/>
          <w:lang w:eastAsia="en-AU"/>
        </w:rPr>
        <w:lastRenderedPageBreak/>
        <w:t>assessed listed) medicine may be cancelled from the Register if it appears to the Secretary that such a certification is incorrect.</w:t>
      </w:r>
    </w:p>
    <w:p w14:paraId="328560A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8BDDD60" w14:textId="73BE044B"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Compliance with the instrument is also an important part of the criteria for eligibility for listing of medicines in the Register set out in Schedule 4 to the </w:t>
      </w:r>
      <w:r w:rsidRPr="00D731D4">
        <w:rPr>
          <w:rFonts w:ascii="Times New Roman" w:eastAsia="Times New Roman" w:hAnsi="Times New Roman" w:cs="Times New Roman"/>
          <w:i/>
          <w:iCs/>
          <w:sz w:val="24"/>
          <w:szCs w:val="24"/>
          <w:lang w:eastAsia="en-AU"/>
        </w:rPr>
        <w:t>Therapeutic Goods Regulations 1990</w:t>
      </w:r>
      <w:r w:rsidRPr="00D731D4">
        <w:rPr>
          <w:rFonts w:ascii="Times New Roman" w:eastAsia="Times New Roman" w:hAnsi="Times New Roman" w:cs="Times New Roman"/>
          <w:sz w:val="24"/>
          <w:szCs w:val="24"/>
          <w:lang w:eastAsia="en-AU"/>
        </w:rPr>
        <w:t xml:space="preserve">.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Medicines that are not eligible for listing because those medicines do not comply with these criteria (including compliance with the instrument) would be required to be registered, rather than listed, in the Register (a considerably more lengthy and costly exercise).</w:t>
      </w:r>
    </w:p>
    <w:p w14:paraId="09E316C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6E2595A" w14:textId="5D831C5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instrument is designed to provide a comprehensive list of ingredients which have been assessed or otherwise considered to be safe for use in listed (and assessed listed) medicines, and associated requirements to be followed when using particular ingredients in such products, to support the overall safety of these products for consumers.</w:t>
      </w:r>
    </w:p>
    <w:p w14:paraId="70D604C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648ADBB6" w14:textId="04A7890C"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requirements imposed under the instrument principally relate to ensuring the quality and safety of the ingredient when used. </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Requirements may relate, for example, to:</w:t>
      </w:r>
    </w:p>
    <w:p w14:paraId="3E1BC56F" w14:textId="6C8A965F"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 xml:space="preserve">how the ingredient is to be used in the medicine, that is, as an active, homoeopathic or excipient </w:t>
      </w:r>
      <w:proofErr w:type="gramStart"/>
      <w:r w:rsidRPr="00A521FE">
        <w:t>ingredient;</w:t>
      </w:r>
      <w:proofErr w:type="gramEnd"/>
    </w:p>
    <w:p w14:paraId="4A7217E1" w14:textId="7254D24B"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 xml:space="preserve">the intended method of ingestion or application of the medicine, for example, oral or topical </w:t>
      </w:r>
      <w:proofErr w:type="gramStart"/>
      <w:r w:rsidRPr="00A521FE">
        <w:t>use;</w:t>
      </w:r>
      <w:proofErr w:type="gramEnd"/>
    </w:p>
    <w:p w14:paraId="160AE370" w14:textId="2FBDB112"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 xml:space="preserve">the source of the ingredient, or procedures to be followed in its </w:t>
      </w:r>
      <w:proofErr w:type="gramStart"/>
      <w:r w:rsidRPr="00A521FE">
        <w:t>manufacture;</w:t>
      </w:r>
      <w:proofErr w:type="gramEnd"/>
    </w:p>
    <w:p w14:paraId="3AC40B37" w14:textId="547C978A"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appropriate limits on the volume or concentration of an ingredient; and</w:t>
      </w:r>
    </w:p>
    <w:p w14:paraId="0DEF1A6B" w14:textId="6C97C687"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inclusion of relevant safety information on product labels, for example, allergen advice or advice about the use of medicine containing the ingredient for susceptible members of the population such as children and pregnant women.</w:t>
      </w:r>
    </w:p>
    <w:p w14:paraId="3589B9EF" w14:textId="4993939A"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12364193" w14:textId="493F6D93" w:rsidR="00FE5514" w:rsidRPr="00FE5514" w:rsidRDefault="00D731D4" w:rsidP="001A7C14">
      <w:pPr>
        <w:autoSpaceDE w:val="0"/>
        <w:autoSpaceDN w:val="0"/>
        <w:adjustRightInd w:val="0"/>
        <w:spacing w:after="120"/>
        <w:rPr>
          <w:rFonts w:ascii="Times New Roman" w:eastAsia="Times New Roman" w:hAnsi="Times New Roman" w:cs="Times New Roman"/>
          <w:sz w:val="24"/>
          <w:szCs w:val="24"/>
          <w:lang w:eastAsia="en-AU"/>
        </w:rPr>
      </w:pPr>
      <w:commentRangeStart w:id="1"/>
      <w:r w:rsidRPr="00D731D4">
        <w:rPr>
          <w:rFonts w:ascii="Times New Roman" w:eastAsia="Times New Roman" w:hAnsi="Times New Roman" w:cs="Times New Roman"/>
          <w:sz w:val="24"/>
          <w:szCs w:val="24"/>
          <w:lang w:eastAsia="en-AU"/>
        </w:rPr>
        <w:t xml:space="preserve">The instrument repeals and replaces the former instrument, and incorporates </w:t>
      </w:r>
      <w:proofErr w:type="gramStart"/>
      <w:r w:rsidRPr="00D731D4">
        <w:rPr>
          <w:rFonts w:ascii="Times New Roman" w:eastAsia="Times New Roman" w:hAnsi="Times New Roman" w:cs="Times New Roman"/>
          <w:sz w:val="24"/>
          <w:szCs w:val="24"/>
          <w:lang w:eastAsia="en-AU"/>
        </w:rPr>
        <w:t>a number of</w:t>
      </w:r>
      <w:proofErr w:type="gramEnd"/>
      <w:r w:rsidRPr="00D731D4">
        <w:rPr>
          <w:rFonts w:ascii="Times New Roman" w:eastAsia="Times New Roman" w:hAnsi="Times New Roman" w:cs="Times New Roman"/>
          <w:sz w:val="24"/>
          <w:szCs w:val="24"/>
          <w:lang w:eastAsia="en-AU"/>
        </w:rPr>
        <w:t xml:space="preserve"> changes in comparison to the former instrument, including in particular:</w:t>
      </w:r>
      <w:commentRangeEnd w:id="1"/>
      <w:r w:rsidR="00A14E6A">
        <w:rPr>
          <w:rStyle w:val="CommentReference"/>
        </w:rPr>
        <w:commentReference w:id="1"/>
      </w:r>
    </w:p>
    <w:p w14:paraId="2094BEDE" w14:textId="77777777" w:rsidR="0091110C" w:rsidRDefault="0091110C" w:rsidP="0091110C">
      <w:pPr>
        <w:keepNext/>
        <w:numPr>
          <w:ilvl w:val="0"/>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r>
        <w:rPr>
          <w:rFonts w:ascii="Times New Roman" w:hAnsi="Times New Roman" w:cs="Times New Roman"/>
          <w:sz w:val="24"/>
        </w:rPr>
        <w:t>the addition of the following two new ingredients for use in listed and assessed listed medicines:</w:t>
      </w:r>
    </w:p>
    <w:p w14:paraId="056B1F06" w14:textId="77777777" w:rsidR="0091110C" w:rsidRPr="002E53C3" w:rsidRDefault="0091110C" w:rsidP="0091110C">
      <w:pPr>
        <w:keepNext/>
        <w:numPr>
          <w:ilvl w:val="1"/>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r>
        <w:rPr>
          <w:rFonts w:ascii="Times New Roman" w:hAnsi="Times New Roman" w:cs="Times New Roman"/>
          <w:sz w:val="24"/>
        </w:rPr>
        <w:t>s</w:t>
      </w:r>
      <w:r w:rsidRPr="002E53C3">
        <w:rPr>
          <w:rFonts w:ascii="Times New Roman" w:hAnsi="Times New Roman" w:cs="Times New Roman"/>
          <w:sz w:val="24"/>
        </w:rPr>
        <w:t>odium butyrate</w:t>
      </w:r>
      <w:r>
        <w:rPr>
          <w:rFonts w:ascii="Times New Roman" w:hAnsi="Times New Roman" w:cs="Times New Roman"/>
          <w:sz w:val="24"/>
        </w:rPr>
        <w:t>; and</w:t>
      </w:r>
    </w:p>
    <w:p w14:paraId="7991CA85" w14:textId="77777777" w:rsidR="0091110C" w:rsidRPr="002E53C3" w:rsidRDefault="0091110C" w:rsidP="0091110C">
      <w:pPr>
        <w:keepNext/>
        <w:numPr>
          <w:ilvl w:val="1"/>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proofErr w:type="spellStart"/>
      <w:r>
        <w:rPr>
          <w:rFonts w:ascii="Times New Roman" w:hAnsi="Times New Roman" w:cs="Times New Roman"/>
          <w:sz w:val="24"/>
        </w:rPr>
        <w:t>lacto</w:t>
      </w:r>
      <w:proofErr w:type="spellEnd"/>
      <w:r>
        <w:rPr>
          <w:rFonts w:ascii="Times New Roman" w:hAnsi="Times New Roman" w:cs="Times New Roman"/>
          <w:sz w:val="24"/>
        </w:rPr>
        <w:t>-N-</w:t>
      </w:r>
      <w:proofErr w:type="spellStart"/>
      <w:proofErr w:type="gramStart"/>
      <w:r>
        <w:rPr>
          <w:rFonts w:ascii="Times New Roman" w:hAnsi="Times New Roman" w:cs="Times New Roman"/>
          <w:sz w:val="24"/>
        </w:rPr>
        <w:t>neotetraose</w:t>
      </w:r>
      <w:proofErr w:type="spellEnd"/>
      <w:r>
        <w:rPr>
          <w:rFonts w:ascii="Times New Roman" w:hAnsi="Times New Roman" w:cs="Times New Roman"/>
          <w:sz w:val="24"/>
        </w:rPr>
        <w:t>;</w:t>
      </w:r>
      <w:proofErr w:type="gramEnd"/>
    </w:p>
    <w:p w14:paraId="691349FF"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the addition of the following </w:t>
      </w:r>
      <w:r>
        <w:rPr>
          <w:rFonts w:ascii="Times New Roman" w:eastAsia="Times New Roman" w:hAnsi="Times New Roman" w:cs="Times New Roman"/>
          <w:sz w:val="24"/>
          <w:szCs w:val="24"/>
          <w:lang w:eastAsia="en-AU"/>
        </w:rPr>
        <w:t>five</w:t>
      </w:r>
      <w:r w:rsidRPr="00033398">
        <w:rPr>
          <w:rFonts w:ascii="Times New Roman" w:eastAsia="Times New Roman" w:hAnsi="Times New Roman" w:cs="Times New Roman"/>
          <w:sz w:val="24"/>
          <w:szCs w:val="24"/>
          <w:lang w:eastAsia="en-AU"/>
        </w:rPr>
        <w:t xml:space="preserve"> ingredients for use </w:t>
      </w:r>
      <w:r>
        <w:rPr>
          <w:rFonts w:ascii="Times New Roman" w:eastAsia="Times New Roman" w:hAnsi="Times New Roman" w:cs="Times New Roman"/>
          <w:sz w:val="24"/>
          <w:szCs w:val="24"/>
          <w:lang w:eastAsia="en-AU"/>
        </w:rPr>
        <w:t>as part of</w:t>
      </w:r>
      <w:r w:rsidRPr="00033398">
        <w:rPr>
          <w:rFonts w:ascii="Times New Roman" w:eastAsia="Times New Roman" w:hAnsi="Times New Roman" w:cs="Times New Roman"/>
          <w:sz w:val="24"/>
          <w:szCs w:val="24"/>
          <w:lang w:eastAsia="en-AU"/>
        </w:rPr>
        <w:t xml:space="preserve"> flavour </w:t>
      </w:r>
      <w:r>
        <w:rPr>
          <w:rFonts w:ascii="Times New Roman" w:eastAsia="Times New Roman" w:hAnsi="Times New Roman" w:cs="Times New Roman"/>
          <w:sz w:val="24"/>
          <w:szCs w:val="24"/>
          <w:lang w:eastAsia="en-AU"/>
        </w:rPr>
        <w:t xml:space="preserve">or fragrance </w:t>
      </w:r>
      <w:r w:rsidRPr="00033398">
        <w:rPr>
          <w:rFonts w:ascii="Times New Roman" w:eastAsia="Times New Roman" w:hAnsi="Times New Roman" w:cs="Times New Roman"/>
          <w:sz w:val="24"/>
          <w:szCs w:val="24"/>
          <w:lang w:eastAsia="en-AU"/>
        </w:rPr>
        <w:t>proprietary excipient formulations in listed and assessed listed medicines:</w:t>
      </w:r>
    </w:p>
    <w:p w14:paraId="240ABB3E"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ja-JP"/>
        </w:rPr>
        <w:t>2-(4-Methylphenoxy)-N-1H-pyrazol-3-yl-N-(2-</w:t>
      </w:r>
      <w:proofErr w:type="gramStart"/>
      <w:r w:rsidRPr="00033398">
        <w:rPr>
          <w:rFonts w:ascii="Times New Roman" w:eastAsia="MS Mincho" w:hAnsi="Times New Roman" w:cs="Times New Roman"/>
          <w:sz w:val="24"/>
          <w:szCs w:val="24"/>
          <w:lang w:eastAsia="ja-JP"/>
        </w:rPr>
        <w:t>thienylmethyl)acetamide</w:t>
      </w:r>
      <w:proofErr w:type="gramEnd"/>
      <w:r w:rsidRPr="00033398">
        <w:rPr>
          <w:rFonts w:ascii="Times New Roman" w:eastAsia="MS Mincho" w:hAnsi="Times New Roman" w:cs="Times New Roman"/>
          <w:sz w:val="24"/>
          <w:szCs w:val="24"/>
          <w:lang w:eastAsia="ja-JP"/>
        </w:rPr>
        <w:t>;</w:t>
      </w:r>
    </w:p>
    <w:p w14:paraId="4ABDF9D0"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ethyl trans-2-</w:t>
      </w:r>
      <w:proofErr w:type="gramStart"/>
      <w:r w:rsidRPr="00033398">
        <w:rPr>
          <w:rFonts w:ascii="Times New Roman" w:eastAsia="Times New Roman" w:hAnsi="Times New Roman" w:cs="Times New Roman"/>
          <w:sz w:val="24"/>
          <w:szCs w:val="24"/>
          <w:lang w:eastAsia="en-AU"/>
        </w:rPr>
        <w:t>hex</w:t>
      </w:r>
      <w:r>
        <w:rPr>
          <w:rFonts w:ascii="Times New Roman" w:eastAsia="Times New Roman" w:hAnsi="Times New Roman" w:cs="Times New Roman"/>
          <w:sz w:val="24"/>
          <w:szCs w:val="24"/>
          <w:lang w:eastAsia="en-AU"/>
        </w:rPr>
        <w:t>e</w:t>
      </w:r>
      <w:r w:rsidRPr="00033398">
        <w:rPr>
          <w:rFonts w:ascii="Times New Roman" w:eastAsia="Times New Roman" w:hAnsi="Times New Roman" w:cs="Times New Roman"/>
          <w:sz w:val="24"/>
          <w:szCs w:val="24"/>
          <w:lang w:eastAsia="en-AU"/>
        </w:rPr>
        <w:t>noate;</w:t>
      </w:r>
      <w:proofErr w:type="gramEnd"/>
    </w:p>
    <w:p w14:paraId="7525748E"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ja-JP"/>
        </w:rPr>
        <w:t xml:space="preserve">linseed oil fatty </w:t>
      </w:r>
      <w:proofErr w:type="gramStart"/>
      <w:r w:rsidRPr="00033398">
        <w:rPr>
          <w:rFonts w:ascii="Times New Roman" w:eastAsia="MS Mincho" w:hAnsi="Times New Roman" w:cs="Times New Roman"/>
          <w:sz w:val="24"/>
          <w:szCs w:val="24"/>
          <w:lang w:eastAsia="ja-JP"/>
        </w:rPr>
        <w:t>acids;</w:t>
      </w:r>
      <w:proofErr w:type="gramEnd"/>
    </w:p>
    <w:p w14:paraId="38F55D2E"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l-limonene; and</w:t>
      </w:r>
    </w:p>
    <w:p w14:paraId="38046F46"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Z-beta</w:t>
      </w:r>
      <w:r w:rsidRPr="00033398">
        <w:rPr>
          <w:rFonts w:ascii="Cambria" w:eastAsia="MS Mincho" w:hAnsi="Cambria" w:cs="Times New Roman"/>
          <w:szCs w:val="20"/>
        </w:rPr>
        <w:t xml:space="preserve"> </w:t>
      </w:r>
      <w:proofErr w:type="spellStart"/>
      <w:proofErr w:type="gramStart"/>
      <w:r w:rsidRPr="00033398">
        <w:rPr>
          <w:rFonts w:ascii="Times New Roman" w:eastAsia="MS Mincho" w:hAnsi="Times New Roman" w:cs="Times New Roman"/>
          <w:sz w:val="24"/>
          <w:szCs w:val="24"/>
          <w:lang w:eastAsia="en-AU"/>
        </w:rPr>
        <w:t>damasc</w:t>
      </w:r>
      <w:r>
        <w:rPr>
          <w:rFonts w:ascii="Times New Roman" w:eastAsia="MS Mincho" w:hAnsi="Times New Roman" w:cs="Times New Roman"/>
          <w:sz w:val="24"/>
          <w:szCs w:val="24"/>
          <w:lang w:eastAsia="en-AU"/>
        </w:rPr>
        <w:t>one</w:t>
      </w:r>
      <w:proofErr w:type="spellEnd"/>
      <w:r w:rsidRPr="00033398">
        <w:rPr>
          <w:rFonts w:ascii="Times New Roman" w:eastAsia="MS Mincho" w:hAnsi="Times New Roman" w:cs="Times New Roman"/>
          <w:sz w:val="24"/>
          <w:szCs w:val="24"/>
          <w:lang w:eastAsia="en-AU"/>
        </w:rPr>
        <w:t>;</w:t>
      </w:r>
      <w:proofErr w:type="gramEnd"/>
    </w:p>
    <w:p w14:paraId="1D2DA7CC"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lastRenderedPageBreak/>
        <w:t xml:space="preserve">the </w:t>
      </w:r>
      <w:r>
        <w:rPr>
          <w:rFonts w:ascii="Times New Roman" w:eastAsia="Times New Roman" w:hAnsi="Times New Roman" w:cs="Times New Roman"/>
          <w:sz w:val="24"/>
          <w:szCs w:val="24"/>
          <w:lang w:eastAsia="en-AU"/>
        </w:rPr>
        <w:t>inclusion</w:t>
      </w:r>
      <w:r w:rsidRPr="00033398">
        <w:rPr>
          <w:rFonts w:ascii="Times New Roman" w:eastAsia="Times New Roman" w:hAnsi="Times New Roman" w:cs="Times New Roman"/>
          <w:sz w:val="24"/>
          <w:szCs w:val="24"/>
          <w:lang w:eastAsia="en-AU"/>
        </w:rPr>
        <w:t xml:space="preserve"> of the following </w:t>
      </w:r>
      <w:r>
        <w:rPr>
          <w:rFonts w:ascii="Times New Roman" w:eastAsia="Times New Roman" w:hAnsi="Times New Roman" w:cs="Times New Roman"/>
          <w:sz w:val="24"/>
          <w:szCs w:val="24"/>
          <w:lang w:eastAsia="en-AU"/>
        </w:rPr>
        <w:t>three</w:t>
      </w:r>
      <w:r w:rsidRPr="00033398">
        <w:rPr>
          <w:rFonts w:ascii="Times New Roman" w:eastAsia="Times New Roman" w:hAnsi="Times New Roman" w:cs="Times New Roman"/>
          <w:sz w:val="24"/>
          <w:szCs w:val="24"/>
          <w:lang w:eastAsia="en-AU"/>
        </w:rPr>
        <w:t xml:space="preserve"> ingredients for use in listed and assessed listed medicines. These ingredients reflect </w:t>
      </w:r>
      <w:proofErr w:type="gramStart"/>
      <w:r w:rsidRPr="00033398">
        <w:rPr>
          <w:rFonts w:ascii="Times New Roman" w:eastAsia="Times New Roman" w:hAnsi="Times New Roman" w:cs="Times New Roman"/>
          <w:sz w:val="24"/>
          <w:szCs w:val="24"/>
          <w:lang w:eastAsia="en-AU"/>
        </w:rPr>
        <w:t>particular proprietary</w:t>
      </w:r>
      <w:proofErr w:type="gramEnd"/>
      <w:r w:rsidRPr="00033398">
        <w:rPr>
          <w:rFonts w:ascii="Times New Roman" w:eastAsia="Times New Roman" w:hAnsi="Times New Roman" w:cs="Times New Roman"/>
          <w:sz w:val="24"/>
          <w:szCs w:val="24"/>
          <w:lang w:eastAsia="en-AU"/>
        </w:rPr>
        <w:t xml:space="preserve"> formulations that are and have been included in listed medicines in Australia for some time but were inadvertently omitted from the first (and subsequent) determinations </w:t>
      </w:r>
      <w:r>
        <w:rPr>
          <w:rFonts w:ascii="Times New Roman" w:eastAsia="Times New Roman" w:hAnsi="Times New Roman" w:cs="Times New Roman"/>
          <w:sz w:val="24"/>
          <w:szCs w:val="24"/>
          <w:lang w:eastAsia="en-AU"/>
        </w:rPr>
        <w:t xml:space="preserve">made </w:t>
      </w:r>
      <w:r w:rsidRPr="00033398">
        <w:rPr>
          <w:rFonts w:ascii="Times New Roman" w:eastAsia="Times New Roman" w:hAnsi="Times New Roman" w:cs="Times New Roman"/>
          <w:sz w:val="24"/>
          <w:szCs w:val="24"/>
          <w:lang w:eastAsia="en-AU"/>
        </w:rPr>
        <w:t>under section 26BB of the Act. These ingredient</w:t>
      </w:r>
      <w:r>
        <w:rPr>
          <w:rFonts w:ascii="Times New Roman" w:eastAsia="Times New Roman" w:hAnsi="Times New Roman" w:cs="Times New Roman"/>
          <w:sz w:val="24"/>
          <w:szCs w:val="24"/>
          <w:lang w:eastAsia="en-AU"/>
        </w:rPr>
        <w:t>s</w:t>
      </w:r>
      <w:r w:rsidRPr="0003339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have been</w:t>
      </w:r>
      <w:r w:rsidRPr="00033398">
        <w:rPr>
          <w:rFonts w:ascii="Times New Roman" w:eastAsia="Times New Roman" w:hAnsi="Times New Roman" w:cs="Times New Roman"/>
          <w:sz w:val="24"/>
          <w:szCs w:val="24"/>
          <w:lang w:eastAsia="en-AU"/>
        </w:rPr>
        <w:t xml:space="preserve"> reviewed by the TGA and determined to be appropriate for use in listed </w:t>
      </w:r>
      <w:r>
        <w:rPr>
          <w:rFonts w:ascii="Times New Roman" w:eastAsia="Times New Roman" w:hAnsi="Times New Roman" w:cs="Times New Roman"/>
          <w:sz w:val="24"/>
          <w:szCs w:val="24"/>
          <w:lang w:eastAsia="en-AU"/>
        </w:rPr>
        <w:t xml:space="preserve">and assessed listed </w:t>
      </w:r>
      <w:proofErr w:type="gramStart"/>
      <w:r w:rsidRPr="00033398">
        <w:rPr>
          <w:rFonts w:ascii="Times New Roman" w:eastAsia="Times New Roman" w:hAnsi="Times New Roman" w:cs="Times New Roman"/>
          <w:sz w:val="24"/>
          <w:szCs w:val="24"/>
          <w:lang w:eastAsia="en-AU"/>
        </w:rPr>
        <w:t>medicines;</w:t>
      </w:r>
      <w:proofErr w:type="gramEnd"/>
    </w:p>
    <w:p w14:paraId="7B8B0F01"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2-</w:t>
      </w:r>
      <w:proofErr w:type="gramStart"/>
      <w:r w:rsidRPr="00033398">
        <w:rPr>
          <w:rFonts w:ascii="Times New Roman" w:eastAsia="MS Mincho" w:hAnsi="Times New Roman" w:cs="Times New Roman"/>
          <w:sz w:val="24"/>
          <w:szCs w:val="24"/>
          <w:lang w:eastAsia="en-AU"/>
        </w:rPr>
        <w:t>isopropylphenol;</w:t>
      </w:r>
      <w:proofErr w:type="gramEnd"/>
    </w:p>
    <w:p w14:paraId="20CB87A9"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ja-JP"/>
        </w:rPr>
        <w:t>polybutadiene; and</w:t>
      </w:r>
    </w:p>
    <w:p w14:paraId="3B202042"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proofErr w:type="gramStart"/>
      <w:r w:rsidRPr="00033398">
        <w:rPr>
          <w:rFonts w:ascii="Times New Roman" w:eastAsia="MS Mincho" w:hAnsi="Times New Roman" w:cs="Times New Roman"/>
          <w:sz w:val="24"/>
          <w:szCs w:val="24"/>
          <w:lang w:eastAsia="en-AU"/>
        </w:rPr>
        <w:t>polystyrene;</w:t>
      </w:r>
      <w:proofErr w:type="gramEnd"/>
    </w:p>
    <w:p w14:paraId="5A8250DA"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updating the names </w:t>
      </w:r>
      <w:proofErr w:type="gramStart"/>
      <w:r w:rsidRPr="00033398">
        <w:rPr>
          <w:rFonts w:ascii="Times New Roman" w:eastAsia="Times New Roman" w:hAnsi="Times New Roman" w:cs="Times New Roman"/>
          <w:sz w:val="24"/>
          <w:szCs w:val="24"/>
          <w:lang w:eastAsia="en-AU"/>
        </w:rPr>
        <w:t xml:space="preserve">of  </w:t>
      </w:r>
      <w:r>
        <w:rPr>
          <w:rFonts w:ascii="Times New Roman" w:eastAsia="Times New Roman" w:hAnsi="Times New Roman" w:cs="Times New Roman"/>
          <w:sz w:val="24"/>
          <w:szCs w:val="24"/>
          <w:lang w:eastAsia="en-AU"/>
        </w:rPr>
        <w:t>two</w:t>
      </w:r>
      <w:proofErr w:type="gramEnd"/>
      <w:r>
        <w:rPr>
          <w:rFonts w:ascii="Times New Roman" w:eastAsia="Times New Roman" w:hAnsi="Times New Roman" w:cs="Times New Roman"/>
          <w:sz w:val="24"/>
          <w:szCs w:val="24"/>
          <w:lang w:eastAsia="en-AU"/>
        </w:rPr>
        <w:t xml:space="preserve"> </w:t>
      </w:r>
      <w:r w:rsidRPr="00033398">
        <w:rPr>
          <w:rFonts w:ascii="Times New Roman" w:eastAsia="Times New Roman" w:hAnsi="Times New Roman" w:cs="Times New Roman"/>
          <w:sz w:val="24"/>
          <w:szCs w:val="24"/>
          <w:lang w:eastAsia="en-AU"/>
        </w:rPr>
        <w:t xml:space="preserve">ingredients </w:t>
      </w:r>
      <w:r>
        <w:rPr>
          <w:rFonts w:ascii="Times New Roman" w:eastAsia="Times New Roman" w:hAnsi="Times New Roman" w:cs="Times New Roman"/>
          <w:sz w:val="24"/>
          <w:szCs w:val="24"/>
          <w:lang w:eastAsia="en-AU"/>
        </w:rPr>
        <w:t>for consistency with</w:t>
      </w:r>
      <w:r w:rsidRPr="00033398">
        <w:rPr>
          <w:rFonts w:ascii="Times New Roman" w:eastAsia="Times New Roman" w:hAnsi="Times New Roman" w:cs="Times New Roman"/>
          <w:sz w:val="24"/>
          <w:szCs w:val="24"/>
          <w:lang w:eastAsia="en-AU"/>
        </w:rPr>
        <w:t xml:space="preserve"> the amended Australian Approved Names:</w:t>
      </w:r>
    </w:p>
    <w:p w14:paraId="5464A2F8"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proofErr w:type="spellStart"/>
      <w:r w:rsidRPr="00033398">
        <w:rPr>
          <w:rFonts w:ascii="Times New Roman" w:eastAsia="Times New Roman" w:hAnsi="Times New Roman" w:cs="Times New Roman"/>
          <w:sz w:val="24"/>
          <w:szCs w:val="24"/>
          <w:lang w:eastAsia="en-AU"/>
        </w:rPr>
        <w:t>dupical</w:t>
      </w:r>
      <w:proofErr w:type="spellEnd"/>
      <w:r w:rsidRPr="00033398">
        <w:rPr>
          <w:rFonts w:ascii="Times New Roman" w:eastAsia="Times New Roman" w:hAnsi="Times New Roman" w:cs="Times New Roman"/>
          <w:sz w:val="24"/>
          <w:szCs w:val="24"/>
          <w:lang w:eastAsia="en-AU"/>
        </w:rPr>
        <w:t xml:space="preserve"> to </w:t>
      </w:r>
      <w:r w:rsidRPr="00033398">
        <w:rPr>
          <w:rFonts w:ascii="Times New Roman" w:eastAsia="MS Mincho" w:hAnsi="Times New Roman" w:cs="Times New Roman"/>
          <w:sz w:val="24"/>
          <w:szCs w:val="24"/>
          <w:lang w:eastAsia="en-AU"/>
        </w:rPr>
        <w:t>4-(octahydro-4,7-methano-5H-inden-5-ylidene)-butanal; and</w:t>
      </w:r>
    </w:p>
    <w:p w14:paraId="33CCF3E3"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proofErr w:type="spellStart"/>
      <w:r w:rsidRPr="00033398">
        <w:rPr>
          <w:rFonts w:ascii="Times New Roman" w:eastAsia="Times New Roman" w:hAnsi="Times New Roman" w:cs="Times New Roman"/>
          <w:sz w:val="24"/>
          <w:szCs w:val="24"/>
          <w:lang w:eastAsia="en-AU"/>
        </w:rPr>
        <w:t>ectoin</w:t>
      </w:r>
      <w:proofErr w:type="spellEnd"/>
      <w:r w:rsidRPr="00033398">
        <w:rPr>
          <w:rFonts w:ascii="Times New Roman" w:eastAsia="Times New Roman" w:hAnsi="Times New Roman" w:cs="Times New Roman"/>
          <w:sz w:val="24"/>
          <w:szCs w:val="24"/>
          <w:lang w:eastAsia="en-AU"/>
        </w:rPr>
        <w:t xml:space="preserve"> to </w:t>
      </w:r>
      <w:proofErr w:type="spellStart"/>
      <w:proofErr w:type="gramStart"/>
      <w:r w:rsidRPr="00033398">
        <w:rPr>
          <w:rFonts w:ascii="Times New Roman" w:eastAsia="Times New Roman" w:hAnsi="Times New Roman" w:cs="Times New Roman"/>
          <w:sz w:val="24"/>
          <w:szCs w:val="24"/>
          <w:lang w:eastAsia="en-AU"/>
        </w:rPr>
        <w:t>ectoine</w:t>
      </w:r>
      <w:proofErr w:type="spellEnd"/>
      <w:r w:rsidRPr="00033398">
        <w:rPr>
          <w:rFonts w:ascii="Times New Roman" w:eastAsia="Times New Roman" w:hAnsi="Times New Roman" w:cs="Times New Roman"/>
          <w:sz w:val="24"/>
          <w:szCs w:val="24"/>
          <w:lang w:eastAsia="en-AU"/>
        </w:rPr>
        <w:t>;</w:t>
      </w:r>
      <w:proofErr w:type="gramEnd"/>
    </w:p>
    <w:p w14:paraId="58B5259A"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updating the applicable requirements for </w:t>
      </w:r>
      <w:r>
        <w:rPr>
          <w:rFonts w:ascii="Times New Roman" w:eastAsia="Times New Roman" w:hAnsi="Times New Roman" w:cs="Times New Roman"/>
          <w:sz w:val="24"/>
          <w:szCs w:val="24"/>
          <w:lang w:eastAsia="en-AU"/>
        </w:rPr>
        <w:t>three</w:t>
      </w:r>
      <w:r w:rsidRPr="00033398">
        <w:rPr>
          <w:rFonts w:ascii="Times New Roman" w:eastAsia="Times New Roman" w:hAnsi="Times New Roman" w:cs="Times New Roman"/>
          <w:sz w:val="24"/>
          <w:szCs w:val="24"/>
          <w:lang w:eastAsia="en-AU"/>
        </w:rPr>
        <w:t xml:space="preserve"> ingredients:</w:t>
      </w:r>
    </w:p>
    <w:p w14:paraId="3870727E"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MS Mincho" w:hAnsi="Times New Roman" w:cs="Times New Roman"/>
          <w:sz w:val="24"/>
          <w:szCs w:val="24"/>
          <w:lang w:eastAsia="en-AU"/>
        </w:rPr>
        <w:t xml:space="preserve">sodium hyaluronate, </w:t>
      </w:r>
      <w:r w:rsidRPr="00033398">
        <w:rPr>
          <w:rFonts w:ascii="Times New Roman" w:eastAsia="Times New Roman" w:hAnsi="Times New Roman" w:cs="Times New Roman"/>
          <w:color w:val="000000"/>
          <w:sz w:val="24"/>
          <w:szCs w:val="24"/>
          <w:shd w:val="clear" w:color="auto" w:fill="FFFFFF"/>
          <w:lang w:eastAsia="en-AU"/>
        </w:rPr>
        <w:t xml:space="preserve">to allow for its use as an active ingredient </w:t>
      </w:r>
      <w:r>
        <w:rPr>
          <w:rFonts w:ascii="Times New Roman" w:eastAsia="Times New Roman" w:hAnsi="Times New Roman" w:cs="Times New Roman"/>
          <w:color w:val="000000"/>
          <w:sz w:val="24"/>
          <w:szCs w:val="24"/>
          <w:shd w:val="clear" w:color="auto" w:fill="FFFFFF"/>
          <w:lang w:eastAsia="en-AU"/>
        </w:rPr>
        <w:t xml:space="preserve">rather than, as currently, an excipient) </w:t>
      </w:r>
      <w:r w:rsidRPr="00033398">
        <w:rPr>
          <w:rFonts w:ascii="Times New Roman" w:eastAsia="Times New Roman" w:hAnsi="Times New Roman" w:cs="Times New Roman"/>
          <w:color w:val="000000"/>
          <w:sz w:val="24"/>
          <w:szCs w:val="24"/>
          <w:shd w:val="clear" w:color="auto" w:fill="FFFFFF"/>
          <w:lang w:eastAsia="en-AU"/>
        </w:rPr>
        <w:t>following an application that was made to the Secretary for this variation</w:t>
      </w:r>
      <w:r>
        <w:rPr>
          <w:rFonts w:ascii="Times New Roman" w:eastAsia="Times New Roman" w:hAnsi="Times New Roman" w:cs="Times New Roman"/>
          <w:color w:val="000000"/>
          <w:sz w:val="24"/>
          <w:szCs w:val="24"/>
          <w:shd w:val="clear" w:color="auto" w:fill="FFFFFF"/>
          <w:lang w:eastAsia="en-AU"/>
        </w:rPr>
        <w:t xml:space="preserve">, and to align the applicable requirements for </w:t>
      </w:r>
      <w:r w:rsidRPr="00033398">
        <w:rPr>
          <w:rFonts w:ascii="Times New Roman" w:eastAsia="MS Mincho" w:hAnsi="Times New Roman" w:cs="Times New Roman"/>
          <w:sz w:val="24"/>
          <w:szCs w:val="24"/>
          <w:lang w:eastAsia="en-AU"/>
        </w:rPr>
        <w:t>sodium hyaluronate</w:t>
      </w:r>
      <w:r>
        <w:rPr>
          <w:rFonts w:ascii="Times New Roman" w:eastAsia="Times New Roman" w:hAnsi="Times New Roman" w:cs="Times New Roman"/>
          <w:color w:val="000000"/>
          <w:sz w:val="24"/>
          <w:szCs w:val="24"/>
          <w:shd w:val="clear" w:color="auto" w:fill="FFFFFF"/>
          <w:lang w:eastAsia="en-AU"/>
        </w:rPr>
        <w:t xml:space="preserve"> when used as an excipient in preparations for topical dermal application with the safe limits established during the evaluation of the application</w:t>
      </w:r>
      <w:r w:rsidRPr="00033398">
        <w:rPr>
          <w:rFonts w:ascii="Times New Roman" w:eastAsia="Times New Roman" w:hAnsi="Times New Roman" w:cs="Times New Roman"/>
          <w:sz w:val="24"/>
          <w:szCs w:val="24"/>
          <w:lang w:eastAsia="en-AU"/>
        </w:rPr>
        <w:t>; and</w:t>
      </w:r>
    </w:p>
    <w:p w14:paraId="4CE514AE" w14:textId="77777777" w:rsidR="0091110C"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
          <w:sz w:val="24"/>
          <w:szCs w:val="24"/>
          <w:lang w:eastAsia="en-AU"/>
        </w:rPr>
        <w:t>Artemisia annua</w:t>
      </w:r>
      <w:r w:rsidRPr="00033398">
        <w:rPr>
          <w:rFonts w:ascii="Times New Roman" w:eastAsia="Times New Roman" w:hAnsi="Times New Roman" w:cs="Times New Roman"/>
          <w:sz w:val="24"/>
          <w:szCs w:val="24"/>
          <w:lang w:eastAsia="en-AU"/>
        </w:rPr>
        <w:t xml:space="preserve"> and </w:t>
      </w:r>
      <w:r w:rsidRPr="00033398">
        <w:rPr>
          <w:rFonts w:ascii="Times New Roman" w:eastAsia="Times New Roman" w:hAnsi="Times New Roman" w:cs="Times New Roman"/>
          <w:i/>
          <w:sz w:val="24"/>
          <w:szCs w:val="24"/>
          <w:lang w:eastAsia="en-AU"/>
        </w:rPr>
        <w:t>Artemisia absinthium,</w:t>
      </w:r>
      <w:r w:rsidRPr="00033398">
        <w:rPr>
          <w:rFonts w:ascii="Times New Roman" w:eastAsia="Times New Roman" w:hAnsi="Times New Roman" w:cs="Times New Roman"/>
          <w:sz w:val="24"/>
          <w:szCs w:val="24"/>
          <w:lang w:eastAsia="en-AU"/>
        </w:rPr>
        <w:t xml:space="preserve"> to </w:t>
      </w:r>
      <w:r>
        <w:rPr>
          <w:rFonts w:ascii="Times New Roman" w:eastAsia="Times New Roman" w:hAnsi="Times New Roman" w:cs="Times New Roman"/>
          <w:sz w:val="24"/>
          <w:szCs w:val="24"/>
          <w:lang w:eastAsia="en-AU"/>
        </w:rPr>
        <w:t xml:space="preserve">reflect </w:t>
      </w:r>
      <w:r w:rsidRPr="00033398">
        <w:rPr>
          <w:rFonts w:ascii="Times New Roman" w:eastAsia="Times New Roman" w:hAnsi="Times New Roman" w:cs="Times New Roman"/>
          <w:sz w:val="24"/>
          <w:szCs w:val="24"/>
          <w:lang w:eastAsia="en-AU"/>
        </w:rPr>
        <w:t xml:space="preserve">the risk of embryotoxicity associated with these </w:t>
      </w:r>
      <w:proofErr w:type="gramStart"/>
      <w:r w:rsidRPr="00033398">
        <w:rPr>
          <w:rFonts w:ascii="Times New Roman" w:eastAsia="Times New Roman" w:hAnsi="Times New Roman" w:cs="Times New Roman"/>
          <w:sz w:val="24"/>
          <w:szCs w:val="24"/>
          <w:lang w:eastAsia="en-AU"/>
        </w:rPr>
        <w:t>ingredients;</w:t>
      </w:r>
      <w:proofErr w:type="gramEnd"/>
    </w:p>
    <w:p w14:paraId="0B5726F0"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the removal of applicable requirements for the following ingredients:</w:t>
      </w:r>
    </w:p>
    <w:p w14:paraId="297D82DB" w14:textId="77777777" w:rsidR="0091110C" w:rsidRPr="00E011DB"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 xml:space="preserve">Calcifediol monohydrate and omega-3-acid ethyl esters 60, to reflect the expiry of periods of exclusive uses for </w:t>
      </w:r>
      <w:proofErr w:type="gramStart"/>
      <w:r w:rsidRPr="00E011DB">
        <w:rPr>
          <w:rFonts w:ascii="Times New Roman" w:eastAsia="Times New Roman" w:hAnsi="Times New Roman" w:cs="Times New Roman"/>
          <w:sz w:val="24"/>
          <w:szCs w:val="24"/>
          <w:lang w:eastAsia="en-AU"/>
        </w:rPr>
        <w:t>sponsors;</w:t>
      </w:r>
      <w:proofErr w:type="gramEnd"/>
    </w:p>
    <w:p w14:paraId="4F11D1D7" w14:textId="77777777" w:rsidR="0091110C" w:rsidRPr="00E011DB"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i/>
          <w:iCs/>
          <w:sz w:val="24"/>
          <w:szCs w:val="24"/>
          <w:lang w:eastAsia="en-AU"/>
        </w:rPr>
        <w:t xml:space="preserve">Phyllanthus </w:t>
      </w:r>
      <w:proofErr w:type="spellStart"/>
      <w:r w:rsidRPr="00E011DB">
        <w:rPr>
          <w:rFonts w:ascii="Times New Roman" w:eastAsia="Times New Roman" w:hAnsi="Times New Roman" w:cs="Times New Roman"/>
          <w:i/>
          <w:iCs/>
          <w:sz w:val="24"/>
          <w:szCs w:val="24"/>
          <w:lang w:eastAsia="en-AU"/>
        </w:rPr>
        <w:t>emblica</w:t>
      </w:r>
      <w:proofErr w:type="spellEnd"/>
      <w:r w:rsidRPr="00E011DB">
        <w:rPr>
          <w:rFonts w:ascii="Times New Roman" w:eastAsia="Times New Roman" w:hAnsi="Times New Roman" w:cs="Times New Roman"/>
          <w:i/>
          <w:iCs/>
          <w:sz w:val="24"/>
          <w:szCs w:val="24"/>
          <w:lang w:eastAsia="en-AU"/>
        </w:rPr>
        <w:t xml:space="preserve"> </w:t>
      </w:r>
      <w:r w:rsidRPr="00E011DB">
        <w:rPr>
          <w:rFonts w:ascii="Times New Roman" w:eastAsia="Times New Roman" w:hAnsi="Times New Roman" w:cs="Times New Roman"/>
          <w:iCs/>
          <w:sz w:val="24"/>
          <w:szCs w:val="24"/>
          <w:lang w:eastAsia="en-AU"/>
        </w:rPr>
        <w:t xml:space="preserve">and </w:t>
      </w:r>
      <w:r w:rsidRPr="00E011DB">
        <w:rPr>
          <w:rFonts w:ascii="Times New Roman" w:eastAsia="Times New Roman" w:hAnsi="Times New Roman" w:cs="Times New Roman"/>
          <w:i/>
          <w:iCs/>
          <w:sz w:val="24"/>
          <w:szCs w:val="24"/>
          <w:lang w:eastAsia="en-AU"/>
        </w:rPr>
        <w:t xml:space="preserve">Momordica </w:t>
      </w:r>
      <w:proofErr w:type="spellStart"/>
      <w:r w:rsidRPr="00E011DB">
        <w:rPr>
          <w:rFonts w:ascii="Times New Roman" w:eastAsia="Times New Roman" w:hAnsi="Times New Roman" w:cs="Times New Roman"/>
          <w:i/>
          <w:iCs/>
          <w:sz w:val="24"/>
          <w:szCs w:val="24"/>
          <w:lang w:eastAsia="en-AU"/>
        </w:rPr>
        <w:t>cochinchinensis</w:t>
      </w:r>
      <w:proofErr w:type="spellEnd"/>
      <w:r w:rsidRPr="00E011DB">
        <w:rPr>
          <w:rFonts w:ascii="Times New Roman" w:eastAsia="Times New Roman" w:hAnsi="Times New Roman" w:cs="Times New Roman"/>
          <w:sz w:val="24"/>
          <w:szCs w:val="24"/>
          <w:lang w:eastAsia="en-AU"/>
        </w:rPr>
        <w:t xml:space="preserve">, to reflect that the TGA no longer evaluates or allocates names for herbal constituents that can be used as therapeutic or quality markers in herbal </w:t>
      </w:r>
      <w:proofErr w:type="gramStart"/>
      <w:r w:rsidRPr="00E011DB">
        <w:rPr>
          <w:rFonts w:ascii="Times New Roman" w:eastAsia="Times New Roman" w:hAnsi="Times New Roman" w:cs="Times New Roman"/>
          <w:sz w:val="24"/>
          <w:szCs w:val="24"/>
          <w:lang w:eastAsia="en-AU"/>
        </w:rPr>
        <w:t>ingredients</w:t>
      </w:r>
      <w:r w:rsidRPr="00E011DB">
        <w:rPr>
          <w:rFonts w:ascii="Times New Roman" w:eastAsia="Times New Roman" w:hAnsi="Times New Roman" w:cs="Times New Roman"/>
          <w:iCs/>
          <w:sz w:val="24"/>
          <w:szCs w:val="24"/>
          <w:lang w:eastAsia="en-AU"/>
        </w:rPr>
        <w:t>;</w:t>
      </w:r>
      <w:proofErr w:type="gramEnd"/>
      <w:r w:rsidRPr="00E011DB">
        <w:rPr>
          <w:rFonts w:ascii="Times New Roman" w:eastAsia="Times New Roman" w:hAnsi="Times New Roman" w:cs="Times New Roman"/>
          <w:iCs/>
          <w:sz w:val="24"/>
          <w:szCs w:val="24"/>
          <w:lang w:eastAsia="en-AU"/>
        </w:rPr>
        <w:t xml:space="preserve"> </w:t>
      </w:r>
    </w:p>
    <w:p w14:paraId="79AC0D7A" w14:textId="77777777" w:rsidR="0091110C" w:rsidRPr="00E011DB"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iCs/>
          <w:sz w:val="24"/>
          <w:szCs w:val="24"/>
          <w:lang w:eastAsia="en-AU"/>
        </w:rPr>
        <w:t xml:space="preserve">magnesium amino acid </w:t>
      </w:r>
      <w:proofErr w:type="gramStart"/>
      <w:r w:rsidRPr="00E011DB">
        <w:rPr>
          <w:rFonts w:ascii="Times New Roman" w:eastAsia="Times New Roman" w:hAnsi="Times New Roman" w:cs="Times New Roman"/>
          <w:iCs/>
          <w:sz w:val="24"/>
          <w:szCs w:val="24"/>
          <w:lang w:eastAsia="en-AU"/>
        </w:rPr>
        <w:t>chelate</w:t>
      </w:r>
      <w:proofErr w:type="gramEnd"/>
      <w:r w:rsidRPr="00E011DB">
        <w:rPr>
          <w:rFonts w:ascii="Times New Roman" w:eastAsia="Times New Roman" w:hAnsi="Times New Roman" w:cs="Times New Roman"/>
          <w:iCs/>
          <w:sz w:val="24"/>
          <w:szCs w:val="24"/>
          <w:lang w:eastAsia="en-AU"/>
        </w:rPr>
        <w:t>, to reflect that requirements specific to inorganic magnesium salts are not applicable;</w:t>
      </w:r>
      <w:r>
        <w:rPr>
          <w:rFonts w:ascii="Times New Roman" w:eastAsia="Times New Roman" w:hAnsi="Times New Roman" w:cs="Times New Roman"/>
          <w:iCs/>
          <w:sz w:val="24"/>
          <w:szCs w:val="24"/>
          <w:lang w:eastAsia="en-AU"/>
        </w:rPr>
        <w:t xml:space="preserve"> and</w:t>
      </w:r>
    </w:p>
    <w:p w14:paraId="588E027F" w14:textId="77777777" w:rsidR="0091110C" w:rsidRPr="00E011DB"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 xml:space="preserve">benzoic acid, ethanol and ribose, to </w:t>
      </w:r>
      <w:r>
        <w:rPr>
          <w:rFonts w:ascii="Times New Roman" w:eastAsia="Times New Roman" w:hAnsi="Times New Roman" w:cs="Times New Roman"/>
          <w:sz w:val="24"/>
          <w:szCs w:val="24"/>
          <w:lang w:eastAsia="en-AU"/>
        </w:rPr>
        <w:t>avoid duplication with</w:t>
      </w:r>
      <w:r w:rsidRPr="00E011D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equivalent </w:t>
      </w:r>
      <w:r w:rsidRPr="00E011DB">
        <w:rPr>
          <w:rFonts w:ascii="Times New Roman" w:eastAsia="Times New Roman" w:hAnsi="Times New Roman" w:cs="Times New Roman"/>
          <w:sz w:val="24"/>
          <w:szCs w:val="24"/>
          <w:lang w:eastAsia="en-AU"/>
        </w:rPr>
        <w:t xml:space="preserve">requirements </w:t>
      </w:r>
      <w:r>
        <w:rPr>
          <w:rFonts w:ascii="Times New Roman" w:eastAsia="Times New Roman" w:hAnsi="Times New Roman" w:cs="Times New Roman"/>
          <w:sz w:val="24"/>
          <w:szCs w:val="24"/>
          <w:lang w:eastAsia="en-AU"/>
        </w:rPr>
        <w:t xml:space="preserve">already </w:t>
      </w:r>
      <w:r w:rsidRPr="00E011DB">
        <w:rPr>
          <w:rFonts w:ascii="Times New Roman" w:eastAsia="Times New Roman" w:hAnsi="Times New Roman" w:cs="Times New Roman"/>
          <w:sz w:val="24"/>
          <w:szCs w:val="24"/>
          <w:lang w:eastAsia="en-AU"/>
        </w:rPr>
        <w:t xml:space="preserve">separately apply to </w:t>
      </w:r>
      <w:r>
        <w:rPr>
          <w:rFonts w:ascii="Times New Roman" w:eastAsia="Times New Roman" w:hAnsi="Times New Roman" w:cs="Times New Roman"/>
          <w:sz w:val="24"/>
          <w:szCs w:val="24"/>
          <w:lang w:eastAsia="en-AU"/>
        </w:rPr>
        <w:t xml:space="preserve">listed or assessed listed </w:t>
      </w:r>
      <w:proofErr w:type="gramStart"/>
      <w:r w:rsidRPr="00E011DB">
        <w:rPr>
          <w:rFonts w:ascii="Times New Roman" w:eastAsia="Times New Roman" w:hAnsi="Times New Roman" w:cs="Times New Roman"/>
          <w:sz w:val="24"/>
          <w:szCs w:val="24"/>
          <w:lang w:eastAsia="en-AU"/>
        </w:rPr>
        <w:t>medicines  contain</w:t>
      </w:r>
      <w:r>
        <w:rPr>
          <w:rFonts w:ascii="Times New Roman" w:eastAsia="Times New Roman" w:hAnsi="Times New Roman" w:cs="Times New Roman"/>
          <w:sz w:val="24"/>
          <w:szCs w:val="24"/>
          <w:lang w:eastAsia="en-AU"/>
        </w:rPr>
        <w:t>ing</w:t>
      </w:r>
      <w:proofErr w:type="gramEnd"/>
      <w:r w:rsidRPr="00E011DB">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se</w:t>
      </w:r>
      <w:r w:rsidRPr="00E011DB">
        <w:rPr>
          <w:rFonts w:ascii="Times New Roman" w:eastAsia="Times New Roman" w:hAnsi="Times New Roman" w:cs="Times New Roman"/>
          <w:sz w:val="24"/>
          <w:szCs w:val="24"/>
          <w:lang w:eastAsia="en-AU"/>
        </w:rPr>
        <w:t xml:space="preserve"> ingredients under </w:t>
      </w:r>
      <w:r w:rsidRPr="00E011DB">
        <w:rPr>
          <w:rFonts w:ascii="Times New Roman" w:eastAsia="Times New Roman" w:hAnsi="Times New Roman" w:cs="Times New Roman"/>
          <w:i/>
          <w:sz w:val="24"/>
          <w:szCs w:val="24"/>
          <w:lang w:eastAsia="en-AU"/>
        </w:rPr>
        <w:t>Therapeutic Goods Order No. 92 - Standard for labels of non-prescription medicines</w:t>
      </w:r>
      <w:r w:rsidRPr="00E011DB">
        <w:rPr>
          <w:rFonts w:ascii="Times New Roman" w:eastAsia="Times New Roman" w:hAnsi="Times New Roman" w:cs="Times New Roman"/>
          <w:sz w:val="24"/>
          <w:szCs w:val="24"/>
          <w:lang w:eastAsia="en-AU"/>
        </w:rPr>
        <w:t>;</w:t>
      </w:r>
    </w:p>
    <w:p w14:paraId="5B02A1AB" w14:textId="77777777" w:rsidR="0091110C" w:rsidRPr="00E011DB" w:rsidRDefault="0091110C" w:rsidP="0091110C">
      <w:pPr>
        <w:pStyle w:val="ListParagraph"/>
        <w:numPr>
          <w:ilvl w:val="0"/>
          <w:numId w:val="11"/>
        </w:numPr>
      </w:pPr>
      <w:r w:rsidRPr="00E011DB">
        <w:t xml:space="preserve">minor amendments to 29 ingredients to reflect the expiry of transition periods for requirements relating to those </w:t>
      </w:r>
      <w:proofErr w:type="gramStart"/>
      <w:r w:rsidRPr="00E011DB">
        <w:t>ingredients;</w:t>
      </w:r>
      <w:proofErr w:type="gramEnd"/>
    </w:p>
    <w:p w14:paraId="0F010DAB"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 xml:space="preserve">minor clarifications and correction of minor typographical errors for the purpose of improving the internal consistency of the Determination, including </w:t>
      </w:r>
      <w:r w:rsidRPr="00033398">
        <w:rPr>
          <w:rFonts w:ascii="Times New Roman" w:eastAsia="Times New Roman" w:hAnsi="Times New Roman" w:cs="Times New Roman"/>
          <w:iCs/>
          <w:sz w:val="24"/>
          <w:szCs w:val="24"/>
          <w:lang w:eastAsia="en-AU"/>
        </w:rPr>
        <w:t xml:space="preserve">the correction of requirements for the following </w:t>
      </w:r>
      <w:r>
        <w:rPr>
          <w:rFonts w:ascii="Times New Roman" w:eastAsia="Times New Roman" w:hAnsi="Times New Roman" w:cs="Times New Roman"/>
          <w:iCs/>
          <w:sz w:val="24"/>
          <w:szCs w:val="24"/>
          <w:lang w:eastAsia="en-AU"/>
        </w:rPr>
        <w:t>four</w:t>
      </w:r>
      <w:r w:rsidRPr="00033398">
        <w:rPr>
          <w:rFonts w:ascii="Times New Roman" w:eastAsia="Times New Roman" w:hAnsi="Times New Roman" w:cs="Times New Roman"/>
          <w:iCs/>
          <w:sz w:val="24"/>
          <w:szCs w:val="24"/>
          <w:lang w:eastAsia="en-AU"/>
        </w:rPr>
        <w:t xml:space="preserve"> ingredients:</w:t>
      </w:r>
    </w:p>
    <w:p w14:paraId="367605DB"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Cs/>
          <w:sz w:val="24"/>
          <w:szCs w:val="24"/>
          <w:lang w:eastAsia="en-AU"/>
        </w:rPr>
        <w:t xml:space="preserve">blackstrap </w:t>
      </w:r>
      <w:proofErr w:type="gramStart"/>
      <w:r w:rsidRPr="00033398">
        <w:rPr>
          <w:rFonts w:ascii="Times New Roman" w:eastAsia="Times New Roman" w:hAnsi="Times New Roman" w:cs="Times New Roman"/>
          <w:iCs/>
          <w:sz w:val="24"/>
          <w:szCs w:val="24"/>
          <w:lang w:eastAsia="en-AU"/>
        </w:rPr>
        <w:t>molasses;</w:t>
      </w:r>
      <w:proofErr w:type="gramEnd"/>
      <w:r w:rsidRPr="00033398">
        <w:rPr>
          <w:rFonts w:ascii="Times New Roman" w:eastAsia="Times New Roman" w:hAnsi="Times New Roman" w:cs="Times New Roman"/>
          <w:iCs/>
          <w:sz w:val="24"/>
          <w:szCs w:val="24"/>
          <w:lang w:eastAsia="en-AU"/>
        </w:rPr>
        <w:t xml:space="preserve"> </w:t>
      </w:r>
    </w:p>
    <w:p w14:paraId="68CB66E4" w14:textId="77777777" w:rsidR="0091110C" w:rsidRPr="00033398"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
          <w:iCs/>
          <w:sz w:val="24"/>
          <w:szCs w:val="24"/>
          <w:lang w:eastAsia="en-AU"/>
        </w:rPr>
        <w:t xml:space="preserve">Carthamus </w:t>
      </w:r>
      <w:proofErr w:type="gramStart"/>
      <w:r w:rsidRPr="00033398">
        <w:rPr>
          <w:rFonts w:ascii="Times New Roman" w:eastAsia="Times New Roman" w:hAnsi="Times New Roman" w:cs="Times New Roman"/>
          <w:i/>
          <w:iCs/>
          <w:sz w:val="24"/>
          <w:szCs w:val="24"/>
          <w:lang w:eastAsia="en-AU"/>
        </w:rPr>
        <w:t>tinctorius</w:t>
      </w:r>
      <w:r w:rsidRPr="00033398">
        <w:rPr>
          <w:rFonts w:ascii="Times New Roman" w:eastAsia="Times New Roman" w:hAnsi="Times New Roman" w:cs="Times New Roman"/>
          <w:iCs/>
          <w:sz w:val="24"/>
          <w:szCs w:val="24"/>
          <w:lang w:eastAsia="en-AU"/>
        </w:rPr>
        <w:t>;</w:t>
      </w:r>
      <w:proofErr w:type="gramEnd"/>
    </w:p>
    <w:p w14:paraId="5E372BD7" w14:textId="77777777" w:rsidR="0091110C" w:rsidRPr="00260B5E"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iCs/>
          <w:sz w:val="24"/>
          <w:szCs w:val="24"/>
          <w:lang w:eastAsia="en-AU"/>
        </w:rPr>
        <w:t>strong ammonia solution;</w:t>
      </w:r>
      <w:r>
        <w:rPr>
          <w:rFonts w:ascii="Times New Roman" w:eastAsia="Times New Roman" w:hAnsi="Times New Roman" w:cs="Times New Roman"/>
          <w:iCs/>
          <w:sz w:val="24"/>
          <w:szCs w:val="24"/>
          <w:lang w:eastAsia="en-AU"/>
        </w:rPr>
        <w:t xml:space="preserve"> and</w:t>
      </w:r>
      <w:r w:rsidRPr="00033398">
        <w:rPr>
          <w:rFonts w:ascii="Times New Roman" w:eastAsia="Times New Roman" w:hAnsi="Times New Roman" w:cs="Times New Roman"/>
          <w:iCs/>
          <w:sz w:val="24"/>
          <w:szCs w:val="24"/>
          <w:lang w:eastAsia="en-AU"/>
        </w:rPr>
        <w:t xml:space="preserve"> </w:t>
      </w:r>
    </w:p>
    <w:p w14:paraId="0599D058" w14:textId="77777777" w:rsidR="0091110C" w:rsidRPr="00E011DB" w:rsidRDefault="0091110C" w:rsidP="0091110C">
      <w:pPr>
        <w:numPr>
          <w:ilvl w:val="1"/>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Cs/>
          <w:sz w:val="24"/>
          <w:szCs w:val="24"/>
          <w:lang w:eastAsia="en-AU"/>
        </w:rPr>
        <w:lastRenderedPageBreak/>
        <w:t xml:space="preserve">ferrous </w:t>
      </w:r>
      <w:proofErr w:type="gramStart"/>
      <w:r>
        <w:rPr>
          <w:rFonts w:ascii="Times New Roman" w:eastAsia="Times New Roman" w:hAnsi="Times New Roman" w:cs="Times New Roman"/>
          <w:iCs/>
          <w:sz w:val="24"/>
          <w:szCs w:val="24"/>
          <w:lang w:eastAsia="en-AU"/>
        </w:rPr>
        <w:t>fumarate;</w:t>
      </w:r>
      <w:proofErr w:type="gramEnd"/>
    </w:p>
    <w:p w14:paraId="78DA6F65" w14:textId="77777777" w:rsidR="0091110C" w:rsidRPr="00033398" w:rsidRDefault="0091110C" w:rsidP="0091110C">
      <w:pPr>
        <w:numPr>
          <w:ilvl w:val="0"/>
          <w:numId w:val="11"/>
        </w:numPr>
        <w:autoSpaceDE w:val="0"/>
        <w:autoSpaceDN w:val="0"/>
        <w:adjustRightInd w:val="0"/>
        <w:spacing w:before="120" w:after="120" w:line="240" w:lineRule="auto"/>
        <w:rPr>
          <w:rFonts w:ascii="Times New Roman" w:eastAsia="Times New Roman" w:hAnsi="Times New Roman" w:cs="Times New Roman"/>
          <w:sz w:val="24"/>
          <w:szCs w:val="24"/>
          <w:lang w:eastAsia="en-AU"/>
        </w:rPr>
      </w:pPr>
      <w:r w:rsidRPr="00033398">
        <w:rPr>
          <w:rFonts w:ascii="Times New Roman" w:eastAsia="Times New Roman" w:hAnsi="Times New Roman" w:cs="Times New Roman"/>
          <w:sz w:val="24"/>
          <w:szCs w:val="24"/>
          <w:lang w:eastAsia="en-AU"/>
        </w:rPr>
        <w:t>the removal of the following ingredients:</w:t>
      </w:r>
    </w:p>
    <w:p w14:paraId="6EF07511" w14:textId="77777777" w:rsidR="0091110C" w:rsidRPr="00E011DB" w:rsidRDefault="0091110C" w:rsidP="0091110C">
      <w:pPr>
        <w:keepNext/>
        <w:numPr>
          <w:ilvl w:val="1"/>
          <w:numId w:val="11"/>
        </w:numPr>
        <w:autoSpaceDE w:val="0"/>
        <w:autoSpaceDN w:val="0"/>
        <w:adjustRightInd w:val="0"/>
        <w:spacing w:before="120" w:after="0" w:line="240" w:lineRule="auto"/>
        <w:rPr>
          <w:rFonts w:ascii="Times New Roman" w:eastAsia="Times New Roman" w:hAnsi="Times New Roman" w:cs="Times New Roman"/>
          <w:b/>
          <w:bCs/>
          <w:sz w:val="24"/>
          <w:szCs w:val="24"/>
          <w:lang w:eastAsia="en-AU"/>
        </w:rPr>
      </w:pPr>
      <w:r w:rsidRPr="00033398">
        <w:rPr>
          <w:rFonts w:ascii="Times New Roman" w:eastAsia="Times New Roman" w:hAnsi="Times New Roman" w:cs="Times New Roman"/>
          <w:sz w:val="24"/>
          <w:szCs w:val="24"/>
          <w:lang w:eastAsia="en-AU"/>
        </w:rPr>
        <w:t xml:space="preserve">sodium glycerophosphate, to reflect that this ingredient is included in Schedule 4 to the </w:t>
      </w:r>
      <w:r>
        <w:rPr>
          <w:rFonts w:ascii="Times New Roman" w:eastAsia="Times New Roman" w:hAnsi="Times New Roman" w:cs="Times New Roman"/>
          <w:sz w:val="24"/>
          <w:szCs w:val="24"/>
          <w:lang w:eastAsia="en-AU"/>
        </w:rPr>
        <w:t xml:space="preserve">current </w:t>
      </w:r>
      <w:r w:rsidRPr="00033398">
        <w:rPr>
          <w:rFonts w:ascii="Times New Roman" w:eastAsia="Times New Roman" w:hAnsi="Times New Roman" w:cs="Times New Roman"/>
          <w:sz w:val="24"/>
          <w:szCs w:val="24"/>
          <w:lang w:eastAsia="en-AU"/>
        </w:rPr>
        <w:t xml:space="preserve">Poisons Standard </w:t>
      </w:r>
      <w:r>
        <w:rPr>
          <w:rFonts w:ascii="Times New Roman" w:eastAsia="Times New Roman" w:hAnsi="Times New Roman" w:cs="Times New Roman"/>
          <w:sz w:val="24"/>
          <w:szCs w:val="24"/>
          <w:lang w:eastAsia="en-AU"/>
        </w:rPr>
        <w:t xml:space="preserve">(for the purposes of section 9A of the Act, </w:t>
      </w:r>
      <w:r w:rsidRPr="00033398">
        <w:rPr>
          <w:rFonts w:ascii="Times New Roman" w:eastAsia="Times New Roman" w:hAnsi="Times New Roman" w:cs="Times New Roman"/>
          <w:sz w:val="24"/>
          <w:szCs w:val="24"/>
          <w:lang w:eastAsia="en-AU"/>
        </w:rPr>
        <w:t xml:space="preserve">Schedule 4 to the Regulations </w:t>
      </w:r>
      <w:r>
        <w:rPr>
          <w:rFonts w:ascii="Times New Roman" w:eastAsia="Times New Roman" w:hAnsi="Times New Roman" w:cs="Times New Roman"/>
          <w:sz w:val="24"/>
          <w:szCs w:val="24"/>
          <w:lang w:eastAsia="en-AU"/>
        </w:rPr>
        <w:t xml:space="preserve">prescribes those therapeutic goods that are required to be included in the part of the Register for listable  goods.  Schedule 4 </w:t>
      </w:r>
      <w:r w:rsidRPr="00033398">
        <w:rPr>
          <w:rFonts w:ascii="Times New Roman" w:eastAsia="Times New Roman" w:hAnsi="Times New Roman" w:cs="Times New Roman"/>
          <w:sz w:val="24"/>
          <w:szCs w:val="24"/>
          <w:lang w:eastAsia="en-AU"/>
        </w:rPr>
        <w:t>require</w:t>
      </w:r>
      <w:r>
        <w:rPr>
          <w:rFonts w:ascii="Times New Roman" w:eastAsia="Times New Roman" w:hAnsi="Times New Roman" w:cs="Times New Roman"/>
          <w:sz w:val="24"/>
          <w:szCs w:val="24"/>
          <w:lang w:eastAsia="en-AU"/>
        </w:rPr>
        <w:t>s</w:t>
      </w:r>
      <w:r w:rsidRPr="00033398">
        <w:rPr>
          <w:rFonts w:ascii="Times New Roman" w:eastAsia="Times New Roman" w:hAnsi="Times New Roman" w:cs="Times New Roman"/>
          <w:sz w:val="24"/>
          <w:szCs w:val="24"/>
          <w:lang w:eastAsia="en-AU"/>
        </w:rPr>
        <w:t xml:space="preserve"> that to be listable a medicine must not contain a substance that is included in a schedule to the Poisons Standard</w:t>
      </w:r>
      <w:proofErr w:type="gramStart"/>
      <w:r>
        <w:rPr>
          <w:rFonts w:ascii="Times New Roman" w:eastAsia="Times New Roman" w:hAnsi="Times New Roman" w:cs="Times New Roman"/>
          <w:sz w:val="24"/>
          <w:szCs w:val="24"/>
          <w:lang w:eastAsia="en-AU"/>
        </w:rPr>
        <w:t>)</w:t>
      </w:r>
      <w:r w:rsidRPr="00033398">
        <w:rPr>
          <w:rFonts w:ascii="Times New Roman" w:eastAsia="Times New Roman" w:hAnsi="Times New Roman" w:cs="Times New Roman"/>
          <w:sz w:val="24"/>
          <w:szCs w:val="24"/>
          <w:lang w:eastAsia="en-AU"/>
        </w:rPr>
        <w:t>;</w:t>
      </w:r>
      <w:proofErr w:type="gramEnd"/>
    </w:p>
    <w:p w14:paraId="19C8054A" w14:textId="77777777" w:rsidR="0091110C" w:rsidRPr="00E011DB" w:rsidRDefault="0091110C" w:rsidP="0091110C">
      <w:pPr>
        <w:keepNext/>
        <w:numPr>
          <w:ilvl w:val="1"/>
          <w:numId w:val="11"/>
        </w:numPr>
        <w:autoSpaceDE w:val="0"/>
        <w:autoSpaceDN w:val="0"/>
        <w:adjustRightInd w:val="0"/>
        <w:spacing w:before="120" w:after="0" w:line="240" w:lineRule="auto"/>
        <w:rPr>
          <w:rFonts w:ascii="Times New Roman" w:eastAsia="Times New Roman" w:hAnsi="Times New Roman" w:cs="Times New Roman"/>
          <w:sz w:val="24"/>
          <w:szCs w:val="24"/>
          <w:lang w:eastAsia="en-AU"/>
        </w:rPr>
      </w:pPr>
      <w:r w:rsidRPr="00E011DB">
        <w:rPr>
          <w:rFonts w:ascii="Times New Roman" w:eastAsia="Times New Roman" w:hAnsi="Times New Roman" w:cs="Times New Roman"/>
          <w:sz w:val="24"/>
          <w:szCs w:val="24"/>
          <w:lang w:eastAsia="en-AU"/>
        </w:rPr>
        <w:t xml:space="preserve">dill weed oil, to reflect that this ingredient is already included in the Determination as dill herb </w:t>
      </w:r>
      <w:proofErr w:type="gramStart"/>
      <w:r w:rsidRPr="00E011DB">
        <w:rPr>
          <w:rFonts w:ascii="Times New Roman" w:eastAsia="Times New Roman" w:hAnsi="Times New Roman" w:cs="Times New Roman"/>
          <w:sz w:val="24"/>
          <w:szCs w:val="24"/>
          <w:lang w:eastAsia="en-AU"/>
        </w:rPr>
        <w:t>oil;</w:t>
      </w:r>
      <w:proofErr w:type="gramEnd"/>
    </w:p>
    <w:p w14:paraId="297FA1F4" w14:textId="77777777" w:rsidR="0091110C" w:rsidRPr="00E011DB" w:rsidRDefault="0091110C" w:rsidP="0091110C">
      <w:pPr>
        <w:keepNext/>
        <w:numPr>
          <w:ilvl w:val="1"/>
          <w:numId w:val="11"/>
        </w:numPr>
        <w:autoSpaceDE w:val="0"/>
        <w:autoSpaceDN w:val="0"/>
        <w:adjustRightInd w:val="0"/>
        <w:spacing w:before="120" w:after="0" w:line="240" w:lineRule="auto"/>
        <w:rPr>
          <w:rFonts w:ascii="Times New Roman" w:eastAsia="Times New Roman" w:hAnsi="Times New Roman" w:cs="Times New Roman"/>
          <w:sz w:val="24"/>
          <w:szCs w:val="24"/>
          <w:lang w:eastAsia="en-AU"/>
        </w:rPr>
      </w:pPr>
      <w:r w:rsidRPr="00B923F2">
        <w:rPr>
          <w:rFonts w:ascii="Times New Roman" w:eastAsia="Times New Roman" w:hAnsi="Times New Roman" w:cs="Times New Roman"/>
          <w:sz w:val="24"/>
          <w:szCs w:val="24"/>
          <w:lang w:eastAsia="en-AU"/>
        </w:rPr>
        <w:t xml:space="preserve">oligofructose, to reflect that this ingredient is already included in the Determination as </w:t>
      </w:r>
      <w:proofErr w:type="spellStart"/>
      <w:r w:rsidRPr="00B923F2">
        <w:rPr>
          <w:rFonts w:ascii="Times New Roman" w:eastAsia="Times New Roman" w:hAnsi="Times New Roman" w:cs="Times New Roman"/>
          <w:sz w:val="24"/>
          <w:szCs w:val="24"/>
          <w:lang w:eastAsia="en-AU"/>
        </w:rPr>
        <w:t>fructooligosaccharides</w:t>
      </w:r>
      <w:proofErr w:type="spellEnd"/>
      <w:r w:rsidRPr="00E011DB">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and</w:t>
      </w:r>
    </w:p>
    <w:p w14:paraId="2074DEB7" w14:textId="77777777" w:rsidR="0091110C" w:rsidRDefault="0091110C" w:rsidP="0091110C">
      <w:pPr>
        <w:keepNext/>
        <w:numPr>
          <w:ilvl w:val="1"/>
          <w:numId w:val="11"/>
        </w:numPr>
        <w:autoSpaceDE w:val="0"/>
        <w:autoSpaceDN w:val="0"/>
        <w:adjustRightInd w:val="0"/>
        <w:spacing w:before="120" w:after="0" w:line="240" w:lineRule="auto"/>
      </w:pPr>
      <w:r w:rsidRPr="002D2381">
        <w:rPr>
          <w:rFonts w:ascii="Times New Roman" w:eastAsia="Times New Roman" w:hAnsi="Times New Roman" w:cs="Times New Roman"/>
          <w:sz w:val="24"/>
          <w:szCs w:val="24"/>
          <w:lang w:eastAsia="en-AU"/>
        </w:rPr>
        <w:t xml:space="preserve">Malus pumila and 4-(4-hydroxy-4-methylpentyl)-3-cyclohexene carboxaldehyde, </w:t>
      </w:r>
      <w:r w:rsidRPr="00E011DB">
        <w:rPr>
          <w:rFonts w:ascii="Times New Roman" w:eastAsia="Times New Roman" w:hAnsi="Times New Roman" w:cs="Times New Roman"/>
          <w:sz w:val="24"/>
          <w:szCs w:val="24"/>
          <w:lang w:eastAsia="en-AU"/>
        </w:rPr>
        <w:t>to reflect that</w:t>
      </w:r>
      <w:r w:rsidRPr="002D2381">
        <w:rPr>
          <w:rFonts w:ascii="Times New Roman" w:eastAsia="Times New Roman" w:hAnsi="Times New Roman" w:cs="Times New Roman"/>
          <w:sz w:val="24"/>
          <w:szCs w:val="24"/>
          <w:lang w:eastAsia="en-AU"/>
        </w:rPr>
        <w:t xml:space="preserve"> the previous requirements </w:t>
      </w:r>
      <w:r>
        <w:rPr>
          <w:rFonts w:ascii="Times New Roman" w:eastAsia="Times New Roman" w:hAnsi="Times New Roman" w:cs="Times New Roman"/>
          <w:sz w:val="24"/>
          <w:szCs w:val="24"/>
          <w:lang w:eastAsia="en-AU"/>
        </w:rPr>
        <w:t xml:space="preserve">for these ingredients </w:t>
      </w:r>
      <w:r w:rsidRPr="002D2381">
        <w:rPr>
          <w:rFonts w:ascii="Times New Roman" w:eastAsia="Times New Roman" w:hAnsi="Times New Roman" w:cs="Times New Roman"/>
          <w:sz w:val="24"/>
          <w:szCs w:val="24"/>
          <w:lang w:eastAsia="en-AU"/>
        </w:rPr>
        <w:t>specified that medicine</w:t>
      </w:r>
      <w:r>
        <w:rPr>
          <w:rFonts w:ascii="Times New Roman" w:eastAsia="Times New Roman" w:hAnsi="Times New Roman" w:cs="Times New Roman"/>
          <w:sz w:val="24"/>
          <w:szCs w:val="24"/>
          <w:lang w:eastAsia="en-AU"/>
        </w:rPr>
        <w:t>s</w:t>
      </w:r>
      <w:r w:rsidRPr="002D2381">
        <w:rPr>
          <w:rFonts w:ascii="Times New Roman" w:eastAsia="Times New Roman" w:hAnsi="Times New Roman" w:cs="Times New Roman"/>
          <w:sz w:val="24"/>
          <w:szCs w:val="24"/>
          <w:lang w:eastAsia="en-AU"/>
        </w:rPr>
        <w:t xml:space="preserve"> contain</w:t>
      </w:r>
      <w:r w:rsidRPr="00E011DB">
        <w:rPr>
          <w:rFonts w:ascii="Times New Roman" w:eastAsia="Times New Roman" w:hAnsi="Times New Roman" w:cs="Times New Roman"/>
          <w:sz w:val="24"/>
          <w:szCs w:val="24"/>
          <w:lang w:eastAsia="en-AU"/>
        </w:rPr>
        <w:t>ing</w:t>
      </w:r>
      <w:r w:rsidRPr="002D2381">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se</w:t>
      </w:r>
      <w:r w:rsidRPr="002D2381">
        <w:rPr>
          <w:rFonts w:ascii="Times New Roman" w:eastAsia="Times New Roman" w:hAnsi="Times New Roman" w:cs="Times New Roman"/>
          <w:sz w:val="24"/>
          <w:szCs w:val="24"/>
          <w:lang w:eastAsia="en-AU"/>
        </w:rPr>
        <w:t xml:space="preserve"> ingredient</w:t>
      </w:r>
      <w:r>
        <w:rPr>
          <w:rFonts w:ascii="Times New Roman" w:eastAsia="Times New Roman" w:hAnsi="Times New Roman" w:cs="Times New Roman"/>
          <w:sz w:val="24"/>
          <w:szCs w:val="24"/>
          <w:lang w:eastAsia="en-AU"/>
        </w:rPr>
        <w:t>s</w:t>
      </w:r>
      <w:r w:rsidRPr="002D2381">
        <w:rPr>
          <w:rFonts w:ascii="Times New Roman" w:eastAsia="Times New Roman" w:hAnsi="Times New Roman" w:cs="Times New Roman"/>
          <w:sz w:val="24"/>
          <w:szCs w:val="24"/>
          <w:lang w:eastAsia="en-AU"/>
        </w:rPr>
        <w:t xml:space="preserve"> must not be listed in the Register on or after 2 March 2020 or be released for supply after 2 March 2021</w:t>
      </w:r>
      <w:r w:rsidRPr="00E011DB">
        <w:rPr>
          <w:rFonts w:ascii="Times New Roman" w:eastAsia="Times New Roman" w:hAnsi="Times New Roman" w:cs="Times New Roman"/>
          <w:sz w:val="24"/>
          <w:szCs w:val="24"/>
          <w:lang w:eastAsia="en-AU"/>
        </w:rPr>
        <w:t>.</w:t>
      </w:r>
    </w:p>
    <w:p w14:paraId="5A09E88D" w14:textId="77777777" w:rsidR="00A366AA" w:rsidRDefault="00A366AA" w:rsidP="00F111D7">
      <w:pPr>
        <w:keepNext/>
        <w:spacing w:after="0"/>
        <w:rPr>
          <w:rFonts w:ascii="Times New Roman" w:eastAsia="Times New Roman" w:hAnsi="Times New Roman" w:cs="Times New Roman"/>
          <w:b/>
          <w:bCs/>
          <w:sz w:val="24"/>
          <w:szCs w:val="24"/>
          <w:lang w:eastAsia="en-AU"/>
        </w:rPr>
      </w:pPr>
    </w:p>
    <w:p w14:paraId="685A0A7D" w14:textId="5A7F2060" w:rsidR="00EF1F18" w:rsidRDefault="00EF1F18" w:rsidP="00F111D7">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Human rights implications</w:t>
      </w:r>
    </w:p>
    <w:p w14:paraId="61514795" w14:textId="77777777" w:rsidR="00510EB5" w:rsidRPr="00A419EA" w:rsidRDefault="00510EB5" w:rsidP="00F111D7">
      <w:pPr>
        <w:keepNext/>
        <w:spacing w:after="0"/>
        <w:rPr>
          <w:rFonts w:ascii="Times New Roman" w:eastAsia="Times New Roman" w:hAnsi="Times New Roman" w:cs="Times New Roman"/>
          <w:sz w:val="24"/>
          <w:szCs w:val="24"/>
          <w:lang w:val="en-US" w:eastAsia="en-AU"/>
        </w:rPr>
      </w:pPr>
    </w:p>
    <w:p w14:paraId="063407BC" w14:textId="03838DED" w:rsidR="00510EB5" w:rsidRDefault="008F596A" w:rsidP="00510EB5">
      <w:pPr>
        <w:spacing w:after="0"/>
        <w:contextualSpacing/>
        <w:rPr>
          <w:rFonts w:ascii="Times New Roman" w:eastAsia="Times New Roman" w:hAnsi="Times New Roman" w:cs="Times New Roman"/>
          <w:sz w:val="24"/>
          <w:szCs w:val="24"/>
          <w:lang w:eastAsia="en-AU"/>
        </w:rPr>
      </w:pPr>
      <w:r w:rsidRPr="00B94E86">
        <w:rPr>
          <w:rFonts w:ascii="Times New Roman" w:hAnsi="Times New Roman" w:cs="Times New Roman"/>
          <w:bCs/>
          <w:sz w:val="24"/>
          <w:szCs w:val="24"/>
        </w:rPr>
        <w:t xml:space="preserve">The </w:t>
      </w:r>
      <w:r>
        <w:rPr>
          <w:rFonts w:ascii="Times New Roman" w:hAnsi="Times New Roman" w:cs="Times New Roman"/>
          <w:bCs/>
          <w:sz w:val="24"/>
          <w:szCs w:val="24"/>
        </w:rPr>
        <w:t>instrument</w:t>
      </w:r>
      <w:r w:rsidRPr="00B94E86">
        <w:rPr>
          <w:rFonts w:ascii="Times New Roman" w:hAnsi="Times New Roman" w:cs="Times New Roman"/>
          <w:bCs/>
          <w:sz w:val="24"/>
          <w:szCs w:val="24"/>
        </w:rPr>
        <w:t xml:space="preserve"> </w:t>
      </w:r>
      <w:r>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Pr>
          <w:rFonts w:ascii="Times New Roman" w:hAnsi="Times New Roman" w:cs="Times New Roman"/>
          <w:bCs/>
          <w:sz w:val="24"/>
          <w:szCs w:val="24"/>
        </w:rPr>
        <w:t>“</w:t>
      </w:r>
      <w:r w:rsidRPr="00B94E86">
        <w:rPr>
          <w:rFonts w:ascii="Times New Roman" w:hAnsi="Times New Roman" w:cs="Times New Roman"/>
          <w:bCs/>
          <w:sz w:val="24"/>
          <w:szCs w:val="24"/>
        </w:rPr>
        <w:t>the ICESCR</w:t>
      </w:r>
      <w:r>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sidR="00B8782A">
        <w:rPr>
          <w:rFonts w:ascii="Times New Roman" w:hAnsi="Times New Roman" w:cs="Times New Roman"/>
          <w:bCs/>
          <w:sz w:val="24"/>
          <w:szCs w:val="24"/>
        </w:rPr>
        <w:t xml:space="preserve"> </w:t>
      </w:r>
      <w:r>
        <w:rPr>
          <w:rFonts w:ascii="Times New Roman" w:hAnsi="Times New Roman" w:cs="Times New Roman"/>
          <w:bCs/>
          <w:sz w:val="24"/>
          <w:szCs w:val="24"/>
        </w:rPr>
        <w:t xml:space="preserve">Article 12 of the ICESCR promotes the right of all individuals to enjoy the highest attainable standard of physical and mental </w:t>
      </w:r>
      <w:proofErr w:type="gramStart"/>
      <w:r>
        <w:rPr>
          <w:rFonts w:ascii="Times New Roman" w:hAnsi="Times New Roman" w:cs="Times New Roman"/>
          <w:bCs/>
          <w:sz w:val="24"/>
          <w:szCs w:val="24"/>
        </w:rPr>
        <w:t>health, and</w:t>
      </w:r>
      <w:proofErr w:type="gramEnd"/>
      <w:r>
        <w:rPr>
          <w:rFonts w:ascii="Times New Roman" w:hAnsi="Times New Roman" w:cs="Times New Roman"/>
          <w:bCs/>
          <w:sz w:val="24"/>
          <w:szCs w:val="24"/>
        </w:rPr>
        <w:t xml:space="preserve"> includes an obligation to take reasonable measures within available resources to progressively secure broader enjoyment of the right. </w:t>
      </w:r>
      <w:r w:rsidR="00E60C26">
        <w:rPr>
          <w:rFonts w:ascii="Times New Roman" w:hAnsi="Times New Roman" w:cs="Times New Roman"/>
          <w:bCs/>
          <w:sz w:val="24"/>
          <w:szCs w:val="24"/>
        </w:rPr>
        <w:t xml:space="preserve"> </w:t>
      </w: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5195A4B" w14:textId="77777777" w:rsidR="00510EB5" w:rsidRDefault="00510EB5" w:rsidP="00510EB5">
      <w:pPr>
        <w:spacing w:after="0"/>
        <w:contextualSpacing/>
        <w:rPr>
          <w:rFonts w:ascii="Times New Roman" w:hAnsi="Times New Roman" w:cs="Times New Roman"/>
          <w:sz w:val="24"/>
          <w:szCs w:val="24"/>
        </w:rPr>
      </w:pPr>
    </w:p>
    <w:p w14:paraId="163E7727" w14:textId="0AC97341" w:rsidR="00DD5F7F" w:rsidRPr="00DD5F7F" w:rsidRDefault="00DD5F7F" w:rsidP="00DD5F7F">
      <w:pPr>
        <w:spacing w:after="0"/>
        <w:contextualSpacing/>
        <w:rPr>
          <w:rFonts w:ascii="Times New Roman" w:hAnsi="Times New Roman" w:cs="Times New Roman"/>
          <w:sz w:val="24"/>
          <w:szCs w:val="24"/>
        </w:rPr>
      </w:pPr>
      <w:r w:rsidRPr="00DD5F7F">
        <w:rPr>
          <w:rFonts w:ascii="Times New Roman" w:hAnsi="Times New Roman" w:cs="Times New Roman"/>
          <w:sz w:val="24"/>
          <w:szCs w:val="24"/>
        </w:rPr>
        <w:t xml:space="preserve">The instrument takes positive steps to promote the right to health by ensuring the safety and quality of therapeutic goods that are listed medicines. </w:t>
      </w:r>
      <w:r w:rsidR="00E60C26">
        <w:rPr>
          <w:rFonts w:ascii="Times New Roman" w:hAnsi="Times New Roman" w:cs="Times New Roman"/>
          <w:sz w:val="24"/>
          <w:szCs w:val="24"/>
        </w:rPr>
        <w:t xml:space="preserve"> </w:t>
      </w:r>
      <w:r w:rsidRPr="00DD5F7F">
        <w:rPr>
          <w:rFonts w:ascii="Times New Roman" w:hAnsi="Times New Roman" w:cs="Times New Roman"/>
          <w:sz w:val="24"/>
          <w:szCs w:val="24"/>
        </w:rPr>
        <w:t>By prescribing those ingredients that are considered to be safe for use in listed medicines, and by setting out important requirements relating to the use of those ingredients in such medicines (such requirements may relate, for example, to maximum concentrations of such ingredients in listed medicines, or to the inclusion of warning statements on medicine labels such as ‘Keep out of reach of children’ for relevant ingredients), the safety of Australian consumers will be better protected, and they will be better able to make informed decisions about such medicines.</w:t>
      </w:r>
    </w:p>
    <w:p w14:paraId="756DBF00" w14:textId="77777777" w:rsidR="00DD5F7F" w:rsidRPr="00DD5F7F" w:rsidRDefault="00DD5F7F" w:rsidP="00DD5F7F">
      <w:pPr>
        <w:spacing w:after="0"/>
        <w:contextualSpacing/>
        <w:rPr>
          <w:rFonts w:ascii="Times New Roman" w:hAnsi="Times New Roman" w:cs="Times New Roman"/>
          <w:sz w:val="24"/>
          <w:szCs w:val="24"/>
        </w:rPr>
      </w:pPr>
    </w:p>
    <w:p w14:paraId="30FFB6E5" w14:textId="3BFFAF81" w:rsidR="00510EB5" w:rsidRDefault="008F596A" w:rsidP="00510EB5">
      <w:pPr>
        <w:spacing w:after="0"/>
        <w:contextualSpacing/>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This is particularly important for listed medicines, given that those medicines are not evaluated for safety and quality by the TGA prior to listing in the </w:t>
      </w:r>
      <w:r w:rsidR="00A34A44">
        <w:rPr>
          <w:rFonts w:ascii="Times New Roman" w:hAnsi="Times New Roman" w:cs="Times New Roman"/>
          <w:sz w:val="24"/>
          <w:szCs w:val="24"/>
        </w:rPr>
        <w:t>Register</w:t>
      </w:r>
      <w:r>
        <w:rPr>
          <w:rFonts w:ascii="Times New Roman" w:hAnsi="Times New Roman" w:cs="Times New Roman"/>
          <w:sz w:val="24"/>
          <w:szCs w:val="24"/>
        </w:rPr>
        <w:t>, and as they are usually available for self-selection by consumers without a requirement to first obtain the advice or prescription of a registered medical doctor, or the advice of a pharmacist.</w:t>
      </w:r>
    </w:p>
    <w:p w14:paraId="5D183399" w14:textId="77777777" w:rsidR="00510EB5" w:rsidRDefault="00510EB5" w:rsidP="00712EA4">
      <w:pPr>
        <w:spacing w:after="0" w:line="240" w:lineRule="auto"/>
        <w:contextualSpacing/>
        <w:rPr>
          <w:rFonts w:ascii="Times New Roman" w:eastAsia="Times New Roman" w:hAnsi="Times New Roman" w:cs="Times New Roman"/>
          <w:sz w:val="24"/>
          <w:szCs w:val="24"/>
          <w:lang w:eastAsia="en-AU"/>
        </w:rPr>
      </w:pPr>
    </w:p>
    <w:p w14:paraId="04806E92" w14:textId="0627CB69" w:rsidR="00EF1F18" w:rsidRDefault="00EF1F18" w:rsidP="001A7C14">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lastRenderedPageBreak/>
        <w:t>Conclusion</w:t>
      </w:r>
    </w:p>
    <w:p w14:paraId="3FB3203C" w14:textId="77777777" w:rsidR="00712EA4" w:rsidRPr="00A419EA" w:rsidRDefault="00712EA4" w:rsidP="001A7C14">
      <w:pPr>
        <w:keepNext/>
        <w:spacing w:after="0" w:line="240" w:lineRule="auto"/>
        <w:rPr>
          <w:rFonts w:ascii="Times New Roman" w:eastAsia="Times New Roman" w:hAnsi="Times New Roman" w:cs="Times New Roman"/>
          <w:sz w:val="24"/>
          <w:szCs w:val="24"/>
          <w:lang w:val="en-US" w:eastAsia="en-AU"/>
        </w:rPr>
      </w:pPr>
    </w:p>
    <w:p w14:paraId="4E1E7F6D" w14:textId="77777777" w:rsidR="00EF1F18" w:rsidRPr="0034672A" w:rsidRDefault="00EF1F18" w:rsidP="00712EA4">
      <w:pPr>
        <w:spacing w:after="0"/>
        <w:contextualSpacing/>
        <w:rPr>
          <w:rFonts w:ascii="Times New Roman" w:hAnsi="Times New Roman" w:cs="Times New Roman"/>
          <w:sz w:val="24"/>
          <w:szCs w:val="24"/>
        </w:rPr>
      </w:pPr>
      <w:r w:rsidRPr="0034672A">
        <w:rPr>
          <w:rFonts w:ascii="Times New Roman" w:hAnsi="Times New Roman" w:cs="Times New Roman"/>
          <w:sz w:val="24"/>
          <w:szCs w:val="24"/>
        </w:rPr>
        <w:t>This legislative instrument is compatible with human rights</w:t>
      </w:r>
      <w:r w:rsidR="00A34A44" w:rsidRPr="0034672A">
        <w:rPr>
          <w:rFonts w:ascii="Times New Roman" w:hAnsi="Times New Roman" w:cs="Times New Roman"/>
          <w:sz w:val="24"/>
          <w:szCs w:val="24"/>
        </w:rPr>
        <w:t xml:space="preserve"> because it promotes the right to health in Article 12 of the ICESCR and </w:t>
      </w:r>
      <w:r w:rsidRPr="0034672A">
        <w:rPr>
          <w:rFonts w:ascii="Times New Roman" w:hAnsi="Times New Roman" w:cs="Times New Roman"/>
          <w:sz w:val="24"/>
          <w:szCs w:val="24"/>
        </w:rPr>
        <w:t xml:space="preserve">does not raise any </w:t>
      </w:r>
      <w:r w:rsidR="00A34A44" w:rsidRPr="0034672A">
        <w:rPr>
          <w:rFonts w:ascii="Times New Roman" w:hAnsi="Times New Roman" w:cs="Times New Roman"/>
          <w:sz w:val="24"/>
          <w:szCs w:val="24"/>
        </w:rPr>
        <w:t xml:space="preserve">other </w:t>
      </w:r>
      <w:r w:rsidRPr="0034672A">
        <w:rPr>
          <w:rFonts w:ascii="Times New Roman" w:hAnsi="Times New Roman" w:cs="Times New Roman"/>
          <w:sz w:val="24"/>
          <w:szCs w:val="24"/>
        </w:rPr>
        <w:t>human rights issues.</w:t>
      </w:r>
    </w:p>
    <w:p w14:paraId="63D98AB2" w14:textId="5C417AA2" w:rsidR="008C0845" w:rsidRDefault="008C0845">
      <w:pPr>
        <w:spacing w:before="120" w:after="120"/>
      </w:pPr>
    </w:p>
    <w:sectPr w:rsidR="008C0845" w:rsidSect="00680B29">
      <w:footerReference w:type="default" r:id="rId20"/>
      <w:pgSz w:w="11906" w:h="16838"/>
      <w:pgMar w:top="1134"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LARAJI, Ali" w:date="2021-08-05T09:14:00Z" w:initials="AA">
    <w:p w14:paraId="135C05D8" w14:textId="2370361F" w:rsidR="00A14E6A" w:rsidRDefault="00A14E6A">
      <w:pPr>
        <w:pStyle w:val="CommentText"/>
      </w:pPr>
      <w:r>
        <w:rPr>
          <w:rStyle w:val="CommentReference"/>
        </w:rPr>
        <w:annotationRef/>
      </w:r>
      <w:r>
        <w:t>Updated with Will’s changes on 5/8/21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5C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2A8F" w16cex:dateUtc="2021-08-04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5C05D8" w16cid:durableId="24B62A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D9FC" w14:textId="77777777" w:rsidR="00244DF3" w:rsidRDefault="00244DF3" w:rsidP="008939B1">
      <w:pPr>
        <w:spacing w:after="0" w:line="240" w:lineRule="auto"/>
      </w:pPr>
      <w:r>
        <w:separator/>
      </w:r>
    </w:p>
    <w:p w14:paraId="462A66A1" w14:textId="77777777" w:rsidR="00244DF3" w:rsidRDefault="00244DF3"/>
  </w:endnote>
  <w:endnote w:type="continuationSeparator" w:id="0">
    <w:p w14:paraId="5911F7C5" w14:textId="77777777" w:rsidR="00244DF3" w:rsidRDefault="00244DF3" w:rsidP="008939B1">
      <w:pPr>
        <w:spacing w:after="0" w:line="240" w:lineRule="auto"/>
      </w:pPr>
      <w:r>
        <w:continuationSeparator/>
      </w:r>
    </w:p>
    <w:p w14:paraId="7A76E874" w14:textId="77777777" w:rsidR="00244DF3" w:rsidRDefault="00244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2084" w14:textId="253FEAF3" w:rsidR="00244DF3" w:rsidRPr="00AC5813" w:rsidRDefault="00244DF3"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sidR="005B58AB">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66F675D6" w14:textId="77777777" w:rsidR="00244DF3" w:rsidRDefault="00244D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53EDE" w14:textId="77777777" w:rsidR="00244DF3" w:rsidRDefault="00244DF3" w:rsidP="008939B1">
      <w:pPr>
        <w:spacing w:after="0" w:line="240" w:lineRule="auto"/>
      </w:pPr>
      <w:r>
        <w:separator/>
      </w:r>
    </w:p>
    <w:p w14:paraId="22660A6B" w14:textId="77777777" w:rsidR="00244DF3" w:rsidRDefault="00244DF3"/>
  </w:footnote>
  <w:footnote w:type="continuationSeparator" w:id="0">
    <w:p w14:paraId="15FEDFBC" w14:textId="77777777" w:rsidR="00244DF3" w:rsidRDefault="00244DF3" w:rsidP="008939B1">
      <w:pPr>
        <w:spacing w:after="0" w:line="240" w:lineRule="auto"/>
      </w:pPr>
      <w:r>
        <w:continuationSeparator/>
      </w:r>
    </w:p>
    <w:p w14:paraId="42770834" w14:textId="77777777" w:rsidR="00244DF3" w:rsidRDefault="00244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96B46"/>
    <w:multiLevelType w:val="hybridMultilevel"/>
    <w:tmpl w:val="1E5631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57DC1554">
      <w:numFmt w:val="bullet"/>
      <w:lvlText w:val="-"/>
      <w:lvlJc w:val="left"/>
      <w:pPr>
        <w:ind w:left="3240" w:hanging="360"/>
      </w:pPr>
      <w:rPr>
        <w:rFonts w:ascii="Times New Roman" w:eastAsiaTheme="minorHAnsi"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A55E2"/>
    <w:multiLevelType w:val="hybridMultilevel"/>
    <w:tmpl w:val="2A543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84B2776"/>
    <w:multiLevelType w:val="hybridMultilevel"/>
    <w:tmpl w:val="07C8F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A25DF2"/>
    <w:multiLevelType w:val="hybridMultilevel"/>
    <w:tmpl w:val="AE568F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8167AC"/>
    <w:multiLevelType w:val="hybridMultilevel"/>
    <w:tmpl w:val="CC708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86BBA"/>
    <w:multiLevelType w:val="hybridMultilevel"/>
    <w:tmpl w:val="1A128E2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376964"/>
    <w:multiLevelType w:val="hybridMultilevel"/>
    <w:tmpl w:val="15523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3B46092"/>
    <w:multiLevelType w:val="hybridMultilevel"/>
    <w:tmpl w:val="1CFE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31743A"/>
    <w:multiLevelType w:val="hybridMultilevel"/>
    <w:tmpl w:val="76CE1FC2"/>
    <w:lvl w:ilvl="0" w:tplc="875661EE">
      <w:start w:val="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6208A2"/>
    <w:multiLevelType w:val="hybridMultilevel"/>
    <w:tmpl w:val="916455EE"/>
    <w:lvl w:ilvl="0" w:tplc="DC76463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8C7775"/>
    <w:multiLevelType w:val="hybridMultilevel"/>
    <w:tmpl w:val="325C5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0"/>
  </w:num>
  <w:num w:numId="5">
    <w:abstractNumId w:val="3"/>
  </w:num>
  <w:num w:numId="6">
    <w:abstractNumId w:val="8"/>
  </w:num>
  <w:num w:numId="7">
    <w:abstractNumId w:val="16"/>
  </w:num>
  <w:num w:numId="8">
    <w:abstractNumId w:val="13"/>
  </w:num>
  <w:num w:numId="9">
    <w:abstractNumId w:val="4"/>
  </w:num>
  <w:num w:numId="10">
    <w:abstractNumId w:val="9"/>
  </w:num>
  <w:num w:numId="11">
    <w:abstractNumId w:val="11"/>
  </w:num>
  <w:num w:numId="12">
    <w:abstractNumId w:val="20"/>
  </w:num>
  <w:num w:numId="13">
    <w:abstractNumId w:val="2"/>
  </w:num>
  <w:num w:numId="14">
    <w:abstractNumId w:val="1"/>
  </w:num>
  <w:num w:numId="15">
    <w:abstractNumId w:val="12"/>
  </w:num>
  <w:num w:numId="16">
    <w:abstractNumId w:val="5"/>
  </w:num>
  <w:num w:numId="17">
    <w:abstractNumId w:val="14"/>
  </w:num>
  <w:num w:numId="18">
    <w:abstractNumId w:val="18"/>
  </w:num>
  <w:num w:numId="19">
    <w:abstractNumId w:val="15"/>
  </w:num>
  <w:num w:numId="20">
    <w:abstractNumId w:val="10"/>
  </w:num>
  <w:num w:numId="21">
    <w:abstractNumId w:val="11"/>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ARAJI, Ali">
    <w15:presenceInfo w15:providerId="AD" w15:userId="S::ALARAA@health.gov.au::4ba7a3eb-4399-4bf9-9d89-2b7b9e866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45"/>
    <w:rsid w:val="00000508"/>
    <w:rsid w:val="000011FE"/>
    <w:rsid w:val="00005653"/>
    <w:rsid w:val="00007539"/>
    <w:rsid w:val="00014A86"/>
    <w:rsid w:val="000152DF"/>
    <w:rsid w:val="000178FF"/>
    <w:rsid w:val="00020744"/>
    <w:rsid w:val="000253EC"/>
    <w:rsid w:val="00027571"/>
    <w:rsid w:val="00032FAE"/>
    <w:rsid w:val="0003396A"/>
    <w:rsid w:val="000374FB"/>
    <w:rsid w:val="00042274"/>
    <w:rsid w:val="00045C71"/>
    <w:rsid w:val="00050B0F"/>
    <w:rsid w:val="00055505"/>
    <w:rsid w:val="00055DF5"/>
    <w:rsid w:val="0006051F"/>
    <w:rsid w:val="000637B0"/>
    <w:rsid w:val="00063951"/>
    <w:rsid w:val="00064FDE"/>
    <w:rsid w:val="00066B2F"/>
    <w:rsid w:val="00066CCA"/>
    <w:rsid w:val="00072A36"/>
    <w:rsid w:val="00073166"/>
    <w:rsid w:val="00073AFE"/>
    <w:rsid w:val="000743AA"/>
    <w:rsid w:val="000805C8"/>
    <w:rsid w:val="00082CAB"/>
    <w:rsid w:val="00083EC1"/>
    <w:rsid w:val="00092EDD"/>
    <w:rsid w:val="0009412D"/>
    <w:rsid w:val="000A6A62"/>
    <w:rsid w:val="000A7327"/>
    <w:rsid w:val="000B2796"/>
    <w:rsid w:val="000B55C8"/>
    <w:rsid w:val="000C363D"/>
    <w:rsid w:val="000D25BE"/>
    <w:rsid w:val="000D3185"/>
    <w:rsid w:val="000D3F52"/>
    <w:rsid w:val="000D444D"/>
    <w:rsid w:val="000D45A0"/>
    <w:rsid w:val="000D56EB"/>
    <w:rsid w:val="000E1C1C"/>
    <w:rsid w:val="000E3020"/>
    <w:rsid w:val="000F4D51"/>
    <w:rsid w:val="000F7DDF"/>
    <w:rsid w:val="00102F88"/>
    <w:rsid w:val="00104D9E"/>
    <w:rsid w:val="00113AE2"/>
    <w:rsid w:val="00114578"/>
    <w:rsid w:val="001160DE"/>
    <w:rsid w:val="00123510"/>
    <w:rsid w:val="001260D9"/>
    <w:rsid w:val="00126D3F"/>
    <w:rsid w:val="001323EA"/>
    <w:rsid w:val="0013266B"/>
    <w:rsid w:val="0013620C"/>
    <w:rsid w:val="00141384"/>
    <w:rsid w:val="00142FE8"/>
    <w:rsid w:val="00143BEC"/>
    <w:rsid w:val="00145ED6"/>
    <w:rsid w:val="001503DB"/>
    <w:rsid w:val="0015083D"/>
    <w:rsid w:val="00151C11"/>
    <w:rsid w:val="0015421F"/>
    <w:rsid w:val="001632C0"/>
    <w:rsid w:val="00166D53"/>
    <w:rsid w:val="00176A8B"/>
    <w:rsid w:val="00180117"/>
    <w:rsid w:val="00187288"/>
    <w:rsid w:val="00187B3D"/>
    <w:rsid w:val="0019081E"/>
    <w:rsid w:val="00192658"/>
    <w:rsid w:val="0019281D"/>
    <w:rsid w:val="00197C3F"/>
    <w:rsid w:val="00197FE9"/>
    <w:rsid w:val="001A1891"/>
    <w:rsid w:val="001A3695"/>
    <w:rsid w:val="001A4696"/>
    <w:rsid w:val="001A727D"/>
    <w:rsid w:val="001A7C14"/>
    <w:rsid w:val="001B0FC8"/>
    <w:rsid w:val="001B101E"/>
    <w:rsid w:val="001B2279"/>
    <w:rsid w:val="001B4017"/>
    <w:rsid w:val="001B7598"/>
    <w:rsid w:val="001B7ED3"/>
    <w:rsid w:val="001C1EC4"/>
    <w:rsid w:val="001C3292"/>
    <w:rsid w:val="001C38AF"/>
    <w:rsid w:val="001C5A13"/>
    <w:rsid w:val="001C5E65"/>
    <w:rsid w:val="001D15A8"/>
    <w:rsid w:val="001D3782"/>
    <w:rsid w:val="001D5FD1"/>
    <w:rsid w:val="001D6B26"/>
    <w:rsid w:val="001D75F6"/>
    <w:rsid w:val="001D7A4F"/>
    <w:rsid w:val="001D7F8A"/>
    <w:rsid w:val="001E00EE"/>
    <w:rsid w:val="001E0B7A"/>
    <w:rsid w:val="001F063F"/>
    <w:rsid w:val="001F1830"/>
    <w:rsid w:val="001F626E"/>
    <w:rsid w:val="002000F0"/>
    <w:rsid w:val="0020180F"/>
    <w:rsid w:val="00201DC1"/>
    <w:rsid w:val="00202641"/>
    <w:rsid w:val="0020404A"/>
    <w:rsid w:val="00207B8A"/>
    <w:rsid w:val="00210E3C"/>
    <w:rsid w:val="00211A66"/>
    <w:rsid w:val="002156A0"/>
    <w:rsid w:val="00216B37"/>
    <w:rsid w:val="00226F3C"/>
    <w:rsid w:val="002323CF"/>
    <w:rsid w:val="00232972"/>
    <w:rsid w:val="00233242"/>
    <w:rsid w:val="00236ECD"/>
    <w:rsid w:val="0023720D"/>
    <w:rsid w:val="002374AC"/>
    <w:rsid w:val="002409CB"/>
    <w:rsid w:val="00240AAA"/>
    <w:rsid w:val="002429EA"/>
    <w:rsid w:val="00244DF3"/>
    <w:rsid w:val="002476F4"/>
    <w:rsid w:val="00247B5E"/>
    <w:rsid w:val="00254970"/>
    <w:rsid w:val="0025627C"/>
    <w:rsid w:val="0025799D"/>
    <w:rsid w:val="00260B5E"/>
    <w:rsid w:val="0026142F"/>
    <w:rsid w:val="0026500F"/>
    <w:rsid w:val="00265FB2"/>
    <w:rsid w:val="0026650C"/>
    <w:rsid w:val="00272FA2"/>
    <w:rsid w:val="002751D3"/>
    <w:rsid w:val="00275D92"/>
    <w:rsid w:val="00284FF6"/>
    <w:rsid w:val="002855E1"/>
    <w:rsid w:val="00285CFE"/>
    <w:rsid w:val="00287D9F"/>
    <w:rsid w:val="0029115B"/>
    <w:rsid w:val="00293C0C"/>
    <w:rsid w:val="002968E0"/>
    <w:rsid w:val="0029743B"/>
    <w:rsid w:val="00297C07"/>
    <w:rsid w:val="002B4F6A"/>
    <w:rsid w:val="002B741E"/>
    <w:rsid w:val="002B7A34"/>
    <w:rsid w:val="002C1322"/>
    <w:rsid w:val="002C4652"/>
    <w:rsid w:val="002D1160"/>
    <w:rsid w:val="002D2381"/>
    <w:rsid w:val="002D3CD4"/>
    <w:rsid w:val="002D3CE9"/>
    <w:rsid w:val="002D67DA"/>
    <w:rsid w:val="002D6999"/>
    <w:rsid w:val="002E6160"/>
    <w:rsid w:val="002F5583"/>
    <w:rsid w:val="002F6548"/>
    <w:rsid w:val="00311A86"/>
    <w:rsid w:val="00312C88"/>
    <w:rsid w:val="00316B98"/>
    <w:rsid w:val="00322EC3"/>
    <w:rsid w:val="0032369E"/>
    <w:rsid w:val="003260F5"/>
    <w:rsid w:val="003307B8"/>
    <w:rsid w:val="003327D3"/>
    <w:rsid w:val="0033487C"/>
    <w:rsid w:val="003364B2"/>
    <w:rsid w:val="00337FDB"/>
    <w:rsid w:val="00340F3C"/>
    <w:rsid w:val="00345822"/>
    <w:rsid w:val="0034672A"/>
    <w:rsid w:val="00360394"/>
    <w:rsid w:val="003650CC"/>
    <w:rsid w:val="0036611B"/>
    <w:rsid w:val="003661A6"/>
    <w:rsid w:val="003811C0"/>
    <w:rsid w:val="00381A1B"/>
    <w:rsid w:val="0038203D"/>
    <w:rsid w:val="00383396"/>
    <w:rsid w:val="003A0BFB"/>
    <w:rsid w:val="003A20C5"/>
    <w:rsid w:val="003A2811"/>
    <w:rsid w:val="003A3B5E"/>
    <w:rsid w:val="003A3E75"/>
    <w:rsid w:val="003A4D8C"/>
    <w:rsid w:val="003A533A"/>
    <w:rsid w:val="003A59EA"/>
    <w:rsid w:val="003A7110"/>
    <w:rsid w:val="003A73A0"/>
    <w:rsid w:val="003B4F23"/>
    <w:rsid w:val="003B6684"/>
    <w:rsid w:val="003B7DAB"/>
    <w:rsid w:val="003C0D62"/>
    <w:rsid w:val="003C6D6E"/>
    <w:rsid w:val="003C7446"/>
    <w:rsid w:val="003D610C"/>
    <w:rsid w:val="003E0EA1"/>
    <w:rsid w:val="003E1A83"/>
    <w:rsid w:val="003E5AEA"/>
    <w:rsid w:val="003F01C5"/>
    <w:rsid w:val="004028BD"/>
    <w:rsid w:val="00402AD7"/>
    <w:rsid w:val="0040312B"/>
    <w:rsid w:val="004031E5"/>
    <w:rsid w:val="00403263"/>
    <w:rsid w:val="00403C15"/>
    <w:rsid w:val="00403F5E"/>
    <w:rsid w:val="004041EC"/>
    <w:rsid w:val="0040435E"/>
    <w:rsid w:val="0040482D"/>
    <w:rsid w:val="00406536"/>
    <w:rsid w:val="00406749"/>
    <w:rsid w:val="00410B09"/>
    <w:rsid w:val="00410EC3"/>
    <w:rsid w:val="004140E5"/>
    <w:rsid w:val="00414CD9"/>
    <w:rsid w:val="00422C56"/>
    <w:rsid w:val="00424E87"/>
    <w:rsid w:val="0042665D"/>
    <w:rsid w:val="004325B5"/>
    <w:rsid w:val="00432CF7"/>
    <w:rsid w:val="004341E5"/>
    <w:rsid w:val="004343F8"/>
    <w:rsid w:val="004369BE"/>
    <w:rsid w:val="0043784D"/>
    <w:rsid w:val="00437C00"/>
    <w:rsid w:val="00437C42"/>
    <w:rsid w:val="00443793"/>
    <w:rsid w:val="00444741"/>
    <w:rsid w:val="0044599A"/>
    <w:rsid w:val="00446A54"/>
    <w:rsid w:val="00446EA8"/>
    <w:rsid w:val="00456FF8"/>
    <w:rsid w:val="00461ED8"/>
    <w:rsid w:val="00465227"/>
    <w:rsid w:val="0046549C"/>
    <w:rsid w:val="00473C48"/>
    <w:rsid w:val="004761AE"/>
    <w:rsid w:val="00477283"/>
    <w:rsid w:val="00482136"/>
    <w:rsid w:val="00490585"/>
    <w:rsid w:val="00495C5F"/>
    <w:rsid w:val="0049672B"/>
    <w:rsid w:val="004A092E"/>
    <w:rsid w:val="004A4AB5"/>
    <w:rsid w:val="004A68BB"/>
    <w:rsid w:val="004A7F16"/>
    <w:rsid w:val="004B4DF3"/>
    <w:rsid w:val="004C6EFE"/>
    <w:rsid w:val="004D7D5D"/>
    <w:rsid w:val="004E03D6"/>
    <w:rsid w:val="004E05C9"/>
    <w:rsid w:val="004E2CE6"/>
    <w:rsid w:val="004F11F8"/>
    <w:rsid w:val="004F2366"/>
    <w:rsid w:val="004F52D9"/>
    <w:rsid w:val="004F5517"/>
    <w:rsid w:val="004F5754"/>
    <w:rsid w:val="004F601B"/>
    <w:rsid w:val="0050197A"/>
    <w:rsid w:val="0050391D"/>
    <w:rsid w:val="00503A36"/>
    <w:rsid w:val="00504F4D"/>
    <w:rsid w:val="005058A2"/>
    <w:rsid w:val="005107B9"/>
    <w:rsid w:val="00510EB5"/>
    <w:rsid w:val="005110EF"/>
    <w:rsid w:val="00511E85"/>
    <w:rsid w:val="00516446"/>
    <w:rsid w:val="00522A66"/>
    <w:rsid w:val="00527073"/>
    <w:rsid w:val="005300AF"/>
    <w:rsid w:val="00530B7D"/>
    <w:rsid w:val="00530C81"/>
    <w:rsid w:val="0053757F"/>
    <w:rsid w:val="00537597"/>
    <w:rsid w:val="00543F77"/>
    <w:rsid w:val="00546044"/>
    <w:rsid w:val="00546C0E"/>
    <w:rsid w:val="0055006E"/>
    <w:rsid w:val="005522F5"/>
    <w:rsid w:val="00553D8E"/>
    <w:rsid w:val="00554CD2"/>
    <w:rsid w:val="005647D9"/>
    <w:rsid w:val="00567C3B"/>
    <w:rsid w:val="00567F6F"/>
    <w:rsid w:val="00571AF3"/>
    <w:rsid w:val="005764DE"/>
    <w:rsid w:val="0057657A"/>
    <w:rsid w:val="00576EB4"/>
    <w:rsid w:val="0058050E"/>
    <w:rsid w:val="00586A79"/>
    <w:rsid w:val="00586D07"/>
    <w:rsid w:val="005873CF"/>
    <w:rsid w:val="00587C76"/>
    <w:rsid w:val="005950FC"/>
    <w:rsid w:val="005975B8"/>
    <w:rsid w:val="005A5867"/>
    <w:rsid w:val="005A5B1A"/>
    <w:rsid w:val="005B58AB"/>
    <w:rsid w:val="005B70D2"/>
    <w:rsid w:val="005C1073"/>
    <w:rsid w:val="005C1E01"/>
    <w:rsid w:val="005C30DC"/>
    <w:rsid w:val="005C3927"/>
    <w:rsid w:val="005C475C"/>
    <w:rsid w:val="005D2839"/>
    <w:rsid w:val="005D7A92"/>
    <w:rsid w:val="005E0079"/>
    <w:rsid w:val="005E1A47"/>
    <w:rsid w:val="005E4E3D"/>
    <w:rsid w:val="005F1175"/>
    <w:rsid w:val="005F192D"/>
    <w:rsid w:val="005F2423"/>
    <w:rsid w:val="005F3B1B"/>
    <w:rsid w:val="005F516E"/>
    <w:rsid w:val="005F524B"/>
    <w:rsid w:val="006003F5"/>
    <w:rsid w:val="0060127F"/>
    <w:rsid w:val="00601754"/>
    <w:rsid w:val="00603428"/>
    <w:rsid w:val="006068A0"/>
    <w:rsid w:val="00607014"/>
    <w:rsid w:val="006161DC"/>
    <w:rsid w:val="0062190F"/>
    <w:rsid w:val="00622033"/>
    <w:rsid w:val="006320B2"/>
    <w:rsid w:val="00632471"/>
    <w:rsid w:val="00632A23"/>
    <w:rsid w:val="00633529"/>
    <w:rsid w:val="00634921"/>
    <w:rsid w:val="0063789C"/>
    <w:rsid w:val="00644F7C"/>
    <w:rsid w:val="00644F8E"/>
    <w:rsid w:val="006469D8"/>
    <w:rsid w:val="00652960"/>
    <w:rsid w:val="00652BA7"/>
    <w:rsid w:val="00653B08"/>
    <w:rsid w:val="00663231"/>
    <w:rsid w:val="00664338"/>
    <w:rsid w:val="00664CE0"/>
    <w:rsid w:val="00665E71"/>
    <w:rsid w:val="00670213"/>
    <w:rsid w:val="00673DE0"/>
    <w:rsid w:val="00674D24"/>
    <w:rsid w:val="00680B29"/>
    <w:rsid w:val="006850DB"/>
    <w:rsid w:val="00685980"/>
    <w:rsid w:val="00686884"/>
    <w:rsid w:val="00690886"/>
    <w:rsid w:val="0069146E"/>
    <w:rsid w:val="00696602"/>
    <w:rsid w:val="006A3A8C"/>
    <w:rsid w:val="006A6288"/>
    <w:rsid w:val="006A63BE"/>
    <w:rsid w:val="006B6D92"/>
    <w:rsid w:val="006B6E14"/>
    <w:rsid w:val="006C1D61"/>
    <w:rsid w:val="006C6DF0"/>
    <w:rsid w:val="006C704D"/>
    <w:rsid w:val="006D03F1"/>
    <w:rsid w:val="006D48D4"/>
    <w:rsid w:val="006D4AB8"/>
    <w:rsid w:val="006D5E19"/>
    <w:rsid w:val="006D768D"/>
    <w:rsid w:val="006E0828"/>
    <w:rsid w:val="006E29EE"/>
    <w:rsid w:val="006E3745"/>
    <w:rsid w:val="006E6BF8"/>
    <w:rsid w:val="006E787D"/>
    <w:rsid w:val="006F0BA2"/>
    <w:rsid w:val="006F49F6"/>
    <w:rsid w:val="006F4A40"/>
    <w:rsid w:val="006F6F98"/>
    <w:rsid w:val="007011A9"/>
    <w:rsid w:val="0070320C"/>
    <w:rsid w:val="007040CD"/>
    <w:rsid w:val="0070680E"/>
    <w:rsid w:val="00706B96"/>
    <w:rsid w:val="007075E6"/>
    <w:rsid w:val="00712EA4"/>
    <w:rsid w:val="00716D98"/>
    <w:rsid w:val="00720518"/>
    <w:rsid w:val="007228A6"/>
    <w:rsid w:val="00726DAE"/>
    <w:rsid w:val="00727228"/>
    <w:rsid w:val="00730B3D"/>
    <w:rsid w:val="007310BB"/>
    <w:rsid w:val="007313BA"/>
    <w:rsid w:val="007323F5"/>
    <w:rsid w:val="0073245E"/>
    <w:rsid w:val="00737E1D"/>
    <w:rsid w:val="00740B2A"/>
    <w:rsid w:val="0074268C"/>
    <w:rsid w:val="007445FE"/>
    <w:rsid w:val="0074493B"/>
    <w:rsid w:val="007457D2"/>
    <w:rsid w:val="0075281F"/>
    <w:rsid w:val="007537FC"/>
    <w:rsid w:val="00753C5B"/>
    <w:rsid w:val="007541DC"/>
    <w:rsid w:val="00761A63"/>
    <w:rsid w:val="00763767"/>
    <w:rsid w:val="00764B50"/>
    <w:rsid w:val="00766F34"/>
    <w:rsid w:val="0077437F"/>
    <w:rsid w:val="0077454E"/>
    <w:rsid w:val="00774E0F"/>
    <w:rsid w:val="00781FEC"/>
    <w:rsid w:val="00784A51"/>
    <w:rsid w:val="00786056"/>
    <w:rsid w:val="007925F3"/>
    <w:rsid w:val="00793EFA"/>
    <w:rsid w:val="00794D3C"/>
    <w:rsid w:val="007A06F8"/>
    <w:rsid w:val="007A0C05"/>
    <w:rsid w:val="007A251F"/>
    <w:rsid w:val="007A3CC7"/>
    <w:rsid w:val="007A52D3"/>
    <w:rsid w:val="007B019E"/>
    <w:rsid w:val="007B1478"/>
    <w:rsid w:val="007B2709"/>
    <w:rsid w:val="007B76BB"/>
    <w:rsid w:val="007C503B"/>
    <w:rsid w:val="007C5ACA"/>
    <w:rsid w:val="007C6937"/>
    <w:rsid w:val="007C7B0A"/>
    <w:rsid w:val="007D0041"/>
    <w:rsid w:val="007D161A"/>
    <w:rsid w:val="007E62AA"/>
    <w:rsid w:val="007E7331"/>
    <w:rsid w:val="007F2ED8"/>
    <w:rsid w:val="007F3304"/>
    <w:rsid w:val="007F6345"/>
    <w:rsid w:val="00804BAA"/>
    <w:rsid w:val="00807896"/>
    <w:rsid w:val="00810644"/>
    <w:rsid w:val="00810BFB"/>
    <w:rsid w:val="00814F7B"/>
    <w:rsid w:val="00815399"/>
    <w:rsid w:val="0082133F"/>
    <w:rsid w:val="00822DF8"/>
    <w:rsid w:val="008238B7"/>
    <w:rsid w:val="008403C0"/>
    <w:rsid w:val="008416DD"/>
    <w:rsid w:val="008452B5"/>
    <w:rsid w:val="00845A4E"/>
    <w:rsid w:val="00845A80"/>
    <w:rsid w:val="00850146"/>
    <w:rsid w:val="008501F3"/>
    <w:rsid w:val="008515B1"/>
    <w:rsid w:val="00852814"/>
    <w:rsid w:val="00856471"/>
    <w:rsid w:val="008666FC"/>
    <w:rsid w:val="008727AB"/>
    <w:rsid w:val="00873010"/>
    <w:rsid w:val="00873780"/>
    <w:rsid w:val="00873CEF"/>
    <w:rsid w:val="00877FA7"/>
    <w:rsid w:val="008833F0"/>
    <w:rsid w:val="0088566B"/>
    <w:rsid w:val="00887720"/>
    <w:rsid w:val="00890B01"/>
    <w:rsid w:val="008930BD"/>
    <w:rsid w:val="008939B1"/>
    <w:rsid w:val="00893D80"/>
    <w:rsid w:val="00894393"/>
    <w:rsid w:val="00895420"/>
    <w:rsid w:val="008957CE"/>
    <w:rsid w:val="008A5EAC"/>
    <w:rsid w:val="008B20FC"/>
    <w:rsid w:val="008B341F"/>
    <w:rsid w:val="008C0845"/>
    <w:rsid w:val="008C1892"/>
    <w:rsid w:val="008C64E0"/>
    <w:rsid w:val="008C7CA5"/>
    <w:rsid w:val="008D089E"/>
    <w:rsid w:val="008D09AA"/>
    <w:rsid w:val="008D19CC"/>
    <w:rsid w:val="008D2E76"/>
    <w:rsid w:val="008D3A14"/>
    <w:rsid w:val="008D4189"/>
    <w:rsid w:val="008E082F"/>
    <w:rsid w:val="008E298E"/>
    <w:rsid w:val="008E5682"/>
    <w:rsid w:val="008E6A84"/>
    <w:rsid w:val="008E75B9"/>
    <w:rsid w:val="008F25EE"/>
    <w:rsid w:val="008F4502"/>
    <w:rsid w:val="008F596A"/>
    <w:rsid w:val="008F5C4E"/>
    <w:rsid w:val="008F68DE"/>
    <w:rsid w:val="00903A99"/>
    <w:rsid w:val="0090458F"/>
    <w:rsid w:val="00905BC7"/>
    <w:rsid w:val="00907B73"/>
    <w:rsid w:val="00910190"/>
    <w:rsid w:val="0091110C"/>
    <w:rsid w:val="0091180B"/>
    <w:rsid w:val="009127C8"/>
    <w:rsid w:val="00912C13"/>
    <w:rsid w:val="009139B4"/>
    <w:rsid w:val="00913CF7"/>
    <w:rsid w:val="0091505A"/>
    <w:rsid w:val="00916D96"/>
    <w:rsid w:val="00917AD5"/>
    <w:rsid w:val="009357A3"/>
    <w:rsid w:val="0094113C"/>
    <w:rsid w:val="0094479A"/>
    <w:rsid w:val="00945858"/>
    <w:rsid w:val="00950992"/>
    <w:rsid w:val="00955B2F"/>
    <w:rsid w:val="00955E93"/>
    <w:rsid w:val="0095646F"/>
    <w:rsid w:val="00960091"/>
    <w:rsid w:val="00960206"/>
    <w:rsid w:val="009629C3"/>
    <w:rsid w:val="00962BDC"/>
    <w:rsid w:val="00963DE6"/>
    <w:rsid w:val="00967425"/>
    <w:rsid w:val="00972F19"/>
    <w:rsid w:val="009766DD"/>
    <w:rsid w:val="00977431"/>
    <w:rsid w:val="00977EF7"/>
    <w:rsid w:val="00987467"/>
    <w:rsid w:val="00990D02"/>
    <w:rsid w:val="00994FE1"/>
    <w:rsid w:val="009959B1"/>
    <w:rsid w:val="00996D14"/>
    <w:rsid w:val="009A1C10"/>
    <w:rsid w:val="009A32B6"/>
    <w:rsid w:val="009A530B"/>
    <w:rsid w:val="009A537D"/>
    <w:rsid w:val="009A7678"/>
    <w:rsid w:val="009B0688"/>
    <w:rsid w:val="009B1DA1"/>
    <w:rsid w:val="009B31D6"/>
    <w:rsid w:val="009B36E4"/>
    <w:rsid w:val="009C086A"/>
    <w:rsid w:val="009D2FD9"/>
    <w:rsid w:val="009D3627"/>
    <w:rsid w:val="009D51D2"/>
    <w:rsid w:val="009E5A87"/>
    <w:rsid w:val="009F1E49"/>
    <w:rsid w:val="009F2BD2"/>
    <w:rsid w:val="009F3149"/>
    <w:rsid w:val="009F3777"/>
    <w:rsid w:val="009F78E6"/>
    <w:rsid w:val="00A01E31"/>
    <w:rsid w:val="00A03B13"/>
    <w:rsid w:val="00A04B65"/>
    <w:rsid w:val="00A06715"/>
    <w:rsid w:val="00A0787D"/>
    <w:rsid w:val="00A10B2D"/>
    <w:rsid w:val="00A10F78"/>
    <w:rsid w:val="00A11A09"/>
    <w:rsid w:val="00A14E6A"/>
    <w:rsid w:val="00A177A5"/>
    <w:rsid w:val="00A268EA"/>
    <w:rsid w:val="00A34A44"/>
    <w:rsid w:val="00A366AA"/>
    <w:rsid w:val="00A409E1"/>
    <w:rsid w:val="00A419EA"/>
    <w:rsid w:val="00A441FF"/>
    <w:rsid w:val="00A4560C"/>
    <w:rsid w:val="00A46E76"/>
    <w:rsid w:val="00A47C69"/>
    <w:rsid w:val="00A521FE"/>
    <w:rsid w:val="00A55498"/>
    <w:rsid w:val="00A62B26"/>
    <w:rsid w:val="00A63D97"/>
    <w:rsid w:val="00A63F95"/>
    <w:rsid w:val="00A641CC"/>
    <w:rsid w:val="00A65FD1"/>
    <w:rsid w:val="00A679F3"/>
    <w:rsid w:val="00A70EDF"/>
    <w:rsid w:val="00A73FA2"/>
    <w:rsid w:val="00A84DEA"/>
    <w:rsid w:val="00A8608C"/>
    <w:rsid w:val="00A92408"/>
    <w:rsid w:val="00A94F6E"/>
    <w:rsid w:val="00AA0ED7"/>
    <w:rsid w:val="00AB4D85"/>
    <w:rsid w:val="00AB7E03"/>
    <w:rsid w:val="00AC0E83"/>
    <w:rsid w:val="00AC3DBC"/>
    <w:rsid w:val="00AC41A5"/>
    <w:rsid w:val="00AC4380"/>
    <w:rsid w:val="00AC5813"/>
    <w:rsid w:val="00AC7BC0"/>
    <w:rsid w:val="00AD01A3"/>
    <w:rsid w:val="00AD13D6"/>
    <w:rsid w:val="00AD562B"/>
    <w:rsid w:val="00AE2955"/>
    <w:rsid w:val="00AE2E87"/>
    <w:rsid w:val="00AF2374"/>
    <w:rsid w:val="00AF3859"/>
    <w:rsid w:val="00AF44AF"/>
    <w:rsid w:val="00AF4882"/>
    <w:rsid w:val="00AF6578"/>
    <w:rsid w:val="00AF70C1"/>
    <w:rsid w:val="00B028DC"/>
    <w:rsid w:val="00B03322"/>
    <w:rsid w:val="00B0343E"/>
    <w:rsid w:val="00B043F6"/>
    <w:rsid w:val="00B06A14"/>
    <w:rsid w:val="00B136FA"/>
    <w:rsid w:val="00B141F3"/>
    <w:rsid w:val="00B16543"/>
    <w:rsid w:val="00B16682"/>
    <w:rsid w:val="00B17AB3"/>
    <w:rsid w:val="00B229D8"/>
    <w:rsid w:val="00B245F6"/>
    <w:rsid w:val="00B4014F"/>
    <w:rsid w:val="00B43CEF"/>
    <w:rsid w:val="00B4506D"/>
    <w:rsid w:val="00B46639"/>
    <w:rsid w:val="00B5769D"/>
    <w:rsid w:val="00B60F0C"/>
    <w:rsid w:val="00B66E04"/>
    <w:rsid w:val="00B72803"/>
    <w:rsid w:val="00B74B1A"/>
    <w:rsid w:val="00B74C77"/>
    <w:rsid w:val="00B7641E"/>
    <w:rsid w:val="00B80545"/>
    <w:rsid w:val="00B82A8D"/>
    <w:rsid w:val="00B830CE"/>
    <w:rsid w:val="00B877B0"/>
    <w:rsid w:val="00B8782A"/>
    <w:rsid w:val="00B923F2"/>
    <w:rsid w:val="00B944DB"/>
    <w:rsid w:val="00B95A3B"/>
    <w:rsid w:val="00BA016B"/>
    <w:rsid w:val="00BA150B"/>
    <w:rsid w:val="00BA3FDB"/>
    <w:rsid w:val="00BA7D51"/>
    <w:rsid w:val="00BB0C79"/>
    <w:rsid w:val="00BB3518"/>
    <w:rsid w:val="00BB668F"/>
    <w:rsid w:val="00BC1EFA"/>
    <w:rsid w:val="00BC40E4"/>
    <w:rsid w:val="00BD02A2"/>
    <w:rsid w:val="00BD2902"/>
    <w:rsid w:val="00BD2F63"/>
    <w:rsid w:val="00BD5A0C"/>
    <w:rsid w:val="00BE184C"/>
    <w:rsid w:val="00BE58EA"/>
    <w:rsid w:val="00BE7EA1"/>
    <w:rsid w:val="00BF0F92"/>
    <w:rsid w:val="00BF7DD9"/>
    <w:rsid w:val="00C1038C"/>
    <w:rsid w:val="00C10BAC"/>
    <w:rsid w:val="00C15104"/>
    <w:rsid w:val="00C15D1A"/>
    <w:rsid w:val="00C30116"/>
    <w:rsid w:val="00C37C77"/>
    <w:rsid w:val="00C37F4E"/>
    <w:rsid w:val="00C500A1"/>
    <w:rsid w:val="00C531BD"/>
    <w:rsid w:val="00C55EE9"/>
    <w:rsid w:val="00C56A85"/>
    <w:rsid w:val="00C56E2C"/>
    <w:rsid w:val="00C666E3"/>
    <w:rsid w:val="00C712EC"/>
    <w:rsid w:val="00C72397"/>
    <w:rsid w:val="00C72689"/>
    <w:rsid w:val="00C72817"/>
    <w:rsid w:val="00C73115"/>
    <w:rsid w:val="00C74D38"/>
    <w:rsid w:val="00C75B7D"/>
    <w:rsid w:val="00C77F38"/>
    <w:rsid w:val="00C85FBC"/>
    <w:rsid w:val="00C86005"/>
    <w:rsid w:val="00C87CCD"/>
    <w:rsid w:val="00C92827"/>
    <w:rsid w:val="00C93C1A"/>
    <w:rsid w:val="00CA2F70"/>
    <w:rsid w:val="00CA566F"/>
    <w:rsid w:val="00CA768A"/>
    <w:rsid w:val="00CC09B3"/>
    <w:rsid w:val="00CC6EC4"/>
    <w:rsid w:val="00CC7D63"/>
    <w:rsid w:val="00CD268A"/>
    <w:rsid w:val="00CD3676"/>
    <w:rsid w:val="00CD6D87"/>
    <w:rsid w:val="00CE0B2D"/>
    <w:rsid w:val="00CE1E8C"/>
    <w:rsid w:val="00CE49AE"/>
    <w:rsid w:val="00CE5103"/>
    <w:rsid w:val="00CF4EB0"/>
    <w:rsid w:val="00D0076F"/>
    <w:rsid w:val="00D00D43"/>
    <w:rsid w:val="00D054A9"/>
    <w:rsid w:val="00D064A3"/>
    <w:rsid w:val="00D06C24"/>
    <w:rsid w:val="00D104BF"/>
    <w:rsid w:val="00D132B4"/>
    <w:rsid w:val="00D16B3C"/>
    <w:rsid w:val="00D202AD"/>
    <w:rsid w:val="00D25169"/>
    <w:rsid w:val="00D25D18"/>
    <w:rsid w:val="00D2675E"/>
    <w:rsid w:val="00D31199"/>
    <w:rsid w:val="00D3180C"/>
    <w:rsid w:val="00D40842"/>
    <w:rsid w:val="00D434D2"/>
    <w:rsid w:val="00D43F14"/>
    <w:rsid w:val="00D450ED"/>
    <w:rsid w:val="00D460EB"/>
    <w:rsid w:val="00D4773E"/>
    <w:rsid w:val="00D506AB"/>
    <w:rsid w:val="00D5212F"/>
    <w:rsid w:val="00D7100E"/>
    <w:rsid w:val="00D71DFE"/>
    <w:rsid w:val="00D731D4"/>
    <w:rsid w:val="00D732D5"/>
    <w:rsid w:val="00D73363"/>
    <w:rsid w:val="00D73E6B"/>
    <w:rsid w:val="00D84DF2"/>
    <w:rsid w:val="00D8538B"/>
    <w:rsid w:val="00D91242"/>
    <w:rsid w:val="00D9710A"/>
    <w:rsid w:val="00DA0372"/>
    <w:rsid w:val="00DA2CCD"/>
    <w:rsid w:val="00DA4B10"/>
    <w:rsid w:val="00DA5DA3"/>
    <w:rsid w:val="00DB09C5"/>
    <w:rsid w:val="00DB1E17"/>
    <w:rsid w:val="00DB706A"/>
    <w:rsid w:val="00DB7FF6"/>
    <w:rsid w:val="00DC0563"/>
    <w:rsid w:val="00DC1C4C"/>
    <w:rsid w:val="00DC4741"/>
    <w:rsid w:val="00DC4C8C"/>
    <w:rsid w:val="00DC56A0"/>
    <w:rsid w:val="00DD12DA"/>
    <w:rsid w:val="00DD5989"/>
    <w:rsid w:val="00DD5F7F"/>
    <w:rsid w:val="00DD7962"/>
    <w:rsid w:val="00DE0E9F"/>
    <w:rsid w:val="00DE1E4F"/>
    <w:rsid w:val="00DE4154"/>
    <w:rsid w:val="00DE6363"/>
    <w:rsid w:val="00DE79DF"/>
    <w:rsid w:val="00DF0880"/>
    <w:rsid w:val="00DF112F"/>
    <w:rsid w:val="00DF5293"/>
    <w:rsid w:val="00DF6C2A"/>
    <w:rsid w:val="00E011DB"/>
    <w:rsid w:val="00E016C3"/>
    <w:rsid w:val="00E01934"/>
    <w:rsid w:val="00E0403C"/>
    <w:rsid w:val="00E040B3"/>
    <w:rsid w:val="00E0554F"/>
    <w:rsid w:val="00E05ACE"/>
    <w:rsid w:val="00E06731"/>
    <w:rsid w:val="00E1152E"/>
    <w:rsid w:val="00E11FD7"/>
    <w:rsid w:val="00E1463E"/>
    <w:rsid w:val="00E16E69"/>
    <w:rsid w:val="00E2024D"/>
    <w:rsid w:val="00E20723"/>
    <w:rsid w:val="00E20AC6"/>
    <w:rsid w:val="00E21E29"/>
    <w:rsid w:val="00E32ED1"/>
    <w:rsid w:val="00E33DD5"/>
    <w:rsid w:val="00E35A16"/>
    <w:rsid w:val="00E36564"/>
    <w:rsid w:val="00E368A6"/>
    <w:rsid w:val="00E3727D"/>
    <w:rsid w:val="00E41C3E"/>
    <w:rsid w:val="00E436CF"/>
    <w:rsid w:val="00E46FD1"/>
    <w:rsid w:val="00E501C6"/>
    <w:rsid w:val="00E50E9C"/>
    <w:rsid w:val="00E516A3"/>
    <w:rsid w:val="00E5765F"/>
    <w:rsid w:val="00E60C26"/>
    <w:rsid w:val="00E6549D"/>
    <w:rsid w:val="00E663A0"/>
    <w:rsid w:val="00E67371"/>
    <w:rsid w:val="00E715AB"/>
    <w:rsid w:val="00E757B0"/>
    <w:rsid w:val="00E77437"/>
    <w:rsid w:val="00E82B82"/>
    <w:rsid w:val="00E83143"/>
    <w:rsid w:val="00E85F25"/>
    <w:rsid w:val="00E87D5E"/>
    <w:rsid w:val="00E93B09"/>
    <w:rsid w:val="00E94368"/>
    <w:rsid w:val="00E9519B"/>
    <w:rsid w:val="00E96741"/>
    <w:rsid w:val="00E97E68"/>
    <w:rsid w:val="00EA670C"/>
    <w:rsid w:val="00EB1BE3"/>
    <w:rsid w:val="00EB25AF"/>
    <w:rsid w:val="00EB2B31"/>
    <w:rsid w:val="00EB32C8"/>
    <w:rsid w:val="00EB4211"/>
    <w:rsid w:val="00EB67BE"/>
    <w:rsid w:val="00EC37BF"/>
    <w:rsid w:val="00EC4FAB"/>
    <w:rsid w:val="00EC7788"/>
    <w:rsid w:val="00EC7FEA"/>
    <w:rsid w:val="00ED02ED"/>
    <w:rsid w:val="00ED081D"/>
    <w:rsid w:val="00ED0A40"/>
    <w:rsid w:val="00ED0E94"/>
    <w:rsid w:val="00ED137F"/>
    <w:rsid w:val="00ED2878"/>
    <w:rsid w:val="00ED3578"/>
    <w:rsid w:val="00ED7851"/>
    <w:rsid w:val="00EE4214"/>
    <w:rsid w:val="00EE5F22"/>
    <w:rsid w:val="00EF01F6"/>
    <w:rsid w:val="00EF1AE8"/>
    <w:rsid w:val="00EF1F18"/>
    <w:rsid w:val="00EF2A8C"/>
    <w:rsid w:val="00EF4059"/>
    <w:rsid w:val="00EF5F76"/>
    <w:rsid w:val="00EF617F"/>
    <w:rsid w:val="00EF6D39"/>
    <w:rsid w:val="00EF6E66"/>
    <w:rsid w:val="00F0557E"/>
    <w:rsid w:val="00F07674"/>
    <w:rsid w:val="00F111D7"/>
    <w:rsid w:val="00F125E1"/>
    <w:rsid w:val="00F12793"/>
    <w:rsid w:val="00F211CC"/>
    <w:rsid w:val="00F2418E"/>
    <w:rsid w:val="00F340FC"/>
    <w:rsid w:val="00F3590F"/>
    <w:rsid w:val="00F3676C"/>
    <w:rsid w:val="00F37123"/>
    <w:rsid w:val="00F40C0D"/>
    <w:rsid w:val="00F464DC"/>
    <w:rsid w:val="00F52A03"/>
    <w:rsid w:val="00F56EA0"/>
    <w:rsid w:val="00F610A7"/>
    <w:rsid w:val="00F6166F"/>
    <w:rsid w:val="00F6741C"/>
    <w:rsid w:val="00F67EF7"/>
    <w:rsid w:val="00F70C6F"/>
    <w:rsid w:val="00F74283"/>
    <w:rsid w:val="00F84B7B"/>
    <w:rsid w:val="00F86FEE"/>
    <w:rsid w:val="00F951C9"/>
    <w:rsid w:val="00F954D2"/>
    <w:rsid w:val="00F961BF"/>
    <w:rsid w:val="00F96347"/>
    <w:rsid w:val="00F96537"/>
    <w:rsid w:val="00F977F5"/>
    <w:rsid w:val="00FA19D6"/>
    <w:rsid w:val="00FA555C"/>
    <w:rsid w:val="00FA7084"/>
    <w:rsid w:val="00FB1FD6"/>
    <w:rsid w:val="00FB27F5"/>
    <w:rsid w:val="00FB4355"/>
    <w:rsid w:val="00FB538B"/>
    <w:rsid w:val="00FB59B2"/>
    <w:rsid w:val="00FC1764"/>
    <w:rsid w:val="00FC26CD"/>
    <w:rsid w:val="00FC38CE"/>
    <w:rsid w:val="00FC394E"/>
    <w:rsid w:val="00FC54A7"/>
    <w:rsid w:val="00FD4785"/>
    <w:rsid w:val="00FE5514"/>
    <w:rsid w:val="00FE687B"/>
    <w:rsid w:val="00FF6ED6"/>
    <w:rsid w:val="00FF7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2036D3F3"/>
  <w15:docId w15:val="{566A9380-3B28-4C45-9617-5CD506F7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8957CE"/>
    <w:rPr>
      <w:color w:val="800080" w:themeColor="followedHyperlink"/>
      <w:u w:val="single"/>
    </w:rPr>
  </w:style>
  <w:style w:type="character" w:styleId="UnresolvedMention">
    <w:name w:val="Unresolved Mention"/>
    <w:basedOn w:val="DefaultParagraphFont"/>
    <w:uiPriority w:val="99"/>
    <w:semiHidden/>
    <w:unhideWhenUsed/>
    <w:rsid w:val="00A1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5854">
      <w:bodyDiv w:val="1"/>
      <w:marLeft w:val="0"/>
      <w:marRight w:val="0"/>
      <w:marTop w:val="0"/>
      <w:marBottom w:val="0"/>
      <w:divBdr>
        <w:top w:val="none" w:sz="0" w:space="0" w:color="auto"/>
        <w:left w:val="none" w:sz="0" w:space="0" w:color="auto"/>
        <w:bottom w:val="none" w:sz="0" w:space="0" w:color="auto"/>
        <w:right w:val="none" w:sz="0" w:space="0" w:color="auto"/>
      </w:divBdr>
      <w:divsChild>
        <w:div w:id="408774573">
          <w:marLeft w:val="0"/>
          <w:marRight w:val="0"/>
          <w:marTop w:val="0"/>
          <w:marBottom w:val="0"/>
          <w:divBdr>
            <w:top w:val="none" w:sz="0" w:space="0" w:color="auto"/>
            <w:left w:val="none" w:sz="0" w:space="0" w:color="auto"/>
            <w:bottom w:val="none" w:sz="0" w:space="0" w:color="auto"/>
            <w:right w:val="none" w:sz="0" w:space="0" w:color="auto"/>
          </w:divBdr>
          <w:divsChild>
            <w:div w:id="1633904388">
              <w:marLeft w:val="0"/>
              <w:marRight w:val="0"/>
              <w:marTop w:val="0"/>
              <w:marBottom w:val="0"/>
              <w:divBdr>
                <w:top w:val="none" w:sz="0" w:space="0" w:color="auto"/>
                <w:left w:val="none" w:sz="0" w:space="0" w:color="auto"/>
                <w:bottom w:val="none" w:sz="0" w:space="0" w:color="auto"/>
                <w:right w:val="none" w:sz="0" w:space="0" w:color="auto"/>
              </w:divBdr>
              <w:divsChild>
                <w:div w:id="640383788">
                  <w:marLeft w:val="0"/>
                  <w:marRight w:val="0"/>
                  <w:marTop w:val="0"/>
                  <w:marBottom w:val="0"/>
                  <w:divBdr>
                    <w:top w:val="none" w:sz="0" w:space="0" w:color="auto"/>
                    <w:left w:val="none" w:sz="0" w:space="0" w:color="auto"/>
                    <w:bottom w:val="none" w:sz="0" w:space="0" w:color="auto"/>
                    <w:right w:val="none" w:sz="0" w:space="0" w:color="auto"/>
                  </w:divBdr>
                  <w:divsChild>
                    <w:div w:id="1939364908">
                      <w:marLeft w:val="0"/>
                      <w:marRight w:val="0"/>
                      <w:marTop w:val="0"/>
                      <w:marBottom w:val="0"/>
                      <w:divBdr>
                        <w:top w:val="none" w:sz="0" w:space="0" w:color="auto"/>
                        <w:left w:val="none" w:sz="0" w:space="0" w:color="auto"/>
                        <w:bottom w:val="none" w:sz="0" w:space="0" w:color="auto"/>
                        <w:right w:val="none" w:sz="0" w:space="0" w:color="auto"/>
                      </w:divBdr>
                      <w:divsChild>
                        <w:div w:id="529879996">
                          <w:marLeft w:val="0"/>
                          <w:marRight w:val="0"/>
                          <w:marTop w:val="0"/>
                          <w:marBottom w:val="0"/>
                          <w:divBdr>
                            <w:top w:val="none" w:sz="0" w:space="0" w:color="auto"/>
                            <w:left w:val="none" w:sz="0" w:space="0" w:color="auto"/>
                            <w:bottom w:val="none" w:sz="0" w:space="0" w:color="auto"/>
                            <w:right w:val="none" w:sz="0" w:space="0" w:color="auto"/>
                          </w:divBdr>
                          <w:divsChild>
                            <w:div w:id="844243010">
                              <w:marLeft w:val="0"/>
                              <w:marRight w:val="0"/>
                              <w:marTop w:val="0"/>
                              <w:marBottom w:val="0"/>
                              <w:divBdr>
                                <w:top w:val="none" w:sz="0" w:space="0" w:color="auto"/>
                                <w:left w:val="none" w:sz="0" w:space="0" w:color="auto"/>
                                <w:bottom w:val="none" w:sz="0" w:space="0" w:color="auto"/>
                                <w:right w:val="none" w:sz="0" w:space="0" w:color="auto"/>
                              </w:divBdr>
                              <w:divsChild>
                                <w:div w:id="2075228430">
                                  <w:marLeft w:val="0"/>
                                  <w:marRight w:val="0"/>
                                  <w:marTop w:val="0"/>
                                  <w:marBottom w:val="0"/>
                                  <w:divBdr>
                                    <w:top w:val="none" w:sz="0" w:space="0" w:color="auto"/>
                                    <w:left w:val="none" w:sz="0" w:space="0" w:color="auto"/>
                                    <w:bottom w:val="none" w:sz="0" w:space="0" w:color="auto"/>
                                    <w:right w:val="none" w:sz="0" w:space="0" w:color="auto"/>
                                  </w:divBdr>
                                  <w:divsChild>
                                    <w:div w:id="2024623853">
                                      <w:marLeft w:val="0"/>
                                      <w:marRight w:val="0"/>
                                      <w:marTop w:val="0"/>
                                      <w:marBottom w:val="0"/>
                                      <w:divBdr>
                                        <w:top w:val="none" w:sz="0" w:space="0" w:color="auto"/>
                                        <w:left w:val="none" w:sz="0" w:space="0" w:color="auto"/>
                                        <w:bottom w:val="none" w:sz="0" w:space="0" w:color="auto"/>
                                        <w:right w:val="none" w:sz="0" w:space="0" w:color="auto"/>
                                      </w:divBdr>
                                      <w:divsChild>
                                        <w:div w:id="351348919">
                                          <w:marLeft w:val="0"/>
                                          <w:marRight w:val="0"/>
                                          <w:marTop w:val="0"/>
                                          <w:marBottom w:val="0"/>
                                          <w:divBdr>
                                            <w:top w:val="none" w:sz="0" w:space="0" w:color="auto"/>
                                            <w:left w:val="none" w:sz="0" w:space="0" w:color="auto"/>
                                            <w:bottom w:val="none" w:sz="0" w:space="0" w:color="auto"/>
                                            <w:right w:val="none" w:sz="0" w:space="0" w:color="auto"/>
                                          </w:divBdr>
                                          <w:divsChild>
                                            <w:div w:id="1651013067">
                                              <w:marLeft w:val="0"/>
                                              <w:marRight w:val="0"/>
                                              <w:marTop w:val="0"/>
                                              <w:marBottom w:val="0"/>
                                              <w:divBdr>
                                                <w:top w:val="none" w:sz="0" w:space="0" w:color="auto"/>
                                                <w:left w:val="none" w:sz="0" w:space="0" w:color="auto"/>
                                                <w:bottom w:val="none" w:sz="0" w:space="0" w:color="auto"/>
                                                <w:right w:val="none" w:sz="0" w:space="0" w:color="auto"/>
                                              </w:divBdr>
                                              <w:divsChild>
                                                <w:div w:id="1451779252">
                                                  <w:marLeft w:val="0"/>
                                                  <w:marRight w:val="0"/>
                                                  <w:marTop w:val="0"/>
                                                  <w:marBottom w:val="0"/>
                                                  <w:divBdr>
                                                    <w:top w:val="none" w:sz="0" w:space="0" w:color="auto"/>
                                                    <w:left w:val="none" w:sz="0" w:space="0" w:color="auto"/>
                                                    <w:bottom w:val="none" w:sz="0" w:space="0" w:color="auto"/>
                                                    <w:right w:val="none" w:sz="0" w:space="0" w:color="auto"/>
                                                  </w:divBdr>
                                                  <w:divsChild>
                                                    <w:div w:id="748234530">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87668">
      <w:bodyDiv w:val="1"/>
      <w:marLeft w:val="0"/>
      <w:marRight w:val="0"/>
      <w:marTop w:val="0"/>
      <w:marBottom w:val="0"/>
      <w:divBdr>
        <w:top w:val="none" w:sz="0" w:space="0" w:color="auto"/>
        <w:left w:val="none" w:sz="0" w:space="0" w:color="auto"/>
        <w:bottom w:val="none" w:sz="0" w:space="0" w:color="auto"/>
        <w:right w:val="none" w:sz="0" w:space="0" w:color="auto"/>
      </w:divBdr>
      <w:divsChild>
        <w:div w:id="567114701">
          <w:marLeft w:val="0"/>
          <w:marRight w:val="0"/>
          <w:marTop w:val="0"/>
          <w:marBottom w:val="0"/>
          <w:divBdr>
            <w:top w:val="none" w:sz="0" w:space="0" w:color="auto"/>
            <w:left w:val="none" w:sz="0" w:space="0" w:color="auto"/>
            <w:bottom w:val="none" w:sz="0" w:space="0" w:color="auto"/>
            <w:right w:val="none" w:sz="0" w:space="0" w:color="auto"/>
          </w:divBdr>
          <w:divsChild>
            <w:div w:id="1585605544">
              <w:marLeft w:val="0"/>
              <w:marRight w:val="0"/>
              <w:marTop w:val="0"/>
              <w:marBottom w:val="0"/>
              <w:divBdr>
                <w:top w:val="none" w:sz="0" w:space="0" w:color="auto"/>
                <w:left w:val="none" w:sz="0" w:space="0" w:color="auto"/>
                <w:bottom w:val="none" w:sz="0" w:space="0" w:color="auto"/>
                <w:right w:val="none" w:sz="0" w:space="0" w:color="auto"/>
              </w:divBdr>
              <w:divsChild>
                <w:div w:id="1787844246">
                  <w:marLeft w:val="0"/>
                  <w:marRight w:val="0"/>
                  <w:marTop w:val="0"/>
                  <w:marBottom w:val="0"/>
                  <w:divBdr>
                    <w:top w:val="none" w:sz="0" w:space="0" w:color="auto"/>
                    <w:left w:val="none" w:sz="0" w:space="0" w:color="auto"/>
                    <w:bottom w:val="none" w:sz="0" w:space="0" w:color="auto"/>
                    <w:right w:val="none" w:sz="0" w:space="0" w:color="auto"/>
                  </w:divBdr>
                  <w:divsChild>
                    <w:div w:id="207033768">
                      <w:marLeft w:val="0"/>
                      <w:marRight w:val="0"/>
                      <w:marTop w:val="0"/>
                      <w:marBottom w:val="0"/>
                      <w:divBdr>
                        <w:top w:val="none" w:sz="0" w:space="0" w:color="auto"/>
                        <w:left w:val="none" w:sz="0" w:space="0" w:color="auto"/>
                        <w:bottom w:val="none" w:sz="0" w:space="0" w:color="auto"/>
                        <w:right w:val="none" w:sz="0" w:space="0" w:color="auto"/>
                      </w:divBdr>
                      <w:divsChild>
                        <w:div w:id="1948540865">
                          <w:marLeft w:val="0"/>
                          <w:marRight w:val="0"/>
                          <w:marTop w:val="0"/>
                          <w:marBottom w:val="0"/>
                          <w:divBdr>
                            <w:top w:val="none" w:sz="0" w:space="0" w:color="auto"/>
                            <w:left w:val="none" w:sz="0" w:space="0" w:color="auto"/>
                            <w:bottom w:val="none" w:sz="0" w:space="0" w:color="auto"/>
                            <w:right w:val="none" w:sz="0" w:space="0" w:color="auto"/>
                          </w:divBdr>
                          <w:divsChild>
                            <w:div w:id="1814176079">
                              <w:marLeft w:val="0"/>
                              <w:marRight w:val="0"/>
                              <w:marTop w:val="0"/>
                              <w:marBottom w:val="0"/>
                              <w:divBdr>
                                <w:top w:val="none" w:sz="0" w:space="0" w:color="auto"/>
                                <w:left w:val="none" w:sz="0" w:space="0" w:color="auto"/>
                                <w:bottom w:val="none" w:sz="0" w:space="0" w:color="auto"/>
                                <w:right w:val="none" w:sz="0" w:space="0" w:color="auto"/>
                              </w:divBdr>
                              <w:divsChild>
                                <w:div w:id="1768648928">
                                  <w:marLeft w:val="0"/>
                                  <w:marRight w:val="0"/>
                                  <w:marTop w:val="0"/>
                                  <w:marBottom w:val="0"/>
                                  <w:divBdr>
                                    <w:top w:val="none" w:sz="0" w:space="0" w:color="auto"/>
                                    <w:left w:val="none" w:sz="0" w:space="0" w:color="auto"/>
                                    <w:bottom w:val="none" w:sz="0" w:space="0" w:color="auto"/>
                                    <w:right w:val="none" w:sz="0" w:space="0" w:color="auto"/>
                                  </w:divBdr>
                                  <w:divsChild>
                                    <w:div w:id="138422544">
                                      <w:marLeft w:val="0"/>
                                      <w:marRight w:val="0"/>
                                      <w:marTop w:val="0"/>
                                      <w:marBottom w:val="0"/>
                                      <w:divBdr>
                                        <w:top w:val="none" w:sz="0" w:space="0" w:color="auto"/>
                                        <w:left w:val="none" w:sz="0" w:space="0" w:color="auto"/>
                                        <w:bottom w:val="none" w:sz="0" w:space="0" w:color="auto"/>
                                        <w:right w:val="none" w:sz="0" w:space="0" w:color="auto"/>
                                      </w:divBdr>
                                      <w:divsChild>
                                        <w:div w:id="1573657962">
                                          <w:marLeft w:val="0"/>
                                          <w:marRight w:val="0"/>
                                          <w:marTop w:val="0"/>
                                          <w:marBottom w:val="0"/>
                                          <w:divBdr>
                                            <w:top w:val="none" w:sz="0" w:space="0" w:color="auto"/>
                                            <w:left w:val="none" w:sz="0" w:space="0" w:color="auto"/>
                                            <w:bottom w:val="none" w:sz="0" w:space="0" w:color="auto"/>
                                            <w:right w:val="none" w:sz="0" w:space="0" w:color="auto"/>
                                          </w:divBdr>
                                          <w:divsChild>
                                            <w:div w:id="777067264">
                                              <w:marLeft w:val="0"/>
                                              <w:marRight w:val="0"/>
                                              <w:marTop w:val="0"/>
                                              <w:marBottom w:val="0"/>
                                              <w:divBdr>
                                                <w:top w:val="none" w:sz="0" w:space="0" w:color="auto"/>
                                                <w:left w:val="none" w:sz="0" w:space="0" w:color="auto"/>
                                                <w:bottom w:val="none" w:sz="0" w:space="0" w:color="auto"/>
                                                <w:right w:val="none" w:sz="0" w:space="0" w:color="auto"/>
                                              </w:divBdr>
                                              <w:divsChild>
                                                <w:div w:id="1056004223">
                                                  <w:marLeft w:val="0"/>
                                                  <w:marRight w:val="0"/>
                                                  <w:marTop w:val="0"/>
                                                  <w:marBottom w:val="0"/>
                                                  <w:divBdr>
                                                    <w:top w:val="none" w:sz="0" w:space="0" w:color="auto"/>
                                                    <w:left w:val="none" w:sz="0" w:space="0" w:color="auto"/>
                                                    <w:bottom w:val="none" w:sz="0" w:space="0" w:color="auto"/>
                                                    <w:right w:val="none" w:sz="0" w:space="0" w:color="auto"/>
                                                  </w:divBdr>
                                                  <w:divsChild>
                                                    <w:div w:id="1776901135">
                                                      <w:marLeft w:val="0"/>
                                                      <w:marRight w:val="0"/>
                                                      <w:marTop w:val="0"/>
                                                      <w:marBottom w:val="0"/>
                                                      <w:divBdr>
                                                        <w:top w:val="none" w:sz="0" w:space="0" w:color="auto"/>
                                                        <w:left w:val="none" w:sz="0" w:space="0" w:color="auto"/>
                                                        <w:bottom w:val="none" w:sz="0" w:space="0" w:color="auto"/>
                                                        <w:right w:val="none" w:sz="0" w:space="0" w:color="auto"/>
                                                      </w:divBdr>
                                                      <w:divsChild>
                                                        <w:div w:id="126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763868">
      <w:bodyDiv w:val="1"/>
      <w:marLeft w:val="0"/>
      <w:marRight w:val="0"/>
      <w:marTop w:val="0"/>
      <w:marBottom w:val="0"/>
      <w:divBdr>
        <w:top w:val="none" w:sz="0" w:space="0" w:color="auto"/>
        <w:left w:val="none" w:sz="0" w:space="0" w:color="auto"/>
        <w:bottom w:val="none" w:sz="0" w:space="0" w:color="auto"/>
        <w:right w:val="none" w:sz="0" w:space="0" w:color="auto"/>
      </w:divBdr>
      <w:divsChild>
        <w:div w:id="1760832696">
          <w:marLeft w:val="0"/>
          <w:marRight w:val="0"/>
          <w:marTop w:val="0"/>
          <w:marBottom w:val="0"/>
          <w:divBdr>
            <w:top w:val="none" w:sz="0" w:space="0" w:color="auto"/>
            <w:left w:val="none" w:sz="0" w:space="0" w:color="auto"/>
            <w:bottom w:val="none" w:sz="0" w:space="0" w:color="auto"/>
            <w:right w:val="none" w:sz="0" w:space="0" w:color="auto"/>
          </w:divBdr>
          <w:divsChild>
            <w:div w:id="52241436">
              <w:marLeft w:val="0"/>
              <w:marRight w:val="0"/>
              <w:marTop w:val="0"/>
              <w:marBottom w:val="0"/>
              <w:divBdr>
                <w:top w:val="none" w:sz="0" w:space="0" w:color="auto"/>
                <w:left w:val="none" w:sz="0" w:space="0" w:color="auto"/>
                <w:bottom w:val="none" w:sz="0" w:space="0" w:color="auto"/>
                <w:right w:val="none" w:sz="0" w:space="0" w:color="auto"/>
              </w:divBdr>
              <w:divsChild>
                <w:div w:id="1533030293">
                  <w:marLeft w:val="0"/>
                  <w:marRight w:val="0"/>
                  <w:marTop w:val="0"/>
                  <w:marBottom w:val="0"/>
                  <w:divBdr>
                    <w:top w:val="none" w:sz="0" w:space="0" w:color="auto"/>
                    <w:left w:val="none" w:sz="0" w:space="0" w:color="auto"/>
                    <w:bottom w:val="none" w:sz="0" w:space="0" w:color="auto"/>
                    <w:right w:val="none" w:sz="0" w:space="0" w:color="auto"/>
                  </w:divBdr>
                  <w:divsChild>
                    <w:div w:id="1875926585">
                      <w:marLeft w:val="0"/>
                      <w:marRight w:val="0"/>
                      <w:marTop w:val="0"/>
                      <w:marBottom w:val="0"/>
                      <w:divBdr>
                        <w:top w:val="none" w:sz="0" w:space="0" w:color="auto"/>
                        <w:left w:val="none" w:sz="0" w:space="0" w:color="auto"/>
                        <w:bottom w:val="none" w:sz="0" w:space="0" w:color="auto"/>
                        <w:right w:val="none" w:sz="0" w:space="0" w:color="auto"/>
                      </w:divBdr>
                      <w:divsChild>
                        <w:div w:id="1845826888">
                          <w:marLeft w:val="0"/>
                          <w:marRight w:val="0"/>
                          <w:marTop w:val="0"/>
                          <w:marBottom w:val="0"/>
                          <w:divBdr>
                            <w:top w:val="none" w:sz="0" w:space="0" w:color="auto"/>
                            <w:left w:val="none" w:sz="0" w:space="0" w:color="auto"/>
                            <w:bottom w:val="none" w:sz="0" w:space="0" w:color="auto"/>
                            <w:right w:val="none" w:sz="0" w:space="0" w:color="auto"/>
                          </w:divBdr>
                          <w:divsChild>
                            <w:div w:id="1207643112">
                              <w:marLeft w:val="0"/>
                              <w:marRight w:val="0"/>
                              <w:marTop w:val="0"/>
                              <w:marBottom w:val="0"/>
                              <w:divBdr>
                                <w:top w:val="none" w:sz="0" w:space="0" w:color="auto"/>
                                <w:left w:val="none" w:sz="0" w:space="0" w:color="auto"/>
                                <w:bottom w:val="none" w:sz="0" w:space="0" w:color="auto"/>
                                <w:right w:val="none" w:sz="0" w:space="0" w:color="auto"/>
                              </w:divBdr>
                              <w:divsChild>
                                <w:div w:id="585267407">
                                  <w:marLeft w:val="0"/>
                                  <w:marRight w:val="0"/>
                                  <w:marTop w:val="0"/>
                                  <w:marBottom w:val="0"/>
                                  <w:divBdr>
                                    <w:top w:val="none" w:sz="0" w:space="0" w:color="auto"/>
                                    <w:left w:val="none" w:sz="0" w:space="0" w:color="auto"/>
                                    <w:bottom w:val="none" w:sz="0" w:space="0" w:color="auto"/>
                                    <w:right w:val="none" w:sz="0" w:space="0" w:color="auto"/>
                                  </w:divBdr>
                                  <w:divsChild>
                                    <w:div w:id="1190680823">
                                      <w:marLeft w:val="0"/>
                                      <w:marRight w:val="0"/>
                                      <w:marTop w:val="0"/>
                                      <w:marBottom w:val="0"/>
                                      <w:divBdr>
                                        <w:top w:val="none" w:sz="0" w:space="0" w:color="auto"/>
                                        <w:left w:val="none" w:sz="0" w:space="0" w:color="auto"/>
                                        <w:bottom w:val="none" w:sz="0" w:space="0" w:color="auto"/>
                                        <w:right w:val="none" w:sz="0" w:space="0" w:color="auto"/>
                                      </w:divBdr>
                                      <w:divsChild>
                                        <w:div w:id="1861119853">
                                          <w:marLeft w:val="0"/>
                                          <w:marRight w:val="0"/>
                                          <w:marTop w:val="0"/>
                                          <w:marBottom w:val="0"/>
                                          <w:divBdr>
                                            <w:top w:val="none" w:sz="0" w:space="0" w:color="auto"/>
                                            <w:left w:val="none" w:sz="0" w:space="0" w:color="auto"/>
                                            <w:bottom w:val="none" w:sz="0" w:space="0" w:color="auto"/>
                                            <w:right w:val="none" w:sz="0" w:space="0" w:color="auto"/>
                                          </w:divBdr>
                                          <w:divsChild>
                                            <w:div w:id="1277329316">
                                              <w:marLeft w:val="0"/>
                                              <w:marRight w:val="0"/>
                                              <w:marTop w:val="0"/>
                                              <w:marBottom w:val="0"/>
                                              <w:divBdr>
                                                <w:top w:val="none" w:sz="0" w:space="0" w:color="auto"/>
                                                <w:left w:val="none" w:sz="0" w:space="0" w:color="auto"/>
                                                <w:bottom w:val="none" w:sz="0" w:space="0" w:color="auto"/>
                                                <w:right w:val="none" w:sz="0" w:space="0" w:color="auto"/>
                                              </w:divBdr>
                                              <w:divsChild>
                                                <w:div w:id="1431463531">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sChild>
                                                        <w:div w:id="20846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909549">
      <w:bodyDiv w:val="1"/>
      <w:marLeft w:val="0"/>
      <w:marRight w:val="0"/>
      <w:marTop w:val="0"/>
      <w:marBottom w:val="0"/>
      <w:divBdr>
        <w:top w:val="none" w:sz="0" w:space="0" w:color="auto"/>
        <w:left w:val="none" w:sz="0" w:space="0" w:color="auto"/>
        <w:bottom w:val="none" w:sz="0" w:space="0" w:color="auto"/>
        <w:right w:val="none" w:sz="0" w:space="0" w:color="auto"/>
      </w:divBdr>
    </w:div>
    <w:div w:id="608513464">
      <w:bodyDiv w:val="1"/>
      <w:marLeft w:val="0"/>
      <w:marRight w:val="0"/>
      <w:marTop w:val="0"/>
      <w:marBottom w:val="0"/>
      <w:divBdr>
        <w:top w:val="none" w:sz="0" w:space="0" w:color="auto"/>
        <w:left w:val="none" w:sz="0" w:space="0" w:color="auto"/>
        <w:bottom w:val="none" w:sz="0" w:space="0" w:color="auto"/>
        <w:right w:val="none" w:sz="0" w:space="0" w:color="auto"/>
      </w:divBdr>
      <w:divsChild>
        <w:div w:id="183515981">
          <w:marLeft w:val="0"/>
          <w:marRight w:val="0"/>
          <w:marTop w:val="0"/>
          <w:marBottom w:val="0"/>
          <w:divBdr>
            <w:top w:val="none" w:sz="0" w:space="0" w:color="auto"/>
            <w:left w:val="none" w:sz="0" w:space="0" w:color="auto"/>
            <w:bottom w:val="none" w:sz="0" w:space="0" w:color="auto"/>
            <w:right w:val="none" w:sz="0" w:space="0" w:color="auto"/>
          </w:divBdr>
          <w:divsChild>
            <w:div w:id="1753046460">
              <w:marLeft w:val="0"/>
              <w:marRight w:val="0"/>
              <w:marTop w:val="0"/>
              <w:marBottom w:val="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542325642">
                      <w:marLeft w:val="0"/>
                      <w:marRight w:val="0"/>
                      <w:marTop w:val="0"/>
                      <w:marBottom w:val="0"/>
                      <w:divBdr>
                        <w:top w:val="none" w:sz="0" w:space="0" w:color="auto"/>
                        <w:left w:val="none" w:sz="0" w:space="0" w:color="auto"/>
                        <w:bottom w:val="none" w:sz="0" w:space="0" w:color="auto"/>
                        <w:right w:val="none" w:sz="0" w:space="0" w:color="auto"/>
                      </w:divBdr>
                      <w:divsChild>
                        <w:div w:id="86999572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sChild>
                                            <w:div w:id="487212837">
                                              <w:marLeft w:val="0"/>
                                              <w:marRight w:val="0"/>
                                              <w:marTop w:val="0"/>
                                              <w:marBottom w:val="0"/>
                                              <w:divBdr>
                                                <w:top w:val="none" w:sz="0" w:space="0" w:color="auto"/>
                                                <w:left w:val="none" w:sz="0" w:space="0" w:color="auto"/>
                                                <w:bottom w:val="none" w:sz="0" w:space="0" w:color="auto"/>
                                                <w:right w:val="none" w:sz="0" w:space="0" w:color="auto"/>
                                              </w:divBdr>
                                              <w:divsChild>
                                                <w:div w:id="1901397794">
                                                  <w:marLeft w:val="0"/>
                                                  <w:marRight w:val="0"/>
                                                  <w:marTop w:val="0"/>
                                                  <w:marBottom w:val="0"/>
                                                  <w:divBdr>
                                                    <w:top w:val="none" w:sz="0" w:space="0" w:color="auto"/>
                                                    <w:left w:val="none" w:sz="0" w:space="0" w:color="auto"/>
                                                    <w:bottom w:val="none" w:sz="0" w:space="0" w:color="auto"/>
                                                    <w:right w:val="none" w:sz="0" w:space="0" w:color="auto"/>
                                                  </w:divBdr>
                                                  <w:divsChild>
                                                    <w:div w:id="2074349372">
                                                      <w:marLeft w:val="0"/>
                                                      <w:marRight w:val="0"/>
                                                      <w:marTop w:val="0"/>
                                                      <w:marBottom w:val="0"/>
                                                      <w:divBdr>
                                                        <w:top w:val="none" w:sz="0" w:space="0" w:color="auto"/>
                                                        <w:left w:val="none" w:sz="0" w:space="0" w:color="auto"/>
                                                        <w:bottom w:val="none" w:sz="0" w:space="0" w:color="auto"/>
                                                        <w:right w:val="none" w:sz="0" w:space="0" w:color="auto"/>
                                                      </w:divBdr>
                                                      <w:divsChild>
                                                        <w:div w:id="188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194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05">
          <w:marLeft w:val="0"/>
          <w:marRight w:val="0"/>
          <w:marTop w:val="0"/>
          <w:marBottom w:val="0"/>
          <w:divBdr>
            <w:top w:val="none" w:sz="0" w:space="0" w:color="auto"/>
            <w:left w:val="none" w:sz="0" w:space="0" w:color="auto"/>
            <w:bottom w:val="none" w:sz="0" w:space="0" w:color="auto"/>
            <w:right w:val="none" w:sz="0" w:space="0" w:color="auto"/>
          </w:divBdr>
          <w:divsChild>
            <w:div w:id="834536123">
              <w:marLeft w:val="0"/>
              <w:marRight w:val="0"/>
              <w:marTop w:val="0"/>
              <w:marBottom w:val="0"/>
              <w:divBdr>
                <w:top w:val="none" w:sz="0" w:space="0" w:color="auto"/>
                <w:left w:val="none" w:sz="0" w:space="0" w:color="auto"/>
                <w:bottom w:val="none" w:sz="0" w:space="0" w:color="auto"/>
                <w:right w:val="none" w:sz="0" w:space="0" w:color="auto"/>
              </w:divBdr>
              <w:divsChild>
                <w:div w:id="372048287">
                  <w:marLeft w:val="0"/>
                  <w:marRight w:val="0"/>
                  <w:marTop w:val="0"/>
                  <w:marBottom w:val="0"/>
                  <w:divBdr>
                    <w:top w:val="none" w:sz="0" w:space="0" w:color="auto"/>
                    <w:left w:val="none" w:sz="0" w:space="0" w:color="auto"/>
                    <w:bottom w:val="none" w:sz="0" w:space="0" w:color="auto"/>
                    <w:right w:val="none" w:sz="0" w:space="0" w:color="auto"/>
                  </w:divBdr>
                  <w:divsChild>
                    <w:div w:id="1675106867">
                      <w:marLeft w:val="0"/>
                      <w:marRight w:val="0"/>
                      <w:marTop w:val="0"/>
                      <w:marBottom w:val="0"/>
                      <w:divBdr>
                        <w:top w:val="none" w:sz="0" w:space="0" w:color="auto"/>
                        <w:left w:val="none" w:sz="0" w:space="0" w:color="auto"/>
                        <w:bottom w:val="none" w:sz="0" w:space="0" w:color="auto"/>
                        <w:right w:val="none" w:sz="0" w:space="0" w:color="auto"/>
                      </w:divBdr>
                      <w:divsChild>
                        <w:div w:id="1993873179">
                          <w:marLeft w:val="0"/>
                          <w:marRight w:val="0"/>
                          <w:marTop w:val="0"/>
                          <w:marBottom w:val="0"/>
                          <w:divBdr>
                            <w:top w:val="none" w:sz="0" w:space="0" w:color="auto"/>
                            <w:left w:val="none" w:sz="0" w:space="0" w:color="auto"/>
                            <w:bottom w:val="none" w:sz="0" w:space="0" w:color="auto"/>
                            <w:right w:val="none" w:sz="0" w:space="0" w:color="auto"/>
                          </w:divBdr>
                          <w:divsChild>
                            <w:div w:id="1657103090">
                              <w:marLeft w:val="0"/>
                              <w:marRight w:val="0"/>
                              <w:marTop w:val="0"/>
                              <w:marBottom w:val="0"/>
                              <w:divBdr>
                                <w:top w:val="none" w:sz="0" w:space="0" w:color="auto"/>
                                <w:left w:val="none" w:sz="0" w:space="0" w:color="auto"/>
                                <w:bottom w:val="none" w:sz="0" w:space="0" w:color="auto"/>
                                <w:right w:val="none" w:sz="0" w:space="0" w:color="auto"/>
                              </w:divBdr>
                              <w:divsChild>
                                <w:div w:id="1068184612">
                                  <w:marLeft w:val="0"/>
                                  <w:marRight w:val="0"/>
                                  <w:marTop w:val="0"/>
                                  <w:marBottom w:val="0"/>
                                  <w:divBdr>
                                    <w:top w:val="none" w:sz="0" w:space="0" w:color="auto"/>
                                    <w:left w:val="none" w:sz="0" w:space="0" w:color="auto"/>
                                    <w:bottom w:val="none" w:sz="0" w:space="0" w:color="auto"/>
                                    <w:right w:val="none" w:sz="0" w:space="0" w:color="auto"/>
                                  </w:divBdr>
                                  <w:divsChild>
                                    <w:div w:id="2141266905">
                                      <w:marLeft w:val="0"/>
                                      <w:marRight w:val="0"/>
                                      <w:marTop w:val="0"/>
                                      <w:marBottom w:val="0"/>
                                      <w:divBdr>
                                        <w:top w:val="none" w:sz="0" w:space="0" w:color="auto"/>
                                        <w:left w:val="none" w:sz="0" w:space="0" w:color="auto"/>
                                        <w:bottom w:val="none" w:sz="0" w:space="0" w:color="auto"/>
                                        <w:right w:val="none" w:sz="0" w:space="0" w:color="auto"/>
                                      </w:divBdr>
                                      <w:divsChild>
                                        <w:div w:id="273564937">
                                          <w:marLeft w:val="0"/>
                                          <w:marRight w:val="0"/>
                                          <w:marTop w:val="0"/>
                                          <w:marBottom w:val="0"/>
                                          <w:divBdr>
                                            <w:top w:val="none" w:sz="0" w:space="0" w:color="auto"/>
                                            <w:left w:val="none" w:sz="0" w:space="0" w:color="auto"/>
                                            <w:bottom w:val="none" w:sz="0" w:space="0" w:color="auto"/>
                                            <w:right w:val="none" w:sz="0" w:space="0" w:color="auto"/>
                                          </w:divBdr>
                                          <w:divsChild>
                                            <w:div w:id="1421833605">
                                              <w:marLeft w:val="0"/>
                                              <w:marRight w:val="0"/>
                                              <w:marTop w:val="0"/>
                                              <w:marBottom w:val="0"/>
                                              <w:divBdr>
                                                <w:top w:val="none" w:sz="0" w:space="0" w:color="auto"/>
                                                <w:left w:val="none" w:sz="0" w:space="0" w:color="auto"/>
                                                <w:bottom w:val="none" w:sz="0" w:space="0" w:color="auto"/>
                                                <w:right w:val="none" w:sz="0" w:space="0" w:color="auto"/>
                                              </w:divBdr>
                                              <w:divsChild>
                                                <w:div w:id="802385503">
                                                  <w:marLeft w:val="0"/>
                                                  <w:marRight w:val="0"/>
                                                  <w:marTop w:val="0"/>
                                                  <w:marBottom w:val="0"/>
                                                  <w:divBdr>
                                                    <w:top w:val="none" w:sz="0" w:space="0" w:color="auto"/>
                                                    <w:left w:val="none" w:sz="0" w:space="0" w:color="auto"/>
                                                    <w:bottom w:val="none" w:sz="0" w:space="0" w:color="auto"/>
                                                    <w:right w:val="none" w:sz="0" w:space="0" w:color="auto"/>
                                                  </w:divBdr>
                                                  <w:divsChild>
                                                    <w:div w:id="2122872184">
                                                      <w:marLeft w:val="0"/>
                                                      <w:marRight w:val="0"/>
                                                      <w:marTop w:val="0"/>
                                                      <w:marBottom w:val="0"/>
                                                      <w:divBdr>
                                                        <w:top w:val="none" w:sz="0" w:space="0" w:color="auto"/>
                                                        <w:left w:val="none" w:sz="0" w:space="0" w:color="auto"/>
                                                        <w:bottom w:val="none" w:sz="0" w:space="0" w:color="auto"/>
                                                        <w:right w:val="none" w:sz="0" w:space="0" w:color="auto"/>
                                                      </w:divBdr>
                                                      <w:divsChild>
                                                        <w:div w:id="3235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799338">
      <w:bodyDiv w:val="1"/>
      <w:marLeft w:val="0"/>
      <w:marRight w:val="0"/>
      <w:marTop w:val="0"/>
      <w:marBottom w:val="0"/>
      <w:divBdr>
        <w:top w:val="none" w:sz="0" w:space="0" w:color="auto"/>
        <w:left w:val="none" w:sz="0" w:space="0" w:color="auto"/>
        <w:bottom w:val="none" w:sz="0" w:space="0" w:color="auto"/>
        <w:right w:val="none" w:sz="0" w:space="0" w:color="auto"/>
      </w:divBdr>
    </w:div>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029898">
      <w:bodyDiv w:val="1"/>
      <w:marLeft w:val="0"/>
      <w:marRight w:val="0"/>
      <w:marTop w:val="0"/>
      <w:marBottom w:val="0"/>
      <w:divBdr>
        <w:top w:val="none" w:sz="0" w:space="0" w:color="auto"/>
        <w:left w:val="none" w:sz="0" w:space="0" w:color="auto"/>
        <w:bottom w:val="none" w:sz="0" w:space="0" w:color="auto"/>
        <w:right w:val="none" w:sz="0" w:space="0" w:color="auto"/>
      </w:divBdr>
    </w:div>
    <w:div w:id="1282151935">
      <w:bodyDiv w:val="1"/>
      <w:marLeft w:val="0"/>
      <w:marRight w:val="0"/>
      <w:marTop w:val="0"/>
      <w:marBottom w:val="0"/>
      <w:divBdr>
        <w:top w:val="none" w:sz="0" w:space="0" w:color="auto"/>
        <w:left w:val="none" w:sz="0" w:space="0" w:color="auto"/>
        <w:bottom w:val="none" w:sz="0" w:space="0" w:color="auto"/>
        <w:right w:val="none" w:sz="0" w:space="0" w:color="auto"/>
      </w:divBdr>
    </w:div>
    <w:div w:id="1305348669">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933829">
      <w:bodyDiv w:val="1"/>
      <w:marLeft w:val="0"/>
      <w:marRight w:val="0"/>
      <w:marTop w:val="0"/>
      <w:marBottom w:val="0"/>
      <w:divBdr>
        <w:top w:val="none" w:sz="0" w:space="0" w:color="auto"/>
        <w:left w:val="none" w:sz="0" w:space="0" w:color="auto"/>
        <w:bottom w:val="none" w:sz="0" w:space="0" w:color="auto"/>
        <w:right w:val="none" w:sz="0" w:space="0" w:color="auto"/>
      </w:divBdr>
      <w:divsChild>
        <w:div w:id="1368338882">
          <w:marLeft w:val="0"/>
          <w:marRight w:val="0"/>
          <w:marTop w:val="0"/>
          <w:marBottom w:val="0"/>
          <w:divBdr>
            <w:top w:val="none" w:sz="0" w:space="0" w:color="auto"/>
            <w:left w:val="none" w:sz="0" w:space="0" w:color="auto"/>
            <w:bottom w:val="none" w:sz="0" w:space="0" w:color="auto"/>
            <w:right w:val="none" w:sz="0" w:space="0" w:color="auto"/>
          </w:divBdr>
          <w:divsChild>
            <w:div w:id="1241409008">
              <w:marLeft w:val="0"/>
              <w:marRight w:val="0"/>
              <w:marTop w:val="0"/>
              <w:marBottom w:val="0"/>
              <w:divBdr>
                <w:top w:val="none" w:sz="0" w:space="0" w:color="auto"/>
                <w:left w:val="none" w:sz="0" w:space="0" w:color="auto"/>
                <w:bottom w:val="none" w:sz="0" w:space="0" w:color="auto"/>
                <w:right w:val="none" w:sz="0" w:space="0" w:color="auto"/>
              </w:divBdr>
              <w:divsChild>
                <w:div w:id="1774592034">
                  <w:marLeft w:val="0"/>
                  <w:marRight w:val="0"/>
                  <w:marTop w:val="0"/>
                  <w:marBottom w:val="0"/>
                  <w:divBdr>
                    <w:top w:val="none" w:sz="0" w:space="0" w:color="auto"/>
                    <w:left w:val="none" w:sz="0" w:space="0" w:color="auto"/>
                    <w:bottom w:val="none" w:sz="0" w:space="0" w:color="auto"/>
                    <w:right w:val="none" w:sz="0" w:space="0" w:color="auto"/>
                  </w:divBdr>
                  <w:divsChild>
                    <w:div w:id="1521893270">
                      <w:marLeft w:val="0"/>
                      <w:marRight w:val="0"/>
                      <w:marTop w:val="0"/>
                      <w:marBottom w:val="0"/>
                      <w:divBdr>
                        <w:top w:val="none" w:sz="0" w:space="0" w:color="auto"/>
                        <w:left w:val="none" w:sz="0" w:space="0" w:color="auto"/>
                        <w:bottom w:val="none" w:sz="0" w:space="0" w:color="auto"/>
                        <w:right w:val="none" w:sz="0" w:space="0" w:color="auto"/>
                      </w:divBdr>
                      <w:divsChild>
                        <w:div w:id="1656831750">
                          <w:marLeft w:val="0"/>
                          <w:marRight w:val="0"/>
                          <w:marTop w:val="0"/>
                          <w:marBottom w:val="0"/>
                          <w:divBdr>
                            <w:top w:val="none" w:sz="0" w:space="0" w:color="auto"/>
                            <w:left w:val="none" w:sz="0" w:space="0" w:color="auto"/>
                            <w:bottom w:val="none" w:sz="0" w:space="0" w:color="auto"/>
                            <w:right w:val="none" w:sz="0" w:space="0" w:color="auto"/>
                          </w:divBdr>
                          <w:divsChild>
                            <w:div w:id="2022971626">
                              <w:marLeft w:val="0"/>
                              <w:marRight w:val="0"/>
                              <w:marTop w:val="0"/>
                              <w:marBottom w:val="0"/>
                              <w:divBdr>
                                <w:top w:val="none" w:sz="0" w:space="0" w:color="auto"/>
                                <w:left w:val="none" w:sz="0" w:space="0" w:color="auto"/>
                                <w:bottom w:val="none" w:sz="0" w:space="0" w:color="auto"/>
                                <w:right w:val="none" w:sz="0" w:space="0" w:color="auto"/>
                              </w:divBdr>
                              <w:divsChild>
                                <w:div w:id="1894267648">
                                  <w:marLeft w:val="0"/>
                                  <w:marRight w:val="0"/>
                                  <w:marTop w:val="0"/>
                                  <w:marBottom w:val="0"/>
                                  <w:divBdr>
                                    <w:top w:val="none" w:sz="0" w:space="0" w:color="auto"/>
                                    <w:left w:val="none" w:sz="0" w:space="0" w:color="auto"/>
                                    <w:bottom w:val="none" w:sz="0" w:space="0" w:color="auto"/>
                                    <w:right w:val="none" w:sz="0" w:space="0" w:color="auto"/>
                                  </w:divBdr>
                                  <w:divsChild>
                                    <w:div w:id="1077478230">
                                      <w:marLeft w:val="0"/>
                                      <w:marRight w:val="0"/>
                                      <w:marTop w:val="0"/>
                                      <w:marBottom w:val="0"/>
                                      <w:divBdr>
                                        <w:top w:val="none" w:sz="0" w:space="0" w:color="auto"/>
                                        <w:left w:val="none" w:sz="0" w:space="0" w:color="auto"/>
                                        <w:bottom w:val="none" w:sz="0" w:space="0" w:color="auto"/>
                                        <w:right w:val="none" w:sz="0" w:space="0" w:color="auto"/>
                                      </w:divBdr>
                                      <w:divsChild>
                                        <w:div w:id="1546478260">
                                          <w:marLeft w:val="0"/>
                                          <w:marRight w:val="0"/>
                                          <w:marTop w:val="0"/>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sChild>
                                                <w:div w:id="249317046">
                                                  <w:marLeft w:val="0"/>
                                                  <w:marRight w:val="0"/>
                                                  <w:marTop w:val="0"/>
                                                  <w:marBottom w:val="0"/>
                                                  <w:divBdr>
                                                    <w:top w:val="none" w:sz="0" w:space="0" w:color="auto"/>
                                                    <w:left w:val="none" w:sz="0" w:space="0" w:color="auto"/>
                                                    <w:bottom w:val="none" w:sz="0" w:space="0" w:color="auto"/>
                                                    <w:right w:val="none" w:sz="0" w:space="0" w:color="auto"/>
                                                  </w:divBdr>
                                                  <w:divsChild>
                                                    <w:div w:id="1627196717">
                                                      <w:marLeft w:val="0"/>
                                                      <w:marRight w:val="0"/>
                                                      <w:marTop w:val="0"/>
                                                      <w:marBottom w:val="0"/>
                                                      <w:divBdr>
                                                        <w:top w:val="none" w:sz="0" w:space="0" w:color="auto"/>
                                                        <w:left w:val="none" w:sz="0" w:space="0" w:color="auto"/>
                                                        <w:bottom w:val="none" w:sz="0" w:space="0" w:color="auto"/>
                                                        <w:right w:val="none" w:sz="0" w:space="0" w:color="auto"/>
                                                      </w:divBdr>
                                                      <w:divsChild>
                                                        <w:div w:id="151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8784">
      <w:bodyDiv w:val="1"/>
      <w:marLeft w:val="0"/>
      <w:marRight w:val="0"/>
      <w:marTop w:val="0"/>
      <w:marBottom w:val="0"/>
      <w:divBdr>
        <w:top w:val="none" w:sz="0" w:space="0" w:color="auto"/>
        <w:left w:val="none" w:sz="0" w:space="0" w:color="auto"/>
        <w:bottom w:val="none" w:sz="0" w:space="0" w:color="auto"/>
        <w:right w:val="none" w:sz="0" w:space="0" w:color="auto"/>
      </w:divBdr>
    </w:div>
    <w:div w:id="2002391318">
      <w:bodyDiv w:val="1"/>
      <w:marLeft w:val="0"/>
      <w:marRight w:val="0"/>
      <w:marTop w:val="0"/>
      <w:marBottom w:val="0"/>
      <w:divBdr>
        <w:top w:val="none" w:sz="0" w:space="0" w:color="auto"/>
        <w:left w:val="none" w:sz="0" w:space="0" w:color="auto"/>
        <w:bottom w:val="none" w:sz="0" w:space="0" w:color="auto"/>
        <w:right w:val="none" w:sz="0" w:space="0" w:color="auto"/>
      </w:divBdr>
      <w:divsChild>
        <w:div w:id="143593826">
          <w:marLeft w:val="0"/>
          <w:marRight w:val="0"/>
          <w:marTop w:val="0"/>
          <w:marBottom w:val="0"/>
          <w:divBdr>
            <w:top w:val="none" w:sz="0" w:space="0" w:color="auto"/>
            <w:left w:val="none" w:sz="0" w:space="0" w:color="auto"/>
            <w:bottom w:val="none" w:sz="0" w:space="0" w:color="auto"/>
            <w:right w:val="none" w:sz="0" w:space="0" w:color="auto"/>
          </w:divBdr>
          <w:divsChild>
            <w:div w:id="1492065649">
              <w:marLeft w:val="0"/>
              <w:marRight w:val="0"/>
              <w:marTop w:val="0"/>
              <w:marBottom w:val="0"/>
              <w:divBdr>
                <w:top w:val="none" w:sz="0" w:space="0" w:color="auto"/>
                <w:left w:val="none" w:sz="0" w:space="0" w:color="auto"/>
                <w:bottom w:val="none" w:sz="0" w:space="0" w:color="auto"/>
                <w:right w:val="none" w:sz="0" w:space="0" w:color="auto"/>
              </w:divBdr>
              <w:divsChild>
                <w:div w:id="1718435199">
                  <w:marLeft w:val="0"/>
                  <w:marRight w:val="0"/>
                  <w:marTop w:val="0"/>
                  <w:marBottom w:val="0"/>
                  <w:divBdr>
                    <w:top w:val="none" w:sz="0" w:space="0" w:color="auto"/>
                    <w:left w:val="none" w:sz="0" w:space="0" w:color="auto"/>
                    <w:bottom w:val="none" w:sz="0" w:space="0" w:color="auto"/>
                    <w:right w:val="none" w:sz="0" w:space="0" w:color="auto"/>
                  </w:divBdr>
                  <w:divsChild>
                    <w:div w:id="77021605">
                      <w:marLeft w:val="0"/>
                      <w:marRight w:val="0"/>
                      <w:marTop w:val="0"/>
                      <w:marBottom w:val="0"/>
                      <w:divBdr>
                        <w:top w:val="none" w:sz="0" w:space="0" w:color="auto"/>
                        <w:left w:val="none" w:sz="0" w:space="0" w:color="auto"/>
                        <w:bottom w:val="none" w:sz="0" w:space="0" w:color="auto"/>
                        <w:right w:val="none" w:sz="0" w:space="0" w:color="auto"/>
                      </w:divBdr>
                      <w:divsChild>
                        <w:div w:id="967590396">
                          <w:marLeft w:val="0"/>
                          <w:marRight w:val="0"/>
                          <w:marTop w:val="0"/>
                          <w:marBottom w:val="0"/>
                          <w:divBdr>
                            <w:top w:val="none" w:sz="0" w:space="0" w:color="auto"/>
                            <w:left w:val="none" w:sz="0" w:space="0" w:color="auto"/>
                            <w:bottom w:val="none" w:sz="0" w:space="0" w:color="auto"/>
                            <w:right w:val="none" w:sz="0" w:space="0" w:color="auto"/>
                          </w:divBdr>
                          <w:divsChild>
                            <w:div w:id="227427321">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sChild>
                                    <w:div w:id="496657306">
                                      <w:marLeft w:val="0"/>
                                      <w:marRight w:val="0"/>
                                      <w:marTop w:val="0"/>
                                      <w:marBottom w:val="0"/>
                                      <w:divBdr>
                                        <w:top w:val="none" w:sz="0" w:space="0" w:color="auto"/>
                                        <w:left w:val="none" w:sz="0" w:space="0" w:color="auto"/>
                                        <w:bottom w:val="none" w:sz="0" w:space="0" w:color="auto"/>
                                        <w:right w:val="none" w:sz="0" w:space="0" w:color="auto"/>
                                      </w:divBdr>
                                      <w:divsChild>
                                        <w:div w:id="459880392">
                                          <w:marLeft w:val="0"/>
                                          <w:marRight w:val="0"/>
                                          <w:marTop w:val="0"/>
                                          <w:marBottom w:val="0"/>
                                          <w:divBdr>
                                            <w:top w:val="none" w:sz="0" w:space="0" w:color="auto"/>
                                            <w:left w:val="none" w:sz="0" w:space="0" w:color="auto"/>
                                            <w:bottom w:val="none" w:sz="0" w:space="0" w:color="auto"/>
                                            <w:right w:val="none" w:sz="0" w:space="0" w:color="auto"/>
                                          </w:divBdr>
                                          <w:divsChild>
                                            <w:div w:id="2014338495">
                                              <w:marLeft w:val="0"/>
                                              <w:marRight w:val="0"/>
                                              <w:marTop w:val="0"/>
                                              <w:marBottom w:val="0"/>
                                              <w:divBdr>
                                                <w:top w:val="none" w:sz="0" w:space="0" w:color="auto"/>
                                                <w:left w:val="none" w:sz="0" w:space="0" w:color="auto"/>
                                                <w:bottom w:val="none" w:sz="0" w:space="0" w:color="auto"/>
                                                <w:right w:val="none" w:sz="0" w:space="0" w:color="auto"/>
                                              </w:divBdr>
                                              <w:divsChild>
                                                <w:div w:id="1917085940">
                                                  <w:marLeft w:val="0"/>
                                                  <w:marRight w:val="0"/>
                                                  <w:marTop w:val="0"/>
                                                  <w:marBottom w:val="0"/>
                                                  <w:divBdr>
                                                    <w:top w:val="none" w:sz="0" w:space="0" w:color="auto"/>
                                                    <w:left w:val="none" w:sz="0" w:space="0" w:color="auto"/>
                                                    <w:bottom w:val="none" w:sz="0" w:space="0" w:color="auto"/>
                                                    <w:right w:val="none" w:sz="0" w:space="0" w:color="auto"/>
                                                  </w:divBdr>
                                                  <w:divsChild>
                                                    <w:div w:id="1608390437">
                                                      <w:marLeft w:val="0"/>
                                                      <w:marRight w:val="0"/>
                                                      <w:marTop w:val="0"/>
                                                      <w:marBottom w:val="0"/>
                                                      <w:divBdr>
                                                        <w:top w:val="none" w:sz="0" w:space="0" w:color="auto"/>
                                                        <w:left w:val="none" w:sz="0" w:space="0" w:color="auto"/>
                                                        <w:bottom w:val="none" w:sz="0" w:space="0" w:color="auto"/>
                                                        <w:right w:val="none" w:sz="0" w:space="0" w:color="auto"/>
                                                      </w:divBdr>
                                                      <w:divsChild>
                                                        <w:div w:id="7126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acopoeia.com/" TargetMode="External"/><Relationship Id="rId13" Type="http://schemas.openxmlformats.org/officeDocument/2006/relationships/hyperlink" Target="http://www.rehydrate.org/ors/expert-consultation.html"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t.nz/"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chemicalscodex.org/" TargetMode="External"/><Relationship Id="rId5" Type="http://schemas.openxmlformats.org/officeDocument/2006/relationships/webSettings" Target="webSettings.xml"/><Relationship Id="rId15" Type="http://schemas.openxmlformats.org/officeDocument/2006/relationships/hyperlink" Target="http://www.openlibrary.org/books/OL22071008M/European_pharmacopoeia" TargetMode="External"/><Relationship Id="rId23" Type="http://schemas.openxmlformats.org/officeDocument/2006/relationships/theme" Target="theme/theme1.xml"/><Relationship Id="rId10" Type="http://schemas.openxmlformats.org/officeDocument/2006/relationships/hyperlink" Target="http://www.uspnf.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pheur.edqm.eu/home" TargetMode="External"/><Relationship Id="rId14" Type="http://schemas.openxmlformats.org/officeDocument/2006/relationships/hyperlink" Target="http://www.trove.nla.gov.a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427D-5370-43C7-8014-A8101D3A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4567</Words>
  <Characters>26034</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Srinivasan, Vimala</dc:creator>
  <cp:lastModifiedBy>CARTER, Bless</cp:lastModifiedBy>
  <cp:revision>2</cp:revision>
  <cp:lastPrinted>2020-05-26T04:09:00Z</cp:lastPrinted>
  <dcterms:created xsi:type="dcterms:W3CDTF">2021-08-11T04:38:00Z</dcterms:created>
  <dcterms:modified xsi:type="dcterms:W3CDTF">2021-08-11T04:38:00Z</dcterms:modified>
</cp:coreProperties>
</file>