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7CDA3" w14:textId="77777777" w:rsidR="0048364F" w:rsidRDefault="00193461" w:rsidP="0020300C">
      <w:pPr>
        <w:rPr>
          <w:sz w:val="28"/>
        </w:rPr>
      </w:pPr>
      <w:r>
        <w:rPr>
          <w:noProof/>
          <w:lang w:eastAsia="en-AU"/>
        </w:rPr>
        <w:drawing>
          <wp:inline distT="0" distB="0" distL="0" distR="0" wp14:anchorId="03807270" wp14:editId="71B2E02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F58CEF6" w14:textId="77777777" w:rsidR="0048364F" w:rsidRDefault="0048364F" w:rsidP="0048364F">
      <w:pPr>
        <w:rPr>
          <w:sz w:val="19"/>
        </w:rPr>
      </w:pPr>
    </w:p>
    <w:p w14:paraId="3D08B106" w14:textId="77777777" w:rsidR="0048364F" w:rsidRPr="002F2777" w:rsidRDefault="002F2777" w:rsidP="002F2777">
      <w:pPr>
        <w:pStyle w:val="ShortT"/>
      </w:pPr>
      <w:r w:rsidRPr="002F2777">
        <w:t>Treasury Laws Amendment (Your Future, Your Super</w:t>
      </w:r>
      <w:r w:rsidR="00362E52">
        <w:t>—</w:t>
      </w:r>
      <w:r w:rsidRPr="002F2777">
        <w:t xml:space="preserve">Addressing </w:t>
      </w:r>
      <w:r w:rsidR="00AE25C8">
        <w:t>U</w:t>
      </w:r>
      <w:r w:rsidRPr="002F2777">
        <w:t xml:space="preserve">nderperformance in </w:t>
      </w:r>
      <w:r w:rsidR="00AE25C8">
        <w:t>S</w:t>
      </w:r>
      <w:r w:rsidRPr="002F2777">
        <w:t xml:space="preserve">uperannuation) </w:t>
      </w:r>
      <w:r w:rsidR="00BB1EDA">
        <w:t>Regulations 2</w:t>
      </w:r>
      <w:r w:rsidRPr="002F2777">
        <w:t>021</w:t>
      </w:r>
    </w:p>
    <w:p w14:paraId="117BFE30" w14:textId="77777777" w:rsidR="00A7225B" w:rsidRPr="0034086C" w:rsidRDefault="00A7225B" w:rsidP="009D04AC">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525139">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00525139">
        <w:rPr>
          <w:szCs w:val="22"/>
        </w:rPr>
        <w:t>.</w:t>
      </w:r>
    </w:p>
    <w:p w14:paraId="5CD32418" w14:textId="0A042104" w:rsidR="00A7225B" w:rsidRPr="0034086C" w:rsidRDefault="00A7225B" w:rsidP="009D04AC">
      <w:pPr>
        <w:keepNext/>
        <w:spacing w:before="720" w:line="240" w:lineRule="atLeast"/>
        <w:ind w:right="397"/>
        <w:jc w:val="both"/>
        <w:rPr>
          <w:szCs w:val="22"/>
        </w:rPr>
      </w:pPr>
      <w:r w:rsidRPr="0034086C">
        <w:rPr>
          <w:szCs w:val="22"/>
        </w:rPr>
        <w:t xml:space="preserve">Dated </w:t>
      </w:r>
      <w:r w:rsidRPr="0034086C">
        <w:rPr>
          <w:szCs w:val="22"/>
        </w:rPr>
        <w:fldChar w:fldCharType="begin"/>
      </w:r>
      <w:r w:rsidRPr="0034086C">
        <w:rPr>
          <w:szCs w:val="22"/>
        </w:rPr>
        <w:instrText xml:space="preserve"> DOCPROPERTY  DateMade </w:instrText>
      </w:r>
      <w:r w:rsidRPr="0034086C">
        <w:rPr>
          <w:szCs w:val="22"/>
        </w:rPr>
        <w:fldChar w:fldCharType="separate"/>
      </w:r>
      <w:r w:rsidR="00153D0E">
        <w:rPr>
          <w:szCs w:val="22"/>
        </w:rPr>
        <w:t>05 August 2021</w:t>
      </w:r>
      <w:r w:rsidRPr="0034086C">
        <w:rPr>
          <w:szCs w:val="22"/>
        </w:rPr>
        <w:fldChar w:fldCharType="end"/>
      </w:r>
    </w:p>
    <w:p w14:paraId="2B1C9073" w14:textId="77777777" w:rsidR="00A7225B" w:rsidRPr="0034086C" w:rsidRDefault="00A7225B" w:rsidP="009D04AC">
      <w:pPr>
        <w:keepNext/>
        <w:tabs>
          <w:tab w:val="left" w:pos="3402"/>
        </w:tabs>
        <w:spacing w:before="1080" w:line="300" w:lineRule="atLeast"/>
        <w:ind w:left="397" w:right="397"/>
        <w:jc w:val="right"/>
        <w:rPr>
          <w:szCs w:val="22"/>
        </w:rPr>
      </w:pPr>
      <w:r>
        <w:rPr>
          <w:szCs w:val="22"/>
        </w:rPr>
        <w:t>David Hurley</w:t>
      </w:r>
    </w:p>
    <w:p w14:paraId="01DE5C8E" w14:textId="77777777" w:rsidR="00A7225B" w:rsidRPr="0034086C" w:rsidRDefault="00A7225B" w:rsidP="009D04AC">
      <w:pPr>
        <w:keepNext/>
        <w:tabs>
          <w:tab w:val="left" w:pos="3402"/>
        </w:tabs>
        <w:spacing w:line="300" w:lineRule="atLeast"/>
        <w:ind w:left="397" w:right="397"/>
        <w:jc w:val="right"/>
        <w:rPr>
          <w:szCs w:val="22"/>
        </w:rPr>
      </w:pPr>
      <w:r>
        <w:rPr>
          <w:szCs w:val="22"/>
        </w:rPr>
        <w:t>Governor</w:t>
      </w:r>
      <w:r w:rsidR="00525139">
        <w:rPr>
          <w:szCs w:val="22"/>
        </w:rPr>
        <w:noBreakHyphen/>
      </w:r>
      <w:r>
        <w:rPr>
          <w:szCs w:val="22"/>
        </w:rPr>
        <w:t>General</w:t>
      </w:r>
    </w:p>
    <w:p w14:paraId="4A915FB8" w14:textId="77777777" w:rsidR="00A7225B" w:rsidRPr="0034086C" w:rsidRDefault="00A7225B" w:rsidP="009D04AC">
      <w:pPr>
        <w:keepNext/>
        <w:tabs>
          <w:tab w:val="left" w:pos="3402"/>
        </w:tabs>
        <w:spacing w:before="840" w:after="1080" w:line="300" w:lineRule="atLeast"/>
        <w:ind w:right="397"/>
        <w:rPr>
          <w:szCs w:val="22"/>
        </w:rPr>
      </w:pPr>
      <w:r w:rsidRPr="0034086C">
        <w:rPr>
          <w:szCs w:val="22"/>
        </w:rPr>
        <w:t>By His Excellency</w:t>
      </w:r>
      <w:r w:rsidR="00C43BEE">
        <w:rPr>
          <w:szCs w:val="22"/>
        </w:rPr>
        <w:t>’</w:t>
      </w:r>
      <w:r w:rsidRPr="0034086C">
        <w:rPr>
          <w:szCs w:val="22"/>
        </w:rPr>
        <w:t>s Command</w:t>
      </w:r>
    </w:p>
    <w:p w14:paraId="4611EF29" w14:textId="77777777" w:rsidR="00A7225B" w:rsidRPr="0034086C" w:rsidRDefault="00A7225B" w:rsidP="009D04AC">
      <w:pPr>
        <w:keepNext/>
        <w:tabs>
          <w:tab w:val="left" w:pos="3402"/>
        </w:tabs>
        <w:spacing w:before="480" w:line="300" w:lineRule="atLeast"/>
        <w:ind w:right="397"/>
        <w:rPr>
          <w:szCs w:val="22"/>
        </w:rPr>
      </w:pPr>
      <w:r>
        <w:rPr>
          <w:szCs w:val="22"/>
        </w:rPr>
        <w:t>Josh Frydenberg</w:t>
      </w:r>
    </w:p>
    <w:p w14:paraId="3910D628" w14:textId="77777777" w:rsidR="00A7225B" w:rsidRPr="001F2C7F" w:rsidRDefault="00A7225B" w:rsidP="009D04AC">
      <w:pPr>
        <w:pStyle w:val="SignCoverPageEnd"/>
        <w:rPr>
          <w:szCs w:val="22"/>
        </w:rPr>
      </w:pPr>
      <w:r>
        <w:rPr>
          <w:szCs w:val="22"/>
        </w:rPr>
        <w:t>Treasurer</w:t>
      </w:r>
    </w:p>
    <w:p w14:paraId="55F48356" w14:textId="77777777" w:rsidR="00A7225B" w:rsidRDefault="00A7225B" w:rsidP="009D04AC"/>
    <w:p w14:paraId="205F6D09" w14:textId="77777777" w:rsidR="00A7225B" w:rsidRDefault="00A7225B" w:rsidP="009D04AC"/>
    <w:p w14:paraId="07E6B03D" w14:textId="77777777" w:rsidR="00A7225B" w:rsidRDefault="00A7225B" w:rsidP="009D04AC"/>
    <w:p w14:paraId="3803CFF4" w14:textId="77777777" w:rsidR="0048364F" w:rsidRPr="0048118D" w:rsidRDefault="0048364F" w:rsidP="0048364F">
      <w:pPr>
        <w:pStyle w:val="Header"/>
        <w:tabs>
          <w:tab w:val="clear" w:pos="4150"/>
          <w:tab w:val="clear" w:pos="8307"/>
        </w:tabs>
      </w:pPr>
      <w:r w:rsidRPr="0048118D">
        <w:rPr>
          <w:rStyle w:val="CharAmSchNo"/>
        </w:rPr>
        <w:t xml:space="preserve"> </w:t>
      </w:r>
      <w:r w:rsidRPr="0048118D">
        <w:rPr>
          <w:rStyle w:val="CharAmSchText"/>
        </w:rPr>
        <w:t xml:space="preserve"> </w:t>
      </w:r>
    </w:p>
    <w:p w14:paraId="054D9B89" w14:textId="77777777" w:rsidR="0048364F" w:rsidRPr="0048118D" w:rsidRDefault="0048364F" w:rsidP="0048364F">
      <w:pPr>
        <w:pStyle w:val="Header"/>
        <w:tabs>
          <w:tab w:val="clear" w:pos="4150"/>
          <w:tab w:val="clear" w:pos="8307"/>
        </w:tabs>
      </w:pPr>
      <w:r w:rsidRPr="0048118D">
        <w:rPr>
          <w:rStyle w:val="CharAmPartNo"/>
        </w:rPr>
        <w:t xml:space="preserve"> </w:t>
      </w:r>
      <w:r w:rsidRPr="0048118D">
        <w:rPr>
          <w:rStyle w:val="CharAmPartText"/>
        </w:rPr>
        <w:t xml:space="preserve"> </w:t>
      </w:r>
    </w:p>
    <w:p w14:paraId="0D548CB9" w14:textId="77777777" w:rsidR="0048364F" w:rsidRDefault="0048364F" w:rsidP="0048364F">
      <w:pPr>
        <w:sectPr w:rsidR="0048364F" w:rsidSect="00C00CC1">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7FA7404A" w14:textId="77777777" w:rsidR="00220A0C" w:rsidRDefault="0048364F" w:rsidP="0048364F">
      <w:pPr>
        <w:outlineLvl w:val="0"/>
        <w:rPr>
          <w:sz w:val="36"/>
        </w:rPr>
      </w:pPr>
      <w:r w:rsidRPr="007A1328">
        <w:rPr>
          <w:sz w:val="36"/>
        </w:rPr>
        <w:lastRenderedPageBreak/>
        <w:t>Contents</w:t>
      </w:r>
    </w:p>
    <w:p w14:paraId="4E5A41BB" w14:textId="15B0945E" w:rsidR="00525139" w:rsidRDefault="0052513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525139">
        <w:rPr>
          <w:noProof/>
        </w:rPr>
        <w:tab/>
      </w:r>
      <w:r w:rsidRPr="00525139">
        <w:rPr>
          <w:noProof/>
        </w:rPr>
        <w:fldChar w:fldCharType="begin"/>
      </w:r>
      <w:r w:rsidRPr="00525139">
        <w:rPr>
          <w:noProof/>
        </w:rPr>
        <w:instrText xml:space="preserve"> PAGEREF _Toc78797695 \h </w:instrText>
      </w:r>
      <w:r w:rsidRPr="00525139">
        <w:rPr>
          <w:noProof/>
        </w:rPr>
      </w:r>
      <w:r w:rsidRPr="00525139">
        <w:rPr>
          <w:noProof/>
        </w:rPr>
        <w:fldChar w:fldCharType="separate"/>
      </w:r>
      <w:r w:rsidR="00153D0E">
        <w:rPr>
          <w:noProof/>
        </w:rPr>
        <w:t>1</w:t>
      </w:r>
      <w:r w:rsidRPr="00525139">
        <w:rPr>
          <w:noProof/>
        </w:rPr>
        <w:fldChar w:fldCharType="end"/>
      </w:r>
    </w:p>
    <w:p w14:paraId="77987DAB" w14:textId="41E27F2A" w:rsidR="00525139" w:rsidRDefault="00525139">
      <w:pPr>
        <w:pStyle w:val="TOC5"/>
        <w:rPr>
          <w:rFonts w:asciiTheme="minorHAnsi" w:eastAsiaTheme="minorEastAsia" w:hAnsiTheme="minorHAnsi" w:cstheme="minorBidi"/>
          <w:noProof/>
          <w:kern w:val="0"/>
          <w:sz w:val="22"/>
          <w:szCs w:val="22"/>
        </w:rPr>
      </w:pPr>
      <w:r>
        <w:rPr>
          <w:noProof/>
        </w:rPr>
        <w:t>2</w:t>
      </w:r>
      <w:r>
        <w:rPr>
          <w:noProof/>
        </w:rPr>
        <w:tab/>
        <w:t>Commencement</w:t>
      </w:r>
      <w:r w:rsidRPr="00525139">
        <w:rPr>
          <w:noProof/>
        </w:rPr>
        <w:tab/>
      </w:r>
      <w:r w:rsidRPr="00525139">
        <w:rPr>
          <w:noProof/>
        </w:rPr>
        <w:fldChar w:fldCharType="begin"/>
      </w:r>
      <w:r w:rsidRPr="00525139">
        <w:rPr>
          <w:noProof/>
        </w:rPr>
        <w:instrText xml:space="preserve"> PAGEREF _Toc78797696 \h </w:instrText>
      </w:r>
      <w:r w:rsidRPr="00525139">
        <w:rPr>
          <w:noProof/>
        </w:rPr>
      </w:r>
      <w:r w:rsidRPr="00525139">
        <w:rPr>
          <w:noProof/>
        </w:rPr>
        <w:fldChar w:fldCharType="separate"/>
      </w:r>
      <w:r w:rsidR="00153D0E">
        <w:rPr>
          <w:noProof/>
        </w:rPr>
        <w:t>1</w:t>
      </w:r>
      <w:r w:rsidRPr="00525139">
        <w:rPr>
          <w:noProof/>
        </w:rPr>
        <w:fldChar w:fldCharType="end"/>
      </w:r>
    </w:p>
    <w:p w14:paraId="301A080D" w14:textId="7A8C2ABA" w:rsidR="00525139" w:rsidRDefault="00525139">
      <w:pPr>
        <w:pStyle w:val="TOC5"/>
        <w:rPr>
          <w:rFonts w:asciiTheme="minorHAnsi" w:eastAsiaTheme="minorEastAsia" w:hAnsiTheme="minorHAnsi" w:cstheme="minorBidi"/>
          <w:noProof/>
          <w:kern w:val="0"/>
          <w:sz w:val="22"/>
          <w:szCs w:val="22"/>
        </w:rPr>
      </w:pPr>
      <w:r>
        <w:rPr>
          <w:noProof/>
        </w:rPr>
        <w:t>3</w:t>
      </w:r>
      <w:r>
        <w:rPr>
          <w:noProof/>
        </w:rPr>
        <w:tab/>
        <w:t>Authority</w:t>
      </w:r>
      <w:r w:rsidRPr="00525139">
        <w:rPr>
          <w:noProof/>
        </w:rPr>
        <w:tab/>
      </w:r>
      <w:r w:rsidRPr="00525139">
        <w:rPr>
          <w:noProof/>
        </w:rPr>
        <w:fldChar w:fldCharType="begin"/>
      </w:r>
      <w:r w:rsidRPr="00525139">
        <w:rPr>
          <w:noProof/>
        </w:rPr>
        <w:instrText xml:space="preserve"> PAGEREF _Toc78797697 \h </w:instrText>
      </w:r>
      <w:r w:rsidRPr="00525139">
        <w:rPr>
          <w:noProof/>
        </w:rPr>
      </w:r>
      <w:r w:rsidRPr="00525139">
        <w:rPr>
          <w:noProof/>
        </w:rPr>
        <w:fldChar w:fldCharType="separate"/>
      </w:r>
      <w:r w:rsidR="00153D0E">
        <w:rPr>
          <w:noProof/>
        </w:rPr>
        <w:t>1</w:t>
      </w:r>
      <w:r w:rsidRPr="00525139">
        <w:rPr>
          <w:noProof/>
        </w:rPr>
        <w:fldChar w:fldCharType="end"/>
      </w:r>
    </w:p>
    <w:p w14:paraId="71B3A92B" w14:textId="12B6A00F" w:rsidR="00525139" w:rsidRDefault="00525139">
      <w:pPr>
        <w:pStyle w:val="TOC5"/>
        <w:rPr>
          <w:rFonts w:asciiTheme="minorHAnsi" w:eastAsiaTheme="minorEastAsia" w:hAnsiTheme="minorHAnsi" w:cstheme="minorBidi"/>
          <w:noProof/>
          <w:kern w:val="0"/>
          <w:sz w:val="22"/>
          <w:szCs w:val="22"/>
        </w:rPr>
      </w:pPr>
      <w:r>
        <w:rPr>
          <w:noProof/>
        </w:rPr>
        <w:t>4</w:t>
      </w:r>
      <w:r>
        <w:rPr>
          <w:noProof/>
        </w:rPr>
        <w:tab/>
        <w:t>Schedules</w:t>
      </w:r>
      <w:r w:rsidRPr="00525139">
        <w:rPr>
          <w:noProof/>
        </w:rPr>
        <w:tab/>
      </w:r>
      <w:r w:rsidRPr="00525139">
        <w:rPr>
          <w:noProof/>
        </w:rPr>
        <w:fldChar w:fldCharType="begin"/>
      </w:r>
      <w:r w:rsidRPr="00525139">
        <w:rPr>
          <w:noProof/>
        </w:rPr>
        <w:instrText xml:space="preserve"> PAGEREF _Toc78797698 \h </w:instrText>
      </w:r>
      <w:r w:rsidRPr="00525139">
        <w:rPr>
          <w:noProof/>
        </w:rPr>
      </w:r>
      <w:r w:rsidRPr="00525139">
        <w:rPr>
          <w:noProof/>
        </w:rPr>
        <w:fldChar w:fldCharType="separate"/>
      </w:r>
      <w:r w:rsidR="00153D0E">
        <w:rPr>
          <w:noProof/>
        </w:rPr>
        <w:t>1</w:t>
      </w:r>
      <w:r w:rsidRPr="00525139">
        <w:rPr>
          <w:noProof/>
        </w:rPr>
        <w:fldChar w:fldCharType="end"/>
      </w:r>
    </w:p>
    <w:p w14:paraId="146DDDA5" w14:textId="0BA96FCF" w:rsidR="00525139" w:rsidRDefault="00525139">
      <w:pPr>
        <w:pStyle w:val="TOC6"/>
        <w:rPr>
          <w:rFonts w:asciiTheme="minorHAnsi" w:eastAsiaTheme="minorEastAsia" w:hAnsiTheme="minorHAnsi" w:cstheme="minorBidi"/>
          <w:b w:val="0"/>
          <w:noProof/>
          <w:kern w:val="0"/>
          <w:sz w:val="22"/>
          <w:szCs w:val="22"/>
        </w:rPr>
      </w:pPr>
      <w:r>
        <w:rPr>
          <w:noProof/>
        </w:rPr>
        <w:t>Schedule 1—Amendments</w:t>
      </w:r>
      <w:r w:rsidRPr="00525139">
        <w:rPr>
          <w:b w:val="0"/>
          <w:noProof/>
          <w:sz w:val="18"/>
        </w:rPr>
        <w:tab/>
      </w:r>
      <w:r w:rsidRPr="00525139">
        <w:rPr>
          <w:b w:val="0"/>
          <w:noProof/>
          <w:sz w:val="18"/>
        </w:rPr>
        <w:fldChar w:fldCharType="begin"/>
      </w:r>
      <w:r w:rsidRPr="00525139">
        <w:rPr>
          <w:b w:val="0"/>
          <w:noProof/>
          <w:sz w:val="18"/>
        </w:rPr>
        <w:instrText xml:space="preserve"> PAGEREF _Toc78797699 \h </w:instrText>
      </w:r>
      <w:r w:rsidRPr="00525139">
        <w:rPr>
          <w:b w:val="0"/>
          <w:noProof/>
          <w:sz w:val="18"/>
        </w:rPr>
      </w:r>
      <w:r w:rsidRPr="00525139">
        <w:rPr>
          <w:b w:val="0"/>
          <w:noProof/>
          <w:sz w:val="18"/>
        </w:rPr>
        <w:fldChar w:fldCharType="separate"/>
      </w:r>
      <w:r w:rsidR="00153D0E">
        <w:rPr>
          <w:b w:val="0"/>
          <w:noProof/>
          <w:sz w:val="18"/>
        </w:rPr>
        <w:t>2</w:t>
      </w:r>
      <w:r w:rsidRPr="00525139">
        <w:rPr>
          <w:b w:val="0"/>
          <w:noProof/>
          <w:sz w:val="18"/>
        </w:rPr>
        <w:fldChar w:fldCharType="end"/>
      </w:r>
    </w:p>
    <w:p w14:paraId="55DCC2B4" w14:textId="091A0015" w:rsidR="00525139" w:rsidRDefault="00525139">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525139">
        <w:rPr>
          <w:i w:val="0"/>
          <w:noProof/>
          <w:sz w:val="18"/>
        </w:rPr>
        <w:tab/>
      </w:r>
      <w:r w:rsidRPr="00525139">
        <w:rPr>
          <w:i w:val="0"/>
          <w:noProof/>
          <w:sz w:val="18"/>
        </w:rPr>
        <w:fldChar w:fldCharType="begin"/>
      </w:r>
      <w:r w:rsidRPr="00525139">
        <w:rPr>
          <w:i w:val="0"/>
          <w:noProof/>
          <w:sz w:val="18"/>
        </w:rPr>
        <w:instrText xml:space="preserve"> PAGEREF _Toc78797700 \h </w:instrText>
      </w:r>
      <w:r w:rsidRPr="00525139">
        <w:rPr>
          <w:i w:val="0"/>
          <w:noProof/>
          <w:sz w:val="18"/>
        </w:rPr>
      </w:r>
      <w:r w:rsidRPr="00525139">
        <w:rPr>
          <w:i w:val="0"/>
          <w:noProof/>
          <w:sz w:val="18"/>
        </w:rPr>
        <w:fldChar w:fldCharType="separate"/>
      </w:r>
      <w:r w:rsidR="00153D0E">
        <w:rPr>
          <w:i w:val="0"/>
          <w:noProof/>
          <w:sz w:val="18"/>
        </w:rPr>
        <w:t>2</w:t>
      </w:r>
      <w:r w:rsidRPr="00525139">
        <w:rPr>
          <w:i w:val="0"/>
          <w:noProof/>
          <w:sz w:val="18"/>
        </w:rPr>
        <w:fldChar w:fldCharType="end"/>
      </w:r>
    </w:p>
    <w:p w14:paraId="11266356" w14:textId="77777777" w:rsidR="0048364F" w:rsidRPr="007A1328" w:rsidRDefault="00525139" w:rsidP="0048364F">
      <w:r>
        <w:fldChar w:fldCharType="end"/>
      </w:r>
    </w:p>
    <w:p w14:paraId="08BD9BF5" w14:textId="77777777" w:rsidR="0048364F" w:rsidRDefault="0048364F" w:rsidP="0048364F">
      <w:pPr>
        <w:sectPr w:rsidR="0048364F" w:rsidSect="00C00CC1">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6D14C4F1" w14:textId="77777777" w:rsidR="0048364F" w:rsidRDefault="0048364F" w:rsidP="0048364F">
      <w:pPr>
        <w:pStyle w:val="ActHead5"/>
      </w:pPr>
      <w:bookmarkStart w:id="0" w:name="_Toc78797695"/>
      <w:r w:rsidRPr="0048118D">
        <w:rPr>
          <w:rStyle w:val="CharSectno"/>
        </w:rPr>
        <w:lastRenderedPageBreak/>
        <w:t>1</w:t>
      </w:r>
      <w:r>
        <w:t xml:space="preserve">  </w:t>
      </w:r>
      <w:r w:rsidR="004F676E">
        <w:t>Name</w:t>
      </w:r>
      <w:bookmarkEnd w:id="0"/>
    </w:p>
    <w:p w14:paraId="50D44191" w14:textId="77777777" w:rsidR="0048364F" w:rsidRDefault="0048364F" w:rsidP="0048364F">
      <w:pPr>
        <w:pStyle w:val="subsection"/>
      </w:pPr>
      <w:r>
        <w:tab/>
      </w:r>
      <w:r>
        <w:tab/>
      </w:r>
      <w:r w:rsidR="00A7225B">
        <w:t>This instrument is</w:t>
      </w:r>
      <w:r>
        <w:t xml:space="preserve"> the </w:t>
      </w:r>
      <w:r w:rsidR="00BB1EDA">
        <w:rPr>
          <w:i/>
          <w:noProof/>
        </w:rPr>
        <w:t>Treasury Laws Amendment (Your Future, Your Super—Addressing Underperformance in Superannuation) Regulations 2021</w:t>
      </w:r>
      <w:r w:rsidR="00525139">
        <w:t>.</w:t>
      </w:r>
    </w:p>
    <w:p w14:paraId="79E446CB" w14:textId="77777777" w:rsidR="004F676E" w:rsidRDefault="0048364F" w:rsidP="005452CC">
      <w:pPr>
        <w:pStyle w:val="ActHead5"/>
      </w:pPr>
      <w:bookmarkStart w:id="1" w:name="_Toc78797696"/>
      <w:r w:rsidRPr="0048118D">
        <w:rPr>
          <w:rStyle w:val="CharSectno"/>
        </w:rPr>
        <w:t>2</w:t>
      </w:r>
      <w:r>
        <w:t xml:space="preserve">  Commencement</w:t>
      </w:r>
      <w:bookmarkEnd w:id="1"/>
    </w:p>
    <w:p w14:paraId="457CC1E5" w14:textId="77777777" w:rsidR="005452CC" w:rsidRDefault="005452CC" w:rsidP="009D04AC">
      <w:pPr>
        <w:pStyle w:val="subsection"/>
      </w:pPr>
      <w:r>
        <w:tab/>
        <w:t>(1)</w:t>
      </w:r>
      <w:r>
        <w:tab/>
        <w:t xml:space="preserve">Each provision of </w:t>
      </w:r>
      <w:r w:rsidR="00A7225B">
        <w:t>this instrument</w:t>
      </w:r>
      <w:r>
        <w:t xml:space="preserve"> specified in column 1 of the table commences, or is taken to have commenced, in accordance with column 2 of the table</w:t>
      </w:r>
      <w:r w:rsidR="00525139">
        <w:t>.</w:t>
      </w:r>
      <w:r>
        <w:t xml:space="preserve"> Any other statement in column 2 has effect according to its terms</w:t>
      </w:r>
      <w:r w:rsidR="00525139">
        <w:t>.</w:t>
      </w:r>
    </w:p>
    <w:p w14:paraId="5E275A9C" w14:textId="77777777" w:rsidR="005452CC" w:rsidRDefault="005452CC" w:rsidP="009D04A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14:paraId="7D089809" w14:textId="77777777" w:rsidTr="00AD7252">
        <w:trPr>
          <w:tblHeader/>
        </w:trPr>
        <w:tc>
          <w:tcPr>
            <w:tcW w:w="8364" w:type="dxa"/>
            <w:gridSpan w:val="3"/>
            <w:tcBorders>
              <w:top w:val="single" w:sz="12" w:space="0" w:color="auto"/>
              <w:bottom w:val="single" w:sz="6" w:space="0" w:color="auto"/>
            </w:tcBorders>
            <w:shd w:val="clear" w:color="auto" w:fill="auto"/>
            <w:hideMark/>
          </w:tcPr>
          <w:p w14:paraId="26CC0C82" w14:textId="77777777" w:rsidR="005452CC" w:rsidRPr="00416235" w:rsidRDefault="005452CC" w:rsidP="009D04AC">
            <w:pPr>
              <w:pStyle w:val="TableHeading"/>
            </w:pPr>
            <w:r w:rsidRPr="00416235">
              <w:t>Commencement information</w:t>
            </w:r>
          </w:p>
        </w:tc>
      </w:tr>
      <w:tr w:rsidR="005452CC" w:rsidRPr="00416235" w14:paraId="5071B77B" w14:textId="77777777" w:rsidTr="00AD7252">
        <w:trPr>
          <w:tblHeader/>
        </w:trPr>
        <w:tc>
          <w:tcPr>
            <w:tcW w:w="2127" w:type="dxa"/>
            <w:tcBorders>
              <w:top w:val="single" w:sz="6" w:space="0" w:color="auto"/>
              <w:bottom w:val="single" w:sz="6" w:space="0" w:color="auto"/>
            </w:tcBorders>
            <w:shd w:val="clear" w:color="auto" w:fill="auto"/>
            <w:hideMark/>
          </w:tcPr>
          <w:p w14:paraId="4DBD960B" w14:textId="77777777" w:rsidR="005452CC" w:rsidRPr="00416235" w:rsidRDefault="005452CC" w:rsidP="009D04AC">
            <w:pPr>
              <w:pStyle w:val="TableHeading"/>
            </w:pPr>
            <w:r w:rsidRPr="00416235">
              <w:t>Column 1</w:t>
            </w:r>
          </w:p>
        </w:tc>
        <w:tc>
          <w:tcPr>
            <w:tcW w:w="4394" w:type="dxa"/>
            <w:tcBorders>
              <w:top w:val="single" w:sz="6" w:space="0" w:color="auto"/>
              <w:bottom w:val="single" w:sz="6" w:space="0" w:color="auto"/>
            </w:tcBorders>
            <w:shd w:val="clear" w:color="auto" w:fill="auto"/>
            <w:hideMark/>
          </w:tcPr>
          <w:p w14:paraId="7D31F8BD" w14:textId="77777777" w:rsidR="005452CC" w:rsidRPr="00416235" w:rsidRDefault="005452CC" w:rsidP="009D04AC">
            <w:pPr>
              <w:pStyle w:val="TableHeading"/>
            </w:pPr>
            <w:r w:rsidRPr="00416235">
              <w:t>Column 2</w:t>
            </w:r>
          </w:p>
        </w:tc>
        <w:tc>
          <w:tcPr>
            <w:tcW w:w="1843" w:type="dxa"/>
            <w:tcBorders>
              <w:top w:val="single" w:sz="6" w:space="0" w:color="auto"/>
              <w:bottom w:val="single" w:sz="6" w:space="0" w:color="auto"/>
            </w:tcBorders>
            <w:shd w:val="clear" w:color="auto" w:fill="auto"/>
            <w:hideMark/>
          </w:tcPr>
          <w:p w14:paraId="01205536" w14:textId="77777777" w:rsidR="005452CC" w:rsidRPr="00416235" w:rsidRDefault="005452CC" w:rsidP="009D04AC">
            <w:pPr>
              <w:pStyle w:val="TableHeading"/>
            </w:pPr>
            <w:r w:rsidRPr="00416235">
              <w:t>Column 3</w:t>
            </w:r>
          </w:p>
        </w:tc>
      </w:tr>
      <w:tr w:rsidR="005452CC" w14:paraId="2FF49FA7" w14:textId="77777777" w:rsidTr="00AD7252">
        <w:trPr>
          <w:tblHeader/>
        </w:trPr>
        <w:tc>
          <w:tcPr>
            <w:tcW w:w="2127" w:type="dxa"/>
            <w:tcBorders>
              <w:top w:val="single" w:sz="6" w:space="0" w:color="auto"/>
              <w:bottom w:val="single" w:sz="12" w:space="0" w:color="auto"/>
            </w:tcBorders>
            <w:shd w:val="clear" w:color="auto" w:fill="auto"/>
            <w:hideMark/>
          </w:tcPr>
          <w:p w14:paraId="3598D2BC" w14:textId="77777777" w:rsidR="005452CC" w:rsidRPr="00416235" w:rsidRDefault="005452CC" w:rsidP="009D04AC">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42D94E90" w14:textId="77777777" w:rsidR="005452CC" w:rsidRPr="00416235" w:rsidRDefault="005452CC" w:rsidP="009D04AC">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25A7C31B" w14:textId="77777777" w:rsidR="005452CC" w:rsidRPr="00416235" w:rsidRDefault="005452CC" w:rsidP="009D04AC">
            <w:pPr>
              <w:pStyle w:val="TableHeading"/>
            </w:pPr>
            <w:r w:rsidRPr="00416235">
              <w:t>Date/Details</w:t>
            </w:r>
          </w:p>
        </w:tc>
      </w:tr>
      <w:tr w:rsidR="005452CC" w14:paraId="31A3887F" w14:textId="77777777" w:rsidTr="00AD7252">
        <w:tc>
          <w:tcPr>
            <w:tcW w:w="2127" w:type="dxa"/>
            <w:tcBorders>
              <w:top w:val="single" w:sz="12" w:space="0" w:color="auto"/>
              <w:bottom w:val="single" w:sz="12" w:space="0" w:color="auto"/>
            </w:tcBorders>
            <w:shd w:val="clear" w:color="auto" w:fill="auto"/>
            <w:hideMark/>
          </w:tcPr>
          <w:p w14:paraId="569D9006" w14:textId="77777777" w:rsidR="005452CC" w:rsidRDefault="005452CC" w:rsidP="00AD7252">
            <w:pPr>
              <w:pStyle w:val="Tabletext"/>
            </w:pPr>
            <w:r>
              <w:t>1</w:t>
            </w:r>
            <w:r w:rsidR="00525139">
              <w:t>.</w:t>
            </w:r>
            <w:r>
              <w:t xml:space="preserve">  </w:t>
            </w:r>
            <w:r w:rsidR="00AD7252">
              <w:t xml:space="preserve">The whole of </w:t>
            </w:r>
            <w:r w:rsidR="00A7225B">
              <w:t>this instrument</w:t>
            </w:r>
          </w:p>
        </w:tc>
        <w:tc>
          <w:tcPr>
            <w:tcW w:w="4394" w:type="dxa"/>
            <w:tcBorders>
              <w:top w:val="single" w:sz="12" w:space="0" w:color="auto"/>
              <w:bottom w:val="single" w:sz="12" w:space="0" w:color="auto"/>
            </w:tcBorders>
            <w:shd w:val="clear" w:color="auto" w:fill="auto"/>
            <w:hideMark/>
          </w:tcPr>
          <w:p w14:paraId="75AB2585" w14:textId="77777777" w:rsidR="005452CC" w:rsidRDefault="005452CC" w:rsidP="005452CC">
            <w:pPr>
              <w:pStyle w:val="Tabletext"/>
            </w:pPr>
            <w:r>
              <w:t xml:space="preserve">The day after </w:t>
            </w:r>
            <w:r w:rsidR="00A7225B">
              <w:t>this instrument is</w:t>
            </w:r>
            <w:r>
              <w:t xml:space="preserve"> registered</w:t>
            </w:r>
            <w:r w:rsidR="00525139">
              <w:t>.</w:t>
            </w:r>
          </w:p>
        </w:tc>
        <w:tc>
          <w:tcPr>
            <w:tcW w:w="1843" w:type="dxa"/>
            <w:tcBorders>
              <w:top w:val="single" w:sz="12" w:space="0" w:color="auto"/>
              <w:bottom w:val="single" w:sz="12" w:space="0" w:color="auto"/>
            </w:tcBorders>
            <w:shd w:val="clear" w:color="auto" w:fill="auto"/>
          </w:tcPr>
          <w:p w14:paraId="41CB5C5F" w14:textId="117DC132" w:rsidR="005452CC" w:rsidRDefault="00401A60">
            <w:pPr>
              <w:pStyle w:val="Tabletext"/>
            </w:pPr>
            <w:r>
              <w:t>6 August 2021</w:t>
            </w:r>
            <w:bookmarkStart w:id="2" w:name="_GoBack"/>
            <w:bookmarkEnd w:id="2"/>
          </w:p>
        </w:tc>
      </w:tr>
    </w:tbl>
    <w:p w14:paraId="69B83DC3" w14:textId="77777777" w:rsidR="005452CC" w:rsidRPr="001E6DD6" w:rsidRDefault="005452CC" w:rsidP="009D04AC">
      <w:pPr>
        <w:pStyle w:val="notetext"/>
      </w:pPr>
      <w:r w:rsidRPr="005F477A">
        <w:rPr>
          <w:snapToGrid w:val="0"/>
          <w:lang w:eastAsia="en-US"/>
        </w:rPr>
        <w:t>Note:</w:t>
      </w:r>
      <w:r w:rsidRPr="005F477A">
        <w:rPr>
          <w:snapToGrid w:val="0"/>
          <w:lang w:eastAsia="en-US"/>
        </w:rPr>
        <w:tab/>
        <w:t xml:space="preserve">This table relates only to the provisions of </w:t>
      </w:r>
      <w:r w:rsidR="00A7225B">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00525139">
        <w:rPr>
          <w:snapToGrid w:val="0"/>
          <w:lang w:eastAsia="en-US"/>
        </w:rPr>
        <w:t>.</w:t>
      </w:r>
      <w:r w:rsidRPr="005F477A">
        <w:rPr>
          <w:snapToGrid w:val="0"/>
          <w:lang w:eastAsia="en-US"/>
        </w:rPr>
        <w:t xml:space="preserve"> It will not be amended to deal with any later amendments of </w:t>
      </w:r>
      <w:r w:rsidR="00A7225B">
        <w:rPr>
          <w:snapToGrid w:val="0"/>
          <w:lang w:eastAsia="en-US"/>
        </w:rPr>
        <w:t>this instrument</w:t>
      </w:r>
      <w:r w:rsidR="00525139">
        <w:rPr>
          <w:snapToGrid w:val="0"/>
          <w:lang w:eastAsia="en-US"/>
        </w:rPr>
        <w:t>.</w:t>
      </w:r>
    </w:p>
    <w:p w14:paraId="5C264292" w14:textId="77777777"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A7225B">
        <w:t>this instrument</w:t>
      </w:r>
      <w:r w:rsidR="00525139">
        <w:t>.</w:t>
      </w:r>
      <w:r w:rsidRPr="005F477A">
        <w:t xml:space="preserve"> Information may be inserted in this column, or information in it may be edited, in any published version of </w:t>
      </w:r>
      <w:r w:rsidR="00A7225B">
        <w:t>this instrument</w:t>
      </w:r>
      <w:r w:rsidR="00525139">
        <w:t>.</w:t>
      </w:r>
    </w:p>
    <w:p w14:paraId="42D4C7FC" w14:textId="77777777" w:rsidR="00BF6650" w:rsidRDefault="00BF6650" w:rsidP="00BF6650">
      <w:pPr>
        <w:pStyle w:val="ActHead5"/>
      </w:pPr>
      <w:bookmarkStart w:id="3" w:name="_Toc78797697"/>
      <w:r w:rsidRPr="0048118D">
        <w:rPr>
          <w:rStyle w:val="CharSectno"/>
        </w:rPr>
        <w:t>3</w:t>
      </w:r>
      <w:r>
        <w:t xml:space="preserve">  Authority</w:t>
      </w:r>
      <w:bookmarkEnd w:id="3"/>
    </w:p>
    <w:p w14:paraId="7808EC6E" w14:textId="77777777" w:rsidR="00BF6650" w:rsidRPr="007769D4" w:rsidRDefault="00BF6650" w:rsidP="00BF6650">
      <w:pPr>
        <w:pStyle w:val="subsection"/>
      </w:pPr>
      <w:r>
        <w:tab/>
      </w:r>
      <w:r>
        <w:tab/>
      </w:r>
      <w:r w:rsidR="00A7225B">
        <w:t>This instrument is</w:t>
      </w:r>
      <w:r>
        <w:t xml:space="preserve"> made under the </w:t>
      </w:r>
      <w:r w:rsidR="00607C6E" w:rsidRPr="00607C6E">
        <w:rPr>
          <w:i/>
        </w:rPr>
        <w:t>Superannuation Industry (Supervision) Act 1993</w:t>
      </w:r>
      <w:r w:rsidR="00525139">
        <w:t>.</w:t>
      </w:r>
    </w:p>
    <w:p w14:paraId="096328A8" w14:textId="77777777" w:rsidR="00557C7A" w:rsidRDefault="00BF6650" w:rsidP="00557C7A">
      <w:pPr>
        <w:pStyle w:val="ActHead5"/>
      </w:pPr>
      <w:bookmarkStart w:id="4" w:name="_Toc78797698"/>
      <w:r w:rsidRPr="0048118D">
        <w:rPr>
          <w:rStyle w:val="CharSectno"/>
        </w:rPr>
        <w:t>4</w:t>
      </w:r>
      <w:r w:rsidR="00557C7A">
        <w:t xml:space="preserve">  </w:t>
      </w:r>
      <w:r w:rsidR="00083F48">
        <w:t>Schedules</w:t>
      </w:r>
      <w:bookmarkEnd w:id="4"/>
    </w:p>
    <w:p w14:paraId="3C1B6FB3" w14:textId="77777777" w:rsidR="00557C7A" w:rsidRDefault="00557C7A" w:rsidP="00557C7A">
      <w:pPr>
        <w:pStyle w:val="subsection"/>
      </w:pPr>
      <w:r>
        <w:tab/>
      </w:r>
      <w:r>
        <w:tab/>
      </w:r>
      <w:r w:rsidR="00083F48">
        <w:t xml:space="preserve">Each </w:t>
      </w:r>
      <w:r w:rsidR="00160BD7">
        <w:t>instrument</w:t>
      </w:r>
      <w:r w:rsidR="00083F48">
        <w:t xml:space="preserve"> that is specified in a Schedule to </w:t>
      </w:r>
      <w:r w:rsidR="00A7225B">
        <w:t>this instrument</w:t>
      </w:r>
      <w:r w:rsidR="00083F48">
        <w:t xml:space="preserve"> is amended or repealed as set out in the applicable items </w:t>
      </w:r>
      <w:r w:rsidR="00083F48" w:rsidRPr="00083F48">
        <w:t xml:space="preserve">in the Schedule concerned, and any other item in a Schedule to </w:t>
      </w:r>
      <w:r w:rsidR="00A7225B">
        <w:t>this instrument</w:t>
      </w:r>
      <w:r w:rsidR="00083F48" w:rsidRPr="00083F48">
        <w:t xml:space="preserve"> has effect according to its terms</w:t>
      </w:r>
      <w:r w:rsidR="00525139">
        <w:t>.</w:t>
      </w:r>
    </w:p>
    <w:p w14:paraId="0399087D" w14:textId="77777777" w:rsidR="0048364F" w:rsidRDefault="0048364F" w:rsidP="009C5989">
      <w:pPr>
        <w:pStyle w:val="ActHead6"/>
        <w:pageBreakBefore/>
      </w:pPr>
      <w:bookmarkStart w:id="5" w:name="_Toc78797699"/>
      <w:r w:rsidRPr="0048118D">
        <w:rPr>
          <w:rStyle w:val="CharAmSchNo"/>
        </w:rPr>
        <w:lastRenderedPageBreak/>
        <w:t>Schedule 1</w:t>
      </w:r>
      <w:r>
        <w:t>—</w:t>
      </w:r>
      <w:r w:rsidR="00460499" w:rsidRPr="0048118D">
        <w:rPr>
          <w:rStyle w:val="CharAmSchText"/>
        </w:rPr>
        <w:t>Amendments</w:t>
      </w:r>
      <w:bookmarkEnd w:id="5"/>
    </w:p>
    <w:p w14:paraId="20E74A73" w14:textId="77777777" w:rsidR="0004044E" w:rsidRPr="0048118D" w:rsidRDefault="0004044E" w:rsidP="0004044E">
      <w:pPr>
        <w:pStyle w:val="Header"/>
      </w:pPr>
      <w:r w:rsidRPr="0048118D">
        <w:rPr>
          <w:rStyle w:val="CharAmPartNo"/>
        </w:rPr>
        <w:t xml:space="preserve"> </w:t>
      </w:r>
      <w:r w:rsidRPr="0048118D">
        <w:rPr>
          <w:rStyle w:val="CharAmPartText"/>
        </w:rPr>
        <w:t xml:space="preserve"> </w:t>
      </w:r>
    </w:p>
    <w:p w14:paraId="641FE99A" w14:textId="77777777" w:rsidR="0084172C" w:rsidRDefault="00607C6E" w:rsidP="00EA0D36">
      <w:pPr>
        <w:pStyle w:val="ActHead9"/>
      </w:pPr>
      <w:bookmarkStart w:id="6" w:name="_Toc78797700"/>
      <w:r w:rsidRPr="00607C6E">
        <w:t>Superannuation Industry (Supervision) Regulations 1994</w:t>
      </w:r>
      <w:bookmarkEnd w:id="6"/>
    </w:p>
    <w:p w14:paraId="3751B241" w14:textId="77777777" w:rsidR="00607C6E" w:rsidRDefault="0053333D" w:rsidP="00607C6E">
      <w:pPr>
        <w:pStyle w:val="ItemHead"/>
      </w:pPr>
      <w:bookmarkStart w:id="7" w:name="_Hlk72763130"/>
      <w:r>
        <w:t>1</w:t>
      </w:r>
      <w:r w:rsidR="00607C6E">
        <w:t xml:space="preserve">  </w:t>
      </w:r>
      <w:r w:rsidR="00B86730">
        <w:t>Subregulation 1</w:t>
      </w:r>
      <w:r w:rsidR="00525139">
        <w:t>.</w:t>
      </w:r>
      <w:r w:rsidR="005A1DAF">
        <w:t>04</w:t>
      </w:r>
      <w:r w:rsidR="00981847">
        <w:t>(2)</w:t>
      </w:r>
    </w:p>
    <w:p w14:paraId="54304460" w14:textId="77777777" w:rsidR="005A1DAF" w:rsidRPr="005A1DAF" w:rsidRDefault="005A1DAF" w:rsidP="005A1DAF">
      <w:pPr>
        <w:pStyle w:val="Item"/>
      </w:pPr>
      <w:r>
        <w:t xml:space="preserve">Omit </w:t>
      </w:r>
      <w:r w:rsidR="00C43BEE">
        <w:t>“</w:t>
      </w:r>
      <w:r w:rsidRPr="005A1DAF">
        <w:t>section 20B or Part 2C</w:t>
      </w:r>
      <w:r w:rsidR="00C43BEE">
        <w:t>”</w:t>
      </w:r>
      <w:r>
        <w:t xml:space="preserve">, substitute </w:t>
      </w:r>
      <w:r w:rsidR="00C43BEE">
        <w:t>“</w:t>
      </w:r>
      <w:r w:rsidRPr="005A1DAF">
        <w:t>section 20B</w:t>
      </w:r>
      <w:r>
        <w:t xml:space="preserve">, </w:t>
      </w:r>
      <w:r w:rsidRPr="005A1DAF">
        <w:t>Part 2C</w:t>
      </w:r>
      <w:r>
        <w:t xml:space="preserve"> o</w:t>
      </w:r>
      <w:r w:rsidRPr="005A1DAF">
        <w:t xml:space="preserve">r </w:t>
      </w:r>
      <w:r w:rsidR="00B86730">
        <w:t>Part 6</w:t>
      </w:r>
      <w:r>
        <w:t>A</w:t>
      </w:r>
      <w:r w:rsidR="00C43BEE">
        <w:t>”</w:t>
      </w:r>
      <w:r w:rsidR="00525139">
        <w:t>.</w:t>
      </w:r>
    </w:p>
    <w:bookmarkEnd w:id="7"/>
    <w:p w14:paraId="5ABBEBC4" w14:textId="77777777" w:rsidR="005A1DAF" w:rsidRDefault="0053333D" w:rsidP="005A1DAF">
      <w:pPr>
        <w:pStyle w:val="ItemHead"/>
      </w:pPr>
      <w:r>
        <w:t>2</w:t>
      </w:r>
      <w:r w:rsidR="005A1DAF">
        <w:t xml:space="preserve">  After paragraph 2</w:t>
      </w:r>
      <w:r w:rsidR="00525139">
        <w:t>.</w:t>
      </w:r>
      <w:r w:rsidR="005A1DAF">
        <w:t>38(2)(e)</w:t>
      </w:r>
    </w:p>
    <w:p w14:paraId="7650B6AF" w14:textId="77777777" w:rsidR="00981847" w:rsidRDefault="00981847" w:rsidP="00981847">
      <w:pPr>
        <w:pStyle w:val="Item"/>
      </w:pPr>
      <w:r>
        <w:t>Insert:</w:t>
      </w:r>
    </w:p>
    <w:p w14:paraId="117D5AC7" w14:textId="77777777" w:rsidR="00981847" w:rsidRDefault="00981847" w:rsidP="00981847">
      <w:pPr>
        <w:pStyle w:val="paragraph"/>
      </w:pPr>
      <w:r>
        <w:tab/>
        <w:t>(ea)</w:t>
      </w:r>
      <w:r>
        <w:tab/>
        <w:t>if</w:t>
      </w:r>
      <w:r w:rsidR="00064EAB">
        <w:t xml:space="preserve"> </w:t>
      </w:r>
      <w:r w:rsidR="00B60680">
        <w:t>both</w:t>
      </w:r>
      <w:r w:rsidR="00064EAB">
        <w:t xml:space="preserve"> of</w:t>
      </w:r>
      <w:r>
        <w:t xml:space="preserve"> the following circumstances exist:</w:t>
      </w:r>
    </w:p>
    <w:p w14:paraId="111039DF" w14:textId="77777777" w:rsidR="00981847" w:rsidRDefault="00981847" w:rsidP="00981847">
      <w:pPr>
        <w:pStyle w:val="paragraphsub"/>
      </w:pPr>
      <w:r>
        <w:tab/>
        <w:t>(i)</w:t>
      </w:r>
      <w:r>
        <w:tab/>
      </w:r>
      <w:r w:rsidRPr="00981847">
        <w:t xml:space="preserve">APRA </w:t>
      </w:r>
      <w:r>
        <w:t xml:space="preserve">has </w:t>
      </w:r>
      <w:r w:rsidRPr="00981847">
        <w:t>give</w:t>
      </w:r>
      <w:r>
        <w:t>n</w:t>
      </w:r>
      <w:r w:rsidRPr="00981847">
        <w:t xml:space="preserve"> the trustee or trustees of </w:t>
      </w:r>
      <w:r>
        <w:t>the</w:t>
      </w:r>
      <w:r w:rsidRPr="00981847">
        <w:t xml:space="preserve"> entity a notification of a determination under </w:t>
      </w:r>
      <w:r w:rsidR="00B86730">
        <w:t>subsection 6</w:t>
      </w:r>
      <w:r w:rsidRPr="00981847">
        <w:t xml:space="preserve">0C(2) </w:t>
      </w:r>
      <w:r>
        <w:t xml:space="preserve">of the Act </w:t>
      </w:r>
      <w:r w:rsidRPr="00981847">
        <w:t xml:space="preserve">that the requirement in </w:t>
      </w:r>
      <w:r w:rsidR="00B86730">
        <w:t>subsection 6</w:t>
      </w:r>
      <w:r w:rsidRPr="00981847">
        <w:t>0D(1)</w:t>
      </w:r>
      <w:r>
        <w:t xml:space="preserve"> of the Act</w:t>
      </w:r>
      <w:r w:rsidRPr="00981847">
        <w:t xml:space="preserve"> has not been met for a </w:t>
      </w:r>
      <w:r w:rsidR="00B86730">
        <w:t>Part 6</w:t>
      </w:r>
      <w:r w:rsidRPr="00981847">
        <w:t>A product offered by the entity, in relation to a financial year</w:t>
      </w:r>
      <w:r>
        <w:t>;</w:t>
      </w:r>
    </w:p>
    <w:p w14:paraId="3688CE9E" w14:textId="77777777" w:rsidR="00981847" w:rsidRDefault="00981847" w:rsidP="00981847">
      <w:pPr>
        <w:pStyle w:val="paragraphsub"/>
      </w:pPr>
      <w:r>
        <w:tab/>
        <w:t>(ii)</w:t>
      </w:r>
      <w:r>
        <w:tab/>
      </w:r>
      <w:r w:rsidRPr="00981847">
        <w:t xml:space="preserve">APRA </w:t>
      </w:r>
      <w:r>
        <w:t>ha</w:t>
      </w:r>
      <w:r w:rsidR="0014509D">
        <w:t>d</w:t>
      </w:r>
      <w:r>
        <w:t xml:space="preserve"> </w:t>
      </w:r>
      <w:r w:rsidR="0014509D">
        <w:t xml:space="preserve">not </w:t>
      </w:r>
      <w:r w:rsidRPr="00981847">
        <w:t>give</w:t>
      </w:r>
      <w:r>
        <w:t>n</w:t>
      </w:r>
      <w:r w:rsidRPr="00981847">
        <w:t xml:space="preserve"> the trustee or trustees a notification of a</w:t>
      </w:r>
      <w:r>
        <w:t>nother</w:t>
      </w:r>
      <w:r w:rsidRPr="00981847">
        <w:t xml:space="preserve"> determination under </w:t>
      </w:r>
      <w:r w:rsidR="00B86730">
        <w:t>subsection 6</w:t>
      </w:r>
      <w:r w:rsidR="00D90F5C" w:rsidRPr="00981847">
        <w:t xml:space="preserve">0C(2) </w:t>
      </w:r>
      <w:r w:rsidR="00D90F5C">
        <w:t xml:space="preserve">of the Act </w:t>
      </w:r>
      <w:r w:rsidRPr="00981847">
        <w:t>that th</w:t>
      </w:r>
      <w:r w:rsidR="0014509D">
        <w:t>at</w:t>
      </w:r>
      <w:r w:rsidRPr="00981847">
        <w:t xml:space="preserve"> requirement ha</w:t>
      </w:r>
      <w:r w:rsidR="0014509D">
        <w:t>d</w:t>
      </w:r>
      <w:r w:rsidRPr="00981847">
        <w:t xml:space="preserve"> not been met for </w:t>
      </w:r>
      <w:r w:rsidR="0014509D">
        <w:t>the</w:t>
      </w:r>
      <w:r w:rsidRPr="00981847">
        <w:t xml:space="preserve"> </w:t>
      </w:r>
      <w:r w:rsidR="00B86730">
        <w:t>Part 6</w:t>
      </w:r>
      <w:r w:rsidRPr="00981847">
        <w:t xml:space="preserve">A product, in relation to </w:t>
      </w:r>
      <w:r>
        <w:t xml:space="preserve">the </w:t>
      </w:r>
      <w:r w:rsidR="0014509D">
        <w:t>previous</w:t>
      </w:r>
      <w:r w:rsidRPr="00981847">
        <w:t xml:space="preserve"> financial year</w:t>
      </w:r>
      <w:r>
        <w:t>;</w:t>
      </w:r>
    </w:p>
    <w:p w14:paraId="396B5C7D" w14:textId="77777777" w:rsidR="00981847" w:rsidRPr="00981847" w:rsidRDefault="00981847" w:rsidP="00981847">
      <w:pPr>
        <w:pStyle w:val="paragraph"/>
      </w:pPr>
      <w:r>
        <w:tab/>
      </w:r>
      <w:r>
        <w:tab/>
        <w:t>a description of those circumstances</w:t>
      </w:r>
      <w:r w:rsidR="00525139">
        <w:t>.</w:t>
      </w:r>
    </w:p>
    <w:p w14:paraId="66C80020" w14:textId="77777777" w:rsidR="008871B4" w:rsidRDefault="0053333D" w:rsidP="008871B4">
      <w:pPr>
        <w:pStyle w:val="ItemHead"/>
      </w:pPr>
      <w:r>
        <w:t>3</w:t>
      </w:r>
      <w:r w:rsidR="008871B4">
        <w:t xml:space="preserve">  Before </w:t>
      </w:r>
      <w:r w:rsidR="00B86730">
        <w:t>regulation 4</w:t>
      </w:r>
      <w:r w:rsidR="00525139">
        <w:t>.</w:t>
      </w:r>
      <w:r w:rsidR="008871B4">
        <w:t>01</w:t>
      </w:r>
    </w:p>
    <w:p w14:paraId="21B9A7DD" w14:textId="77777777" w:rsidR="008871B4" w:rsidRDefault="008871B4" w:rsidP="008871B4">
      <w:pPr>
        <w:pStyle w:val="Item"/>
      </w:pPr>
      <w:r>
        <w:t>Insert:</w:t>
      </w:r>
    </w:p>
    <w:p w14:paraId="6A6993C3" w14:textId="77777777" w:rsidR="008871B4" w:rsidRDefault="00031DEA" w:rsidP="008871B4">
      <w:pPr>
        <w:pStyle w:val="ActHead5"/>
      </w:pPr>
      <w:bookmarkStart w:id="8" w:name="_Toc78797701"/>
      <w:r w:rsidRPr="0048118D">
        <w:rPr>
          <w:rStyle w:val="CharSectno"/>
        </w:rPr>
        <w:t>4</w:t>
      </w:r>
      <w:r w:rsidR="00525139" w:rsidRPr="0048118D">
        <w:rPr>
          <w:rStyle w:val="CharSectno"/>
        </w:rPr>
        <w:t>.</w:t>
      </w:r>
      <w:r w:rsidRPr="0048118D">
        <w:rPr>
          <w:rStyle w:val="CharSectno"/>
        </w:rPr>
        <w:t>0</w:t>
      </w:r>
      <w:r w:rsidR="008871B4" w:rsidRPr="0048118D">
        <w:rPr>
          <w:rStyle w:val="CharSectno"/>
        </w:rPr>
        <w:t>1</w:t>
      </w:r>
      <w:r w:rsidRPr="0048118D">
        <w:rPr>
          <w:rStyle w:val="CharSectno"/>
        </w:rPr>
        <w:t>A</w:t>
      </w:r>
      <w:r w:rsidR="008871B4">
        <w:t xml:space="preserve">  </w:t>
      </w:r>
      <w:r w:rsidR="00125F4C" w:rsidRPr="00125F4C">
        <w:t>Covenants in governing rules of superannuation entity—</w:t>
      </w:r>
      <w:r w:rsidR="00A06AEA">
        <w:t>t</w:t>
      </w:r>
      <w:r w:rsidR="00125F4C">
        <w:t>rustee</w:t>
      </w:r>
      <w:r w:rsidR="00C43BEE">
        <w:t>’</w:t>
      </w:r>
      <w:r w:rsidR="00125F4C">
        <w:t>s determination and b</w:t>
      </w:r>
      <w:r>
        <w:t>ench</w:t>
      </w:r>
      <w:r w:rsidR="0050158E">
        <w:t>marks</w:t>
      </w:r>
      <w:bookmarkEnd w:id="8"/>
    </w:p>
    <w:p w14:paraId="6F568ECE" w14:textId="77777777" w:rsidR="00905502" w:rsidRPr="008C7877" w:rsidRDefault="00905502" w:rsidP="00905502">
      <w:pPr>
        <w:pStyle w:val="SubsectionHead"/>
      </w:pPr>
      <w:r>
        <w:t>MySuper products</w:t>
      </w:r>
    </w:p>
    <w:p w14:paraId="66B17569" w14:textId="77777777" w:rsidR="00905502" w:rsidRDefault="00905502" w:rsidP="00905502">
      <w:pPr>
        <w:pStyle w:val="subsection"/>
      </w:pPr>
      <w:r>
        <w:tab/>
        <w:t>(1)</w:t>
      </w:r>
      <w:r>
        <w:tab/>
      </w:r>
      <w:r w:rsidRPr="00FA7A25">
        <w:t xml:space="preserve">For </w:t>
      </w:r>
      <w:r>
        <w:t xml:space="preserve">the purposes of </w:t>
      </w:r>
      <w:r w:rsidR="00B86730">
        <w:t>subparagraph 5</w:t>
      </w:r>
      <w:r w:rsidRPr="00FA7A25">
        <w:t>2(</w:t>
      </w:r>
      <w:r>
        <w:t>9</w:t>
      </w:r>
      <w:r w:rsidRPr="00FA7A25">
        <w:t>)(</w:t>
      </w:r>
      <w:r>
        <w:t>a</w:t>
      </w:r>
      <w:r w:rsidRPr="00FA7A25">
        <w:t>)(</w:t>
      </w:r>
      <w:r>
        <w:t>i</w:t>
      </w:r>
      <w:r w:rsidRPr="00FA7A25">
        <w:t xml:space="preserve">) of the Act, </w:t>
      </w:r>
      <w:r>
        <w:t>subregulation (2) specifies a benchmark in relation to a MySuper product</w:t>
      </w:r>
      <w:r w:rsidR="00525139">
        <w:t>.</w:t>
      </w:r>
    </w:p>
    <w:p w14:paraId="40F231A9" w14:textId="77777777" w:rsidR="006A22B1" w:rsidRDefault="006A22B1" w:rsidP="000962F5">
      <w:pPr>
        <w:pStyle w:val="subsection"/>
      </w:pPr>
      <w:r>
        <w:tab/>
        <w:t>(2)</w:t>
      </w:r>
      <w:r>
        <w:tab/>
        <w:t xml:space="preserve">The </w:t>
      </w:r>
      <w:r w:rsidR="000962F5">
        <w:t xml:space="preserve">benchmark is the </w:t>
      </w:r>
      <w:r>
        <w:t xml:space="preserve">requirement in subsection 60D(1) of the Act </w:t>
      </w:r>
      <w:r w:rsidR="000962F5">
        <w:t>having been</w:t>
      </w:r>
      <w:r>
        <w:t xml:space="preserve"> met for the product in relation to the most recently ended financial year</w:t>
      </w:r>
      <w:r w:rsidR="00525139">
        <w:t>.</w:t>
      </w:r>
    </w:p>
    <w:p w14:paraId="2667E52E" w14:textId="77777777" w:rsidR="008C7877" w:rsidRPr="00B86730" w:rsidRDefault="008C7877" w:rsidP="008C7877">
      <w:pPr>
        <w:pStyle w:val="SubsectionHead"/>
      </w:pPr>
      <w:r>
        <w:t>Choice products</w:t>
      </w:r>
    </w:p>
    <w:p w14:paraId="7ACFE5CE" w14:textId="77777777" w:rsidR="00AC57A2" w:rsidRDefault="00AC57A2" w:rsidP="008C7877">
      <w:pPr>
        <w:pStyle w:val="subsection"/>
      </w:pPr>
      <w:r>
        <w:tab/>
        <w:t>(</w:t>
      </w:r>
      <w:r w:rsidR="008C7877">
        <w:t>3</w:t>
      </w:r>
      <w:r>
        <w:t>)</w:t>
      </w:r>
      <w:r>
        <w:tab/>
      </w:r>
      <w:r w:rsidRPr="00FA7A25">
        <w:t xml:space="preserve">For </w:t>
      </w:r>
      <w:r>
        <w:t xml:space="preserve">the purposes of </w:t>
      </w:r>
      <w:r w:rsidR="00B86730">
        <w:t>subparagraph 5</w:t>
      </w:r>
      <w:r w:rsidRPr="00FA7A25">
        <w:t>2(</w:t>
      </w:r>
      <w:r>
        <w:t>9</w:t>
      </w:r>
      <w:r w:rsidRPr="00FA7A25">
        <w:t>)(</w:t>
      </w:r>
      <w:r>
        <w:t>a</w:t>
      </w:r>
      <w:r w:rsidRPr="00FA7A25">
        <w:t>)(</w:t>
      </w:r>
      <w:r>
        <w:t>i</w:t>
      </w:r>
      <w:r w:rsidR="008C7877">
        <w:t>i</w:t>
      </w:r>
      <w:r w:rsidRPr="00FA7A25">
        <w:t xml:space="preserve">) of the Act, </w:t>
      </w:r>
      <w:r w:rsidR="008C7877">
        <w:t>subregulation (</w:t>
      </w:r>
      <w:r w:rsidR="0051713E">
        <w:t>4</w:t>
      </w:r>
      <w:r w:rsidR="008C7877">
        <w:t xml:space="preserve">) </w:t>
      </w:r>
      <w:r>
        <w:t xml:space="preserve">specifies </w:t>
      </w:r>
      <w:r w:rsidR="00591AD0">
        <w:t xml:space="preserve">a </w:t>
      </w:r>
      <w:r>
        <w:t>benchmark</w:t>
      </w:r>
      <w:r w:rsidR="00591AD0">
        <w:t xml:space="preserve"> in relation to </w:t>
      </w:r>
      <w:r>
        <w:t xml:space="preserve">a </w:t>
      </w:r>
      <w:r w:rsidR="008C7877">
        <w:t xml:space="preserve">choice </w:t>
      </w:r>
      <w:r>
        <w:t>product</w:t>
      </w:r>
      <w:r w:rsidR="006B3AD8">
        <w:t xml:space="preserve"> that is </w:t>
      </w:r>
      <w:r w:rsidR="00B25F93">
        <w:t xml:space="preserve">a </w:t>
      </w:r>
      <w:r w:rsidR="00B86730">
        <w:t>Part 6</w:t>
      </w:r>
      <w:r w:rsidR="006B3AD8">
        <w:t>A product</w:t>
      </w:r>
      <w:r w:rsidR="00525139">
        <w:t>.</w:t>
      </w:r>
    </w:p>
    <w:p w14:paraId="14B016B6" w14:textId="77777777" w:rsidR="000962F5" w:rsidRDefault="000962F5" w:rsidP="000962F5">
      <w:pPr>
        <w:pStyle w:val="subsection"/>
      </w:pPr>
      <w:r>
        <w:tab/>
        <w:t>(4)</w:t>
      </w:r>
      <w:r>
        <w:tab/>
        <w:t>The benchmark is the requirement in subsection 60D(1) of the Act having been met for the product in relation to the most recently ended financial year</w:t>
      </w:r>
      <w:r w:rsidR="00525139">
        <w:t>.</w:t>
      </w:r>
    </w:p>
    <w:p w14:paraId="4263F5CB" w14:textId="77777777" w:rsidR="00AE6BA0" w:rsidRDefault="0053333D" w:rsidP="00AE6BA0">
      <w:pPr>
        <w:pStyle w:val="ItemHead"/>
      </w:pPr>
      <w:r>
        <w:t>4</w:t>
      </w:r>
      <w:r w:rsidR="00AE6BA0">
        <w:t xml:space="preserve">  After </w:t>
      </w:r>
      <w:r w:rsidR="00B27E57">
        <w:t>Part 9</w:t>
      </w:r>
      <w:r w:rsidR="00AE6BA0">
        <w:t>AA</w:t>
      </w:r>
    </w:p>
    <w:p w14:paraId="0FD956FF" w14:textId="77777777" w:rsidR="007E2991" w:rsidRDefault="007E2991" w:rsidP="007E2991">
      <w:pPr>
        <w:pStyle w:val="Item"/>
      </w:pPr>
      <w:r>
        <w:t>Insert:</w:t>
      </w:r>
    </w:p>
    <w:p w14:paraId="1FEB3DD8" w14:textId="77777777" w:rsidR="007E2991" w:rsidRPr="001D490D" w:rsidRDefault="00B27E57" w:rsidP="007E2991">
      <w:pPr>
        <w:pStyle w:val="ActHead2"/>
      </w:pPr>
      <w:bookmarkStart w:id="9" w:name="_Toc78797702"/>
      <w:r w:rsidRPr="0048118D">
        <w:rPr>
          <w:rStyle w:val="CharPartNo"/>
        </w:rPr>
        <w:lastRenderedPageBreak/>
        <w:t>Part 9</w:t>
      </w:r>
      <w:r w:rsidR="007E2991" w:rsidRPr="0048118D">
        <w:rPr>
          <w:rStyle w:val="CharPartNo"/>
        </w:rPr>
        <w:t>AB</w:t>
      </w:r>
      <w:r w:rsidR="007E2991">
        <w:t>—</w:t>
      </w:r>
      <w:r w:rsidR="007E2991" w:rsidRPr="0048118D">
        <w:rPr>
          <w:rStyle w:val="CharPartText"/>
        </w:rPr>
        <w:t>Annual performance assessments etc</w:t>
      </w:r>
      <w:r w:rsidR="00525139" w:rsidRPr="0048118D">
        <w:rPr>
          <w:rStyle w:val="CharPartText"/>
        </w:rPr>
        <w:t>.</w:t>
      </w:r>
      <w:bookmarkEnd w:id="9"/>
    </w:p>
    <w:p w14:paraId="1EB04CB4" w14:textId="77777777" w:rsidR="00213E38" w:rsidRPr="00213E38" w:rsidRDefault="00B27E57" w:rsidP="00213E38">
      <w:pPr>
        <w:pStyle w:val="ActHead3"/>
      </w:pPr>
      <w:bookmarkStart w:id="10" w:name="_Toc78797703"/>
      <w:r w:rsidRPr="0048118D">
        <w:rPr>
          <w:rStyle w:val="CharDivNo"/>
        </w:rPr>
        <w:t>Division 9</w:t>
      </w:r>
      <w:r w:rsidR="006847E2" w:rsidRPr="0048118D">
        <w:rPr>
          <w:rStyle w:val="CharDivNo"/>
        </w:rPr>
        <w:t>AB</w:t>
      </w:r>
      <w:r w:rsidR="00525139" w:rsidRPr="0048118D">
        <w:rPr>
          <w:rStyle w:val="CharDivNo"/>
        </w:rPr>
        <w:t>.</w:t>
      </w:r>
      <w:r w:rsidR="00213E38" w:rsidRPr="0048118D">
        <w:rPr>
          <w:rStyle w:val="CharDivNo"/>
        </w:rPr>
        <w:t>1</w:t>
      </w:r>
      <w:r w:rsidR="00213E38">
        <w:t>—</w:t>
      </w:r>
      <w:r w:rsidR="00213E38" w:rsidRPr="0048118D">
        <w:rPr>
          <w:rStyle w:val="CharDivText"/>
        </w:rPr>
        <w:t>Preliminary</w:t>
      </w:r>
      <w:bookmarkEnd w:id="10"/>
    </w:p>
    <w:p w14:paraId="6C7B68EF" w14:textId="77777777" w:rsidR="009855D9" w:rsidRDefault="00525139" w:rsidP="009855D9">
      <w:pPr>
        <w:pStyle w:val="ActHead5"/>
      </w:pPr>
      <w:bookmarkStart w:id="11" w:name="_Toc78797704"/>
      <w:r w:rsidRPr="0048118D">
        <w:rPr>
          <w:rStyle w:val="CharSectno"/>
        </w:rPr>
        <w:t>9AB.1</w:t>
      </w:r>
      <w:r w:rsidR="009855D9">
        <w:t xml:space="preserve">  </w:t>
      </w:r>
      <w:r w:rsidR="00DB11F2">
        <w:t>Definitions</w:t>
      </w:r>
      <w:bookmarkEnd w:id="11"/>
    </w:p>
    <w:p w14:paraId="557586F8" w14:textId="77777777" w:rsidR="00C92D14" w:rsidRDefault="00C92D14" w:rsidP="00C92D14">
      <w:pPr>
        <w:pStyle w:val="subsection"/>
      </w:pPr>
      <w:r>
        <w:tab/>
      </w:r>
      <w:r>
        <w:tab/>
        <w:t>In this Part:</w:t>
      </w:r>
    </w:p>
    <w:p w14:paraId="18C7B289" w14:textId="77777777" w:rsidR="00FE325E" w:rsidRPr="00C92D14" w:rsidRDefault="00FE325E" w:rsidP="00FE325E">
      <w:pPr>
        <w:pStyle w:val="Definition"/>
      </w:pPr>
      <w:r>
        <w:rPr>
          <w:b/>
          <w:i/>
        </w:rPr>
        <w:t>actual return</w:t>
      </w:r>
      <w:r>
        <w:t xml:space="preserve"> has the meaning given by </w:t>
      </w:r>
      <w:r w:rsidR="00D45949">
        <w:t>regulation</w:t>
      </w:r>
      <w:r>
        <w:t xml:space="preserve">s </w:t>
      </w:r>
      <w:r w:rsidR="00525139">
        <w:t>9AB.11</w:t>
      </w:r>
      <w:r w:rsidRPr="001D490D">
        <w:t xml:space="preserve"> and </w:t>
      </w:r>
      <w:r w:rsidR="00525139">
        <w:t>9AB.12.</w:t>
      </w:r>
    </w:p>
    <w:p w14:paraId="4018EE76" w14:textId="77777777" w:rsidR="009D2919" w:rsidRDefault="009D2919" w:rsidP="009D2919">
      <w:pPr>
        <w:pStyle w:val="Definition"/>
      </w:pPr>
      <w:r>
        <w:rPr>
          <w:b/>
          <w:i/>
        </w:rPr>
        <w:t>administration fee cap</w:t>
      </w:r>
      <w:r>
        <w:t xml:space="preserve">, of a </w:t>
      </w:r>
      <w:r w:rsidR="00B86730">
        <w:t>Part 6</w:t>
      </w:r>
      <w:r>
        <w:t xml:space="preserve">A product in relation to a financial year, means the </w:t>
      </w:r>
      <w:r w:rsidR="00B86730">
        <w:t>Part 6</w:t>
      </w:r>
      <w:r>
        <w:t>A product</w:t>
      </w:r>
      <w:r w:rsidR="00C43BEE">
        <w:t>’</w:t>
      </w:r>
      <w:r>
        <w:t xml:space="preserve">s fee cap (for the administration fee type of fee) in relation to the end of the financial year, as reported to APRA in accordance with the </w:t>
      </w:r>
      <w:r w:rsidR="001E2FA3">
        <w:t xml:space="preserve">applicable </w:t>
      </w:r>
      <w:r>
        <w:t>fees standard</w:t>
      </w:r>
      <w:r w:rsidR="00525139">
        <w:t>.</w:t>
      </w:r>
    </w:p>
    <w:p w14:paraId="178103A7" w14:textId="77777777" w:rsidR="00DD5E58" w:rsidRDefault="00DD5E58" w:rsidP="00DD5E58">
      <w:pPr>
        <w:pStyle w:val="Definition"/>
      </w:pPr>
      <w:r>
        <w:rPr>
          <w:b/>
          <w:i/>
        </w:rPr>
        <w:t>administration fee flat amount</w:t>
      </w:r>
      <w:r>
        <w:t xml:space="preserve">, of a </w:t>
      </w:r>
      <w:r w:rsidR="00B86730">
        <w:t>Part 6</w:t>
      </w:r>
      <w:r>
        <w:t xml:space="preserve">A product in relation to a financial year, means the </w:t>
      </w:r>
      <w:r w:rsidR="00B86730">
        <w:t>Part 6</w:t>
      </w:r>
      <w:r>
        <w:t>A product</w:t>
      </w:r>
      <w:r w:rsidR="00C43BEE">
        <w:t>’</w:t>
      </w:r>
      <w:r>
        <w:t xml:space="preserve">s dollar amount (for the administration fee type of fee) in relation to the end of the financial year, as reported to APRA in accordance with the </w:t>
      </w:r>
      <w:r w:rsidR="001E2FA3">
        <w:t xml:space="preserve">applicable </w:t>
      </w:r>
      <w:r>
        <w:t>fees standard</w:t>
      </w:r>
      <w:r w:rsidR="00525139">
        <w:t>.</w:t>
      </w:r>
    </w:p>
    <w:p w14:paraId="4B75EEE4" w14:textId="77777777" w:rsidR="009D2919" w:rsidRDefault="009D2919" w:rsidP="009D2919">
      <w:pPr>
        <w:pStyle w:val="Definition"/>
      </w:pPr>
      <w:r>
        <w:rPr>
          <w:b/>
          <w:i/>
        </w:rPr>
        <w:t>administration fee percentage</w:t>
      </w:r>
      <w:r>
        <w:t xml:space="preserve">, of a </w:t>
      </w:r>
      <w:r w:rsidR="00B86730">
        <w:t>Part 6</w:t>
      </w:r>
      <w:r>
        <w:t xml:space="preserve">A product in relation to a financial year, means the </w:t>
      </w:r>
      <w:r w:rsidR="00B86730">
        <w:t>Part 6</w:t>
      </w:r>
      <w:r>
        <w:t>A product</w:t>
      </w:r>
      <w:r w:rsidR="00C43BEE">
        <w:t>’</w:t>
      </w:r>
      <w:r>
        <w:t xml:space="preserve">s percentage of member balance (for the administration fee type of fee) in relation to the end of the financial year, as reported to APRA in accordance with the </w:t>
      </w:r>
      <w:r w:rsidR="001E2FA3">
        <w:t xml:space="preserve">applicable </w:t>
      </w:r>
      <w:r>
        <w:t>fees standard</w:t>
      </w:r>
      <w:r w:rsidR="00525139">
        <w:t>.</w:t>
      </w:r>
    </w:p>
    <w:p w14:paraId="065A76C6" w14:textId="77777777" w:rsidR="00BD49C4" w:rsidRDefault="00BD49C4" w:rsidP="00BD49C4">
      <w:pPr>
        <w:pStyle w:val="Definition"/>
      </w:pPr>
      <w:r>
        <w:rPr>
          <w:b/>
          <w:i/>
        </w:rPr>
        <w:t>asset allocation</w:t>
      </w:r>
      <w:r w:rsidRPr="007F61E6">
        <w:rPr>
          <w:b/>
          <w:i/>
        </w:rPr>
        <w:t xml:space="preserve"> standard</w:t>
      </w:r>
      <w:r>
        <w:t xml:space="preserve"> means:</w:t>
      </w:r>
    </w:p>
    <w:p w14:paraId="578B4A84" w14:textId="77777777" w:rsidR="00BD49C4" w:rsidRPr="00257547" w:rsidRDefault="00BD49C4" w:rsidP="00BD49C4">
      <w:pPr>
        <w:pStyle w:val="paragraph"/>
        <w:rPr>
          <w:i/>
        </w:rPr>
      </w:pPr>
      <w:r>
        <w:tab/>
        <w:t>(a)</w:t>
      </w:r>
      <w:r>
        <w:tab/>
        <w:t xml:space="preserve">the </w:t>
      </w:r>
      <w:r w:rsidRPr="00472F2C">
        <w:rPr>
          <w:i/>
        </w:rPr>
        <w:t>Financial Sector (Collection of Data) (reporting standard) determination No</w:t>
      </w:r>
      <w:r w:rsidR="00525139">
        <w:rPr>
          <w:i/>
        </w:rPr>
        <w:t>.</w:t>
      </w:r>
      <w:r w:rsidRPr="00472F2C">
        <w:rPr>
          <w:i/>
        </w:rPr>
        <w:t xml:space="preserve"> 13 of 2015</w:t>
      </w:r>
      <w:r>
        <w:t>; or</w:t>
      </w:r>
    </w:p>
    <w:p w14:paraId="15B699D3" w14:textId="77777777" w:rsidR="00BD49C4" w:rsidRDefault="00BD49C4" w:rsidP="00BD49C4">
      <w:pPr>
        <w:pStyle w:val="paragraph"/>
      </w:pPr>
      <w:r>
        <w:tab/>
        <w:t>(b)</w:t>
      </w:r>
      <w:r>
        <w:tab/>
        <w:t xml:space="preserve">an analogous legislative instrument </w:t>
      </w:r>
      <w:r w:rsidR="001E2FA3">
        <w:t>that is in force before or after the determination mentioned in paragraph (a)</w:t>
      </w:r>
      <w:r w:rsidR="00525139">
        <w:t>.</w:t>
      </w:r>
    </w:p>
    <w:p w14:paraId="1937EE66" w14:textId="77777777" w:rsidR="00C92D14" w:rsidRPr="00C92D14" w:rsidRDefault="00A16538" w:rsidP="00C92D14">
      <w:pPr>
        <w:pStyle w:val="Definition"/>
      </w:pPr>
      <w:r>
        <w:rPr>
          <w:b/>
          <w:i/>
        </w:rPr>
        <w:t>assumed annual fee</w:t>
      </w:r>
      <w:r w:rsidR="00C92D14">
        <w:rPr>
          <w:b/>
          <w:i/>
        </w:rPr>
        <w:t xml:space="preserve"> </w:t>
      </w:r>
      <w:r w:rsidR="00C92D14">
        <w:t xml:space="preserve">has the meaning given by </w:t>
      </w:r>
      <w:r w:rsidR="00E75FDB">
        <w:t>regulation</w:t>
      </w:r>
      <w:r w:rsidR="00C92D14">
        <w:t xml:space="preserve"> </w:t>
      </w:r>
      <w:r w:rsidR="00525139">
        <w:t>9AB.17.</w:t>
      </w:r>
    </w:p>
    <w:p w14:paraId="11C1821E" w14:textId="77777777" w:rsidR="00C92D14" w:rsidRPr="00C92D14" w:rsidRDefault="00A16538" w:rsidP="00C92D14">
      <w:pPr>
        <w:pStyle w:val="Definition"/>
      </w:pPr>
      <w:r>
        <w:rPr>
          <w:b/>
          <w:i/>
        </w:rPr>
        <w:t>assumed rate of tax</w:t>
      </w:r>
      <w:r w:rsidR="00C92D14">
        <w:t xml:space="preserve"> has the meaning given by </w:t>
      </w:r>
      <w:r w:rsidR="00E75FDB">
        <w:t>regulation</w:t>
      </w:r>
      <w:r w:rsidR="00C92D14">
        <w:t xml:space="preserve"> </w:t>
      </w:r>
      <w:r w:rsidR="00525139">
        <w:t>9AB.17.</w:t>
      </w:r>
    </w:p>
    <w:p w14:paraId="47A9822E" w14:textId="77777777" w:rsidR="00986896" w:rsidRDefault="00986896" w:rsidP="00986896">
      <w:pPr>
        <w:pStyle w:val="Definition"/>
      </w:pPr>
      <w:r>
        <w:rPr>
          <w:b/>
          <w:i/>
        </w:rPr>
        <w:t xml:space="preserve">benchmark </w:t>
      </w:r>
      <w:r w:rsidR="007E7EA8" w:rsidRPr="007E7EA8">
        <w:rPr>
          <w:b/>
          <w:i/>
        </w:rPr>
        <w:t>RAF</w:t>
      </w:r>
      <w:r w:rsidR="0079586E">
        <w:rPr>
          <w:b/>
          <w:i/>
        </w:rPr>
        <w:t>E</w:t>
      </w:r>
      <w:r w:rsidR="00DC0312">
        <w:t>,</w:t>
      </w:r>
      <w:r w:rsidR="00C926DF">
        <w:t xml:space="preserve"> for a </w:t>
      </w:r>
      <w:r w:rsidR="00B86730">
        <w:t>Part 6</w:t>
      </w:r>
      <w:r w:rsidR="00C926DF">
        <w:t xml:space="preserve">A </w:t>
      </w:r>
      <w:r w:rsidR="00E0617F">
        <w:t>p</w:t>
      </w:r>
      <w:r w:rsidR="00C926DF">
        <w:t>roduct</w:t>
      </w:r>
      <w:r w:rsidR="00DC0312">
        <w:t xml:space="preserve"> in relation to a</w:t>
      </w:r>
      <w:r w:rsidR="00E0617F">
        <w:t xml:space="preserve"> financial year</w:t>
      </w:r>
      <w:r w:rsidR="00DC0312">
        <w:t xml:space="preserve">, </w:t>
      </w:r>
      <w:r>
        <w:t xml:space="preserve">has the meaning given by </w:t>
      </w:r>
      <w:r w:rsidR="00D45949">
        <w:t>regulation</w:t>
      </w:r>
      <w:r>
        <w:t xml:space="preserve"> </w:t>
      </w:r>
      <w:r w:rsidR="00525139">
        <w:t>9AB.16.</w:t>
      </w:r>
    </w:p>
    <w:p w14:paraId="4CF3EAEA" w14:textId="77777777" w:rsidR="00FE325E" w:rsidRPr="001D490D" w:rsidRDefault="00FE325E" w:rsidP="00FE325E">
      <w:pPr>
        <w:pStyle w:val="Definition"/>
      </w:pPr>
      <w:r>
        <w:rPr>
          <w:b/>
          <w:i/>
        </w:rPr>
        <w:t>benchmark return</w:t>
      </w:r>
      <w:r>
        <w:t xml:space="preserve"> has the meaning given by </w:t>
      </w:r>
      <w:r w:rsidR="00D45949">
        <w:t>regulation</w:t>
      </w:r>
      <w:r>
        <w:t xml:space="preserve">s </w:t>
      </w:r>
      <w:r w:rsidR="00525139">
        <w:t>9AB.13</w:t>
      </w:r>
      <w:r w:rsidRPr="001D490D">
        <w:t xml:space="preserve"> and </w:t>
      </w:r>
      <w:r w:rsidR="00525139">
        <w:t>9AB.14.</w:t>
      </w:r>
    </w:p>
    <w:p w14:paraId="4487E26F" w14:textId="77777777" w:rsidR="00D246C4" w:rsidRPr="00C92D14" w:rsidRDefault="00D246C4" w:rsidP="00D246C4">
      <w:pPr>
        <w:pStyle w:val="Definition"/>
      </w:pPr>
      <w:r w:rsidRPr="00C92D14">
        <w:rPr>
          <w:b/>
          <w:i/>
        </w:rPr>
        <w:t>covered asset class</w:t>
      </w:r>
      <w:r>
        <w:t xml:space="preserve"> has the meaning given by </w:t>
      </w:r>
      <w:r w:rsidR="00D45949">
        <w:t>regulation</w:t>
      </w:r>
      <w:r>
        <w:t xml:space="preserve"> </w:t>
      </w:r>
      <w:r w:rsidR="00525139">
        <w:t>9AB.17.</w:t>
      </w:r>
    </w:p>
    <w:p w14:paraId="2C06847B" w14:textId="77777777" w:rsidR="00B60680" w:rsidRDefault="00B60680" w:rsidP="00B60680">
      <w:pPr>
        <w:pStyle w:val="Definition"/>
      </w:pPr>
      <w:r>
        <w:rPr>
          <w:b/>
          <w:i/>
        </w:rPr>
        <w:t>fees</w:t>
      </w:r>
      <w:r w:rsidRPr="007F61E6">
        <w:rPr>
          <w:b/>
          <w:i/>
        </w:rPr>
        <w:t xml:space="preserve"> standard</w:t>
      </w:r>
      <w:r>
        <w:t xml:space="preserve"> means:</w:t>
      </w:r>
    </w:p>
    <w:p w14:paraId="11153974" w14:textId="77777777" w:rsidR="00B60680" w:rsidRPr="00257547" w:rsidRDefault="00B60680" w:rsidP="00AA321E">
      <w:pPr>
        <w:pStyle w:val="paragraph"/>
        <w:rPr>
          <w:i/>
        </w:rPr>
      </w:pPr>
      <w:r>
        <w:tab/>
        <w:t>(a)</w:t>
      </w:r>
      <w:r>
        <w:tab/>
        <w:t xml:space="preserve">the </w:t>
      </w:r>
      <w:r w:rsidRPr="00472F2C">
        <w:rPr>
          <w:i/>
        </w:rPr>
        <w:t>Financial Sector (Collection of Data) (reporting standard) determination No</w:t>
      </w:r>
      <w:r w:rsidR="00525139">
        <w:rPr>
          <w:i/>
        </w:rPr>
        <w:t>.</w:t>
      </w:r>
      <w:r w:rsidRPr="00472F2C">
        <w:rPr>
          <w:i/>
        </w:rPr>
        <w:t xml:space="preserve"> </w:t>
      </w:r>
      <w:r>
        <w:rPr>
          <w:i/>
        </w:rPr>
        <w:t>4</w:t>
      </w:r>
      <w:r w:rsidRPr="00472F2C">
        <w:rPr>
          <w:i/>
        </w:rPr>
        <w:t>1 of 2015</w:t>
      </w:r>
      <w:r>
        <w:t>; or</w:t>
      </w:r>
    </w:p>
    <w:p w14:paraId="7649D7A7" w14:textId="77777777" w:rsidR="00B60680" w:rsidRDefault="00B60680" w:rsidP="00B60680">
      <w:pPr>
        <w:pStyle w:val="paragraph"/>
      </w:pPr>
      <w:r>
        <w:tab/>
        <w:t>(b)</w:t>
      </w:r>
      <w:r>
        <w:tab/>
        <w:t xml:space="preserve">an analogous legislative instrument </w:t>
      </w:r>
      <w:r w:rsidR="00F94A57">
        <w:t xml:space="preserve">that </w:t>
      </w:r>
      <w:r>
        <w:t xml:space="preserve">is in force </w:t>
      </w:r>
      <w:r w:rsidR="001E2FA3">
        <w:t>before or after the determination mentioned in paragraph (a)</w:t>
      </w:r>
      <w:r w:rsidR="00525139">
        <w:t>.</w:t>
      </w:r>
    </w:p>
    <w:p w14:paraId="09E30A92" w14:textId="77777777" w:rsidR="00DD5E58" w:rsidRDefault="00DD5E58" w:rsidP="00DD5E58">
      <w:pPr>
        <w:pStyle w:val="Definition"/>
      </w:pPr>
      <w:r>
        <w:rPr>
          <w:b/>
          <w:i/>
        </w:rPr>
        <w:t>indirect cost ratio</w:t>
      </w:r>
      <w:r>
        <w:t xml:space="preserve">, of a </w:t>
      </w:r>
      <w:r w:rsidR="00B86730">
        <w:t>Part 6</w:t>
      </w:r>
      <w:r>
        <w:t xml:space="preserve">A product in relation to a </w:t>
      </w:r>
      <w:r w:rsidR="00645415">
        <w:t>financial year</w:t>
      </w:r>
      <w:r>
        <w:t xml:space="preserve">, means the </w:t>
      </w:r>
      <w:r w:rsidR="00B86730">
        <w:t>Part 6</w:t>
      </w:r>
      <w:r>
        <w:t>A product</w:t>
      </w:r>
      <w:r w:rsidR="00C43BEE">
        <w:t>’</w:t>
      </w:r>
      <w:r>
        <w:t xml:space="preserve">s indirect cost ratio in relation to the </w:t>
      </w:r>
      <w:r w:rsidR="00645415">
        <w:t>end of the financial year</w:t>
      </w:r>
      <w:r>
        <w:t xml:space="preserve">, as reported to APRA in accordance with the </w:t>
      </w:r>
      <w:r w:rsidR="001E2FA3">
        <w:t xml:space="preserve">applicable </w:t>
      </w:r>
      <w:r>
        <w:t>fees standard</w:t>
      </w:r>
      <w:r w:rsidR="00525139">
        <w:t>.</w:t>
      </w:r>
    </w:p>
    <w:p w14:paraId="661941E7" w14:textId="77777777" w:rsidR="009D2919" w:rsidRDefault="009D2919" w:rsidP="009D2919">
      <w:pPr>
        <w:pStyle w:val="Definition"/>
      </w:pPr>
      <w:r>
        <w:rPr>
          <w:b/>
          <w:i/>
        </w:rPr>
        <w:t>investment fee cap</w:t>
      </w:r>
      <w:r>
        <w:t xml:space="preserve">, of a </w:t>
      </w:r>
      <w:r w:rsidR="00B86730">
        <w:t>Part 6</w:t>
      </w:r>
      <w:r>
        <w:t xml:space="preserve">A product in relation to a financial year, means the </w:t>
      </w:r>
      <w:r w:rsidR="00B86730">
        <w:t>Part 6</w:t>
      </w:r>
      <w:r>
        <w:t>A product</w:t>
      </w:r>
      <w:r w:rsidR="00C43BEE">
        <w:t>’</w:t>
      </w:r>
      <w:r>
        <w:t xml:space="preserve">s fee cap (for the investment fee type of fee) in relation to the </w:t>
      </w:r>
      <w:r>
        <w:lastRenderedPageBreak/>
        <w:t xml:space="preserve">end of the financial year, as reported to APRA in accordance with the </w:t>
      </w:r>
      <w:r w:rsidR="001E2FA3">
        <w:t xml:space="preserve">applicable </w:t>
      </w:r>
      <w:r>
        <w:t>fees standard</w:t>
      </w:r>
      <w:r w:rsidR="00525139">
        <w:t>.</w:t>
      </w:r>
    </w:p>
    <w:p w14:paraId="720223F7" w14:textId="77777777" w:rsidR="00DD5E58" w:rsidRDefault="00DD5E58" w:rsidP="00DD5E58">
      <w:pPr>
        <w:pStyle w:val="Definition"/>
      </w:pPr>
      <w:r>
        <w:rPr>
          <w:b/>
          <w:i/>
        </w:rPr>
        <w:t>investment fee flat amount</w:t>
      </w:r>
      <w:r>
        <w:t xml:space="preserve">, of a </w:t>
      </w:r>
      <w:r w:rsidR="00B86730">
        <w:t>Part 6</w:t>
      </w:r>
      <w:r>
        <w:t xml:space="preserve">A product in relation to a financial year, means the </w:t>
      </w:r>
      <w:r w:rsidR="00B86730">
        <w:t>Part 6</w:t>
      </w:r>
      <w:r>
        <w:t>A product</w:t>
      </w:r>
      <w:r w:rsidR="00C43BEE">
        <w:t>’</w:t>
      </w:r>
      <w:r>
        <w:t>s dollar amount (for the investment fee type of fee) in relation to the end of the financial year, as reported to APRA in accordance with the</w:t>
      </w:r>
      <w:r w:rsidR="001E2FA3">
        <w:t xml:space="preserve"> applicable</w:t>
      </w:r>
      <w:r>
        <w:t xml:space="preserve"> fees standard</w:t>
      </w:r>
      <w:r w:rsidR="00525139">
        <w:t>.</w:t>
      </w:r>
    </w:p>
    <w:p w14:paraId="572AADE5" w14:textId="77777777" w:rsidR="009D2919" w:rsidRDefault="009D2919" w:rsidP="009D2919">
      <w:pPr>
        <w:pStyle w:val="Definition"/>
      </w:pPr>
      <w:r>
        <w:rPr>
          <w:b/>
          <w:i/>
        </w:rPr>
        <w:t>investment fee percentage</w:t>
      </w:r>
      <w:r>
        <w:t xml:space="preserve">, of a </w:t>
      </w:r>
      <w:r w:rsidR="00B86730">
        <w:t>Part 6</w:t>
      </w:r>
      <w:r>
        <w:t xml:space="preserve">A product in relation to a financial year, means the </w:t>
      </w:r>
      <w:r w:rsidR="00B86730">
        <w:t>Part 6</w:t>
      </w:r>
      <w:r>
        <w:t>A product</w:t>
      </w:r>
      <w:r w:rsidR="00C43BEE">
        <w:t>’</w:t>
      </w:r>
      <w:r>
        <w:t xml:space="preserve">s percentage of member balance (for the investment fee type of fee) in relation to the end of the financial year, as reported to APRA in accordance with the </w:t>
      </w:r>
      <w:r w:rsidR="001E2FA3">
        <w:t xml:space="preserve">applicable </w:t>
      </w:r>
      <w:r>
        <w:t>fees standard</w:t>
      </w:r>
      <w:r w:rsidR="00525139">
        <w:t>.</w:t>
      </w:r>
    </w:p>
    <w:p w14:paraId="1B5E0B14" w14:textId="77777777" w:rsidR="00F92531" w:rsidRDefault="00F92531" w:rsidP="00F92531">
      <w:pPr>
        <w:pStyle w:val="Definition"/>
      </w:pPr>
      <w:r w:rsidRPr="007F61E6">
        <w:rPr>
          <w:b/>
          <w:i/>
        </w:rPr>
        <w:t>investment performance standard</w:t>
      </w:r>
      <w:r>
        <w:t xml:space="preserve"> means:</w:t>
      </w:r>
    </w:p>
    <w:p w14:paraId="01DBAC6D" w14:textId="77777777" w:rsidR="00F92531" w:rsidRPr="00BA3EEC" w:rsidRDefault="00F92531" w:rsidP="00F92531">
      <w:pPr>
        <w:pStyle w:val="paragraph"/>
      </w:pPr>
      <w:r>
        <w:tab/>
        <w:t>(a)</w:t>
      </w:r>
      <w:r>
        <w:tab/>
        <w:t xml:space="preserve">the </w:t>
      </w:r>
      <w:r w:rsidRPr="00257547">
        <w:rPr>
          <w:i/>
        </w:rPr>
        <w:t>Financial Sector (Collection of Data) (reporting standard) determination No</w:t>
      </w:r>
      <w:r w:rsidR="00525139">
        <w:rPr>
          <w:i/>
        </w:rPr>
        <w:t>.</w:t>
      </w:r>
      <w:r w:rsidRPr="00257547">
        <w:rPr>
          <w:i/>
        </w:rPr>
        <w:t xml:space="preserve"> 40 of 2015</w:t>
      </w:r>
      <w:r w:rsidR="00BA3EEC">
        <w:t>; or</w:t>
      </w:r>
    </w:p>
    <w:p w14:paraId="637280E0" w14:textId="77777777" w:rsidR="00F92531" w:rsidRDefault="00F92531" w:rsidP="00BA3EEC">
      <w:pPr>
        <w:pStyle w:val="paragraph"/>
      </w:pPr>
      <w:r>
        <w:tab/>
        <w:t>(b)</w:t>
      </w:r>
      <w:r>
        <w:tab/>
        <w:t xml:space="preserve">an analogous legislative instrument </w:t>
      </w:r>
      <w:r w:rsidR="00D10479">
        <w:t xml:space="preserve">that </w:t>
      </w:r>
      <w:r>
        <w:t xml:space="preserve">is in force </w:t>
      </w:r>
      <w:r w:rsidR="00BA3EEC">
        <w:t xml:space="preserve">before or after </w:t>
      </w:r>
      <w:r>
        <w:t>th</w:t>
      </w:r>
      <w:r w:rsidR="00313B1D">
        <w:t>e</w:t>
      </w:r>
      <w:r>
        <w:t xml:space="preserve"> </w:t>
      </w:r>
      <w:r w:rsidR="00BA3EEC">
        <w:t>determination</w:t>
      </w:r>
      <w:r w:rsidR="00313B1D">
        <w:t xml:space="preserve"> mentioned in paragraph (a)</w:t>
      </w:r>
      <w:r w:rsidR="00525139">
        <w:t>.</w:t>
      </w:r>
    </w:p>
    <w:p w14:paraId="3AC702D2" w14:textId="77777777" w:rsidR="002F04A2" w:rsidRDefault="00FA5F42" w:rsidP="00FA5F42">
      <w:pPr>
        <w:pStyle w:val="Definition"/>
      </w:pPr>
      <w:r>
        <w:rPr>
          <w:b/>
          <w:i/>
        </w:rPr>
        <w:t>l</w:t>
      </w:r>
      <w:r w:rsidR="002F04A2">
        <w:rPr>
          <w:b/>
          <w:i/>
        </w:rPr>
        <w:t xml:space="preserve">ifecycle </w:t>
      </w:r>
      <w:r w:rsidR="00B86730">
        <w:rPr>
          <w:b/>
          <w:i/>
        </w:rPr>
        <w:t>Part 6</w:t>
      </w:r>
      <w:r w:rsidR="002F04A2">
        <w:rPr>
          <w:b/>
          <w:i/>
        </w:rPr>
        <w:t>A product</w:t>
      </w:r>
      <w:r w:rsidR="00130904">
        <w:rPr>
          <w:b/>
          <w:i/>
        </w:rPr>
        <w:t xml:space="preserve"> </w:t>
      </w:r>
      <w:r w:rsidR="00130904">
        <w:t xml:space="preserve">has the meaning given by regulation </w:t>
      </w:r>
      <w:r w:rsidR="00525139">
        <w:t>9AB.3.</w:t>
      </w:r>
    </w:p>
    <w:p w14:paraId="7FC3FCEA" w14:textId="77777777" w:rsidR="00CF2243" w:rsidRPr="00CF2243" w:rsidRDefault="00CF2243" w:rsidP="002F04A2">
      <w:pPr>
        <w:pStyle w:val="Definition"/>
      </w:pPr>
      <w:r w:rsidRPr="00A3713A">
        <w:rPr>
          <w:b/>
          <w:i/>
        </w:rPr>
        <w:t>lifestage weight</w:t>
      </w:r>
      <w:r>
        <w:t xml:space="preserve"> </w:t>
      </w:r>
      <w:r w:rsidR="00873D46">
        <w:t xml:space="preserve">has the meaning given by regulation </w:t>
      </w:r>
      <w:r w:rsidR="00525139">
        <w:t>9AB.4.</w:t>
      </w:r>
    </w:p>
    <w:p w14:paraId="1CCA99EA" w14:textId="77777777" w:rsidR="002F04A2" w:rsidRPr="00C92D14" w:rsidRDefault="002F04A2" w:rsidP="002F04A2">
      <w:pPr>
        <w:pStyle w:val="Definition"/>
      </w:pPr>
      <w:r>
        <w:rPr>
          <w:b/>
          <w:i/>
        </w:rPr>
        <w:t>lookback period</w:t>
      </w:r>
      <w:r w:rsidR="00E0617F">
        <w:t xml:space="preserve">, for a </w:t>
      </w:r>
      <w:r w:rsidR="00B86730">
        <w:t>Part 6</w:t>
      </w:r>
      <w:r w:rsidR="00E0617F">
        <w:t>A product in respect of a financial year,</w:t>
      </w:r>
      <w:r>
        <w:t xml:space="preserve"> has the meaning given by </w:t>
      </w:r>
      <w:r w:rsidR="00D45949">
        <w:t>regulation</w:t>
      </w:r>
      <w:r>
        <w:t xml:space="preserve"> </w:t>
      </w:r>
      <w:r w:rsidR="00525139">
        <w:t>9AB.6.</w:t>
      </w:r>
    </w:p>
    <w:p w14:paraId="237F780E" w14:textId="77777777" w:rsidR="00C926DF" w:rsidRDefault="00C926DF" w:rsidP="00C926DF">
      <w:pPr>
        <w:pStyle w:val="Definition"/>
      </w:pPr>
      <w:r w:rsidRPr="00AF3732">
        <w:rPr>
          <w:b/>
          <w:i/>
        </w:rPr>
        <w:t>net</w:t>
      </w:r>
      <w:r>
        <w:rPr>
          <w:b/>
          <w:i/>
        </w:rPr>
        <w:t xml:space="preserve"> investment</w:t>
      </w:r>
      <w:r w:rsidRPr="00AF3732">
        <w:rPr>
          <w:b/>
          <w:i/>
        </w:rPr>
        <w:t xml:space="preserve"> return</w:t>
      </w:r>
      <w:r>
        <w:t xml:space="preserve">, of a </w:t>
      </w:r>
      <w:r w:rsidR="00B86730">
        <w:t>Part 6</w:t>
      </w:r>
      <w:r>
        <w:t xml:space="preserve">A product in relation to a quarter, means the </w:t>
      </w:r>
      <w:r w:rsidR="00B86730">
        <w:t>Part 6</w:t>
      </w:r>
      <w:r>
        <w:t>A product</w:t>
      </w:r>
      <w:r w:rsidR="00C43BEE">
        <w:t>’</w:t>
      </w:r>
      <w:r>
        <w:t xml:space="preserve">s net investment return in relation to the quarter, as reported to APRA in accordance with the </w:t>
      </w:r>
      <w:r w:rsidR="001E2FA3">
        <w:t xml:space="preserve">applicable </w:t>
      </w:r>
      <w:r>
        <w:t>investment performance standard</w:t>
      </w:r>
      <w:r w:rsidR="00525139">
        <w:t>.</w:t>
      </w:r>
    </w:p>
    <w:p w14:paraId="6C2D86F4" w14:textId="77777777" w:rsidR="00B12A51" w:rsidRDefault="007F61E6" w:rsidP="007F61E6">
      <w:pPr>
        <w:pStyle w:val="Definition"/>
      </w:pPr>
      <w:r w:rsidRPr="00AF3732">
        <w:rPr>
          <w:b/>
          <w:i/>
        </w:rPr>
        <w:t>net return</w:t>
      </w:r>
      <w:r w:rsidR="00B12A51">
        <w:t xml:space="preserve">, of a </w:t>
      </w:r>
      <w:r w:rsidR="00B86730">
        <w:t>Part 6</w:t>
      </w:r>
      <w:r w:rsidR="00B12A51">
        <w:t xml:space="preserve">A product in relation to a quarter, means the </w:t>
      </w:r>
      <w:r w:rsidR="00B86730">
        <w:t>Part 6</w:t>
      </w:r>
      <w:r w:rsidR="00B12A51">
        <w:t>A product</w:t>
      </w:r>
      <w:r w:rsidR="00C43BEE">
        <w:t>’</w:t>
      </w:r>
      <w:r w:rsidR="00B12A51">
        <w:t xml:space="preserve">s net return in relation to the quarter, </w:t>
      </w:r>
      <w:r w:rsidR="002C1EE4">
        <w:t>as reported to APRA</w:t>
      </w:r>
      <w:r w:rsidR="00B12A51">
        <w:t xml:space="preserve"> in accordance with the </w:t>
      </w:r>
      <w:r w:rsidR="001E2FA3">
        <w:t xml:space="preserve">applicable </w:t>
      </w:r>
      <w:r w:rsidR="00B12A51">
        <w:t>investment performance standard</w:t>
      </w:r>
      <w:r w:rsidR="00525139">
        <w:t>.</w:t>
      </w:r>
    </w:p>
    <w:p w14:paraId="299F1EA0" w14:textId="77777777" w:rsidR="00DD5E58" w:rsidRDefault="00B10011" w:rsidP="00DD5E58">
      <w:pPr>
        <w:pStyle w:val="Definition"/>
      </w:pPr>
      <w:r>
        <w:rPr>
          <w:b/>
          <w:i/>
        </w:rPr>
        <w:t>performance measure</w:t>
      </w:r>
      <w:r w:rsidR="00DD5E58">
        <w:t xml:space="preserve">, </w:t>
      </w:r>
      <w:r>
        <w:t xml:space="preserve">for a </w:t>
      </w:r>
      <w:r w:rsidR="00B86730">
        <w:t>Part 6</w:t>
      </w:r>
      <w:r>
        <w:t>A product for a financial year</w:t>
      </w:r>
      <w:r w:rsidR="00DD5E58">
        <w:t xml:space="preserve">, </w:t>
      </w:r>
      <w:r>
        <w:t xml:space="preserve">has the meaning given by subregulation </w:t>
      </w:r>
      <w:r w:rsidR="00525139">
        <w:t>9AB.10</w:t>
      </w:r>
      <w:r w:rsidRPr="00B27E57">
        <w:t>(</w:t>
      </w:r>
      <w:r w:rsidR="00711A14">
        <w:t>3</w:t>
      </w:r>
      <w:r w:rsidRPr="00B27E57">
        <w:t>)</w:t>
      </w:r>
      <w:r w:rsidR="00525139">
        <w:t>.</w:t>
      </w:r>
    </w:p>
    <w:p w14:paraId="5866ADD3" w14:textId="77777777" w:rsidR="00EB2D10" w:rsidRDefault="00773221" w:rsidP="00EB2D10">
      <w:pPr>
        <w:pStyle w:val="Definition"/>
      </w:pPr>
      <w:r>
        <w:rPr>
          <w:b/>
          <w:i/>
        </w:rPr>
        <w:t>representative</w:t>
      </w:r>
      <w:r w:rsidR="00912FC6" w:rsidRPr="00912FC6">
        <w:rPr>
          <w:b/>
          <w:i/>
        </w:rPr>
        <w:t xml:space="preserve"> </w:t>
      </w:r>
      <w:r w:rsidR="00912FC6" w:rsidRPr="00912FC6">
        <w:rPr>
          <w:b/>
          <w:bCs/>
          <w:i/>
        </w:rPr>
        <w:t>administration</w:t>
      </w:r>
      <w:r w:rsidR="00912FC6" w:rsidRPr="00912FC6">
        <w:rPr>
          <w:b/>
          <w:i/>
        </w:rPr>
        <w:t xml:space="preserve"> fees and expenses</w:t>
      </w:r>
      <w:r w:rsidR="00912FC6">
        <w:t xml:space="preserve"> or </w:t>
      </w:r>
      <w:r w:rsidR="00EB2D10" w:rsidRPr="0079586E">
        <w:rPr>
          <w:b/>
          <w:i/>
        </w:rPr>
        <w:t>RAFE</w:t>
      </w:r>
      <w:r w:rsidR="00EB2D10">
        <w:t>:</w:t>
      </w:r>
    </w:p>
    <w:p w14:paraId="76275F5A" w14:textId="77777777" w:rsidR="00EB2D10" w:rsidRDefault="00EB2D10" w:rsidP="00EB2D10">
      <w:pPr>
        <w:pStyle w:val="paragraph"/>
      </w:pPr>
      <w:r>
        <w:tab/>
        <w:t>(a)</w:t>
      </w:r>
      <w:r>
        <w:tab/>
        <w:t xml:space="preserve">for a </w:t>
      </w:r>
      <w:r w:rsidR="00691929">
        <w:t xml:space="preserve">standard </w:t>
      </w:r>
      <w:r w:rsidR="00B86730">
        <w:t>Part 6</w:t>
      </w:r>
      <w:r>
        <w:t xml:space="preserve">A product in relation </w:t>
      </w:r>
      <w:r w:rsidR="000240C4">
        <w:t xml:space="preserve">to </w:t>
      </w:r>
      <w:r w:rsidR="00C43BEE">
        <w:t xml:space="preserve">a </w:t>
      </w:r>
      <w:r w:rsidR="00BA3EEC">
        <w:t>period</w:t>
      </w:r>
      <w:r w:rsidR="00313B1D">
        <w:t>,</w:t>
      </w:r>
      <w:r w:rsidR="00EA58DB">
        <w:t xml:space="preserve"> </w:t>
      </w:r>
      <w:r>
        <w:t>means the sum of the following:</w:t>
      </w:r>
    </w:p>
    <w:p w14:paraId="5F81E885" w14:textId="77777777" w:rsidR="00EB2D10" w:rsidRDefault="00EB2D10" w:rsidP="00EB2D10">
      <w:pPr>
        <w:pStyle w:val="paragraphsub"/>
      </w:pPr>
      <w:r w:rsidRPr="00EB2D10">
        <w:tab/>
        <w:t>(</w:t>
      </w:r>
      <w:r>
        <w:t>i</w:t>
      </w:r>
      <w:r w:rsidRPr="00EB2D10">
        <w:t>)</w:t>
      </w:r>
      <w:r w:rsidRPr="00EB2D10">
        <w:tab/>
        <w:t xml:space="preserve">the </w:t>
      </w:r>
      <w:r w:rsidR="00B86730">
        <w:t>Part 6</w:t>
      </w:r>
      <w:r w:rsidRPr="00EB2D10">
        <w:t>A product</w:t>
      </w:r>
      <w:r w:rsidR="00C43BEE">
        <w:t>’</w:t>
      </w:r>
      <w:r w:rsidRPr="00EB2D10">
        <w:t>s representative member administration fees and costs in relation to</w:t>
      </w:r>
      <w:r w:rsidR="00C43BEE">
        <w:t xml:space="preserve"> </w:t>
      </w:r>
      <w:r w:rsidR="00AE6AB9">
        <w:t xml:space="preserve">the </w:t>
      </w:r>
      <w:r w:rsidR="00BA3EEC">
        <w:t>period</w:t>
      </w:r>
      <w:r w:rsidR="00C43BEE">
        <w:t xml:space="preserve">, </w:t>
      </w:r>
      <w:r w:rsidRPr="00EB2D10">
        <w:t xml:space="preserve">as reported to APRA in accordance with </w:t>
      </w:r>
      <w:r w:rsidR="00BA3EEC">
        <w:t xml:space="preserve">the </w:t>
      </w:r>
      <w:r w:rsidR="001E2FA3">
        <w:t xml:space="preserve">applicable </w:t>
      </w:r>
      <w:r w:rsidRPr="00EB2D10">
        <w:t>investment performance standard;</w:t>
      </w:r>
    </w:p>
    <w:p w14:paraId="15C214A7" w14:textId="77777777" w:rsidR="00AE6AB9" w:rsidRPr="00EB2D10" w:rsidRDefault="00AE6AB9" w:rsidP="00AE6AB9">
      <w:pPr>
        <w:pStyle w:val="paragraphsub"/>
      </w:pPr>
      <w:r w:rsidRPr="00EB2D10">
        <w:tab/>
        <w:t>(</w:t>
      </w:r>
      <w:r>
        <w:t>ii</w:t>
      </w:r>
      <w:r w:rsidRPr="00EB2D10">
        <w:t>)</w:t>
      </w:r>
      <w:r w:rsidRPr="00EB2D10">
        <w:tab/>
        <w:t xml:space="preserve">the </w:t>
      </w:r>
      <w:r w:rsidR="00B86730">
        <w:t>Part 6</w:t>
      </w:r>
      <w:r w:rsidRPr="00EB2D10">
        <w:t>A product</w:t>
      </w:r>
      <w:r>
        <w:t>’</w:t>
      </w:r>
      <w:r w:rsidRPr="00EB2D10">
        <w:t>s representative member administration</w:t>
      </w:r>
      <w:r w:rsidR="00525139">
        <w:noBreakHyphen/>
      </w:r>
      <w:r w:rsidRPr="00EB2D10">
        <w:t>related tax expense/benefit in relation to th</w:t>
      </w:r>
      <w:r w:rsidR="00F92531">
        <w:t xml:space="preserve">e </w:t>
      </w:r>
      <w:r w:rsidR="00BA3EEC">
        <w:t>period</w:t>
      </w:r>
      <w:r w:rsidRPr="00EB2D10">
        <w:t>, as reported to APRA in accordance with th</w:t>
      </w:r>
      <w:r w:rsidR="00BA3EEC">
        <w:t>e</w:t>
      </w:r>
      <w:r w:rsidRPr="00EB2D10">
        <w:t xml:space="preserve"> </w:t>
      </w:r>
      <w:r w:rsidR="001E2FA3">
        <w:t xml:space="preserve">applicable </w:t>
      </w:r>
      <w:r w:rsidRPr="00EB2D10">
        <w:t>investment performance standard;</w:t>
      </w:r>
    </w:p>
    <w:p w14:paraId="519F1871" w14:textId="77777777" w:rsidR="00AE6AB9" w:rsidRPr="00EB2D10" w:rsidRDefault="00AE6AB9" w:rsidP="00AE6AB9">
      <w:pPr>
        <w:pStyle w:val="paragraphsub"/>
      </w:pPr>
      <w:r w:rsidRPr="00EB2D10">
        <w:tab/>
        <w:t>(</w:t>
      </w:r>
      <w:r>
        <w:t>iii</w:t>
      </w:r>
      <w:r w:rsidRPr="00EB2D10">
        <w:t>)</w:t>
      </w:r>
      <w:r w:rsidRPr="00EB2D10">
        <w:tab/>
        <w:t xml:space="preserve">the </w:t>
      </w:r>
      <w:r w:rsidR="00B86730">
        <w:t>Part 6</w:t>
      </w:r>
      <w:r w:rsidRPr="00EB2D10">
        <w:t>A product</w:t>
      </w:r>
      <w:r>
        <w:t>’</w:t>
      </w:r>
      <w:r w:rsidRPr="00EB2D10">
        <w:t>s representative member advice fees and costs in relation to th</w:t>
      </w:r>
      <w:r w:rsidR="00F92531">
        <w:t>e</w:t>
      </w:r>
      <w:r>
        <w:t xml:space="preserve"> </w:t>
      </w:r>
      <w:r w:rsidR="00BA3EEC">
        <w:t>period</w:t>
      </w:r>
      <w:r w:rsidRPr="00EB2D10">
        <w:t>, as reported to APRA in accordance with th</w:t>
      </w:r>
      <w:r w:rsidR="00BA3EEC">
        <w:t>e</w:t>
      </w:r>
      <w:r w:rsidRPr="00EB2D10">
        <w:t xml:space="preserve"> </w:t>
      </w:r>
      <w:r w:rsidR="001E2FA3">
        <w:t xml:space="preserve">applicable </w:t>
      </w:r>
      <w:r w:rsidRPr="00EB2D10">
        <w:t>investment performance standard;</w:t>
      </w:r>
    </w:p>
    <w:p w14:paraId="5F7995B8" w14:textId="77777777" w:rsidR="00AE6AB9" w:rsidRPr="00EB2D10" w:rsidRDefault="00AE6AB9" w:rsidP="00AE6AB9">
      <w:pPr>
        <w:pStyle w:val="paragraphsub"/>
      </w:pPr>
      <w:r w:rsidRPr="00EB2D10">
        <w:tab/>
        <w:t>(</w:t>
      </w:r>
      <w:r>
        <w:t>iv</w:t>
      </w:r>
      <w:r w:rsidRPr="00EB2D10">
        <w:t>)</w:t>
      </w:r>
      <w:r w:rsidRPr="00EB2D10">
        <w:tab/>
        <w:t xml:space="preserve">the </w:t>
      </w:r>
      <w:r w:rsidR="00B86730">
        <w:t>Part 6</w:t>
      </w:r>
      <w:r w:rsidRPr="00EB2D10">
        <w:t>A product</w:t>
      </w:r>
      <w:r>
        <w:t>’</w:t>
      </w:r>
      <w:r w:rsidRPr="00EB2D10">
        <w:t>s representative member advice</w:t>
      </w:r>
      <w:r w:rsidR="00525139">
        <w:noBreakHyphen/>
      </w:r>
      <w:r w:rsidRPr="00EB2D10">
        <w:t>related tax expense/benefit in relation to th</w:t>
      </w:r>
      <w:r w:rsidR="00F92531">
        <w:t>e</w:t>
      </w:r>
      <w:r>
        <w:t xml:space="preserve"> </w:t>
      </w:r>
      <w:r w:rsidR="00BA3EEC">
        <w:t>period</w:t>
      </w:r>
      <w:r w:rsidRPr="00EB2D10">
        <w:t>, as reported to APRA in accordance with th</w:t>
      </w:r>
      <w:r w:rsidR="00BA3EEC">
        <w:t>e</w:t>
      </w:r>
      <w:r w:rsidR="001E2FA3">
        <w:t xml:space="preserve"> applicable</w:t>
      </w:r>
      <w:r w:rsidRPr="00EB2D10">
        <w:t xml:space="preserve"> investment performance standard</w:t>
      </w:r>
      <w:r>
        <w:t>; and</w:t>
      </w:r>
    </w:p>
    <w:p w14:paraId="5671988C" w14:textId="77777777" w:rsidR="00AE6AB9" w:rsidRDefault="00AE6AB9" w:rsidP="00AE6AB9">
      <w:pPr>
        <w:pStyle w:val="paragraph"/>
      </w:pPr>
      <w:r>
        <w:tab/>
        <w:t>(b)</w:t>
      </w:r>
      <w:r>
        <w:tab/>
        <w:t xml:space="preserve">for a </w:t>
      </w:r>
      <w:r w:rsidR="00691929">
        <w:t xml:space="preserve">lifecycle </w:t>
      </w:r>
      <w:r w:rsidR="00B86730">
        <w:t>Part 6</w:t>
      </w:r>
      <w:r>
        <w:t>A product in relation to a</w:t>
      </w:r>
      <w:r w:rsidR="00F92531">
        <w:t xml:space="preserve"> </w:t>
      </w:r>
      <w:r w:rsidR="00BA3EEC">
        <w:t xml:space="preserve">period </w:t>
      </w:r>
      <w:r>
        <w:t>and a lifestage</w:t>
      </w:r>
      <w:r w:rsidR="00313B1D">
        <w:t>,</w:t>
      </w:r>
      <w:r>
        <w:t xml:space="preserve"> means the sum of the following:</w:t>
      </w:r>
    </w:p>
    <w:p w14:paraId="5EF6117E" w14:textId="77777777" w:rsidR="00AE6AB9" w:rsidRPr="00EB2D10" w:rsidRDefault="00AE6AB9" w:rsidP="00AE6AB9">
      <w:pPr>
        <w:pStyle w:val="paragraphsub"/>
      </w:pPr>
      <w:r w:rsidRPr="00EB2D10">
        <w:lastRenderedPageBreak/>
        <w:tab/>
        <w:t>(</w:t>
      </w:r>
      <w:r>
        <w:t>i</w:t>
      </w:r>
      <w:r w:rsidRPr="00EB2D10">
        <w:t>)</w:t>
      </w:r>
      <w:r w:rsidRPr="00EB2D10">
        <w:tab/>
        <w:t xml:space="preserve">the </w:t>
      </w:r>
      <w:r w:rsidR="00B86730">
        <w:t>Part 6</w:t>
      </w:r>
      <w:r w:rsidRPr="00EB2D10">
        <w:t>A product</w:t>
      </w:r>
      <w:r>
        <w:t>’</w:t>
      </w:r>
      <w:r w:rsidRPr="00EB2D10">
        <w:t>s representative member administration fees and costs in relation to the</w:t>
      </w:r>
      <w:r w:rsidR="00EC22ED">
        <w:t xml:space="preserve"> </w:t>
      </w:r>
      <w:r w:rsidR="00BA3EEC">
        <w:t xml:space="preserve">period </w:t>
      </w:r>
      <w:r w:rsidR="003545F1">
        <w:t>and the lifestage</w:t>
      </w:r>
      <w:r w:rsidRPr="00EB2D10">
        <w:t>, as reported to APRA in accordance with th</w:t>
      </w:r>
      <w:r w:rsidR="00EC22ED">
        <w:t>e</w:t>
      </w:r>
      <w:r w:rsidR="001E2FA3">
        <w:t xml:space="preserve"> applicable</w:t>
      </w:r>
      <w:r w:rsidRPr="00EB2D10">
        <w:t xml:space="preserve"> investment performance standard;</w:t>
      </w:r>
    </w:p>
    <w:p w14:paraId="2109F86D" w14:textId="77777777" w:rsidR="00AE6AB9" w:rsidRPr="00EB2D10" w:rsidRDefault="00AE6AB9" w:rsidP="00AE6AB9">
      <w:pPr>
        <w:pStyle w:val="paragraphsub"/>
      </w:pPr>
      <w:r w:rsidRPr="00EB2D10">
        <w:tab/>
        <w:t>(</w:t>
      </w:r>
      <w:r>
        <w:t>ii</w:t>
      </w:r>
      <w:r w:rsidRPr="00EB2D10">
        <w:t>)</w:t>
      </w:r>
      <w:r w:rsidRPr="00EB2D10">
        <w:tab/>
        <w:t xml:space="preserve">the </w:t>
      </w:r>
      <w:r w:rsidR="00B86730">
        <w:t>Part 6</w:t>
      </w:r>
      <w:r w:rsidRPr="00EB2D10">
        <w:t>A product</w:t>
      </w:r>
      <w:r>
        <w:t>’</w:t>
      </w:r>
      <w:r w:rsidRPr="00EB2D10">
        <w:t>s representative member administration</w:t>
      </w:r>
      <w:r w:rsidR="00525139">
        <w:noBreakHyphen/>
      </w:r>
      <w:r w:rsidRPr="00EB2D10">
        <w:t xml:space="preserve">related tax expense/benefit in relation to the </w:t>
      </w:r>
      <w:r w:rsidR="00BA3EEC">
        <w:t xml:space="preserve">period </w:t>
      </w:r>
      <w:r>
        <w:t>and the lifestage</w:t>
      </w:r>
      <w:r w:rsidRPr="00EB2D10">
        <w:t>, as reported to APRA in accordance with</w:t>
      </w:r>
      <w:r w:rsidR="00296615">
        <w:t xml:space="preserve"> the</w:t>
      </w:r>
      <w:r w:rsidRPr="00EB2D10">
        <w:t xml:space="preserve"> </w:t>
      </w:r>
      <w:r w:rsidR="001E2FA3">
        <w:t xml:space="preserve">applicable </w:t>
      </w:r>
      <w:r w:rsidRPr="00EB2D10">
        <w:t>investment performance standard;</w:t>
      </w:r>
    </w:p>
    <w:p w14:paraId="168C256C" w14:textId="77777777" w:rsidR="00AE6AB9" w:rsidRPr="00EB2D10" w:rsidRDefault="00AE6AB9" w:rsidP="00F92531">
      <w:pPr>
        <w:pStyle w:val="paragraphsub"/>
      </w:pPr>
      <w:r w:rsidRPr="00EB2D10">
        <w:tab/>
        <w:t>(</w:t>
      </w:r>
      <w:r>
        <w:t>iii</w:t>
      </w:r>
      <w:r w:rsidRPr="00EB2D10">
        <w:t>)</w:t>
      </w:r>
      <w:r w:rsidRPr="00EB2D10">
        <w:tab/>
        <w:t xml:space="preserve">the </w:t>
      </w:r>
      <w:r w:rsidR="00B86730">
        <w:t>Part 6</w:t>
      </w:r>
      <w:r w:rsidRPr="00EB2D10">
        <w:t>A product</w:t>
      </w:r>
      <w:r>
        <w:t>’</w:t>
      </w:r>
      <w:r w:rsidRPr="00EB2D10">
        <w:t xml:space="preserve">s representative member advice fees and costs in relation to the </w:t>
      </w:r>
      <w:r w:rsidR="00BA3EEC">
        <w:t>period</w:t>
      </w:r>
      <w:r w:rsidR="00691929">
        <w:t xml:space="preserve"> and the lifestage</w:t>
      </w:r>
      <w:r w:rsidRPr="00EB2D10">
        <w:t xml:space="preserve">, as reported to APRA in accordance with </w:t>
      </w:r>
      <w:r w:rsidR="00BA3EEC">
        <w:t>the</w:t>
      </w:r>
      <w:r w:rsidR="001E2FA3">
        <w:t xml:space="preserve"> applicable</w:t>
      </w:r>
      <w:r w:rsidRPr="00EB2D10">
        <w:t xml:space="preserve"> investment performance standard;</w:t>
      </w:r>
    </w:p>
    <w:p w14:paraId="19846013" w14:textId="77777777" w:rsidR="00AE6AB9" w:rsidRDefault="00AE6AB9" w:rsidP="00AE6AB9">
      <w:pPr>
        <w:pStyle w:val="paragraphsub"/>
      </w:pPr>
      <w:r w:rsidRPr="00EB2D10">
        <w:tab/>
        <w:t>(</w:t>
      </w:r>
      <w:r>
        <w:t>iv</w:t>
      </w:r>
      <w:r w:rsidRPr="00EB2D10">
        <w:t>)</w:t>
      </w:r>
      <w:r w:rsidRPr="00EB2D10">
        <w:tab/>
        <w:t xml:space="preserve">the </w:t>
      </w:r>
      <w:r w:rsidR="00B86730">
        <w:t>Part 6</w:t>
      </w:r>
      <w:r w:rsidRPr="00EB2D10">
        <w:t>A product</w:t>
      </w:r>
      <w:r>
        <w:t>’</w:t>
      </w:r>
      <w:r w:rsidRPr="00EB2D10">
        <w:t>s representative member advice</w:t>
      </w:r>
      <w:r w:rsidR="00525139">
        <w:noBreakHyphen/>
      </w:r>
      <w:r w:rsidRPr="00EB2D10">
        <w:t xml:space="preserve">related tax expense/benefit in relation to the </w:t>
      </w:r>
      <w:r w:rsidR="00BA3EEC">
        <w:t xml:space="preserve">period </w:t>
      </w:r>
      <w:r w:rsidR="00691929">
        <w:t>and the lifestage</w:t>
      </w:r>
      <w:r w:rsidRPr="00EB2D10">
        <w:t>, as reported to APRA in accordance with th</w:t>
      </w:r>
      <w:r w:rsidR="00BA3EEC">
        <w:t>e</w:t>
      </w:r>
      <w:r w:rsidRPr="00EB2D10">
        <w:t xml:space="preserve"> </w:t>
      </w:r>
      <w:r w:rsidR="001E2FA3">
        <w:t xml:space="preserve">applicable </w:t>
      </w:r>
      <w:r w:rsidRPr="00EB2D10">
        <w:t>investment performance standard</w:t>
      </w:r>
      <w:r w:rsidR="00525139">
        <w:t>.</w:t>
      </w:r>
    </w:p>
    <w:p w14:paraId="06668974" w14:textId="77777777" w:rsidR="00691929" w:rsidRDefault="00691929" w:rsidP="00691929">
      <w:pPr>
        <w:pStyle w:val="Definition"/>
      </w:pPr>
      <w:r>
        <w:rPr>
          <w:b/>
          <w:i/>
        </w:rPr>
        <w:t xml:space="preserve">standard </w:t>
      </w:r>
      <w:r w:rsidR="00B86730">
        <w:rPr>
          <w:b/>
          <w:i/>
        </w:rPr>
        <w:t>Part 6</w:t>
      </w:r>
      <w:r>
        <w:rPr>
          <w:b/>
          <w:i/>
        </w:rPr>
        <w:t>A product</w:t>
      </w:r>
      <w:r>
        <w:t xml:space="preserve">: a </w:t>
      </w:r>
      <w:r w:rsidR="00B86730">
        <w:t>Part 6</w:t>
      </w:r>
      <w:r>
        <w:t xml:space="preserve">A product is a </w:t>
      </w:r>
      <w:r>
        <w:rPr>
          <w:b/>
          <w:i/>
        </w:rPr>
        <w:t xml:space="preserve">standard </w:t>
      </w:r>
      <w:r w:rsidR="00B86730">
        <w:rPr>
          <w:b/>
          <w:i/>
        </w:rPr>
        <w:t>Part 6</w:t>
      </w:r>
      <w:r>
        <w:rPr>
          <w:b/>
          <w:i/>
        </w:rPr>
        <w:t xml:space="preserve">A product </w:t>
      </w:r>
      <w:r>
        <w:t xml:space="preserve">if it is not a lifecycle </w:t>
      </w:r>
      <w:r w:rsidR="00B86730">
        <w:t>Part 6</w:t>
      </w:r>
      <w:r>
        <w:t>A product</w:t>
      </w:r>
      <w:r w:rsidR="00525139">
        <w:t>.</w:t>
      </w:r>
    </w:p>
    <w:p w14:paraId="26B3E4BC" w14:textId="77777777" w:rsidR="00691929" w:rsidRDefault="00691929" w:rsidP="00691929">
      <w:pPr>
        <w:pStyle w:val="Definition"/>
      </w:pPr>
      <w:r w:rsidRPr="00472F2C">
        <w:rPr>
          <w:b/>
          <w:i/>
        </w:rPr>
        <w:t>strategic asset allocation</w:t>
      </w:r>
      <w:r>
        <w:rPr>
          <w:b/>
          <w:i/>
        </w:rPr>
        <w:t xml:space="preserve"> </w:t>
      </w:r>
      <w:r>
        <w:t xml:space="preserve">has the meaning given by regulation </w:t>
      </w:r>
      <w:r w:rsidR="00525139">
        <w:t>9AB.5.</w:t>
      </w:r>
    </w:p>
    <w:p w14:paraId="5E5ABF9C" w14:textId="77777777" w:rsidR="00A2310B" w:rsidRDefault="00525139" w:rsidP="00A2310B">
      <w:pPr>
        <w:pStyle w:val="ActHead5"/>
      </w:pPr>
      <w:bookmarkStart w:id="12" w:name="_Toc78797705"/>
      <w:r w:rsidRPr="0048118D">
        <w:rPr>
          <w:rStyle w:val="CharSectno"/>
        </w:rPr>
        <w:t>9AB.2</w:t>
      </w:r>
      <w:r w:rsidR="00A2310B">
        <w:t xml:space="preserve">  Meaning of </w:t>
      </w:r>
      <w:r w:rsidR="00B86730">
        <w:rPr>
          <w:i/>
        </w:rPr>
        <w:t>Part 6</w:t>
      </w:r>
      <w:r w:rsidR="00A2310B" w:rsidRPr="00E47C45">
        <w:rPr>
          <w:i/>
        </w:rPr>
        <w:t>A product</w:t>
      </w:r>
      <w:r w:rsidR="00A2310B">
        <w:t>—</w:t>
      </w:r>
      <w:r w:rsidR="00A2310B" w:rsidRPr="00BC6B0C">
        <w:t>trustee</w:t>
      </w:r>
      <w:r>
        <w:noBreakHyphen/>
      </w:r>
      <w:r w:rsidR="00A2310B" w:rsidRPr="00BC6B0C">
        <w:t>directed product</w:t>
      </w:r>
      <w:r w:rsidR="00A2310B">
        <w:t>s</w:t>
      </w:r>
      <w:bookmarkEnd w:id="12"/>
    </w:p>
    <w:p w14:paraId="5A75B02B" w14:textId="77777777" w:rsidR="00A2310B" w:rsidRPr="00536F4A" w:rsidRDefault="00A2310B" w:rsidP="00A2310B">
      <w:pPr>
        <w:pStyle w:val="subsection"/>
      </w:pPr>
      <w:r>
        <w:tab/>
        <w:t>(1)</w:t>
      </w:r>
      <w:r>
        <w:tab/>
      </w:r>
      <w:r w:rsidRPr="00536F4A">
        <w:t>For</w:t>
      </w:r>
      <w:r>
        <w:t xml:space="preserve"> the purposes of </w:t>
      </w:r>
      <w:r w:rsidR="00B86730">
        <w:t>paragraph 6</w:t>
      </w:r>
      <w:r>
        <w:t>0B</w:t>
      </w:r>
      <w:r w:rsidRPr="00536F4A">
        <w:t>(</w:t>
      </w:r>
      <w:r>
        <w:t>b</w:t>
      </w:r>
      <w:r w:rsidRPr="00536F4A">
        <w:t>) of the Act, sub</w:t>
      </w:r>
      <w:r>
        <w:t>regulation</w:t>
      </w:r>
      <w:r w:rsidRPr="00536F4A">
        <w:t xml:space="preserve"> (</w:t>
      </w:r>
      <w:r>
        <w:t>2</w:t>
      </w:r>
      <w:r w:rsidRPr="00536F4A">
        <w:t xml:space="preserve">) identifies </w:t>
      </w:r>
      <w:r>
        <w:t xml:space="preserve">a </w:t>
      </w:r>
      <w:r w:rsidRPr="00BC6B0C">
        <w:t>trustee</w:t>
      </w:r>
      <w:r w:rsidR="00525139">
        <w:noBreakHyphen/>
      </w:r>
      <w:r w:rsidRPr="00BC6B0C">
        <w:t>directed product</w:t>
      </w:r>
      <w:r>
        <w:t xml:space="preserve"> as a </w:t>
      </w:r>
      <w:r w:rsidRPr="00536F4A">
        <w:t xml:space="preserve">class of beneficial interest in </w:t>
      </w:r>
      <w:r>
        <w:t xml:space="preserve">a </w:t>
      </w:r>
      <w:r w:rsidRPr="00536F4A">
        <w:t>regulated superannuation fund</w:t>
      </w:r>
      <w:r w:rsidR="00525139">
        <w:t>.</w:t>
      </w:r>
    </w:p>
    <w:p w14:paraId="6FF43C0F" w14:textId="77777777" w:rsidR="00A2310B" w:rsidRPr="00536F4A" w:rsidRDefault="00A2310B" w:rsidP="00A2310B">
      <w:pPr>
        <w:pStyle w:val="subsection"/>
      </w:pPr>
      <w:r>
        <w:tab/>
        <w:t>(2)</w:t>
      </w:r>
      <w:r>
        <w:tab/>
      </w:r>
      <w:r w:rsidRPr="00DE17C1">
        <w:t>A</w:t>
      </w:r>
      <w:r>
        <w:t xml:space="preserve"> class </w:t>
      </w:r>
      <w:r w:rsidRPr="00536F4A">
        <w:t xml:space="preserve">of beneficial interest in </w:t>
      </w:r>
      <w:r>
        <w:t xml:space="preserve">a </w:t>
      </w:r>
      <w:r w:rsidRPr="00536F4A">
        <w:t>regulated superannuation fund</w:t>
      </w:r>
      <w:r>
        <w:t xml:space="preserve"> is a </w:t>
      </w:r>
      <w:r>
        <w:rPr>
          <w:b/>
          <w:i/>
        </w:rPr>
        <w:t>t</w:t>
      </w:r>
      <w:r w:rsidRPr="00BC6B0C">
        <w:rPr>
          <w:b/>
          <w:i/>
        </w:rPr>
        <w:t>rustee</w:t>
      </w:r>
      <w:r w:rsidR="00525139">
        <w:rPr>
          <w:b/>
          <w:i/>
        </w:rPr>
        <w:noBreakHyphen/>
      </w:r>
      <w:r w:rsidRPr="00BC6B0C">
        <w:rPr>
          <w:b/>
          <w:i/>
        </w:rPr>
        <w:t>directed product</w:t>
      </w:r>
      <w:r>
        <w:rPr>
          <w:b/>
          <w:i/>
        </w:rPr>
        <w:t xml:space="preserve"> </w:t>
      </w:r>
      <w:r>
        <w:t xml:space="preserve">in the fund </w:t>
      </w:r>
      <w:r w:rsidRPr="00536F4A">
        <w:t>if:</w:t>
      </w:r>
    </w:p>
    <w:p w14:paraId="07B0EE82" w14:textId="77777777" w:rsidR="00A2310B" w:rsidRDefault="00A2310B" w:rsidP="00A2310B">
      <w:pPr>
        <w:pStyle w:val="paragraph"/>
      </w:pPr>
      <w:r>
        <w:tab/>
        <w:t>(a)</w:t>
      </w:r>
      <w:r>
        <w:tab/>
        <w:t xml:space="preserve">there is no beneficial interest in the class that is a </w:t>
      </w:r>
      <w:r w:rsidRPr="000B340B">
        <w:t>superannuation interest (within the meaning of the</w:t>
      </w:r>
      <w:r>
        <w:t xml:space="preserve"> 1997 Tax Act</w:t>
      </w:r>
      <w:r w:rsidRPr="000B340B">
        <w:t>) that support</w:t>
      </w:r>
      <w:r>
        <w:t>s</w:t>
      </w:r>
      <w:r w:rsidRPr="000B340B">
        <w:t xml:space="preserve"> a superannuation income stream</w:t>
      </w:r>
      <w:r w:rsidRPr="00536F4A">
        <w:t xml:space="preserve"> </w:t>
      </w:r>
      <w:r>
        <w:t xml:space="preserve">that is in the </w:t>
      </w:r>
      <w:r w:rsidRPr="000B340B">
        <w:t>retirement phase</w:t>
      </w:r>
      <w:r>
        <w:t>;</w:t>
      </w:r>
      <w:r w:rsidR="00313B1D">
        <w:t xml:space="preserve"> and</w:t>
      </w:r>
    </w:p>
    <w:p w14:paraId="29BAA9CD" w14:textId="77777777" w:rsidR="00A2310B" w:rsidRDefault="00A2310B" w:rsidP="00A2310B">
      <w:pPr>
        <w:pStyle w:val="paragraph"/>
      </w:pPr>
      <w:r>
        <w:tab/>
        <w:t>(b)</w:t>
      </w:r>
      <w:r>
        <w:tab/>
        <w:t xml:space="preserve">the </w:t>
      </w:r>
      <w:r w:rsidRPr="00536F4A">
        <w:t>investment strategy</w:t>
      </w:r>
      <w:r>
        <w:t>,</w:t>
      </w:r>
      <w:r w:rsidRPr="00536F4A">
        <w:t xml:space="preserve"> for the class of beneficial interest</w:t>
      </w:r>
      <w:r>
        <w:t>, of the trustee of the fund</w:t>
      </w:r>
      <w:r w:rsidRPr="00536F4A">
        <w:t>:</w:t>
      </w:r>
    </w:p>
    <w:p w14:paraId="7910D644" w14:textId="77777777" w:rsidR="00A2310B" w:rsidRPr="00925783" w:rsidRDefault="00A2310B" w:rsidP="00A2310B">
      <w:pPr>
        <w:pStyle w:val="paragraphsub"/>
      </w:pPr>
      <w:r w:rsidRPr="00925783">
        <w:tab/>
        <w:t>(i)</w:t>
      </w:r>
      <w:r w:rsidRPr="00925783">
        <w:tab/>
        <w:t xml:space="preserve">requires the class of beneficial interest to have strategic asset allocations </w:t>
      </w:r>
      <w:r>
        <w:t>to</w:t>
      </w:r>
      <w:r w:rsidRPr="00925783">
        <w:t xml:space="preserve"> more than one covered asset class; and</w:t>
      </w:r>
    </w:p>
    <w:p w14:paraId="15F8E2C5" w14:textId="77777777" w:rsidR="00A2310B" w:rsidRPr="00536F4A" w:rsidRDefault="00A2310B" w:rsidP="00A2310B">
      <w:pPr>
        <w:pStyle w:val="paragraphsub"/>
      </w:pPr>
      <w:r>
        <w:tab/>
        <w:t>(ii)</w:t>
      </w:r>
      <w:r>
        <w:tab/>
      </w:r>
      <w:r w:rsidRPr="00536F4A">
        <w:t xml:space="preserve">if there are only </w:t>
      </w:r>
      <w:r>
        <w:t>2</w:t>
      </w:r>
      <w:r w:rsidRPr="00536F4A">
        <w:t xml:space="preserve"> such </w:t>
      </w:r>
      <w:r>
        <w:t xml:space="preserve">strategic asset allocations—requires </w:t>
      </w:r>
      <w:r w:rsidRPr="00536F4A">
        <w:t xml:space="preserve">each of those </w:t>
      </w:r>
      <w:r>
        <w:t xml:space="preserve">strategic asset allocations (expressed as a </w:t>
      </w:r>
      <w:r w:rsidRPr="00066AF8">
        <w:t>percentage</w:t>
      </w:r>
      <w:r>
        <w:t xml:space="preserve">) </w:t>
      </w:r>
      <w:r w:rsidR="003934E1">
        <w:t>to</w:t>
      </w:r>
      <w:r>
        <w:t xml:space="preserve"> the </w:t>
      </w:r>
      <w:r w:rsidRPr="00536F4A">
        <w:t>class of beneficial interest</w:t>
      </w:r>
      <w:r>
        <w:t xml:space="preserve"> to </w:t>
      </w:r>
      <w:r w:rsidRPr="00536F4A">
        <w:t>exceed 10%</w:t>
      </w:r>
      <w:r>
        <w:t>; and</w:t>
      </w:r>
    </w:p>
    <w:p w14:paraId="082060FC" w14:textId="77777777" w:rsidR="00A2310B" w:rsidRPr="00536F4A" w:rsidRDefault="00A2310B" w:rsidP="00A2310B">
      <w:pPr>
        <w:pStyle w:val="paragraph"/>
      </w:pPr>
      <w:r>
        <w:tab/>
        <w:t>(c)</w:t>
      </w:r>
      <w:r>
        <w:tab/>
      </w:r>
      <w:r w:rsidRPr="00536F4A">
        <w:t xml:space="preserve">a beneficiary of the </w:t>
      </w:r>
      <w:r>
        <w:t>fund cannot</w:t>
      </w:r>
      <w:r w:rsidRPr="00536F4A">
        <w:t xml:space="preserve"> </w:t>
      </w:r>
      <w:r>
        <w:t>require</w:t>
      </w:r>
      <w:r w:rsidRPr="00536F4A">
        <w:t xml:space="preserve"> any trustee of the fund to </w:t>
      </w:r>
      <w:r w:rsidRPr="00FF3844">
        <w:t>alter</w:t>
      </w:r>
      <w:r w:rsidRPr="000B340B">
        <w:rPr>
          <w:i/>
        </w:rPr>
        <w:t xml:space="preserve"> </w:t>
      </w:r>
      <w:r w:rsidRPr="009E5876">
        <w:t xml:space="preserve">an amount attributable to the beneficiary to be invested in a particular covered asset class; </w:t>
      </w:r>
      <w:r>
        <w:t>and</w:t>
      </w:r>
    </w:p>
    <w:p w14:paraId="5D35469D" w14:textId="77777777" w:rsidR="00A2310B" w:rsidRDefault="00A2310B" w:rsidP="00A2310B">
      <w:pPr>
        <w:pStyle w:val="paragraph"/>
      </w:pPr>
      <w:r>
        <w:tab/>
        <w:t>(d)</w:t>
      </w:r>
      <w:r>
        <w:tab/>
        <w:t>none of the exceptions in subregulations (</w:t>
      </w:r>
      <w:r w:rsidR="00906457">
        <w:t>5</w:t>
      </w:r>
      <w:r>
        <w:t>), (</w:t>
      </w:r>
      <w:r w:rsidR="00906457">
        <w:t>6</w:t>
      </w:r>
      <w:r>
        <w:t>) and (</w:t>
      </w:r>
      <w:r w:rsidR="00906457">
        <w:t>7</w:t>
      </w:r>
      <w:r>
        <w:t>) applies</w:t>
      </w:r>
      <w:r w:rsidR="00525139">
        <w:t>.</w:t>
      </w:r>
    </w:p>
    <w:p w14:paraId="5FE2CF2C" w14:textId="77777777" w:rsidR="00A2310B" w:rsidRDefault="00A2310B" w:rsidP="00A2310B">
      <w:pPr>
        <w:pStyle w:val="subsection"/>
      </w:pPr>
      <w:r>
        <w:tab/>
        <w:t>(3)</w:t>
      </w:r>
      <w:r>
        <w:tab/>
        <w:t xml:space="preserve">For the purposes of </w:t>
      </w:r>
      <w:r w:rsidR="00B86730">
        <w:t>paragraph (</w:t>
      </w:r>
      <w:r w:rsidR="00D20E4B">
        <w:t>2</w:t>
      </w:r>
      <w:r>
        <w:t xml:space="preserve">)(b), in determining a strategic asset allocation </w:t>
      </w:r>
      <w:r w:rsidR="003934E1">
        <w:t>to</w:t>
      </w:r>
      <w:r>
        <w:t xml:space="preserve"> a covered asset class, assume that the </w:t>
      </w:r>
      <w:r w:rsidRPr="00536F4A">
        <w:t>class of beneficial interest</w:t>
      </w:r>
      <w:r>
        <w:t xml:space="preserve"> is a </w:t>
      </w:r>
      <w:r w:rsidR="00B86730">
        <w:t>Part 6</w:t>
      </w:r>
      <w:r>
        <w:t>A product</w:t>
      </w:r>
      <w:r w:rsidR="00525139">
        <w:t>.</w:t>
      </w:r>
    </w:p>
    <w:p w14:paraId="1B32B888" w14:textId="77777777" w:rsidR="00A2310B" w:rsidRDefault="00A2310B" w:rsidP="00A2310B">
      <w:pPr>
        <w:pStyle w:val="subsection"/>
      </w:pPr>
      <w:r>
        <w:tab/>
      </w:r>
      <w:r w:rsidRPr="000C4D55">
        <w:t>(</w:t>
      </w:r>
      <w:r w:rsidR="00906457">
        <w:t>4</w:t>
      </w:r>
      <w:r w:rsidRPr="000C4D55">
        <w:t>)</w:t>
      </w:r>
      <w:r w:rsidRPr="000C4D55">
        <w:tab/>
        <w:t xml:space="preserve">For the purposes of </w:t>
      </w:r>
      <w:r w:rsidR="00B86730">
        <w:t>subparagraph (</w:t>
      </w:r>
      <w:r w:rsidR="00D20E4B">
        <w:t>2</w:t>
      </w:r>
      <w:r w:rsidRPr="000C4D55">
        <w:t xml:space="preserve">)(b)(i), treat </w:t>
      </w:r>
      <w:r w:rsidR="00D90F5C">
        <w:t>2</w:t>
      </w:r>
      <w:r w:rsidRPr="000C4D55">
        <w:t xml:space="preserve"> covered asset classes for a quarter as being one covered asset class</w:t>
      </w:r>
      <w:r>
        <w:t xml:space="preserve"> for the quarter if the only difference between the descriptions of those classes in </w:t>
      </w:r>
      <w:r w:rsidRPr="000C4D55">
        <w:t xml:space="preserve">the table in regulation </w:t>
      </w:r>
      <w:r w:rsidR="00525139">
        <w:t>9AB.17</w:t>
      </w:r>
      <w:r w:rsidRPr="000C4D55">
        <w:t xml:space="preserve"> relating to the quarter </w:t>
      </w:r>
      <w:r>
        <w:t>is that:</w:t>
      </w:r>
    </w:p>
    <w:p w14:paraId="03DE0251" w14:textId="77777777" w:rsidR="00A2310B" w:rsidRDefault="00A2310B" w:rsidP="00A2310B">
      <w:pPr>
        <w:pStyle w:val="paragraph"/>
      </w:pPr>
      <w:r>
        <w:tab/>
        <w:t>(a)</w:t>
      </w:r>
      <w:r>
        <w:tab/>
        <w:t xml:space="preserve">the description of one of those classes contains the word </w:t>
      </w:r>
      <w:r w:rsidR="00C43BEE">
        <w:t>“</w:t>
      </w:r>
      <w:r>
        <w:t>hedged</w:t>
      </w:r>
      <w:r w:rsidR="00C43BEE">
        <w:t>”</w:t>
      </w:r>
      <w:r>
        <w:t>; and</w:t>
      </w:r>
    </w:p>
    <w:p w14:paraId="770B86C8" w14:textId="77777777" w:rsidR="00A2310B" w:rsidRDefault="00A2310B" w:rsidP="00A2310B">
      <w:pPr>
        <w:pStyle w:val="paragraph"/>
      </w:pPr>
      <w:r>
        <w:lastRenderedPageBreak/>
        <w:tab/>
        <w:t>(b)</w:t>
      </w:r>
      <w:r>
        <w:tab/>
        <w:t xml:space="preserve">the description of the other class contains the word </w:t>
      </w:r>
      <w:r w:rsidR="00C43BEE">
        <w:t>“</w:t>
      </w:r>
      <w:r>
        <w:t>unhedged</w:t>
      </w:r>
      <w:r w:rsidR="00C43BEE">
        <w:t>”</w:t>
      </w:r>
      <w:r w:rsidR="00525139">
        <w:t>.</w:t>
      </w:r>
    </w:p>
    <w:p w14:paraId="103EB10D" w14:textId="77777777" w:rsidR="00E00072" w:rsidRPr="00E00072" w:rsidRDefault="00E00072" w:rsidP="00E00072">
      <w:pPr>
        <w:pStyle w:val="SubsectionHead"/>
      </w:pPr>
      <w:r>
        <w:t>Exceptions</w:t>
      </w:r>
    </w:p>
    <w:p w14:paraId="501B0614" w14:textId="77777777" w:rsidR="00A2310B" w:rsidRDefault="00A2310B" w:rsidP="00A2310B">
      <w:pPr>
        <w:pStyle w:val="subsection"/>
      </w:pPr>
      <w:r>
        <w:tab/>
        <w:t>(</w:t>
      </w:r>
      <w:r w:rsidR="00906457">
        <w:t>5</w:t>
      </w:r>
      <w:r>
        <w:t>)</w:t>
      </w:r>
      <w:r>
        <w:tab/>
        <w:t xml:space="preserve">The exception in this subregulation applies if </w:t>
      </w:r>
      <w:r w:rsidRPr="003C7896">
        <w:t>all the members of the fund who hold th</w:t>
      </w:r>
      <w:r>
        <w:t>e</w:t>
      </w:r>
      <w:r w:rsidRPr="003C7896">
        <w:t xml:space="preserve"> class of beneficial interest in the fund are defined benefit members</w:t>
      </w:r>
      <w:r w:rsidR="00525139">
        <w:t>.</w:t>
      </w:r>
    </w:p>
    <w:p w14:paraId="37C51C9C" w14:textId="77777777" w:rsidR="00A2310B" w:rsidRPr="00406C1A" w:rsidRDefault="00A2310B" w:rsidP="00A2310B">
      <w:pPr>
        <w:pStyle w:val="subsection"/>
      </w:pPr>
      <w:r>
        <w:tab/>
        <w:t>(</w:t>
      </w:r>
      <w:r w:rsidR="00906457">
        <w:t>6</w:t>
      </w:r>
      <w:r>
        <w:t>)</w:t>
      </w:r>
      <w:r>
        <w:tab/>
        <w:t xml:space="preserve">The exception in this subregulation applies if </w:t>
      </w:r>
      <w:r w:rsidRPr="00406C1A">
        <w:t xml:space="preserve">the assets of the fund that are invested </w:t>
      </w:r>
      <w:r w:rsidRPr="00536F4A">
        <w:t>in respect of the class of beneficial interest</w:t>
      </w:r>
      <w:r w:rsidRPr="00406C1A">
        <w:t xml:space="preserve"> are invested only in one or more of the following:</w:t>
      </w:r>
    </w:p>
    <w:p w14:paraId="1FE7635E" w14:textId="77777777" w:rsidR="00A2310B" w:rsidRPr="00406C1A" w:rsidRDefault="00A2310B" w:rsidP="00A2310B">
      <w:pPr>
        <w:pStyle w:val="paragraph"/>
      </w:pPr>
      <w:r>
        <w:tab/>
        <w:t>(a)</w:t>
      </w:r>
      <w:r>
        <w:tab/>
      </w:r>
      <w:r w:rsidRPr="00406C1A">
        <w:t>a life policy under which contributions and accumulated earnings may not be reduced by negative investment returns or any reduction in the value of assets in which the policy is invested;</w:t>
      </w:r>
    </w:p>
    <w:p w14:paraId="0ADBC6B2" w14:textId="77777777" w:rsidR="00A2310B" w:rsidRPr="00406C1A" w:rsidRDefault="00A2310B" w:rsidP="00A2310B">
      <w:pPr>
        <w:pStyle w:val="paragraph"/>
      </w:pPr>
      <w:r>
        <w:tab/>
        <w:t>(b)</w:t>
      </w:r>
      <w:r>
        <w:tab/>
      </w:r>
      <w:r w:rsidRPr="00406C1A">
        <w:t>a life policy under which the benefit to a member (or a relative or dependant of a member) is based only on the realisation of a risk, not the performance of an investment;</w:t>
      </w:r>
    </w:p>
    <w:p w14:paraId="2C626153" w14:textId="77777777" w:rsidR="00A2310B" w:rsidRDefault="00A2310B" w:rsidP="00A2310B">
      <w:pPr>
        <w:pStyle w:val="paragraph"/>
      </w:pPr>
      <w:r>
        <w:tab/>
        <w:t>(c)</w:t>
      </w:r>
      <w:r>
        <w:tab/>
      </w:r>
      <w:r w:rsidRPr="00406C1A">
        <w:t>an investment account contract the only beneficiaries of which are a member, and relatives and dependants of a member</w:t>
      </w:r>
      <w:r w:rsidR="00525139">
        <w:t>.</w:t>
      </w:r>
    </w:p>
    <w:p w14:paraId="553C6BA4" w14:textId="77777777" w:rsidR="000860B3" w:rsidRDefault="00893C7E" w:rsidP="00BA0C1E">
      <w:pPr>
        <w:pStyle w:val="subsection"/>
      </w:pPr>
      <w:r>
        <w:tab/>
        <w:t>(</w:t>
      </w:r>
      <w:r w:rsidR="00906457">
        <w:t>7</w:t>
      </w:r>
      <w:r>
        <w:t>)</w:t>
      </w:r>
      <w:r>
        <w:tab/>
      </w:r>
      <w:r w:rsidR="00CA318E">
        <w:t xml:space="preserve">The exception in this </w:t>
      </w:r>
      <w:r w:rsidR="00BA0C1E">
        <w:t>sub</w:t>
      </w:r>
      <w:r w:rsidR="00D45949">
        <w:t>regulation</w:t>
      </w:r>
      <w:r w:rsidR="00BA0C1E">
        <w:t xml:space="preserve"> applies if</w:t>
      </w:r>
      <w:r w:rsidR="000860B3">
        <w:t>:</w:t>
      </w:r>
    </w:p>
    <w:p w14:paraId="09FA5F27" w14:textId="77777777" w:rsidR="00BD63F4" w:rsidRDefault="000860B3" w:rsidP="000860B3">
      <w:pPr>
        <w:pStyle w:val="paragraph"/>
      </w:pPr>
      <w:r>
        <w:tab/>
        <w:t>(a)</w:t>
      </w:r>
      <w:r>
        <w:tab/>
      </w:r>
      <w:r w:rsidR="00CA318E">
        <w:t xml:space="preserve">the trustee </w:t>
      </w:r>
      <w:r w:rsidR="00BA0C1E" w:rsidRPr="003C7896">
        <w:t xml:space="preserve">of the fund </w:t>
      </w:r>
      <w:r w:rsidR="00333237">
        <w:t xml:space="preserve">does not engage in any activity relating to the management of </w:t>
      </w:r>
      <w:r w:rsidR="00333237" w:rsidRPr="00536F4A">
        <w:t>investments in respect of the class of beneficial interest</w:t>
      </w:r>
      <w:r w:rsidR="00333237">
        <w:t>; and</w:t>
      </w:r>
    </w:p>
    <w:p w14:paraId="65211636" w14:textId="77777777" w:rsidR="000860B3" w:rsidRDefault="000860B3" w:rsidP="000860B3">
      <w:pPr>
        <w:pStyle w:val="paragraph"/>
      </w:pPr>
      <w:r>
        <w:tab/>
        <w:t>(b)</w:t>
      </w:r>
      <w:r>
        <w:tab/>
      </w:r>
      <w:r w:rsidR="00333237" w:rsidRPr="00D82CFC">
        <w:t>each entity</w:t>
      </w:r>
      <w:r w:rsidR="00333237">
        <w:t xml:space="preserve"> </w:t>
      </w:r>
      <w:r w:rsidR="005573BF">
        <w:t xml:space="preserve">that manages </w:t>
      </w:r>
      <w:r w:rsidR="005573BF" w:rsidRPr="00536F4A">
        <w:t>investments in respect of the class of beneficial interest</w:t>
      </w:r>
      <w:r w:rsidR="005573BF">
        <w:t xml:space="preserve"> is not a </w:t>
      </w:r>
      <w:r w:rsidR="004F6BC4">
        <w:t xml:space="preserve">connected entity in relation to the </w:t>
      </w:r>
      <w:r w:rsidR="004B198B">
        <w:t xml:space="preserve">trustee </w:t>
      </w:r>
      <w:r w:rsidR="004B198B" w:rsidRPr="003C7896">
        <w:t>of the fund</w:t>
      </w:r>
      <w:r w:rsidR="00333237">
        <w:t>; and</w:t>
      </w:r>
    </w:p>
    <w:p w14:paraId="415DF48D" w14:textId="77777777" w:rsidR="00333237" w:rsidRDefault="00333237" w:rsidP="000860B3">
      <w:pPr>
        <w:pStyle w:val="paragraph"/>
      </w:pPr>
      <w:r>
        <w:tab/>
        <w:t>(c)</w:t>
      </w:r>
      <w:r>
        <w:tab/>
        <w:t xml:space="preserve">the trustee </w:t>
      </w:r>
      <w:r w:rsidRPr="003C7896">
        <w:t xml:space="preserve">of the fund </w:t>
      </w:r>
      <w:r>
        <w:t xml:space="preserve">does not engage in any activity relating to setting of </w:t>
      </w:r>
      <w:r w:rsidRPr="00925783">
        <w:t>strategic asset allocations</w:t>
      </w:r>
      <w:r>
        <w:t xml:space="preserve"> </w:t>
      </w:r>
      <w:r w:rsidR="003934E1">
        <w:t xml:space="preserve">to </w:t>
      </w:r>
      <w:r>
        <w:t xml:space="preserve">the </w:t>
      </w:r>
      <w:r w:rsidRPr="00925783">
        <w:t>class of beneficial interest</w:t>
      </w:r>
      <w:r>
        <w:t>; and</w:t>
      </w:r>
    </w:p>
    <w:p w14:paraId="4C7BA462" w14:textId="77777777" w:rsidR="00333237" w:rsidRDefault="00333237" w:rsidP="00333237">
      <w:pPr>
        <w:pStyle w:val="paragraph"/>
      </w:pPr>
      <w:r>
        <w:tab/>
        <w:t>(d)</w:t>
      </w:r>
      <w:r>
        <w:tab/>
      </w:r>
      <w:r w:rsidR="00D82CFC">
        <w:t xml:space="preserve">each entity </w:t>
      </w:r>
      <w:r>
        <w:t xml:space="preserve">that </w:t>
      </w:r>
      <w:r w:rsidR="00053CF1">
        <w:t xml:space="preserve">sets </w:t>
      </w:r>
      <w:r w:rsidR="00053CF1" w:rsidRPr="00925783">
        <w:t>strategic asset allocations</w:t>
      </w:r>
      <w:r w:rsidR="00053CF1">
        <w:t xml:space="preserve"> </w:t>
      </w:r>
      <w:r w:rsidR="003934E1">
        <w:t xml:space="preserve">to </w:t>
      </w:r>
      <w:r w:rsidR="00053CF1">
        <w:t xml:space="preserve">the </w:t>
      </w:r>
      <w:r w:rsidR="00053CF1" w:rsidRPr="00925783">
        <w:t>class of beneficial interest</w:t>
      </w:r>
      <w:r w:rsidRPr="00536F4A">
        <w:t xml:space="preserve"> </w:t>
      </w:r>
      <w:r>
        <w:t xml:space="preserve">is not a connected entity in relation to the trustee </w:t>
      </w:r>
      <w:r w:rsidRPr="003C7896">
        <w:t>of the fund</w:t>
      </w:r>
      <w:r w:rsidR="00525139">
        <w:t>.</w:t>
      </w:r>
    </w:p>
    <w:p w14:paraId="3E5E114D" w14:textId="77777777" w:rsidR="00E47C45" w:rsidRPr="00656D77" w:rsidRDefault="00525139" w:rsidP="00E47C45">
      <w:pPr>
        <w:pStyle w:val="ActHead5"/>
      </w:pPr>
      <w:bookmarkStart w:id="13" w:name="_Toc78797706"/>
      <w:bookmarkStart w:id="14" w:name="_Hlk71644853"/>
      <w:bookmarkStart w:id="15" w:name="_Hlk71644145"/>
      <w:r w:rsidRPr="0048118D">
        <w:rPr>
          <w:rStyle w:val="CharSectno"/>
        </w:rPr>
        <w:t>9AB.3</w:t>
      </w:r>
      <w:r w:rsidR="00E47C45" w:rsidRPr="009855D9">
        <w:t xml:space="preserve">  Meaning of </w:t>
      </w:r>
      <w:r w:rsidR="00E47C45" w:rsidRPr="00130904">
        <w:rPr>
          <w:i/>
        </w:rPr>
        <w:t xml:space="preserve">lifecycle </w:t>
      </w:r>
      <w:r w:rsidR="00B86730">
        <w:rPr>
          <w:i/>
        </w:rPr>
        <w:t>Part 6</w:t>
      </w:r>
      <w:r w:rsidR="00E47C45" w:rsidRPr="00130904">
        <w:rPr>
          <w:i/>
        </w:rPr>
        <w:t>A product</w:t>
      </w:r>
      <w:bookmarkEnd w:id="13"/>
    </w:p>
    <w:p w14:paraId="39CA9EAD" w14:textId="77777777" w:rsidR="00E47C45" w:rsidRDefault="00E47C45" w:rsidP="00E47C45">
      <w:pPr>
        <w:pStyle w:val="subsection"/>
      </w:pPr>
      <w:r>
        <w:tab/>
        <w:t>(1)</w:t>
      </w:r>
      <w:r>
        <w:tab/>
        <w:t xml:space="preserve">A </w:t>
      </w:r>
      <w:r w:rsidR="00B86730">
        <w:t>Part 6</w:t>
      </w:r>
      <w:r>
        <w:t xml:space="preserve">A product is a </w:t>
      </w:r>
      <w:r>
        <w:rPr>
          <w:b/>
          <w:i/>
        </w:rPr>
        <w:t xml:space="preserve">lifecycle </w:t>
      </w:r>
      <w:r w:rsidR="00B86730">
        <w:rPr>
          <w:b/>
          <w:i/>
        </w:rPr>
        <w:t>Part 6</w:t>
      </w:r>
      <w:r>
        <w:rPr>
          <w:b/>
          <w:i/>
        </w:rPr>
        <w:t>A product</w:t>
      </w:r>
      <w:r w:rsidRPr="00064F64">
        <w:t xml:space="preserve"> </w:t>
      </w:r>
      <w:r>
        <w:t>if:</w:t>
      </w:r>
    </w:p>
    <w:p w14:paraId="2D36154F" w14:textId="77777777" w:rsidR="00E47C45" w:rsidRDefault="00E47C45" w:rsidP="00E47C45">
      <w:pPr>
        <w:pStyle w:val="paragraph"/>
      </w:pPr>
      <w:r w:rsidRPr="001D490D">
        <w:tab/>
        <w:t>(a)</w:t>
      </w:r>
      <w:r w:rsidRPr="001D490D">
        <w:tab/>
        <w:t xml:space="preserve">the investments supporting the </w:t>
      </w:r>
      <w:r w:rsidR="00B86730">
        <w:t>Part 6</w:t>
      </w:r>
      <w:r>
        <w:t>A product are divided into categories; and</w:t>
      </w:r>
    </w:p>
    <w:p w14:paraId="0EDC55F6" w14:textId="77777777" w:rsidR="00E47C45" w:rsidRPr="001D490D" w:rsidRDefault="00E47C45" w:rsidP="00E47C45">
      <w:pPr>
        <w:pStyle w:val="paragraph"/>
      </w:pPr>
      <w:r>
        <w:tab/>
        <w:t>(b)</w:t>
      </w:r>
      <w:r>
        <w:tab/>
        <w:t xml:space="preserve">each such category of investments is referrable to a lifestage </w:t>
      </w:r>
      <w:r w:rsidRPr="005E69C2">
        <w:t>of the</w:t>
      </w:r>
      <w:r w:rsidRPr="001D490D">
        <w:t xml:space="preserve"> </w:t>
      </w:r>
      <w:r w:rsidR="00B86730">
        <w:t>Part 6</w:t>
      </w:r>
      <w:r>
        <w:t>A product</w:t>
      </w:r>
      <w:r w:rsidR="00525139">
        <w:t>.</w:t>
      </w:r>
    </w:p>
    <w:p w14:paraId="35DA852D" w14:textId="77777777" w:rsidR="00E47C45" w:rsidRDefault="00E47C45" w:rsidP="00E47C45">
      <w:pPr>
        <w:pStyle w:val="subsection"/>
      </w:pPr>
      <w:r>
        <w:tab/>
        <w:t>(2)</w:t>
      </w:r>
      <w:r>
        <w:tab/>
        <w:t xml:space="preserve">Subregulation (3) applies in relation to a </w:t>
      </w:r>
      <w:r w:rsidR="00B86730">
        <w:t>Part 6</w:t>
      </w:r>
      <w:r>
        <w:t xml:space="preserve">A product in respect of a financial year (the </w:t>
      </w:r>
      <w:r>
        <w:rPr>
          <w:b/>
          <w:bCs/>
          <w:i/>
          <w:iCs/>
        </w:rPr>
        <w:t>current year</w:t>
      </w:r>
      <w:r>
        <w:t xml:space="preserve">) if the </w:t>
      </w:r>
      <w:r w:rsidR="00B86730">
        <w:t>Part 6</w:t>
      </w:r>
      <w:r>
        <w:t xml:space="preserve">A product was a lifecycle </w:t>
      </w:r>
      <w:r w:rsidR="00B86730">
        <w:t>Part 6</w:t>
      </w:r>
      <w:r>
        <w:t xml:space="preserve">A product (disregarding </w:t>
      </w:r>
      <w:r w:rsidR="00B86730">
        <w:t>paragraph (</w:t>
      </w:r>
      <w:r>
        <w:t xml:space="preserve">3)(a)) at any time in the lookback period for the </w:t>
      </w:r>
      <w:r w:rsidR="00B86730">
        <w:t>Part 6</w:t>
      </w:r>
      <w:r>
        <w:t>A product in respect of the current year</w:t>
      </w:r>
      <w:r w:rsidR="00525139">
        <w:t>.</w:t>
      </w:r>
    </w:p>
    <w:p w14:paraId="1B33DBC7" w14:textId="77777777" w:rsidR="00E47C45" w:rsidRDefault="00E47C45" w:rsidP="00E47C45">
      <w:pPr>
        <w:pStyle w:val="subsection"/>
      </w:pPr>
      <w:r>
        <w:tab/>
        <w:t>(3)</w:t>
      </w:r>
      <w:r>
        <w:tab/>
        <w:t>For the purposes of applying this Part to the current year:</w:t>
      </w:r>
    </w:p>
    <w:p w14:paraId="2F831F43" w14:textId="77777777" w:rsidR="00E47C45" w:rsidRDefault="00E47C45" w:rsidP="00E47C45">
      <w:pPr>
        <w:pStyle w:val="paragraph"/>
      </w:pPr>
      <w:r>
        <w:tab/>
        <w:t>(a)</w:t>
      </w:r>
      <w:r>
        <w:tab/>
        <w:t xml:space="preserve">treat the </w:t>
      </w:r>
      <w:r w:rsidR="00B86730">
        <w:t>Part 6</w:t>
      </w:r>
      <w:r>
        <w:t xml:space="preserve">A product as a lifecycle </w:t>
      </w:r>
      <w:r w:rsidR="00B86730">
        <w:t>Part 6</w:t>
      </w:r>
      <w:r>
        <w:t>A product throughout that lookback period; and</w:t>
      </w:r>
    </w:p>
    <w:p w14:paraId="54530922" w14:textId="77777777" w:rsidR="00E47C45" w:rsidRDefault="00E47C45" w:rsidP="00E47C45">
      <w:pPr>
        <w:pStyle w:val="paragraph"/>
      </w:pPr>
      <w:r>
        <w:tab/>
        <w:t>(b)</w:t>
      </w:r>
      <w:r>
        <w:tab/>
        <w:t xml:space="preserve">treat the </w:t>
      </w:r>
      <w:r w:rsidR="00B86730">
        <w:t>Part 6</w:t>
      </w:r>
      <w:r>
        <w:t>A product as having one lifestage in relation to each quarter that satisfies both of the following requirements:</w:t>
      </w:r>
    </w:p>
    <w:p w14:paraId="1092353F" w14:textId="77777777" w:rsidR="00E47C45" w:rsidRDefault="00E47C45" w:rsidP="00E47C45">
      <w:pPr>
        <w:pStyle w:val="paragraphsub"/>
      </w:pPr>
      <w:r>
        <w:tab/>
        <w:t>(i)</w:t>
      </w:r>
      <w:r>
        <w:tab/>
        <w:t>the quarter is in that lookback period;</w:t>
      </w:r>
    </w:p>
    <w:p w14:paraId="541167D6" w14:textId="77777777" w:rsidR="00E47C45" w:rsidRDefault="00E47C45" w:rsidP="00E47C45">
      <w:pPr>
        <w:pStyle w:val="paragraphsub"/>
      </w:pPr>
      <w:r>
        <w:tab/>
        <w:t>(ii)</w:t>
      </w:r>
      <w:r>
        <w:tab/>
        <w:t xml:space="preserve">the </w:t>
      </w:r>
      <w:r w:rsidR="00B86730">
        <w:t>Part 6</w:t>
      </w:r>
      <w:r>
        <w:t xml:space="preserve">A product was not a lifecycle </w:t>
      </w:r>
      <w:r w:rsidR="00B86730">
        <w:t>Part 6</w:t>
      </w:r>
      <w:r>
        <w:t xml:space="preserve">A product (disregarding </w:t>
      </w:r>
      <w:r w:rsidR="00B86730">
        <w:t>paragraph (</w:t>
      </w:r>
      <w:r>
        <w:t>a)) at the end of the previous quarter</w:t>
      </w:r>
      <w:r w:rsidR="00525139">
        <w:t>.</w:t>
      </w:r>
    </w:p>
    <w:p w14:paraId="3AC94E31" w14:textId="77777777" w:rsidR="00E47C45" w:rsidRDefault="00E47C45" w:rsidP="00E47C45">
      <w:pPr>
        <w:pStyle w:val="notetext"/>
      </w:pPr>
      <w:r>
        <w:lastRenderedPageBreak/>
        <w:t>Note 1:</w:t>
      </w:r>
      <w:r>
        <w:tab/>
        <w:t xml:space="preserve">For the purposes of applying this Part to the current year, the </w:t>
      </w:r>
      <w:r w:rsidR="00B86730">
        <w:t>Part 6</w:t>
      </w:r>
      <w:r>
        <w:t xml:space="preserve">A product will be in the class specified in </w:t>
      </w:r>
      <w:r w:rsidR="00BE556A" w:rsidRPr="00B86730">
        <w:t>subregula</w:t>
      </w:r>
      <w:r w:rsidR="00BE556A">
        <w:t xml:space="preserve">tion </w:t>
      </w:r>
      <w:r w:rsidR="00525139">
        <w:t>9AB.9</w:t>
      </w:r>
      <w:r w:rsidRPr="00B86730">
        <w:t xml:space="preserve">(3) in relation to </w:t>
      </w:r>
      <w:r>
        <w:t>the current year</w:t>
      </w:r>
      <w:r w:rsidR="00525139">
        <w:t>.</w:t>
      </w:r>
    </w:p>
    <w:p w14:paraId="57C97249" w14:textId="77777777" w:rsidR="00E47C45" w:rsidRDefault="00E47C45" w:rsidP="00E47C45">
      <w:pPr>
        <w:pStyle w:val="notetext"/>
      </w:pPr>
      <w:r>
        <w:t>Note 2:</w:t>
      </w:r>
      <w:r>
        <w:tab/>
        <w:t xml:space="preserve">For the purposes of applying this Part to the current year, the </w:t>
      </w:r>
      <w:r w:rsidR="00B86730">
        <w:t>Part 6</w:t>
      </w:r>
      <w:r>
        <w:t xml:space="preserve">A product will have a lifestage weight of one in relation to each quarter in the lookback period and the lifestage mentioned in </w:t>
      </w:r>
      <w:r w:rsidR="00B86730">
        <w:t>paragraph (</w:t>
      </w:r>
      <w:r>
        <w:t>b)</w:t>
      </w:r>
      <w:r w:rsidR="00525139">
        <w:t>.</w:t>
      </w:r>
    </w:p>
    <w:bookmarkEnd w:id="14"/>
    <w:bookmarkEnd w:id="15"/>
    <w:p w14:paraId="6632351B" w14:textId="77777777" w:rsidR="00C95175" w:rsidRPr="00B86730" w:rsidRDefault="00265E5C" w:rsidP="00265E5C">
      <w:pPr>
        <w:pStyle w:val="subsection"/>
      </w:pPr>
      <w:r>
        <w:tab/>
        <w:t>(4)</w:t>
      </w:r>
      <w:r>
        <w:tab/>
      </w:r>
      <w:r w:rsidR="00B86730">
        <w:t>Paragraph (</w:t>
      </w:r>
      <w:r>
        <w:t xml:space="preserve">3)(b) does not apply in relation to </w:t>
      </w:r>
      <w:r w:rsidR="00CA3436">
        <w:t>the</w:t>
      </w:r>
      <w:r>
        <w:t xml:space="preserve"> quarter </w:t>
      </w:r>
      <w:r w:rsidR="007D7DF7">
        <w:t xml:space="preserve">mentioned in </w:t>
      </w:r>
      <w:r w:rsidR="00B86730">
        <w:t>subparagraph (</w:t>
      </w:r>
      <w:r w:rsidR="006B3AD8">
        <w:t>3)</w:t>
      </w:r>
      <w:r w:rsidR="007D7DF7">
        <w:t xml:space="preserve">(b)(i) </w:t>
      </w:r>
      <w:r>
        <w:t xml:space="preserve">if APRA has made a determination under subregulation </w:t>
      </w:r>
      <w:r w:rsidR="00525139">
        <w:t>9AB.14</w:t>
      </w:r>
      <w:r w:rsidRPr="00B86730">
        <w:t>(10) that</w:t>
      </w:r>
      <w:r w:rsidR="00C95175" w:rsidRPr="00B86730">
        <w:t>:</w:t>
      </w:r>
    </w:p>
    <w:p w14:paraId="2F2C3DCD" w14:textId="77777777" w:rsidR="00C95175" w:rsidRPr="00B86730" w:rsidRDefault="00C95175" w:rsidP="00C95175">
      <w:pPr>
        <w:pStyle w:val="paragraph"/>
      </w:pPr>
      <w:r w:rsidRPr="00B86730">
        <w:tab/>
        <w:t>(a)</w:t>
      </w:r>
      <w:r w:rsidRPr="00B86730">
        <w:tab/>
      </w:r>
      <w:r w:rsidR="005E2DAA" w:rsidRPr="00B86730">
        <w:t>specifies</w:t>
      </w:r>
      <w:r w:rsidR="005E2DAA">
        <w:t xml:space="preserve"> </w:t>
      </w:r>
      <w:r w:rsidR="00CA3436" w:rsidRPr="00B86730">
        <w:t xml:space="preserve">the </w:t>
      </w:r>
      <w:r w:rsidR="00B86730" w:rsidRPr="00B86730">
        <w:t>Part 6</w:t>
      </w:r>
      <w:r w:rsidR="00CA3436" w:rsidRPr="00B86730">
        <w:t>A product</w:t>
      </w:r>
      <w:r w:rsidRPr="00B86730">
        <w:t>;</w:t>
      </w:r>
      <w:r w:rsidR="00CA3436" w:rsidRPr="00B86730">
        <w:t xml:space="preserve"> and</w:t>
      </w:r>
    </w:p>
    <w:p w14:paraId="4F4BB804" w14:textId="77777777" w:rsidR="00C95175" w:rsidRDefault="00C95175" w:rsidP="00C95175">
      <w:pPr>
        <w:pStyle w:val="paragraph"/>
      </w:pPr>
      <w:r w:rsidRPr="00B86730">
        <w:tab/>
        <w:t>(b)</w:t>
      </w:r>
      <w:r w:rsidRPr="00B86730">
        <w:tab/>
      </w:r>
      <w:r w:rsidR="005E2DAA">
        <w:t xml:space="preserve">specifies </w:t>
      </w:r>
      <w:r w:rsidRPr="00B86730">
        <w:t xml:space="preserve">the superannuation entity that offers the </w:t>
      </w:r>
      <w:r w:rsidR="00B86730" w:rsidRPr="00B86730">
        <w:t>Part 6</w:t>
      </w:r>
      <w:r w:rsidRPr="00B86730">
        <w:t>A product; and</w:t>
      </w:r>
    </w:p>
    <w:p w14:paraId="26DF436D" w14:textId="77777777" w:rsidR="00DD6A02" w:rsidRDefault="00DD6A02" w:rsidP="00296615">
      <w:pPr>
        <w:pStyle w:val="paragraph"/>
      </w:pPr>
      <w:r>
        <w:tab/>
        <w:t>(c)</w:t>
      </w:r>
      <w:r>
        <w:tab/>
      </w:r>
      <w:r w:rsidR="005E2DAA">
        <w:t>specifies 2 quarters, the later of which is the quarter mentioned in subparagraph (3)(b)(i) of this regulation</w:t>
      </w:r>
      <w:r w:rsidR="00525139">
        <w:t>.</w:t>
      </w:r>
    </w:p>
    <w:p w14:paraId="5E2A7B7F" w14:textId="77777777" w:rsidR="00E47C45" w:rsidRDefault="00E47C45" w:rsidP="00E47C45">
      <w:pPr>
        <w:pStyle w:val="subsection"/>
      </w:pPr>
      <w:r>
        <w:tab/>
        <w:t>(</w:t>
      </w:r>
      <w:r w:rsidR="00265E5C">
        <w:t>5</w:t>
      </w:r>
      <w:r>
        <w:t>)</w:t>
      </w:r>
      <w:r>
        <w:tab/>
        <w:t xml:space="preserve">For the purposes of </w:t>
      </w:r>
      <w:r w:rsidR="00B86730">
        <w:t>subparagraph (</w:t>
      </w:r>
      <w:r>
        <w:t xml:space="preserve">3)(b)(ii), if the previous quarter is before the first quarter (the </w:t>
      </w:r>
      <w:r w:rsidRPr="00ED779C">
        <w:rPr>
          <w:b/>
          <w:i/>
        </w:rPr>
        <w:t>initial quarter</w:t>
      </w:r>
      <w:r>
        <w:t xml:space="preserve">) in relation to which the trustee of the superannuation fund </w:t>
      </w:r>
      <w:r w:rsidRPr="005D3BFF">
        <w:t>offering</w:t>
      </w:r>
      <w:r>
        <w:t xml:space="preserve"> the </w:t>
      </w:r>
      <w:r w:rsidR="00B86730">
        <w:t>Part 6</w:t>
      </w:r>
      <w:r>
        <w:t>A product reported to APRA, in accordance with the</w:t>
      </w:r>
      <w:r w:rsidR="001E2FA3">
        <w:t xml:space="preserve"> applicable</w:t>
      </w:r>
      <w:r>
        <w:t xml:space="preserve"> </w:t>
      </w:r>
      <w:r w:rsidRPr="00834E8A">
        <w:t>investment performance standard</w:t>
      </w:r>
      <w:r>
        <w:t xml:space="preserve">, a net return of the </w:t>
      </w:r>
      <w:r w:rsidR="00B86730">
        <w:t>Part 6</w:t>
      </w:r>
      <w:r>
        <w:t>A product, treat the reference in that subparagraph to the previous quarter as being a reference to the initial quarter</w:t>
      </w:r>
      <w:r w:rsidR="00525139">
        <w:t>.</w:t>
      </w:r>
    </w:p>
    <w:p w14:paraId="1ED09B3E" w14:textId="77777777" w:rsidR="00E47C45" w:rsidRDefault="00525139" w:rsidP="00E47C45">
      <w:pPr>
        <w:pStyle w:val="ActHead5"/>
      </w:pPr>
      <w:bookmarkStart w:id="16" w:name="_Toc78797707"/>
      <w:r w:rsidRPr="0048118D">
        <w:rPr>
          <w:rStyle w:val="CharSectno"/>
        </w:rPr>
        <w:t>9AB.4</w:t>
      </w:r>
      <w:r w:rsidR="00E47C45" w:rsidRPr="009855D9">
        <w:t xml:space="preserve">  </w:t>
      </w:r>
      <w:r w:rsidR="00E47C45">
        <w:t xml:space="preserve">Meaning of </w:t>
      </w:r>
      <w:r w:rsidR="00456B80" w:rsidRPr="00456B80">
        <w:rPr>
          <w:i/>
        </w:rPr>
        <w:t>lifestage weight</w:t>
      </w:r>
      <w:bookmarkEnd w:id="16"/>
    </w:p>
    <w:p w14:paraId="43E066C6" w14:textId="77777777" w:rsidR="00873D46" w:rsidRDefault="00873D46" w:rsidP="00873D46">
      <w:pPr>
        <w:pStyle w:val="subsection"/>
      </w:pPr>
      <w:bookmarkStart w:id="17" w:name="_Hlk72161796"/>
      <w:r>
        <w:tab/>
        <w:t>(1)</w:t>
      </w:r>
      <w:r>
        <w:tab/>
        <w:t xml:space="preserve">The </w:t>
      </w:r>
      <w:r>
        <w:rPr>
          <w:b/>
          <w:i/>
        </w:rPr>
        <w:t>li</w:t>
      </w:r>
      <w:r w:rsidRPr="00A3713A">
        <w:rPr>
          <w:b/>
          <w:i/>
        </w:rPr>
        <w:t>festage weight</w:t>
      </w:r>
      <w:r>
        <w:t xml:space="preserve"> of a </w:t>
      </w:r>
      <w:r w:rsidR="00B86730">
        <w:t>Part 6</w:t>
      </w:r>
      <w:r>
        <w:t>A product, in relation to a quarter and a lifestage, is:</w:t>
      </w:r>
    </w:p>
    <w:p w14:paraId="12D39E30" w14:textId="77777777" w:rsidR="00873D46" w:rsidRDefault="00873D46" w:rsidP="00873D46">
      <w:pPr>
        <w:pStyle w:val="paragraph"/>
      </w:pPr>
      <w:r>
        <w:tab/>
        <w:t>(a)</w:t>
      </w:r>
      <w:r>
        <w:tab/>
      </w:r>
      <w:r w:rsidRPr="005D48C5">
        <w:t>the market value at the end of</w:t>
      </w:r>
      <w:r>
        <w:t xml:space="preserve"> the previous quarter of all investments </w:t>
      </w:r>
      <w:r w:rsidRPr="00A63572">
        <w:t>supporting</w:t>
      </w:r>
      <w:r>
        <w:t xml:space="preserve"> the</w:t>
      </w:r>
      <w:r w:rsidRPr="00536F4A">
        <w:t xml:space="preserve"> </w:t>
      </w:r>
      <w:r w:rsidR="00B86730">
        <w:t>Part 6</w:t>
      </w:r>
      <w:r>
        <w:t>A product that are referable to the lifestage;</w:t>
      </w:r>
    </w:p>
    <w:p w14:paraId="5B684C43" w14:textId="77777777" w:rsidR="00873D46" w:rsidRPr="00A3713A" w:rsidRDefault="00873D46" w:rsidP="00873D46">
      <w:pPr>
        <w:pStyle w:val="subsection2"/>
      </w:pPr>
      <w:r>
        <w:t>divided by;</w:t>
      </w:r>
    </w:p>
    <w:p w14:paraId="4B42825A" w14:textId="77777777" w:rsidR="00873D46" w:rsidRDefault="00873D46" w:rsidP="00873D46">
      <w:pPr>
        <w:pStyle w:val="paragraph"/>
      </w:pPr>
      <w:r>
        <w:tab/>
        <w:t>(b)</w:t>
      </w:r>
      <w:r>
        <w:tab/>
      </w:r>
      <w:r w:rsidRPr="005D48C5">
        <w:t>the market value at the end of</w:t>
      </w:r>
      <w:r>
        <w:t xml:space="preserve"> the previous quarter of all investments </w:t>
      </w:r>
      <w:r w:rsidRPr="00A63572">
        <w:t>supporting</w:t>
      </w:r>
      <w:r>
        <w:t xml:space="preserve"> the</w:t>
      </w:r>
      <w:r w:rsidRPr="00536F4A">
        <w:t xml:space="preserve"> </w:t>
      </w:r>
      <w:r w:rsidR="00B86730">
        <w:t>Part 6</w:t>
      </w:r>
      <w:r>
        <w:t xml:space="preserve">A product that are referable to a lifestage of the </w:t>
      </w:r>
      <w:r w:rsidR="00B86730">
        <w:t>Part 6</w:t>
      </w:r>
      <w:r>
        <w:t>A product</w:t>
      </w:r>
      <w:r w:rsidR="00525139">
        <w:t>.</w:t>
      </w:r>
    </w:p>
    <w:p w14:paraId="518F92A2" w14:textId="77777777" w:rsidR="00873D46" w:rsidRDefault="00873D46" w:rsidP="00873D46">
      <w:pPr>
        <w:pStyle w:val="subsection"/>
      </w:pPr>
      <w:r>
        <w:tab/>
        <w:t>(2)</w:t>
      </w:r>
      <w:r>
        <w:tab/>
        <w:t xml:space="preserve">For the purposes of subregulation (1), if the previous quarter is before the first quarter (the </w:t>
      </w:r>
      <w:r w:rsidRPr="00ED779C">
        <w:rPr>
          <w:b/>
          <w:i/>
        </w:rPr>
        <w:t>initial quarter</w:t>
      </w:r>
      <w:r>
        <w:t xml:space="preserve">) in relation to which the trustee of the superannuation </w:t>
      </w:r>
      <w:r w:rsidR="001E2FA3">
        <w:t>entity</w:t>
      </w:r>
      <w:r>
        <w:t xml:space="preserve"> offering the </w:t>
      </w:r>
      <w:r w:rsidR="00B86730">
        <w:t>Part 6</w:t>
      </w:r>
      <w:r>
        <w:t xml:space="preserve">A product reported to APRA, in accordance with the </w:t>
      </w:r>
      <w:r w:rsidR="001E2FA3">
        <w:t xml:space="preserve">applicable </w:t>
      </w:r>
      <w:r w:rsidRPr="00834E8A">
        <w:t>investment performance standard</w:t>
      </w:r>
      <w:r>
        <w:t xml:space="preserve">, a net return of the </w:t>
      </w:r>
      <w:r w:rsidR="00B86730">
        <w:t>Part 6</w:t>
      </w:r>
      <w:r>
        <w:t>A product, treat the references in subregulation (1) to the previous quarter as being references to the initial quarter</w:t>
      </w:r>
      <w:r w:rsidR="00525139">
        <w:t>.</w:t>
      </w:r>
    </w:p>
    <w:p w14:paraId="0BF925D3" w14:textId="77777777" w:rsidR="00873D46" w:rsidRDefault="00525139" w:rsidP="00873D46">
      <w:pPr>
        <w:pStyle w:val="ActHead5"/>
        <w:rPr>
          <w:i/>
        </w:rPr>
      </w:pPr>
      <w:bookmarkStart w:id="18" w:name="_Toc78797708"/>
      <w:bookmarkEnd w:id="17"/>
      <w:r w:rsidRPr="0048118D">
        <w:rPr>
          <w:rStyle w:val="CharSectno"/>
        </w:rPr>
        <w:t>9AB.5</w:t>
      </w:r>
      <w:r w:rsidR="00873D46" w:rsidRPr="009855D9">
        <w:t xml:space="preserve">  </w:t>
      </w:r>
      <w:r w:rsidR="00873D46">
        <w:t xml:space="preserve">Meaning of </w:t>
      </w:r>
      <w:r w:rsidR="00873D46" w:rsidRPr="00E47C45">
        <w:rPr>
          <w:i/>
        </w:rPr>
        <w:t>strategic asset allocation</w:t>
      </w:r>
      <w:bookmarkEnd w:id="18"/>
    </w:p>
    <w:p w14:paraId="702CC260" w14:textId="77777777" w:rsidR="00F819CD" w:rsidRDefault="00F819CD" w:rsidP="00F819CD">
      <w:pPr>
        <w:pStyle w:val="subsection"/>
      </w:pPr>
      <w:r>
        <w:tab/>
        <w:t>(1)</w:t>
      </w:r>
      <w:r>
        <w:tab/>
        <w:t xml:space="preserve">A </w:t>
      </w:r>
      <w:r w:rsidR="00B86730">
        <w:t>Part 6</w:t>
      </w:r>
      <w:r>
        <w:t>A product</w:t>
      </w:r>
      <w:r w:rsidR="00C43BEE">
        <w:t>’</w:t>
      </w:r>
      <w:r>
        <w:t xml:space="preserve">s </w:t>
      </w:r>
      <w:r w:rsidRPr="00E47C45">
        <w:rPr>
          <w:b/>
          <w:i/>
        </w:rPr>
        <w:t>strategic asset allocation</w:t>
      </w:r>
      <w:r>
        <w:t xml:space="preserve"> in relation to a quarter to a covered asset class in relation to the quarter is the </w:t>
      </w:r>
      <w:r w:rsidR="00B86730">
        <w:t>Part 6</w:t>
      </w:r>
      <w:r>
        <w:t>A product</w:t>
      </w:r>
      <w:r w:rsidR="00C43BEE">
        <w:t>’</w:t>
      </w:r>
      <w:r>
        <w:t xml:space="preserve">s benchmark asset allocation in relation to the quarter to the covered asset class, as reported to APRA in accordance with the </w:t>
      </w:r>
      <w:r w:rsidR="001E2FA3">
        <w:t xml:space="preserve">applicable </w:t>
      </w:r>
      <w:r>
        <w:t>asset allocation standard</w:t>
      </w:r>
      <w:r w:rsidR="00525139">
        <w:t>.</w:t>
      </w:r>
    </w:p>
    <w:p w14:paraId="0029DBF5" w14:textId="77777777" w:rsidR="00D91426" w:rsidRDefault="00E47C45" w:rsidP="00E47C45">
      <w:pPr>
        <w:pStyle w:val="subsection"/>
      </w:pPr>
      <w:r>
        <w:tab/>
        <w:t>(</w:t>
      </w:r>
      <w:r w:rsidR="00D91426">
        <w:t>2</w:t>
      </w:r>
      <w:r>
        <w:t>)</w:t>
      </w:r>
      <w:r>
        <w:tab/>
      </w:r>
      <w:r w:rsidR="00E373C4">
        <w:t>For the purposes of sub</w:t>
      </w:r>
      <w:r w:rsidR="007976D6">
        <w:t>regulat</w:t>
      </w:r>
      <w:r w:rsidR="00E373C4">
        <w:t>ion (1), i</w:t>
      </w:r>
      <w:r w:rsidR="00D91426">
        <w:t xml:space="preserve">f a benchmark asset allocation </w:t>
      </w:r>
      <w:r w:rsidR="00E373C4">
        <w:t xml:space="preserve">to a covered asset class </w:t>
      </w:r>
      <w:r w:rsidR="00D91426">
        <w:t xml:space="preserve">does not identify an asset domicile type for </w:t>
      </w:r>
      <w:r w:rsidR="00E373C4">
        <w:t>the</w:t>
      </w:r>
      <w:r w:rsidR="00D91426">
        <w:t xml:space="preserve"> covered asset class:</w:t>
      </w:r>
    </w:p>
    <w:p w14:paraId="60E7FBE0" w14:textId="77777777" w:rsidR="002A3C41" w:rsidRDefault="00E373C4" w:rsidP="00E373C4">
      <w:pPr>
        <w:pStyle w:val="paragraph"/>
      </w:pPr>
      <w:r>
        <w:tab/>
        <w:t>(</w:t>
      </w:r>
      <w:r w:rsidR="002A3C41">
        <w:t>a</w:t>
      </w:r>
      <w:r>
        <w:t>)</w:t>
      </w:r>
      <w:r>
        <w:tab/>
        <w:t xml:space="preserve">if the benchmark asset allocation does </w:t>
      </w:r>
      <w:r w:rsidRPr="00E373C4">
        <w:rPr>
          <w:i/>
        </w:rPr>
        <w:t>not</w:t>
      </w:r>
      <w:r>
        <w:t xml:space="preserve"> identify a currency hedging ratio for the covered asset class</w:t>
      </w:r>
      <w:r w:rsidR="00474CAB">
        <w:t xml:space="preserve">, or identifies </w:t>
      </w:r>
      <w:r w:rsidR="002A3C41">
        <w:t>a currency hedging ratio of zero for the covered asset class:</w:t>
      </w:r>
    </w:p>
    <w:p w14:paraId="3EB6B138" w14:textId="77777777" w:rsidR="002A3C41" w:rsidRPr="002A3C41" w:rsidRDefault="002A3C41" w:rsidP="002A3C41">
      <w:pPr>
        <w:pStyle w:val="paragraphsub"/>
      </w:pPr>
      <w:r w:rsidRPr="002A3C41">
        <w:lastRenderedPageBreak/>
        <w:tab/>
        <w:t>(</w:t>
      </w:r>
      <w:r>
        <w:t>i</w:t>
      </w:r>
      <w:r w:rsidRPr="002A3C41">
        <w:t>)</w:t>
      </w:r>
      <w:r w:rsidRPr="002A3C41">
        <w:tab/>
        <w:t>treat half of the amount of that benchmark asset allocation as identified with an Australian domicile type; and</w:t>
      </w:r>
    </w:p>
    <w:p w14:paraId="01B98857" w14:textId="77777777" w:rsidR="00E373C4" w:rsidRDefault="002A3C41" w:rsidP="002A3C41">
      <w:pPr>
        <w:pStyle w:val="paragraphsub"/>
      </w:pPr>
      <w:r>
        <w:tab/>
        <w:t>(ii)</w:t>
      </w:r>
      <w:r>
        <w:tab/>
      </w:r>
      <w:r w:rsidR="00E373C4">
        <w:t>treat half of the amount of that benchmark asset allocation as identified with an international domicile type</w:t>
      </w:r>
      <w:r w:rsidR="00295491">
        <w:t>; and</w:t>
      </w:r>
    </w:p>
    <w:p w14:paraId="45B020A9" w14:textId="77777777" w:rsidR="002A3C41" w:rsidRDefault="002A3C41" w:rsidP="002A3C41">
      <w:pPr>
        <w:pStyle w:val="paragraphsub"/>
      </w:pPr>
      <w:r>
        <w:tab/>
        <w:t>(iii)</w:t>
      </w:r>
      <w:r>
        <w:tab/>
        <w:t>treat a currency hedging ratio of zero as identified with the international domicile type; and</w:t>
      </w:r>
    </w:p>
    <w:p w14:paraId="10E1CFF0" w14:textId="77777777" w:rsidR="00E373C4" w:rsidRDefault="00E373C4" w:rsidP="00E373C4">
      <w:pPr>
        <w:pStyle w:val="paragraph"/>
      </w:pPr>
      <w:r>
        <w:tab/>
        <w:t>(</w:t>
      </w:r>
      <w:r w:rsidR="002A3C41">
        <w:t>b</w:t>
      </w:r>
      <w:r>
        <w:t>)</w:t>
      </w:r>
      <w:r>
        <w:tab/>
        <w:t>if the benchmark asset allocation does identify a currency hedging ratio for the covered asset class:</w:t>
      </w:r>
    </w:p>
    <w:p w14:paraId="41F2DAD1" w14:textId="77777777" w:rsidR="002A3C41" w:rsidRPr="002A3C41" w:rsidRDefault="002A3C41" w:rsidP="002A3C41">
      <w:pPr>
        <w:pStyle w:val="paragraphsub"/>
      </w:pPr>
      <w:r w:rsidRPr="002A3C41">
        <w:tab/>
        <w:t>(</w:t>
      </w:r>
      <w:r>
        <w:t>i</w:t>
      </w:r>
      <w:r w:rsidRPr="002A3C41">
        <w:t>)</w:t>
      </w:r>
      <w:r w:rsidRPr="002A3C41">
        <w:tab/>
        <w:t>treat half of the amount of that benchmark asset allocation as identified with an Australian domicile type; and</w:t>
      </w:r>
    </w:p>
    <w:p w14:paraId="1CC15959" w14:textId="77777777" w:rsidR="00E373C4" w:rsidRDefault="00E373C4" w:rsidP="00E373C4">
      <w:pPr>
        <w:pStyle w:val="paragraphsub"/>
      </w:pPr>
      <w:r>
        <w:tab/>
        <w:t>(</w:t>
      </w:r>
      <w:r w:rsidR="002A3C41">
        <w:t>i</w:t>
      </w:r>
      <w:r>
        <w:t>i)</w:t>
      </w:r>
      <w:r>
        <w:tab/>
        <w:t>treat half of the amount of that benchmark asset allocation as identified with an international domicile type; and</w:t>
      </w:r>
    </w:p>
    <w:p w14:paraId="408D6181" w14:textId="77777777" w:rsidR="00E373C4" w:rsidRDefault="00E373C4" w:rsidP="00E373C4">
      <w:pPr>
        <w:pStyle w:val="paragraphsub"/>
      </w:pPr>
      <w:r>
        <w:tab/>
        <w:t>(i</w:t>
      </w:r>
      <w:r w:rsidR="002A3C41">
        <w:t>i</w:t>
      </w:r>
      <w:r>
        <w:t>i)</w:t>
      </w:r>
      <w:r>
        <w:tab/>
        <w:t>treat all of the amount of that currency hedging ratio as identified with the international domicile type</w:t>
      </w:r>
      <w:r w:rsidR="00525139">
        <w:t>.</w:t>
      </w:r>
    </w:p>
    <w:p w14:paraId="0AE27838" w14:textId="77777777" w:rsidR="00797CDA" w:rsidRDefault="00564D02" w:rsidP="00797CDA">
      <w:pPr>
        <w:pStyle w:val="subsection"/>
      </w:pPr>
      <w:r>
        <w:tab/>
        <w:t>(</w:t>
      </w:r>
      <w:r w:rsidR="00644B1C">
        <w:t>3</w:t>
      </w:r>
      <w:r>
        <w:t>)</w:t>
      </w:r>
      <w:r>
        <w:tab/>
        <w:t>For the purposes of subregulation (1), if</w:t>
      </w:r>
      <w:r w:rsidR="003E494E">
        <w:t xml:space="preserve"> a benchmark asset allocation to a covered class</w:t>
      </w:r>
      <w:r w:rsidR="00797CDA">
        <w:t>:</w:t>
      </w:r>
    </w:p>
    <w:p w14:paraId="2D2AB477" w14:textId="77777777" w:rsidR="00797CDA" w:rsidRDefault="00797CDA" w:rsidP="00797CDA">
      <w:pPr>
        <w:pStyle w:val="paragraph"/>
      </w:pPr>
      <w:r>
        <w:tab/>
        <w:t>(a)</w:t>
      </w:r>
      <w:r>
        <w:tab/>
        <w:t>identifies the international domicile type with the covered asset class; and</w:t>
      </w:r>
    </w:p>
    <w:p w14:paraId="5A5A14F1" w14:textId="77777777" w:rsidR="00797CDA" w:rsidRDefault="00797CDA" w:rsidP="00797CDA">
      <w:pPr>
        <w:pStyle w:val="paragraph"/>
      </w:pPr>
      <w:r>
        <w:tab/>
        <w:t>(b)</w:t>
      </w:r>
      <w:r>
        <w:tab/>
        <w:t xml:space="preserve">does </w:t>
      </w:r>
      <w:r w:rsidRPr="00E373C4">
        <w:rPr>
          <w:i/>
        </w:rPr>
        <w:t>not</w:t>
      </w:r>
      <w:r>
        <w:t xml:space="preserve"> identify a currency hedging ratio for the covered asset class;</w:t>
      </w:r>
    </w:p>
    <w:p w14:paraId="4CE247FA" w14:textId="77777777" w:rsidR="00797CDA" w:rsidRPr="00797CDA" w:rsidRDefault="00797CDA" w:rsidP="00797CDA">
      <w:pPr>
        <w:pStyle w:val="subsection2"/>
      </w:pPr>
      <w:r>
        <w:t>treat a currency hedging ratio of zero as identified with the international domicile type</w:t>
      </w:r>
      <w:r w:rsidR="00525139">
        <w:t>.</w:t>
      </w:r>
    </w:p>
    <w:p w14:paraId="1FF02747" w14:textId="77777777" w:rsidR="00AD673A" w:rsidRDefault="00D91426" w:rsidP="00AD673A">
      <w:pPr>
        <w:pStyle w:val="subsection"/>
      </w:pPr>
      <w:r>
        <w:tab/>
        <w:t>(</w:t>
      </w:r>
      <w:r w:rsidR="00644B1C">
        <w:t>4</w:t>
      </w:r>
      <w:r>
        <w:t>)</w:t>
      </w:r>
      <w:r>
        <w:tab/>
      </w:r>
      <w:r w:rsidR="00AD673A">
        <w:t xml:space="preserve">For the purposes of </w:t>
      </w:r>
      <w:r w:rsidR="007976D6">
        <w:t xml:space="preserve">subregulation </w:t>
      </w:r>
      <w:r w:rsidR="00AD673A">
        <w:t>(1), if a benchmark asset allocation to a covered asset class does not identify an asset listing type for the covered asset class:</w:t>
      </w:r>
    </w:p>
    <w:p w14:paraId="5B1F8005" w14:textId="77777777" w:rsidR="00AD673A" w:rsidRDefault="00AD673A" w:rsidP="00D91426">
      <w:pPr>
        <w:pStyle w:val="paragraph"/>
      </w:pPr>
      <w:r>
        <w:tab/>
        <w:t>(a)</w:t>
      </w:r>
      <w:r>
        <w:tab/>
        <w:t>treat half of the amount of that benchmark asset allocation as identified with a listed type; and</w:t>
      </w:r>
    </w:p>
    <w:p w14:paraId="627F269E" w14:textId="77777777" w:rsidR="00D91426" w:rsidRDefault="00AD673A" w:rsidP="00D91426">
      <w:pPr>
        <w:pStyle w:val="paragraph"/>
      </w:pPr>
      <w:r>
        <w:tab/>
        <w:t>(b)</w:t>
      </w:r>
      <w:r>
        <w:tab/>
        <w:t>treat half of the amount of that benchmark asset allocation as identified with an unlisted type</w:t>
      </w:r>
      <w:r w:rsidR="00525139">
        <w:t>.</w:t>
      </w:r>
    </w:p>
    <w:p w14:paraId="42F95D54" w14:textId="77777777" w:rsidR="00DE394E" w:rsidRPr="00DE394E" w:rsidRDefault="00C81AD2" w:rsidP="00DE394E">
      <w:pPr>
        <w:pStyle w:val="SubsectionHead"/>
      </w:pPr>
      <w:r>
        <w:t>APRA</w:t>
      </w:r>
      <w:r w:rsidR="00711A14">
        <w:t>’s</w:t>
      </w:r>
      <w:r>
        <w:t xml:space="preserve"> determination that </w:t>
      </w:r>
      <w:r w:rsidR="00DE394E">
        <w:t>information relates to particular concept</w:t>
      </w:r>
      <w:r>
        <w:t>s</w:t>
      </w:r>
      <w:r w:rsidR="00DE394E">
        <w:t xml:space="preserve"> in asset allocation standard</w:t>
      </w:r>
      <w:r>
        <w:t>s</w:t>
      </w:r>
    </w:p>
    <w:p w14:paraId="737E48DD" w14:textId="77777777" w:rsidR="00E47C45" w:rsidRDefault="00E47C45" w:rsidP="007F7E30">
      <w:pPr>
        <w:pStyle w:val="subsection"/>
      </w:pPr>
      <w:r>
        <w:tab/>
        <w:t>(</w:t>
      </w:r>
      <w:r w:rsidR="00644B1C">
        <w:t>5</w:t>
      </w:r>
      <w:r>
        <w:t>)</w:t>
      </w:r>
      <w:r>
        <w:tab/>
      </w:r>
      <w:r w:rsidRPr="003D5C6E">
        <w:t>Subregulation (</w:t>
      </w:r>
      <w:r w:rsidR="00644B1C">
        <w:t>6</w:t>
      </w:r>
      <w:r w:rsidRPr="003D5C6E">
        <w:t>) applies if</w:t>
      </w:r>
      <w:r w:rsidR="007F7E30">
        <w:t xml:space="preserve"> </w:t>
      </w:r>
      <w:r w:rsidRPr="003D5C6E">
        <w:t xml:space="preserve">it is not possible to work out a </w:t>
      </w:r>
      <w:r w:rsidR="00B86730">
        <w:t>Part 6</w:t>
      </w:r>
      <w:r w:rsidR="005312E4">
        <w:t xml:space="preserve">A product’s </w:t>
      </w:r>
      <w:r w:rsidRPr="003D5C6E">
        <w:t xml:space="preserve">strategic asset allocation to a covered asset class in relation to a </w:t>
      </w:r>
      <w:r w:rsidR="00403252">
        <w:t>quarter</w:t>
      </w:r>
      <w:r w:rsidRPr="003D5C6E">
        <w:t xml:space="preserve"> because it is not clear whether particular information relevant to that strategic asset allocation relates to a particular concept in </w:t>
      </w:r>
      <w:r w:rsidR="001E2FA3">
        <w:t xml:space="preserve">an </w:t>
      </w:r>
      <w:r w:rsidRPr="003D5C6E">
        <w:t>asset allocation standard</w:t>
      </w:r>
      <w:r w:rsidR="00525139">
        <w:t>.</w:t>
      </w:r>
    </w:p>
    <w:p w14:paraId="4EBE2EF6" w14:textId="77777777" w:rsidR="000A264E" w:rsidRPr="000A264E" w:rsidRDefault="000A264E" w:rsidP="000A264E">
      <w:pPr>
        <w:pStyle w:val="notetext"/>
      </w:pPr>
      <w:r>
        <w:t>Note:</w:t>
      </w:r>
      <w:r>
        <w:tab/>
        <w:t xml:space="preserve">It may be possible to </w:t>
      </w:r>
      <w:r w:rsidRPr="003D5C6E">
        <w:t xml:space="preserve">work out </w:t>
      </w:r>
      <w:r>
        <w:t>the</w:t>
      </w:r>
      <w:r w:rsidRPr="003D5C6E">
        <w:t xml:space="preserve"> strategic asset allocation </w:t>
      </w:r>
      <w:r>
        <w:t>under subregulation</w:t>
      </w:r>
      <w:r w:rsidR="00644B1C">
        <w:t>s</w:t>
      </w:r>
      <w:r w:rsidR="00B25F93">
        <w:t xml:space="preserve"> </w:t>
      </w:r>
      <w:r>
        <w:t xml:space="preserve">(2) </w:t>
      </w:r>
      <w:r w:rsidR="00644B1C">
        <w:t>to</w:t>
      </w:r>
      <w:r>
        <w:t xml:space="preserve"> (</w:t>
      </w:r>
      <w:r w:rsidR="00644B1C">
        <w:t>4</w:t>
      </w:r>
      <w:r>
        <w:t>)</w:t>
      </w:r>
      <w:r w:rsidR="00525139">
        <w:t>.</w:t>
      </w:r>
    </w:p>
    <w:p w14:paraId="711C63C3" w14:textId="77777777" w:rsidR="005312E4" w:rsidRDefault="00E47C45" w:rsidP="00E47C45">
      <w:pPr>
        <w:pStyle w:val="subsection"/>
        <w:spacing w:before="240"/>
      </w:pPr>
      <w:r>
        <w:tab/>
        <w:t>(</w:t>
      </w:r>
      <w:r w:rsidR="00644B1C">
        <w:t>6</w:t>
      </w:r>
      <w:r>
        <w:t>)</w:t>
      </w:r>
      <w:r>
        <w:tab/>
      </w:r>
      <w:r w:rsidR="000A264E">
        <w:t>F</w:t>
      </w:r>
      <w:r w:rsidR="007F7E30">
        <w:t xml:space="preserve">or the purposes of this </w:t>
      </w:r>
      <w:r w:rsidR="00761156">
        <w:t>regulation</w:t>
      </w:r>
      <w:r>
        <w:t>,</w:t>
      </w:r>
      <w:r w:rsidRPr="003D5C6E">
        <w:t xml:space="preserve"> treat the information as relating to a particular concept in </w:t>
      </w:r>
      <w:r w:rsidR="00CF074E">
        <w:t>an</w:t>
      </w:r>
      <w:r w:rsidRPr="003D5C6E">
        <w:t xml:space="preserve"> asset allocation standard</w:t>
      </w:r>
      <w:r w:rsidR="009B7DB5">
        <w:t xml:space="preserve"> </w:t>
      </w:r>
      <w:r>
        <w:t>if a determination under subregulation (</w:t>
      </w:r>
      <w:r w:rsidR="00644B1C">
        <w:t>7)</w:t>
      </w:r>
      <w:r w:rsidR="005312E4">
        <w:t>:</w:t>
      </w:r>
    </w:p>
    <w:p w14:paraId="692C2C38" w14:textId="77777777" w:rsidR="00C95175" w:rsidRDefault="005312E4" w:rsidP="005312E4">
      <w:pPr>
        <w:pStyle w:val="paragraph"/>
      </w:pPr>
      <w:r>
        <w:tab/>
        <w:t>(a)</w:t>
      </w:r>
      <w:r>
        <w:tab/>
        <w:t>specifies</w:t>
      </w:r>
      <w:r w:rsidR="00C95175">
        <w:t>:</w:t>
      </w:r>
    </w:p>
    <w:p w14:paraId="5EA94E43" w14:textId="77777777" w:rsidR="00C95175" w:rsidRDefault="00C95175" w:rsidP="00C95175">
      <w:pPr>
        <w:pStyle w:val="paragraphsub"/>
      </w:pPr>
      <w:r>
        <w:tab/>
        <w:t>(i)</w:t>
      </w:r>
      <w:r>
        <w:tab/>
      </w:r>
      <w:r w:rsidR="005312E4">
        <w:t xml:space="preserve">the </w:t>
      </w:r>
      <w:r w:rsidR="00B86730">
        <w:t>Part 6</w:t>
      </w:r>
      <w:r w:rsidR="005312E4">
        <w:t>A product</w:t>
      </w:r>
      <w:r>
        <w:t>; and</w:t>
      </w:r>
    </w:p>
    <w:p w14:paraId="202C4C17" w14:textId="77777777" w:rsidR="00C95175" w:rsidRDefault="00C95175" w:rsidP="00C95175">
      <w:pPr>
        <w:pStyle w:val="paragraphsub"/>
      </w:pPr>
      <w:r>
        <w:tab/>
        <w:t>(ii)</w:t>
      </w:r>
      <w:r>
        <w:tab/>
        <w:t xml:space="preserve">the superannuation entity that offers the </w:t>
      </w:r>
      <w:r w:rsidR="00B86730">
        <w:t>Part 6</w:t>
      </w:r>
      <w:r>
        <w:t>A product; and</w:t>
      </w:r>
    </w:p>
    <w:p w14:paraId="5E6FC979" w14:textId="77777777" w:rsidR="00C95175" w:rsidRDefault="00C95175" w:rsidP="00C95175">
      <w:pPr>
        <w:pStyle w:val="paragraphsub"/>
      </w:pPr>
      <w:r>
        <w:tab/>
        <w:t>(iii)</w:t>
      </w:r>
      <w:r>
        <w:tab/>
      </w:r>
      <w:r w:rsidR="005312E4">
        <w:t>the covered asset class</w:t>
      </w:r>
      <w:r>
        <w:t>;</w:t>
      </w:r>
      <w:r w:rsidR="005312E4">
        <w:t xml:space="preserve"> and</w:t>
      </w:r>
    </w:p>
    <w:p w14:paraId="01910CDD" w14:textId="77777777" w:rsidR="005312E4" w:rsidRDefault="00C95175" w:rsidP="00C95175">
      <w:pPr>
        <w:pStyle w:val="paragraphsub"/>
      </w:pPr>
      <w:r>
        <w:tab/>
        <w:t>(iv)</w:t>
      </w:r>
      <w:r>
        <w:tab/>
      </w:r>
      <w:r w:rsidR="005312E4">
        <w:t xml:space="preserve">the </w:t>
      </w:r>
      <w:r w:rsidR="00CF074E">
        <w:t>asset allocation standard</w:t>
      </w:r>
      <w:r w:rsidR="005312E4">
        <w:t>; and</w:t>
      </w:r>
    </w:p>
    <w:p w14:paraId="34A72EF6" w14:textId="77777777" w:rsidR="008E44DA" w:rsidRDefault="008E44DA" w:rsidP="00C95175">
      <w:pPr>
        <w:pStyle w:val="paragraphsub"/>
      </w:pPr>
      <w:r>
        <w:tab/>
        <w:t>(v)</w:t>
      </w:r>
      <w:r>
        <w:tab/>
        <w:t>the quarter; and</w:t>
      </w:r>
    </w:p>
    <w:p w14:paraId="0CC16172" w14:textId="77777777" w:rsidR="005312E4" w:rsidRDefault="005312E4" w:rsidP="005312E4">
      <w:pPr>
        <w:pStyle w:val="paragraph"/>
      </w:pPr>
      <w:r>
        <w:tab/>
        <w:t>(b)</w:t>
      </w:r>
      <w:r>
        <w:tab/>
        <w:t>states that the information relates to the concept in the asset allocation standard</w:t>
      </w:r>
      <w:r w:rsidR="00525139">
        <w:t>.</w:t>
      </w:r>
    </w:p>
    <w:p w14:paraId="71C41BBB" w14:textId="77777777" w:rsidR="005312E4" w:rsidRDefault="00E47C45" w:rsidP="00E47C45">
      <w:pPr>
        <w:pStyle w:val="subsection"/>
      </w:pPr>
      <w:r>
        <w:lastRenderedPageBreak/>
        <w:tab/>
        <w:t>(</w:t>
      </w:r>
      <w:r w:rsidR="00644B1C">
        <w:t>7</w:t>
      </w:r>
      <w:r>
        <w:t>)</w:t>
      </w:r>
      <w:r>
        <w:tab/>
        <w:t>For the purposes of subregulation (</w:t>
      </w:r>
      <w:r w:rsidR="00644B1C">
        <w:t>6</w:t>
      </w:r>
      <w:r>
        <w:t>)</w:t>
      </w:r>
      <w:r w:rsidRPr="001D490D">
        <w:t>, APRA may make a determination, in writing, that</w:t>
      </w:r>
      <w:r w:rsidR="005312E4">
        <w:t>:</w:t>
      </w:r>
    </w:p>
    <w:p w14:paraId="0B68B7CE" w14:textId="77777777" w:rsidR="005312E4" w:rsidRDefault="005312E4" w:rsidP="005312E4">
      <w:pPr>
        <w:pStyle w:val="paragraph"/>
      </w:pPr>
      <w:r>
        <w:tab/>
        <w:t>(a)</w:t>
      </w:r>
      <w:r>
        <w:tab/>
        <w:t>specifies:</w:t>
      </w:r>
    </w:p>
    <w:p w14:paraId="4B60140E" w14:textId="77777777" w:rsidR="005312E4" w:rsidRDefault="005312E4" w:rsidP="005312E4">
      <w:pPr>
        <w:pStyle w:val="paragraphsub"/>
      </w:pPr>
      <w:r>
        <w:tab/>
        <w:t>(i)</w:t>
      </w:r>
      <w:r>
        <w:tab/>
        <w:t xml:space="preserve">a </w:t>
      </w:r>
      <w:r w:rsidR="00B86730">
        <w:t>Part 6</w:t>
      </w:r>
      <w:r>
        <w:t>A product; and</w:t>
      </w:r>
    </w:p>
    <w:p w14:paraId="3FEE3C18" w14:textId="77777777" w:rsidR="00C95175" w:rsidRDefault="00C95175" w:rsidP="005312E4">
      <w:pPr>
        <w:pStyle w:val="paragraphsub"/>
      </w:pPr>
      <w:r>
        <w:tab/>
        <w:t>(ii)</w:t>
      </w:r>
      <w:r>
        <w:tab/>
        <w:t xml:space="preserve">the superannuation entity </w:t>
      </w:r>
      <w:r w:rsidR="00296615">
        <w:t xml:space="preserve">that offers </w:t>
      </w:r>
      <w:r>
        <w:t xml:space="preserve">the </w:t>
      </w:r>
      <w:r w:rsidR="00B86730">
        <w:t>Part 6</w:t>
      </w:r>
      <w:r>
        <w:t>A product; and</w:t>
      </w:r>
    </w:p>
    <w:p w14:paraId="31844AD9" w14:textId="77777777" w:rsidR="005312E4" w:rsidRDefault="005312E4" w:rsidP="005312E4">
      <w:pPr>
        <w:pStyle w:val="paragraphsub"/>
      </w:pPr>
      <w:r>
        <w:tab/>
        <w:t>(</w:t>
      </w:r>
      <w:r w:rsidR="00C95175">
        <w:t>i</w:t>
      </w:r>
      <w:r>
        <w:t>ii)</w:t>
      </w:r>
      <w:r>
        <w:tab/>
        <w:t>a covered asset class; and</w:t>
      </w:r>
    </w:p>
    <w:p w14:paraId="3B38306A" w14:textId="77777777" w:rsidR="008E44DA" w:rsidRDefault="008E44DA" w:rsidP="005312E4">
      <w:pPr>
        <w:pStyle w:val="paragraphsub"/>
      </w:pPr>
      <w:r>
        <w:tab/>
        <w:t>(iv)</w:t>
      </w:r>
      <w:r>
        <w:tab/>
        <w:t>an asset allocation standard; and</w:t>
      </w:r>
    </w:p>
    <w:p w14:paraId="75A61438" w14:textId="77777777" w:rsidR="005312E4" w:rsidRDefault="005312E4" w:rsidP="005312E4">
      <w:pPr>
        <w:pStyle w:val="paragraphsub"/>
      </w:pPr>
      <w:r>
        <w:tab/>
        <w:t>(</w:t>
      </w:r>
      <w:r w:rsidR="00C95175">
        <w:t>v</w:t>
      </w:r>
      <w:r>
        <w:t>)</w:t>
      </w:r>
      <w:r>
        <w:tab/>
        <w:t>a quarter; and</w:t>
      </w:r>
    </w:p>
    <w:p w14:paraId="7F628DA5" w14:textId="77777777" w:rsidR="005312E4" w:rsidRDefault="005312E4" w:rsidP="005312E4">
      <w:pPr>
        <w:pStyle w:val="paragraph"/>
      </w:pPr>
      <w:r>
        <w:tab/>
        <w:t>(b)</w:t>
      </w:r>
      <w:r>
        <w:tab/>
        <w:t>states that specified information relates to a specified concept in the asset allocation standard</w:t>
      </w:r>
      <w:r w:rsidR="00525139">
        <w:t>.</w:t>
      </w:r>
    </w:p>
    <w:p w14:paraId="02E0E2F7" w14:textId="77777777" w:rsidR="003A0193" w:rsidRPr="005210A5" w:rsidRDefault="003A0193" w:rsidP="003A0193">
      <w:pPr>
        <w:pStyle w:val="subsection"/>
      </w:pPr>
      <w:r w:rsidRPr="005210A5">
        <w:tab/>
        <w:t>(</w:t>
      </w:r>
      <w:r w:rsidR="00644B1C">
        <w:t>8</w:t>
      </w:r>
      <w:r w:rsidRPr="005210A5">
        <w:t>)</w:t>
      </w:r>
      <w:r w:rsidRPr="005210A5">
        <w:tab/>
        <w:t>APRA must give a notice of the determination to the</w:t>
      </w:r>
      <w:r w:rsidR="00E10DC0">
        <w:t xml:space="preserve"> trustee of the </w:t>
      </w:r>
      <w:r w:rsidRPr="005210A5">
        <w:t>superannuation entity</w:t>
      </w:r>
      <w:r w:rsidR="00C95175">
        <w:t xml:space="preserve"> specified in the determination</w:t>
      </w:r>
      <w:r w:rsidR="00525139">
        <w:t>.</w:t>
      </w:r>
      <w:r w:rsidRPr="005210A5">
        <w:t xml:space="preserve"> The notice must:</w:t>
      </w:r>
    </w:p>
    <w:p w14:paraId="086FC020" w14:textId="77777777" w:rsidR="003A0193" w:rsidRPr="005210A5" w:rsidRDefault="003A0193" w:rsidP="003A0193">
      <w:pPr>
        <w:pStyle w:val="paragraph"/>
      </w:pPr>
      <w:r w:rsidRPr="005210A5">
        <w:tab/>
        <w:t>(a)</w:t>
      </w:r>
      <w:r w:rsidRPr="005210A5">
        <w:tab/>
        <w:t>be in writing; and</w:t>
      </w:r>
    </w:p>
    <w:p w14:paraId="422A4D6A" w14:textId="77777777" w:rsidR="003A0193" w:rsidRDefault="003A0193" w:rsidP="003A0193">
      <w:pPr>
        <w:pStyle w:val="paragraph"/>
      </w:pPr>
      <w:r w:rsidRPr="005210A5">
        <w:tab/>
        <w:t>(b)</w:t>
      </w:r>
      <w:r w:rsidRPr="005210A5">
        <w:tab/>
        <w:t>include a copy of the determination</w:t>
      </w:r>
      <w:r w:rsidR="00525139">
        <w:t>.</w:t>
      </w:r>
    </w:p>
    <w:p w14:paraId="6BE8B868" w14:textId="77777777" w:rsidR="00F92531" w:rsidRDefault="00F92531" w:rsidP="00F92531">
      <w:pPr>
        <w:pStyle w:val="SubsectionHead"/>
      </w:pPr>
      <w:r>
        <w:t>Reporting other than on a quarterly basis</w:t>
      </w:r>
    </w:p>
    <w:p w14:paraId="59F767B0" w14:textId="77777777" w:rsidR="003315BC" w:rsidRDefault="00F92531" w:rsidP="00F92531">
      <w:pPr>
        <w:pStyle w:val="subsection"/>
      </w:pPr>
      <w:r>
        <w:tab/>
        <w:t>(9)</w:t>
      </w:r>
      <w:r>
        <w:tab/>
        <w:t>Subregulation (10)</w:t>
      </w:r>
      <w:r w:rsidR="003315BC">
        <w:t xml:space="preserve"> applies in relation to a quarter (the </w:t>
      </w:r>
      <w:r w:rsidR="003315BC" w:rsidRPr="003315BC">
        <w:rPr>
          <w:b/>
          <w:i/>
        </w:rPr>
        <w:t>current quarter</w:t>
      </w:r>
      <w:r w:rsidR="003315BC">
        <w:t>) if:</w:t>
      </w:r>
    </w:p>
    <w:p w14:paraId="0351B929" w14:textId="77777777" w:rsidR="00F92531" w:rsidRDefault="00F92531" w:rsidP="003315BC">
      <w:pPr>
        <w:pStyle w:val="paragraph"/>
      </w:pPr>
      <w:r>
        <w:tab/>
        <w:t>(a)</w:t>
      </w:r>
      <w:r>
        <w:tab/>
      </w:r>
      <w:r w:rsidR="00CF074E">
        <w:t xml:space="preserve">an asset allocation standard </w:t>
      </w:r>
      <w:r>
        <w:t xml:space="preserve">requires </w:t>
      </w:r>
      <w:r w:rsidR="003315BC">
        <w:t>a</w:t>
      </w:r>
      <w:r>
        <w:t xml:space="preserve"> </w:t>
      </w:r>
      <w:r w:rsidR="00B86730">
        <w:t>Part 6</w:t>
      </w:r>
      <w:r>
        <w:t xml:space="preserve">A product’s benchmark asset allocation in relation to a reporting period (within the meaning of that </w:t>
      </w:r>
      <w:r w:rsidR="00CF074E">
        <w:t>standard)</w:t>
      </w:r>
      <w:r>
        <w:t xml:space="preserve"> to be reported to APRA; and</w:t>
      </w:r>
    </w:p>
    <w:p w14:paraId="713914C9" w14:textId="77777777" w:rsidR="003315BC" w:rsidRDefault="00F92531" w:rsidP="00F92531">
      <w:pPr>
        <w:pStyle w:val="paragraph"/>
      </w:pPr>
      <w:r>
        <w:tab/>
        <w:t>(b)</w:t>
      </w:r>
      <w:r>
        <w:tab/>
        <w:t>that reporting period</w:t>
      </w:r>
      <w:r w:rsidR="003315BC">
        <w:t>:</w:t>
      </w:r>
    </w:p>
    <w:p w14:paraId="35DF5A62" w14:textId="77777777" w:rsidR="003315BC" w:rsidRDefault="003315BC" w:rsidP="003315BC">
      <w:pPr>
        <w:pStyle w:val="paragraphsub"/>
      </w:pPr>
      <w:r>
        <w:tab/>
        <w:t>(i)</w:t>
      </w:r>
      <w:r>
        <w:tab/>
      </w:r>
      <w:r w:rsidR="00F92531">
        <w:t>is not a quarter</w:t>
      </w:r>
      <w:r>
        <w:t>; but</w:t>
      </w:r>
    </w:p>
    <w:p w14:paraId="549B39A4" w14:textId="77777777" w:rsidR="00F92531" w:rsidRDefault="003315BC" w:rsidP="003315BC">
      <w:pPr>
        <w:pStyle w:val="paragraphsub"/>
      </w:pPr>
      <w:r>
        <w:tab/>
        <w:t>(ii)</w:t>
      </w:r>
      <w:r>
        <w:tab/>
        <w:t>starts during the current quarter; and</w:t>
      </w:r>
    </w:p>
    <w:p w14:paraId="61FF32D3" w14:textId="77777777" w:rsidR="003315BC" w:rsidRDefault="003315BC" w:rsidP="00F92531">
      <w:pPr>
        <w:pStyle w:val="paragraph"/>
      </w:pPr>
      <w:r>
        <w:tab/>
        <w:t>(c)</w:t>
      </w:r>
      <w:r>
        <w:tab/>
      </w:r>
      <w:r w:rsidR="00CF074E">
        <w:t xml:space="preserve">no asset allocation standard </w:t>
      </w:r>
      <w:r>
        <w:t xml:space="preserve">requires the </w:t>
      </w:r>
      <w:r w:rsidR="00B86730">
        <w:t>Part 6</w:t>
      </w:r>
      <w:r>
        <w:t>A product’s benchmark asset allocation in relation to a different reporting period that starts:</w:t>
      </w:r>
    </w:p>
    <w:p w14:paraId="164DB839" w14:textId="77777777" w:rsidR="003315BC" w:rsidRDefault="003315BC" w:rsidP="003315BC">
      <w:pPr>
        <w:pStyle w:val="paragraphsub"/>
      </w:pPr>
      <w:r>
        <w:tab/>
        <w:t>(i)</w:t>
      </w:r>
      <w:r>
        <w:tab/>
        <w:t>during the current quarter; and</w:t>
      </w:r>
    </w:p>
    <w:p w14:paraId="3EA127F1" w14:textId="77777777" w:rsidR="003315BC" w:rsidRDefault="003315BC" w:rsidP="003315BC">
      <w:pPr>
        <w:pStyle w:val="paragraphsub"/>
      </w:pPr>
      <w:r>
        <w:tab/>
        <w:t>(ii)</w:t>
      </w:r>
      <w:r>
        <w:tab/>
        <w:t xml:space="preserve">after the </w:t>
      </w:r>
      <w:r w:rsidR="00906457">
        <w:t xml:space="preserve">start of the </w:t>
      </w:r>
      <w:r>
        <w:t xml:space="preserve">reporting period mentioned in </w:t>
      </w:r>
      <w:r w:rsidR="00B86730">
        <w:t>paragraph (</w:t>
      </w:r>
      <w:r>
        <w:t>a);</w:t>
      </w:r>
    </w:p>
    <w:p w14:paraId="47861C18" w14:textId="77777777" w:rsidR="003315BC" w:rsidRDefault="003315BC" w:rsidP="003315BC">
      <w:pPr>
        <w:pStyle w:val="paragraph"/>
      </w:pPr>
      <w:r>
        <w:tab/>
      </w:r>
      <w:r>
        <w:tab/>
        <w:t>to be reported to APRA</w:t>
      </w:r>
      <w:r w:rsidR="00525139">
        <w:t>.</w:t>
      </w:r>
    </w:p>
    <w:p w14:paraId="7EF0B2DC" w14:textId="77777777" w:rsidR="00FA4563" w:rsidRDefault="003315BC" w:rsidP="003315BC">
      <w:pPr>
        <w:pStyle w:val="subsection"/>
      </w:pPr>
      <w:r>
        <w:tab/>
        <w:t>(10)</w:t>
      </w:r>
      <w:r>
        <w:tab/>
      </w:r>
      <w:r w:rsidR="00FA4563">
        <w:t xml:space="preserve">For the purposes of working out the </w:t>
      </w:r>
      <w:r w:rsidR="00B86730">
        <w:t>Part 6</w:t>
      </w:r>
      <w:r w:rsidR="00FA4563">
        <w:t>A product’s</w:t>
      </w:r>
      <w:r w:rsidR="00FA4563" w:rsidRPr="00FA4563">
        <w:t xml:space="preserve"> strategic asset allocation</w:t>
      </w:r>
      <w:r w:rsidR="00FA4563">
        <w:t xml:space="preserve"> in relation </w:t>
      </w:r>
      <w:r w:rsidR="002A0E50">
        <w:t xml:space="preserve">to </w:t>
      </w:r>
      <w:r w:rsidR="00FA4563">
        <w:t>the current quarter to a covered asset class in relation to the quarter, treat:</w:t>
      </w:r>
    </w:p>
    <w:p w14:paraId="730AA292" w14:textId="77777777" w:rsidR="009452A9" w:rsidRDefault="009452A9" w:rsidP="009452A9">
      <w:pPr>
        <w:pStyle w:val="paragraph"/>
      </w:pPr>
      <w:r>
        <w:tab/>
        <w:t>(a)</w:t>
      </w:r>
      <w:r>
        <w:tab/>
        <w:t xml:space="preserve">a reference in this </w:t>
      </w:r>
      <w:r w:rsidR="00F915C0">
        <w:t>regulation</w:t>
      </w:r>
      <w:r>
        <w:t xml:space="preserve"> to </w:t>
      </w:r>
      <w:r w:rsidR="00F92531">
        <w:t xml:space="preserve">the </w:t>
      </w:r>
      <w:r w:rsidR="00B86730">
        <w:t>Part 6</w:t>
      </w:r>
      <w:r w:rsidR="00F92531">
        <w:t>A product’s benchmark asset allocation, in relation to the</w:t>
      </w:r>
      <w:r w:rsidR="003315BC">
        <w:t xml:space="preserve"> </w:t>
      </w:r>
      <w:r w:rsidR="00F92531">
        <w:t>quarter</w:t>
      </w:r>
      <w:r>
        <w:t xml:space="preserve">, </w:t>
      </w:r>
      <w:r w:rsidR="00FA4563">
        <w:t xml:space="preserve">to the covered asset class </w:t>
      </w:r>
      <w:r>
        <w:t xml:space="preserve">as being a reference to the </w:t>
      </w:r>
      <w:r w:rsidR="00B86730">
        <w:t>Part 6</w:t>
      </w:r>
      <w:r>
        <w:t>A product’s benchmark asset allocation</w:t>
      </w:r>
      <w:r w:rsidR="00FA4563">
        <w:t xml:space="preserve">, in relation to the </w:t>
      </w:r>
      <w:r>
        <w:t xml:space="preserve">reporting period mentioned in </w:t>
      </w:r>
      <w:r w:rsidR="00B86730">
        <w:t>paragraph (</w:t>
      </w:r>
      <w:r>
        <w:t>9)(a)</w:t>
      </w:r>
      <w:r w:rsidR="00FA4563">
        <w:t>, to the covered asset class</w:t>
      </w:r>
      <w:r>
        <w:t>; and</w:t>
      </w:r>
    </w:p>
    <w:p w14:paraId="7A0BB698" w14:textId="77777777" w:rsidR="009452A9" w:rsidRDefault="009452A9" w:rsidP="00FA4563">
      <w:pPr>
        <w:pStyle w:val="paragraph"/>
      </w:pPr>
      <w:r>
        <w:tab/>
        <w:t>(b)</w:t>
      </w:r>
      <w:r>
        <w:tab/>
        <w:t xml:space="preserve">a reference in </w:t>
      </w:r>
      <w:r w:rsidR="008E44DA">
        <w:t>subparagraph (6)(a)(v) or (7)(a)(v) to a quarter as being a reference to the reporting period</w:t>
      </w:r>
      <w:r w:rsidR="00525139">
        <w:t>.</w:t>
      </w:r>
    </w:p>
    <w:p w14:paraId="2E68D34A" w14:textId="77777777" w:rsidR="00A702CC" w:rsidRPr="009855D9" w:rsidRDefault="00525139" w:rsidP="001E6C1D">
      <w:pPr>
        <w:pStyle w:val="ActHead5"/>
      </w:pPr>
      <w:bookmarkStart w:id="19" w:name="_Toc78797709"/>
      <w:r w:rsidRPr="0048118D">
        <w:rPr>
          <w:rStyle w:val="CharSectno"/>
        </w:rPr>
        <w:t>9AB.6</w:t>
      </w:r>
      <w:r w:rsidR="00A702CC">
        <w:t xml:space="preserve">  Meaning of </w:t>
      </w:r>
      <w:r w:rsidR="00A702CC">
        <w:rPr>
          <w:i/>
        </w:rPr>
        <w:t>lookback period</w:t>
      </w:r>
      <w:bookmarkEnd w:id="19"/>
    </w:p>
    <w:p w14:paraId="067E9148" w14:textId="77777777" w:rsidR="00A702CC" w:rsidRDefault="00A702CC" w:rsidP="00A702CC">
      <w:pPr>
        <w:pStyle w:val="subsection"/>
      </w:pPr>
      <w:r>
        <w:tab/>
      </w:r>
      <w:r w:rsidR="006F3EAD">
        <w:t>(1)</w:t>
      </w:r>
      <w:r>
        <w:tab/>
        <w:t xml:space="preserve">The </w:t>
      </w:r>
      <w:r>
        <w:rPr>
          <w:b/>
          <w:i/>
        </w:rPr>
        <w:t>lookback period</w:t>
      </w:r>
      <w:r>
        <w:t xml:space="preserve"> for a </w:t>
      </w:r>
      <w:r w:rsidR="00B86730">
        <w:t>Part 6</w:t>
      </w:r>
      <w:r>
        <w:t>A product in respect of a financial year means the period that:</w:t>
      </w:r>
    </w:p>
    <w:p w14:paraId="40983100" w14:textId="77777777" w:rsidR="00A702CC" w:rsidRDefault="00A702CC" w:rsidP="00A702CC">
      <w:pPr>
        <w:pStyle w:val="paragraph"/>
      </w:pPr>
      <w:r>
        <w:tab/>
        <w:t>(a)</w:t>
      </w:r>
      <w:r>
        <w:tab/>
        <w:t>starts on the later of the following:</w:t>
      </w:r>
    </w:p>
    <w:p w14:paraId="299CAF88" w14:textId="77777777" w:rsidR="00A702CC" w:rsidRDefault="00A702CC" w:rsidP="00A702CC">
      <w:pPr>
        <w:pStyle w:val="paragraphsub"/>
      </w:pPr>
      <w:r>
        <w:tab/>
        <w:t>(i)</w:t>
      </w:r>
      <w:r>
        <w:tab/>
        <w:t xml:space="preserve">the start of the </w:t>
      </w:r>
      <w:r w:rsidR="00E021D9">
        <w:t xml:space="preserve">first </w:t>
      </w:r>
      <w:r>
        <w:t>quarter in</w:t>
      </w:r>
      <w:r w:rsidR="00E021D9">
        <w:t xml:space="preserve"> relation to</w:t>
      </w:r>
      <w:r>
        <w:t xml:space="preserve"> which </w:t>
      </w:r>
      <w:r w:rsidR="00376A77">
        <w:t xml:space="preserve">the trustee of the superannuation </w:t>
      </w:r>
      <w:r w:rsidR="00AA7FBA">
        <w:t>entity that offe</w:t>
      </w:r>
      <w:r w:rsidR="00296615">
        <w:t>red</w:t>
      </w:r>
      <w:r w:rsidR="00AA7FBA">
        <w:t xml:space="preserve"> the Part 6A product</w:t>
      </w:r>
      <w:r w:rsidR="00376A77">
        <w:t xml:space="preserve"> </w:t>
      </w:r>
      <w:r w:rsidR="0086002C">
        <w:t xml:space="preserve">reported to </w:t>
      </w:r>
      <w:r w:rsidR="0086002C">
        <w:lastRenderedPageBreak/>
        <w:t>APRA</w:t>
      </w:r>
      <w:r w:rsidR="00F92531">
        <w:t>,</w:t>
      </w:r>
      <w:r w:rsidR="0086002C">
        <w:t xml:space="preserve"> </w:t>
      </w:r>
      <w:r w:rsidR="009E6638">
        <w:t>in accordance with</w:t>
      </w:r>
      <w:r w:rsidR="0024672B">
        <w:t xml:space="preserve"> the </w:t>
      </w:r>
      <w:r w:rsidR="00CF074E">
        <w:t xml:space="preserve">applicable </w:t>
      </w:r>
      <w:r w:rsidR="0024672B">
        <w:t>investment performance standard</w:t>
      </w:r>
      <w:r w:rsidR="00F92531">
        <w:t>,</w:t>
      </w:r>
      <w:r w:rsidR="009E6638">
        <w:t xml:space="preserve"> </w:t>
      </w:r>
      <w:r w:rsidR="0086002C">
        <w:t xml:space="preserve">a net return </w:t>
      </w:r>
      <w:r w:rsidR="00B12A51">
        <w:t>of</w:t>
      </w:r>
      <w:r w:rsidR="0086002C">
        <w:t xml:space="preserve"> the product</w:t>
      </w:r>
      <w:r>
        <w:t>;</w:t>
      </w:r>
    </w:p>
    <w:p w14:paraId="7B06C8C6" w14:textId="77777777" w:rsidR="00A702CC" w:rsidRDefault="00A702CC" w:rsidP="00A702CC">
      <w:pPr>
        <w:pStyle w:val="paragraphsub"/>
      </w:pPr>
      <w:r>
        <w:tab/>
        <w:t>(ii)</w:t>
      </w:r>
      <w:r>
        <w:tab/>
        <w:t xml:space="preserve">the </w:t>
      </w:r>
      <w:r w:rsidR="00B86730">
        <w:t>1 July</w:t>
      </w:r>
      <w:r>
        <w:t xml:space="preserve"> that is 7 years before </w:t>
      </w:r>
      <w:r w:rsidR="00B86730">
        <w:t>1 July</w:t>
      </w:r>
      <w:r>
        <w:t xml:space="preserve"> in the financial year; and</w:t>
      </w:r>
    </w:p>
    <w:p w14:paraId="4E514200" w14:textId="77777777" w:rsidR="00A702CC" w:rsidRDefault="00A702CC" w:rsidP="00A702CC">
      <w:pPr>
        <w:pStyle w:val="paragraph"/>
      </w:pPr>
      <w:r>
        <w:tab/>
        <w:t>(b)</w:t>
      </w:r>
      <w:r>
        <w:tab/>
        <w:t xml:space="preserve">ends on </w:t>
      </w:r>
      <w:r w:rsidR="00B27E57">
        <w:t>30 June</w:t>
      </w:r>
      <w:r>
        <w:t xml:space="preserve"> in the financial year</w:t>
      </w:r>
      <w:r w:rsidR="00525139">
        <w:t>.</w:t>
      </w:r>
    </w:p>
    <w:p w14:paraId="1E5DCD66" w14:textId="77777777" w:rsidR="00EF751D" w:rsidRPr="00EF751D" w:rsidRDefault="00EF751D" w:rsidP="00EF751D">
      <w:pPr>
        <w:pStyle w:val="notetext"/>
      </w:pPr>
      <w:r>
        <w:t>Note:</w:t>
      </w:r>
      <w:r>
        <w:tab/>
        <w:t xml:space="preserve">The lookback period will be </w:t>
      </w:r>
      <w:r w:rsidR="00F36EC7">
        <w:t>8</w:t>
      </w:r>
      <w:r w:rsidR="00DC0312">
        <w:t xml:space="preserve"> financial</w:t>
      </w:r>
      <w:r w:rsidR="00F36EC7">
        <w:t xml:space="preserve"> years, unless </w:t>
      </w:r>
      <w:r w:rsidR="00B86730">
        <w:t>subparagraph (</w:t>
      </w:r>
      <w:r w:rsidR="00F36EC7">
        <w:t>a)(i) applies</w:t>
      </w:r>
      <w:r w:rsidR="00525139">
        <w:t>.</w:t>
      </w:r>
    </w:p>
    <w:p w14:paraId="0F9D7BE7" w14:textId="77777777" w:rsidR="00792B48" w:rsidRDefault="006F3EAD" w:rsidP="006F3EAD">
      <w:pPr>
        <w:pStyle w:val="subsection"/>
      </w:pPr>
      <w:r>
        <w:tab/>
        <w:t>(2)</w:t>
      </w:r>
      <w:r>
        <w:tab/>
        <w:t xml:space="preserve">For the purposes of </w:t>
      </w:r>
      <w:r w:rsidR="00B86730">
        <w:t>subparagraph (</w:t>
      </w:r>
      <w:r>
        <w:t xml:space="preserve">1)(a)(i), in determining the first quarter mentioned in that subparagraph, disregard a quarter </w:t>
      </w:r>
      <w:r w:rsidR="00792B48">
        <w:t>if:</w:t>
      </w:r>
    </w:p>
    <w:p w14:paraId="27A70916" w14:textId="77777777" w:rsidR="00792B48" w:rsidRDefault="00792B48" w:rsidP="00792B48">
      <w:pPr>
        <w:pStyle w:val="paragraph"/>
      </w:pPr>
      <w:r>
        <w:tab/>
        <w:t>(a)</w:t>
      </w:r>
      <w:r>
        <w:tab/>
        <w:t xml:space="preserve">there was not, for the entire duration of the quarter, at least one beneficiary holding the </w:t>
      </w:r>
      <w:r w:rsidR="00B86730">
        <w:t>Part 6</w:t>
      </w:r>
      <w:r>
        <w:t>A product; or</w:t>
      </w:r>
    </w:p>
    <w:p w14:paraId="4E14655C" w14:textId="77777777" w:rsidR="00792B48" w:rsidRDefault="00792B48" w:rsidP="00792B48">
      <w:pPr>
        <w:pStyle w:val="paragraph"/>
      </w:pPr>
      <w:r>
        <w:tab/>
        <w:t>(b)</w:t>
      </w:r>
      <w:r>
        <w:tab/>
        <w:t xml:space="preserve">the superannuation </w:t>
      </w:r>
      <w:r w:rsidR="00AA7FBA">
        <w:t>entity</w:t>
      </w:r>
      <w:r>
        <w:t xml:space="preserve"> was not, for the entire duration of the quarter, offering the </w:t>
      </w:r>
      <w:r w:rsidR="00B86730">
        <w:t>Part 6</w:t>
      </w:r>
      <w:r>
        <w:t>A product as potentially generating returns</w:t>
      </w:r>
      <w:r w:rsidR="00525139">
        <w:t>.</w:t>
      </w:r>
    </w:p>
    <w:p w14:paraId="7F81687D" w14:textId="77777777" w:rsidR="00213E38" w:rsidRDefault="00525139" w:rsidP="00213E38">
      <w:pPr>
        <w:pStyle w:val="ActHead5"/>
      </w:pPr>
      <w:bookmarkStart w:id="20" w:name="_Toc78797710"/>
      <w:r w:rsidRPr="0048118D">
        <w:rPr>
          <w:rStyle w:val="CharSectno"/>
        </w:rPr>
        <w:t>9AB.7</w:t>
      </w:r>
      <w:r w:rsidR="00213E38">
        <w:t xml:space="preserve">  Specified circumstances and provisions where m</w:t>
      </w:r>
      <w:r w:rsidR="00213E38" w:rsidRPr="009D1DA2">
        <w:t xml:space="preserve">ultiple </w:t>
      </w:r>
      <w:r w:rsidR="00B86730">
        <w:t>Part 6</w:t>
      </w:r>
      <w:r w:rsidR="00213E38" w:rsidRPr="009D1DA2">
        <w:t xml:space="preserve">A products treated as one </w:t>
      </w:r>
      <w:r w:rsidR="00B86730">
        <w:t>Part 6</w:t>
      </w:r>
      <w:r w:rsidR="00213E38" w:rsidRPr="009D1DA2">
        <w:t>A product</w:t>
      </w:r>
      <w:r w:rsidR="00213E38">
        <w:t>—</w:t>
      </w:r>
      <w:r w:rsidR="00B86730">
        <w:t>subsection 6</w:t>
      </w:r>
      <w:r w:rsidR="00213E38">
        <w:t>0G(1) of Act</w:t>
      </w:r>
      <w:bookmarkEnd w:id="20"/>
    </w:p>
    <w:p w14:paraId="22927D19" w14:textId="77777777" w:rsidR="00213E38" w:rsidRDefault="00213E38" w:rsidP="00213E38">
      <w:pPr>
        <w:pStyle w:val="subsection"/>
      </w:pPr>
      <w:r>
        <w:tab/>
        <w:t>(1)</w:t>
      </w:r>
      <w:r>
        <w:tab/>
        <w:t xml:space="preserve">For the purposes of </w:t>
      </w:r>
      <w:r w:rsidR="00B86730">
        <w:t>subsection 6</w:t>
      </w:r>
      <w:r>
        <w:t xml:space="preserve">0G(1) of the Act, </w:t>
      </w:r>
      <w:r w:rsidR="0011055D">
        <w:t>subregulations (2) and (</w:t>
      </w:r>
      <w:r w:rsidR="00711A14">
        <w:t>3)</w:t>
      </w:r>
      <w:r w:rsidR="0011055D">
        <w:t xml:space="preserve"> of this </w:t>
      </w:r>
      <w:r w:rsidR="00D45949">
        <w:t>regulation</w:t>
      </w:r>
      <w:r>
        <w:t xml:space="preserve"> specif</w:t>
      </w:r>
      <w:r w:rsidR="0011055D">
        <w:t>y</w:t>
      </w:r>
      <w:r>
        <w:t>:</w:t>
      </w:r>
    </w:p>
    <w:p w14:paraId="68D5DAF5" w14:textId="77777777" w:rsidR="00213E38" w:rsidRDefault="00213E38" w:rsidP="00213E38">
      <w:pPr>
        <w:pStyle w:val="paragraph"/>
      </w:pPr>
      <w:r>
        <w:tab/>
        <w:t>(a)</w:t>
      </w:r>
      <w:r>
        <w:tab/>
      </w:r>
      <w:r w:rsidR="00294BF1">
        <w:t xml:space="preserve">a </w:t>
      </w:r>
      <w:r>
        <w:t>kind of circumstances; and</w:t>
      </w:r>
    </w:p>
    <w:p w14:paraId="6F3DCFA7" w14:textId="77777777" w:rsidR="00213E38" w:rsidRDefault="00213E38" w:rsidP="00213E38">
      <w:pPr>
        <w:pStyle w:val="paragraph"/>
      </w:pPr>
      <w:r>
        <w:tab/>
        <w:t>(b)</w:t>
      </w:r>
      <w:r>
        <w:tab/>
        <w:t xml:space="preserve">provisions of </w:t>
      </w:r>
      <w:r w:rsidR="00B86730">
        <w:t>Part 6</w:t>
      </w:r>
      <w:r>
        <w:t xml:space="preserve">A of the Act </w:t>
      </w:r>
      <w:r w:rsidRPr="009D1DA2">
        <w:t>in relation to</w:t>
      </w:r>
      <w:r w:rsidR="00497BB3">
        <w:t xml:space="preserve"> that</w:t>
      </w:r>
      <w:r w:rsidRPr="009D1DA2">
        <w:t xml:space="preserve"> kind of circumstances</w:t>
      </w:r>
      <w:r w:rsidR="00525139">
        <w:t>.</w:t>
      </w:r>
    </w:p>
    <w:p w14:paraId="31543407" w14:textId="77777777" w:rsidR="00213E38" w:rsidRDefault="00213E38" w:rsidP="00213E38">
      <w:pPr>
        <w:pStyle w:val="notetext"/>
      </w:pPr>
      <w:r>
        <w:t>Note:</w:t>
      </w:r>
      <w:r>
        <w:tab/>
      </w:r>
      <w:r w:rsidR="00B27E57">
        <w:t>Subsection 6</w:t>
      </w:r>
      <w:r>
        <w:t xml:space="preserve">0G(2) of the Act provides that in those kinds of circumstances, </w:t>
      </w:r>
      <w:r w:rsidRPr="009D1DA2">
        <w:t xml:space="preserve">for the purposes of </w:t>
      </w:r>
      <w:r>
        <w:t xml:space="preserve">those </w:t>
      </w:r>
      <w:r w:rsidRPr="009D1DA2">
        <w:t>provisions</w:t>
      </w:r>
      <w:r>
        <w:t xml:space="preserve">, </w:t>
      </w:r>
      <w:r w:rsidRPr="009D1DA2">
        <w:t xml:space="preserve">2 or more </w:t>
      </w:r>
      <w:r w:rsidR="00B86730">
        <w:t>Part 6</w:t>
      </w:r>
      <w:r w:rsidRPr="009D1DA2">
        <w:t xml:space="preserve">A products </w:t>
      </w:r>
      <w:r>
        <w:t>are treated</w:t>
      </w:r>
      <w:r w:rsidRPr="009D1DA2">
        <w:t xml:space="preserve"> as being one </w:t>
      </w:r>
      <w:r w:rsidR="00B86730">
        <w:t>Part 6</w:t>
      </w:r>
      <w:r w:rsidRPr="009D1DA2">
        <w:t>A product</w:t>
      </w:r>
      <w:r w:rsidR="00525139">
        <w:t>.</w:t>
      </w:r>
    </w:p>
    <w:p w14:paraId="065CBBDA" w14:textId="77777777" w:rsidR="00213E38" w:rsidRDefault="00213E38" w:rsidP="00213E38">
      <w:pPr>
        <w:pStyle w:val="subsection"/>
      </w:pPr>
      <w:r>
        <w:tab/>
        <w:t>(2)</w:t>
      </w:r>
      <w:r>
        <w:tab/>
        <w:t>This sub</w:t>
      </w:r>
      <w:r w:rsidR="00D45949">
        <w:t>regulation</w:t>
      </w:r>
      <w:r>
        <w:t xml:space="preserve"> specifies the kind of circumstances that exist </w:t>
      </w:r>
      <w:r w:rsidR="00DC0312">
        <w:t>where</w:t>
      </w:r>
      <w:r>
        <w:t>:</w:t>
      </w:r>
    </w:p>
    <w:p w14:paraId="2E9F3C5D" w14:textId="77777777" w:rsidR="00213E38" w:rsidRPr="001D490D" w:rsidRDefault="00213E38" w:rsidP="00213E38">
      <w:pPr>
        <w:pStyle w:val="paragraph"/>
      </w:pPr>
      <w:r>
        <w:tab/>
        <w:t>(a)</w:t>
      </w:r>
      <w:r>
        <w:tab/>
        <w:t xml:space="preserve">a </w:t>
      </w:r>
      <w:r w:rsidR="002026DD">
        <w:t xml:space="preserve">determination </w:t>
      </w:r>
      <w:r>
        <w:t>under sub</w:t>
      </w:r>
      <w:r w:rsidR="00D45949">
        <w:t>regulation</w:t>
      </w:r>
      <w:r>
        <w:t xml:space="preserve"> </w:t>
      </w:r>
      <w:r w:rsidRPr="001D490D">
        <w:t>(</w:t>
      </w:r>
      <w:r w:rsidR="00711A14">
        <w:t>4</w:t>
      </w:r>
      <w:r w:rsidRPr="001D490D">
        <w:t xml:space="preserve">) is in force in relation to </w:t>
      </w:r>
      <w:r w:rsidRPr="009D1DA2">
        <w:t xml:space="preserve">2 or more </w:t>
      </w:r>
      <w:r w:rsidR="00B86730">
        <w:t>Part 6</w:t>
      </w:r>
      <w:r w:rsidRPr="009D1DA2">
        <w:t>A products</w:t>
      </w:r>
      <w:r w:rsidRPr="001D490D">
        <w:t>;</w:t>
      </w:r>
      <w:r w:rsidR="00DC0312">
        <w:t xml:space="preserve"> and</w:t>
      </w:r>
    </w:p>
    <w:p w14:paraId="2DDB8F08" w14:textId="77777777" w:rsidR="00213E38" w:rsidRPr="001D490D" w:rsidRDefault="00213E38" w:rsidP="00213E38">
      <w:pPr>
        <w:pStyle w:val="paragraph"/>
      </w:pPr>
      <w:r>
        <w:tab/>
        <w:t>(b)</w:t>
      </w:r>
      <w:r>
        <w:tab/>
        <w:t>APRA has given notice of the de</w:t>
      </w:r>
      <w:r w:rsidR="002026DD">
        <w:t>termination</w:t>
      </w:r>
      <w:r>
        <w:t xml:space="preserve"> in accordance with sub</w:t>
      </w:r>
      <w:r w:rsidR="00D45949">
        <w:t>regulation</w:t>
      </w:r>
      <w:r>
        <w:t xml:space="preserve"> </w:t>
      </w:r>
      <w:r w:rsidRPr="001D490D">
        <w:t>(</w:t>
      </w:r>
      <w:r w:rsidR="00711A14">
        <w:t>6</w:t>
      </w:r>
      <w:r w:rsidRPr="001D490D">
        <w:t>)</w:t>
      </w:r>
      <w:r w:rsidR="00525139">
        <w:t>.</w:t>
      </w:r>
    </w:p>
    <w:p w14:paraId="5B0AF82D" w14:textId="77777777" w:rsidR="00711A14" w:rsidRDefault="00711A14" w:rsidP="00711A14">
      <w:pPr>
        <w:pStyle w:val="subsection"/>
      </w:pPr>
      <w:r>
        <w:tab/>
        <w:t>(3)</w:t>
      </w:r>
      <w:r>
        <w:tab/>
        <w:t xml:space="preserve">This subregulation specifies </w:t>
      </w:r>
      <w:r w:rsidRPr="008120BC">
        <w:t>all</w:t>
      </w:r>
      <w:r w:rsidRPr="00C26CFA">
        <w:t xml:space="preserve"> the provisions of </w:t>
      </w:r>
      <w:r w:rsidR="00B86730">
        <w:t>Part 6</w:t>
      </w:r>
      <w:r>
        <w:t xml:space="preserve">A of the Act </w:t>
      </w:r>
      <w:r w:rsidRPr="00C26CFA">
        <w:t xml:space="preserve">(apart from </w:t>
      </w:r>
      <w:r>
        <w:t>section 60G</w:t>
      </w:r>
      <w:r w:rsidRPr="00C26CFA">
        <w:t>)</w:t>
      </w:r>
      <w:r>
        <w:t xml:space="preserve"> </w:t>
      </w:r>
      <w:r w:rsidRPr="009D1DA2">
        <w:t xml:space="preserve">in relation to </w:t>
      </w:r>
      <w:r>
        <w:t xml:space="preserve">the </w:t>
      </w:r>
      <w:r w:rsidRPr="009D1DA2">
        <w:t>kind of circumstances</w:t>
      </w:r>
      <w:r>
        <w:t xml:space="preserve"> specified in subregulation (2)</w:t>
      </w:r>
      <w:r w:rsidR="00525139">
        <w:t>.</w:t>
      </w:r>
    </w:p>
    <w:p w14:paraId="4EDFC11F" w14:textId="77777777" w:rsidR="00711A14" w:rsidRPr="00711A14" w:rsidRDefault="00711A14" w:rsidP="00711A14">
      <w:pPr>
        <w:pStyle w:val="SubsectionHead"/>
      </w:pPr>
      <w:r>
        <w:t>APRA’s determination</w:t>
      </w:r>
    </w:p>
    <w:p w14:paraId="790095E1" w14:textId="77777777" w:rsidR="00213E38" w:rsidRDefault="00213E38" w:rsidP="00213E38">
      <w:pPr>
        <w:pStyle w:val="subsection"/>
      </w:pPr>
      <w:r>
        <w:tab/>
        <w:t>(</w:t>
      </w:r>
      <w:r w:rsidR="00711A14">
        <w:t>4</w:t>
      </w:r>
      <w:r>
        <w:t>)</w:t>
      </w:r>
      <w:r>
        <w:tab/>
        <w:t xml:space="preserve">For the purposes of </w:t>
      </w:r>
      <w:r w:rsidR="00B86730">
        <w:t>paragraph (</w:t>
      </w:r>
      <w:r w:rsidRPr="001D490D">
        <w:t xml:space="preserve">2)(a), APRA may make a determination, in writing, in relation to </w:t>
      </w:r>
      <w:r w:rsidRPr="009D1DA2">
        <w:t xml:space="preserve">2 or more </w:t>
      </w:r>
      <w:r>
        <w:t xml:space="preserve">specified </w:t>
      </w:r>
      <w:r w:rsidR="00B86730">
        <w:t>Part 6</w:t>
      </w:r>
      <w:r w:rsidRPr="009D1DA2">
        <w:t>A products</w:t>
      </w:r>
      <w:r>
        <w:t xml:space="preserve"> offered by one or more specified </w:t>
      </w:r>
      <w:r w:rsidRPr="005A20D4">
        <w:t>regulated superannuation fund</w:t>
      </w:r>
      <w:r>
        <w:t>s, if APRA considers that making the determination is appropriate in the circumstances</w:t>
      </w:r>
      <w:r w:rsidR="00525139">
        <w:t>.</w:t>
      </w:r>
    </w:p>
    <w:p w14:paraId="2682CDDA" w14:textId="77777777" w:rsidR="00213E38" w:rsidRPr="004968DC" w:rsidRDefault="00213E38" w:rsidP="00213E38">
      <w:pPr>
        <w:pStyle w:val="notetext"/>
      </w:pPr>
      <w:r>
        <w:t>Note</w:t>
      </w:r>
      <w:r w:rsidRPr="004968DC">
        <w:t>:</w:t>
      </w:r>
      <w:r w:rsidRPr="004968DC">
        <w:tab/>
        <w:t xml:space="preserve">For variation and revocation, see subsection 33(3) of the </w:t>
      </w:r>
      <w:r w:rsidRPr="004968DC">
        <w:rPr>
          <w:i/>
        </w:rPr>
        <w:t>Acts Interpretation Act 1901</w:t>
      </w:r>
      <w:r w:rsidR="00525139">
        <w:t>.</w:t>
      </w:r>
    </w:p>
    <w:p w14:paraId="031FFA71" w14:textId="77777777" w:rsidR="00376995" w:rsidRDefault="00376995" w:rsidP="00376995">
      <w:pPr>
        <w:pStyle w:val="subsection"/>
      </w:pPr>
      <w:r>
        <w:tab/>
        <w:t>(</w:t>
      </w:r>
      <w:r w:rsidR="00711A14">
        <w:t>5</w:t>
      </w:r>
      <w:r>
        <w:t>)</w:t>
      </w:r>
      <w:r>
        <w:tab/>
        <w:t>For the purposes of APRA making a determination under subregulation (</w:t>
      </w:r>
      <w:r w:rsidR="00711A14">
        <w:t>4</w:t>
      </w:r>
      <w:r>
        <w:t>) in the period:</w:t>
      </w:r>
    </w:p>
    <w:p w14:paraId="7CD77725" w14:textId="77777777" w:rsidR="00376995" w:rsidRDefault="00376995" w:rsidP="00376995">
      <w:pPr>
        <w:pStyle w:val="paragraph"/>
      </w:pPr>
      <w:r>
        <w:tab/>
        <w:t>(a)</w:t>
      </w:r>
      <w:r>
        <w:tab/>
        <w:t xml:space="preserve">starting on </w:t>
      </w:r>
      <w:r w:rsidR="00B86730">
        <w:t>15 August</w:t>
      </w:r>
      <w:r>
        <w:t xml:space="preserve"> in a financial year; and</w:t>
      </w:r>
    </w:p>
    <w:p w14:paraId="7102CC30" w14:textId="77777777" w:rsidR="00376995" w:rsidRDefault="00376995" w:rsidP="00376995">
      <w:pPr>
        <w:pStyle w:val="paragraph"/>
      </w:pPr>
      <w:r>
        <w:tab/>
        <w:t>(b)</w:t>
      </w:r>
      <w:r>
        <w:tab/>
        <w:t xml:space="preserve">ending on </w:t>
      </w:r>
      <w:r w:rsidR="00B86730">
        <w:t>31 August</w:t>
      </w:r>
      <w:r>
        <w:t xml:space="preserve"> in the financial year;</w:t>
      </w:r>
    </w:p>
    <w:p w14:paraId="1360470D" w14:textId="77777777" w:rsidR="00376995" w:rsidRDefault="00376995" w:rsidP="00376995">
      <w:pPr>
        <w:pStyle w:val="subsection2"/>
      </w:pPr>
      <w:r>
        <w:t>APRA may, in working out whether the making of the determination is appropriate in the circumstances, assume that the information available to i</w:t>
      </w:r>
      <w:r w:rsidR="000A264E">
        <w:t>t</w:t>
      </w:r>
      <w:r>
        <w:t xml:space="preserve"> on that </w:t>
      </w:r>
      <w:r w:rsidR="00B86730">
        <w:t>15 August</w:t>
      </w:r>
      <w:r>
        <w:t xml:space="preserve"> is the only information that is relevant to the determination</w:t>
      </w:r>
      <w:r w:rsidR="00525139">
        <w:t>.</w:t>
      </w:r>
    </w:p>
    <w:p w14:paraId="6F9269B4" w14:textId="77777777" w:rsidR="00213E38" w:rsidRDefault="00213E38" w:rsidP="00213E38">
      <w:pPr>
        <w:pStyle w:val="subsection"/>
      </w:pPr>
      <w:r>
        <w:tab/>
        <w:t>(</w:t>
      </w:r>
      <w:r w:rsidR="00711A14">
        <w:t>6</w:t>
      </w:r>
      <w:r>
        <w:t>)</w:t>
      </w:r>
      <w:r>
        <w:tab/>
        <w:t xml:space="preserve">APRA must give a notice of the determination to </w:t>
      </w:r>
      <w:r w:rsidR="00E669A8">
        <w:t xml:space="preserve">each of the trustees of the </w:t>
      </w:r>
      <w:r w:rsidRPr="005A20D4">
        <w:t>regulated superannuation fund</w:t>
      </w:r>
      <w:r>
        <w:t>s specified in t</w:t>
      </w:r>
      <w:r w:rsidR="00DE5040">
        <w:t>he determination</w:t>
      </w:r>
      <w:r w:rsidR="00525139">
        <w:t>.</w:t>
      </w:r>
      <w:r>
        <w:t xml:space="preserve"> The notice must:</w:t>
      </w:r>
    </w:p>
    <w:p w14:paraId="5EEE1021" w14:textId="77777777" w:rsidR="00213E38" w:rsidRDefault="00213E38" w:rsidP="00213E38">
      <w:pPr>
        <w:pStyle w:val="paragraph"/>
      </w:pPr>
      <w:r>
        <w:lastRenderedPageBreak/>
        <w:tab/>
        <w:t>(a)</w:t>
      </w:r>
      <w:r>
        <w:tab/>
        <w:t>be in writing; and</w:t>
      </w:r>
    </w:p>
    <w:p w14:paraId="6DEDB7FF" w14:textId="77777777" w:rsidR="00213E38" w:rsidRDefault="00213E38" w:rsidP="00213E38">
      <w:pPr>
        <w:pStyle w:val="paragraph"/>
      </w:pPr>
      <w:r>
        <w:tab/>
        <w:t>(b)</w:t>
      </w:r>
      <w:r>
        <w:tab/>
        <w:t>include a copy of the determination</w:t>
      </w:r>
      <w:r w:rsidR="00525139">
        <w:t>.</w:t>
      </w:r>
    </w:p>
    <w:p w14:paraId="53B8B50F" w14:textId="77777777" w:rsidR="00213E38" w:rsidRPr="00213E38" w:rsidRDefault="00B27E57" w:rsidP="00213E38">
      <w:pPr>
        <w:pStyle w:val="ActHead3"/>
      </w:pPr>
      <w:bookmarkStart w:id="21" w:name="_Toc78797711"/>
      <w:r w:rsidRPr="0048118D">
        <w:rPr>
          <w:rStyle w:val="CharDivNo"/>
        </w:rPr>
        <w:t>Division 9</w:t>
      </w:r>
      <w:r w:rsidR="006847E2" w:rsidRPr="0048118D">
        <w:rPr>
          <w:rStyle w:val="CharDivNo"/>
        </w:rPr>
        <w:t>AB</w:t>
      </w:r>
      <w:r w:rsidR="00525139" w:rsidRPr="0048118D">
        <w:rPr>
          <w:rStyle w:val="CharDivNo"/>
        </w:rPr>
        <w:t>.</w:t>
      </w:r>
      <w:r w:rsidR="00213E38" w:rsidRPr="0048118D">
        <w:rPr>
          <w:rStyle w:val="CharDivNo"/>
        </w:rPr>
        <w:t>2</w:t>
      </w:r>
      <w:r w:rsidR="00213E38">
        <w:t>—</w:t>
      </w:r>
      <w:r w:rsidR="00213E38" w:rsidRPr="0048118D">
        <w:rPr>
          <w:rStyle w:val="CharDivText"/>
        </w:rPr>
        <w:t>Performance assessments</w:t>
      </w:r>
      <w:bookmarkEnd w:id="21"/>
    </w:p>
    <w:p w14:paraId="7006F15D" w14:textId="77777777" w:rsidR="00114238" w:rsidRDefault="00525139" w:rsidP="00114238">
      <w:pPr>
        <w:pStyle w:val="ActHead5"/>
      </w:pPr>
      <w:bookmarkStart w:id="22" w:name="_Toc78797712"/>
      <w:r w:rsidRPr="0048118D">
        <w:rPr>
          <w:rStyle w:val="CharSectno"/>
        </w:rPr>
        <w:t>9AB.8</w:t>
      </w:r>
      <w:r w:rsidR="00114238">
        <w:t xml:space="preserve">  </w:t>
      </w:r>
      <w:r w:rsidR="0015364E">
        <w:t>Period for making and giving annual performance assessment—</w:t>
      </w:r>
      <w:r w:rsidR="00B86730">
        <w:t>paragraph 6</w:t>
      </w:r>
      <w:r w:rsidR="0015364E">
        <w:t>0C(4)(b) of Act</w:t>
      </w:r>
      <w:bookmarkEnd w:id="22"/>
    </w:p>
    <w:p w14:paraId="556672B9" w14:textId="77777777" w:rsidR="0015364E" w:rsidRDefault="0015364E" w:rsidP="0015364E">
      <w:pPr>
        <w:pStyle w:val="subsection"/>
      </w:pPr>
      <w:r>
        <w:tab/>
      </w:r>
      <w:r>
        <w:tab/>
        <w:t xml:space="preserve">For the purposes of </w:t>
      </w:r>
      <w:r w:rsidR="00B86730">
        <w:t>paragraph 6</w:t>
      </w:r>
      <w:r>
        <w:t>0C(4)(b) of the Act, the period mentioned in that paragraph is the period that:</w:t>
      </w:r>
    </w:p>
    <w:p w14:paraId="564BF973" w14:textId="77777777" w:rsidR="0015364E" w:rsidRDefault="0015364E" w:rsidP="0015364E">
      <w:pPr>
        <w:pStyle w:val="paragraph"/>
      </w:pPr>
      <w:r>
        <w:tab/>
        <w:t>(a)</w:t>
      </w:r>
      <w:r>
        <w:tab/>
        <w:t>starts immediately after the end of the financial year mentioned in that paragraph; and</w:t>
      </w:r>
    </w:p>
    <w:p w14:paraId="3BAD8D3D" w14:textId="77777777" w:rsidR="0015364E" w:rsidRDefault="0015364E" w:rsidP="0015364E">
      <w:pPr>
        <w:pStyle w:val="paragraph"/>
      </w:pPr>
      <w:r>
        <w:tab/>
        <w:t>(b)</w:t>
      </w:r>
      <w:r>
        <w:tab/>
        <w:t xml:space="preserve">ends on </w:t>
      </w:r>
      <w:r w:rsidR="00032AE5">
        <w:t xml:space="preserve">the following </w:t>
      </w:r>
      <w:r w:rsidR="00B86730">
        <w:t>31 August</w:t>
      </w:r>
      <w:r w:rsidR="00525139">
        <w:t>.</w:t>
      </w:r>
    </w:p>
    <w:p w14:paraId="0C103C8C" w14:textId="77777777" w:rsidR="00C92D14" w:rsidRDefault="00525139" w:rsidP="00C92D14">
      <w:pPr>
        <w:pStyle w:val="ActHead5"/>
      </w:pPr>
      <w:bookmarkStart w:id="23" w:name="_Toc78797713"/>
      <w:bookmarkStart w:id="24" w:name="_Hlk71642500"/>
      <w:r w:rsidRPr="0048118D">
        <w:rPr>
          <w:rStyle w:val="CharSectno"/>
        </w:rPr>
        <w:t>9AB.9</w:t>
      </w:r>
      <w:r w:rsidR="00C92D14">
        <w:t xml:space="preserve">  </w:t>
      </w:r>
      <w:r w:rsidR="00164B72">
        <w:t xml:space="preserve">Specified </w:t>
      </w:r>
      <w:r w:rsidR="00164B72" w:rsidRPr="00C92D14">
        <w:t>class</w:t>
      </w:r>
      <w:r w:rsidR="00164B72">
        <w:t>es</w:t>
      </w:r>
      <w:r w:rsidR="00164B72" w:rsidRPr="00C92D14">
        <w:t xml:space="preserve"> of </w:t>
      </w:r>
      <w:r w:rsidR="00B86730">
        <w:t>Part 6</w:t>
      </w:r>
      <w:r w:rsidR="00164B72" w:rsidRPr="00C92D14">
        <w:t>A product</w:t>
      </w:r>
      <w:bookmarkEnd w:id="23"/>
    </w:p>
    <w:p w14:paraId="65EF831A" w14:textId="77777777" w:rsidR="00164B72" w:rsidRDefault="00164B72" w:rsidP="00164B72">
      <w:pPr>
        <w:pStyle w:val="subsection"/>
      </w:pPr>
      <w:r>
        <w:tab/>
        <w:t>(1)</w:t>
      </w:r>
      <w:r>
        <w:tab/>
        <w:t xml:space="preserve">For the purposes of </w:t>
      </w:r>
      <w:r w:rsidR="00B86730">
        <w:t>subsection 6</w:t>
      </w:r>
      <w:r w:rsidR="008C32A1">
        <w:t>0</w:t>
      </w:r>
      <w:r>
        <w:t>D(1) of the Act, the following sub</w:t>
      </w:r>
      <w:r w:rsidR="00D45949">
        <w:t>regulation</w:t>
      </w:r>
      <w:r>
        <w:t xml:space="preserve">s specify </w:t>
      </w:r>
      <w:r w:rsidRPr="00C92D14">
        <w:t>class</w:t>
      </w:r>
      <w:r>
        <w:t>es</w:t>
      </w:r>
      <w:r w:rsidRPr="00C92D14">
        <w:t xml:space="preserve"> of </w:t>
      </w:r>
      <w:r w:rsidR="00B86730">
        <w:t>Part 6</w:t>
      </w:r>
      <w:r w:rsidRPr="00C92D14">
        <w:t xml:space="preserve">A product in relation to </w:t>
      </w:r>
      <w:r>
        <w:t xml:space="preserve">a </w:t>
      </w:r>
      <w:r w:rsidRPr="00C92D14">
        <w:t>financial year</w:t>
      </w:r>
      <w:r w:rsidR="00525139">
        <w:t>.</w:t>
      </w:r>
    </w:p>
    <w:p w14:paraId="308557C9" w14:textId="77777777" w:rsidR="00254A61" w:rsidRPr="00254A61" w:rsidRDefault="00254A61" w:rsidP="00254A61">
      <w:pPr>
        <w:pStyle w:val="SubsectionHead"/>
      </w:pPr>
      <w:r>
        <w:t xml:space="preserve">Standard </w:t>
      </w:r>
      <w:r w:rsidR="00B86730">
        <w:t>Part 6</w:t>
      </w:r>
      <w:r>
        <w:t>A products</w:t>
      </w:r>
    </w:p>
    <w:p w14:paraId="06857D9C" w14:textId="77777777" w:rsidR="00040556" w:rsidRDefault="00164B72" w:rsidP="001B11FA">
      <w:pPr>
        <w:pStyle w:val="subsection"/>
      </w:pPr>
      <w:r>
        <w:tab/>
        <w:t>(2)</w:t>
      </w:r>
      <w:r>
        <w:tab/>
        <w:t xml:space="preserve">A class of </w:t>
      </w:r>
      <w:r w:rsidR="00B86730">
        <w:t>Part 6</w:t>
      </w:r>
      <w:r w:rsidRPr="00C92D14">
        <w:t>A product</w:t>
      </w:r>
      <w:r>
        <w:t xml:space="preserve"> is specified</w:t>
      </w:r>
      <w:r w:rsidRPr="00C92D14">
        <w:t xml:space="preserve"> in relation to </w:t>
      </w:r>
      <w:r>
        <w:t xml:space="preserve">a </w:t>
      </w:r>
      <w:r w:rsidRPr="00C92D14">
        <w:t>financial year</w:t>
      </w:r>
      <w:r w:rsidR="00254A61">
        <w:t xml:space="preserve"> </w:t>
      </w:r>
      <w:r>
        <w:t>if</w:t>
      </w:r>
      <w:r w:rsidR="00040556">
        <w:t xml:space="preserve"> </w:t>
      </w:r>
      <w:r w:rsidR="00254A61">
        <w:t>e</w:t>
      </w:r>
      <w:r w:rsidR="00682A5C">
        <w:t>ach</w:t>
      </w:r>
      <w:r w:rsidR="00254A61">
        <w:t xml:space="preserve"> </w:t>
      </w:r>
      <w:r w:rsidR="00B86730">
        <w:t>Part 6</w:t>
      </w:r>
      <w:r w:rsidR="00254A61" w:rsidRPr="00C92D14">
        <w:t>A product</w:t>
      </w:r>
      <w:r w:rsidR="00254A61">
        <w:t xml:space="preserve"> in the class </w:t>
      </w:r>
      <w:r w:rsidR="00A262BA">
        <w:t xml:space="preserve">is a </w:t>
      </w:r>
      <w:r w:rsidR="00604B49">
        <w:t xml:space="preserve">standard </w:t>
      </w:r>
      <w:r w:rsidR="00B86730">
        <w:t>Part 6</w:t>
      </w:r>
      <w:r w:rsidR="00254A61">
        <w:t>A product</w:t>
      </w:r>
      <w:r w:rsidR="00A262BA">
        <w:t xml:space="preserve"> </w:t>
      </w:r>
      <w:r w:rsidR="00B103EE">
        <w:t>throughout</w:t>
      </w:r>
      <w:r w:rsidR="00A262BA">
        <w:t xml:space="preserve"> the financial year</w:t>
      </w:r>
      <w:r w:rsidR="00525139">
        <w:t>.</w:t>
      </w:r>
    </w:p>
    <w:p w14:paraId="4A307701" w14:textId="77777777" w:rsidR="00254A61" w:rsidRPr="00254A61" w:rsidRDefault="00254A61" w:rsidP="00254A61">
      <w:pPr>
        <w:pStyle w:val="SubsectionHead"/>
      </w:pPr>
      <w:r>
        <w:t xml:space="preserve">Lifecycle </w:t>
      </w:r>
      <w:r w:rsidR="00B86730">
        <w:t>Part 6</w:t>
      </w:r>
      <w:r>
        <w:t>A products</w:t>
      </w:r>
    </w:p>
    <w:p w14:paraId="40523715" w14:textId="77777777" w:rsidR="00254A61" w:rsidRDefault="00254A61" w:rsidP="006F5614">
      <w:pPr>
        <w:pStyle w:val="subsection"/>
      </w:pPr>
      <w:r>
        <w:tab/>
        <w:t>(3)</w:t>
      </w:r>
      <w:r>
        <w:tab/>
        <w:t xml:space="preserve">A class of </w:t>
      </w:r>
      <w:r w:rsidR="00B86730">
        <w:t>Part 6</w:t>
      </w:r>
      <w:r w:rsidRPr="00C92D14">
        <w:t>A product</w:t>
      </w:r>
      <w:r>
        <w:t xml:space="preserve"> is specified</w:t>
      </w:r>
      <w:r w:rsidRPr="00C92D14">
        <w:t xml:space="preserve"> in relation to </w:t>
      </w:r>
      <w:r>
        <w:t xml:space="preserve">a </w:t>
      </w:r>
      <w:r w:rsidRPr="00C92D14">
        <w:t>financial year</w:t>
      </w:r>
      <w:r>
        <w:t xml:space="preserve"> if</w:t>
      </w:r>
      <w:r w:rsidR="006F5614">
        <w:t xml:space="preserve"> </w:t>
      </w:r>
      <w:r w:rsidR="00A262BA">
        <w:t xml:space="preserve">each </w:t>
      </w:r>
      <w:r w:rsidR="00B86730">
        <w:t>Part 6</w:t>
      </w:r>
      <w:r w:rsidR="00A262BA" w:rsidRPr="00C92D14">
        <w:t>A product</w:t>
      </w:r>
      <w:r w:rsidR="00A262BA">
        <w:t xml:space="preserve"> in the class is a lifecycle </w:t>
      </w:r>
      <w:r w:rsidR="00B86730">
        <w:t>Part 6</w:t>
      </w:r>
      <w:r w:rsidR="00A262BA">
        <w:t xml:space="preserve">A product </w:t>
      </w:r>
      <w:r w:rsidR="00B103EE">
        <w:t xml:space="preserve">throughout </w:t>
      </w:r>
      <w:r w:rsidR="00A262BA">
        <w:t>the financial year</w:t>
      </w:r>
      <w:r w:rsidR="00525139">
        <w:t>.</w:t>
      </w:r>
    </w:p>
    <w:p w14:paraId="2D17F2AD" w14:textId="77777777" w:rsidR="00254A61" w:rsidRDefault="00525139" w:rsidP="00254A61">
      <w:pPr>
        <w:pStyle w:val="ActHead5"/>
      </w:pPr>
      <w:bookmarkStart w:id="25" w:name="_Toc78797714"/>
      <w:bookmarkStart w:id="26" w:name="_Hlk76718234"/>
      <w:bookmarkEnd w:id="24"/>
      <w:r w:rsidRPr="0048118D">
        <w:rPr>
          <w:rStyle w:val="CharSectno"/>
        </w:rPr>
        <w:t>9AB.10</w:t>
      </w:r>
      <w:r w:rsidR="00254A61">
        <w:t xml:space="preserve">  Requirements for assessment</w:t>
      </w:r>
      <w:bookmarkEnd w:id="25"/>
    </w:p>
    <w:p w14:paraId="0AC5ACB8" w14:textId="77777777" w:rsidR="00C92D14" w:rsidRDefault="00C92D14" w:rsidP="00C92D14">
      <w:pPr>
        <w:pStyle w:val="subsection"/>
      </w:pPr>
      <w:r>
        <w:tab/>
        <w:t>(1)</w:t>
      </w:r>
      <w:r>
        <w:tab/>
        <w:t xml:space="preserve">For the purposes of </w:t>
      </w:r>
      <w:r w:rsidR="00B86730">
        <w:t>subsection 6</w:t>
      </w:r>
      <w:r w:rsidR="008C32A1">
        <w:t>0</w:t>
      </w:r>
      <w:r>
        <w:t>D(1) of the Act, sub</w:t>
      </w:r>
      <w:r w:rsidR="00D45949">
        <w:t>regulation</w:t>
      </w:r>
      <w:r>
        <w:t xml:space="preserve"> (2) specifies a requirement</w:t>
      </w:r>
      <w:r w:rsidRPr="00C92D14">
        <w:t xml:space="preserve"> for </w:t>
      </w:r>
      <w:r>
        <w:t xml:space="preserve">all </w:t>
      </w:r>
      <w:r w:rsidR="00164B72">
        <w:t xml:space="preserve">specified </w:t>
      </w:r>
      <w:r w:rsidRPr="00C92D14">
        <w:t>class</w:t>
      </w:r>
      <w:r>
        <w:t>es</w:t>
      </w:r>
      <w:r w:rsidRPr="00C92D14">
        <w:t xml:space="preserve"> of </w:t>
      </w:r>
      <w:r w:rsidR="00B86730">
        <w:t>Part 6</w:t>
      </w:r>
      <w:r w:rsidRPr="00C92D14">
        <w:t xml:space="preserve">A product in relation to </w:t>
      </w:r>
      <w:r>
        <w:t xml:space="preserve">a </w:t>
      </w:r>
      <w:r w:rsidRPr="00C92D14">
        <w:t>financial year</w:t>
      </w:r>
      <w:r w:rsidR="00F01F12">
        <w:t xml:space="preserve"> (the </w:t>
      </w:r>
      <w:r w:rsidR="00F01F12">
        <w:rPr>
          <w:b/>
          <w:i/>
        </w:rPr>
        <w:t>assessment</w:t>
      </w:r>
      <w:r w:rsidR="00F01F12" w:rsidRPr="00F01F12">
        <w:rPr>
          <w:b/>
          <w:i/>
        </w:rPr>
        <w:t xml:space="preserve"> year</w:t>
      </w:r>
      <w:r w:rsidR="00F01F12">
        <w:t>)</w:t>
      </w:r>
      <w:r w:rsidR="00525139">
        <w:t>.</w:t>
      </w:r>
    </w:p>
    <w:p w14:paraId="5C7FC876" w14:textId="77777777" w:rsidR="00B3090A" w:rsidRDefault="006F5614" w:rsidP="00B10011">
      <w:pPr>
        <w:pStyle w:val="subsection"/>
      </w:pPr>
      <w:r>
        <w:tab/>
        <w:t>(2)</w:t>
      </w:r>
      <w:r>
        <w:tab/>
        <w:t>The requirement is that</w:t>
      </w:r>
      <w:r w:rsidR="00B3090A">
        <w:t>:</w:t>
      </w:r>
    </w:p>
    <w:p w14:paraId="2D3A4ADC" w14:textId="77777777" w:rsidR="006F5614" w:rsidRDefault="00B3090A" w:rsidP="00B3090A">
      <w:pPr>
        <w:pStyle w:val="paragraph"/>
      </w:pPr>
      <w:r>
        <w:tab/>
        <w:t>(a)</w:t>
      </w:r>
      <w:r>
        <w:tab/>
        <w:t xml:space="preserve">information available to APRA on </w:t>
      </w:r>
      <w:r w:rsidR="00B86730">
        <w:t>15 August</w:t>
      </w:r>
      <w:r>
        <w:t xml:space="preserve"> in the financial year</w:t>
      </w:r>
      <w:r w:rsidR="00F01F12">
        <w:t xml:space="preserve"> after the assessment year</w:t>
      </w:r>
      <w:r w:rsidRPr="001569E8">
        <w:t xml:space="preserve"> </w:t>
      </w:r>
      <w:r w:rsidR="001569E8" w:rsidRPr="001569E8">
        <w:t xml:space="preserve">shows </w:t>
      </w:r>
      <w:r>
        <w:t xml:space="preserve">that </w:t>
      </w:r>
      <w:r w:rsidR="006F5614">
        <w:t>either or both of the</w:t>
      </w:r>
      <w:r w:rsidR="00B10011">
        <w:t xml:space="preserve"> following</w:t>
      </w:r>
      <w:r w:rsidR="006F5614">
        <w:t xml:space="preserve"> conditions are met</w:t>
      </w:r>
      <w:r w:rsidR="00B10011">
        <w:t>:</w:t>
      </w:r>
    </w:p>
    <w:p w14:paraId="3056944B" w14:textId="77777777" w:rsidR="00B10011" w:rsidRPr="00B3090A" w:rsidRDefault="00B10011" w:rsidP="00B3090A">
      <w:pPr>
        <w:pStyle w:val="paragraphsub"/>
      </w:pPr>
      <w:r w:rsidRPr="00B3090A">
        <w:tab/>
        <w:t>(</w:t>
      </w:r>
      <w:r w:rsidR="00B3090A">
        <w:t>i</w:t>
      </w:r>
      <w:r w:rsidRPr="00B3090A">
        <w:t>)</w:t>
      </w:r>
      <w:r w:rsidRPr="00B3090A">
        <w:tab/>
        <w:t xml:space="preserve">the performance measure for the </w:t>
      </w:r>
      <w:r w:rsidR="00B86730">
        <w:t>Part 6</w:t>
      </w:r>
      <w:r w:rsidRPr="00B3090A">
        <w:t>A product for the</w:t>
      </w:r>
      <w:r w:rsidR="00F01F12">
        <w:t xml:space="preserve"> assessment</w:t>
      </w:r>
      <w:r w:rsidRPr="00B3090A">
        <w:t xml:space="preserve"> year equals or exceeds </w:t>
      </w:r>
      <w:r w:rsidR="00525139">
        <w:noBreakHyphen/>
      </w:r>
      <w:r w:rsidRPr="00B3090A">
        <w:t>0</w:t>
      </w:r>
      <w:r w:rsidR="00525139">
        <w:t>.</w:t>
      </w:r>
      <w:r w:rsidRPr="00B3090A">
        <w:t>005;</w:t>
      </w:r>
    </w:p>
    <w:p w14:paraId="0483C7D5" w14:textId="77777777" w:rsidR="00B10011" w:rsidRDefault="00B10011" w:rsidP="00B3090A">
      <w:pPr>
        <w:pStyle w:val="paragraphsub"/>
      </w:pPr>
      <w:r w:rsidRPr="00B3090A">
        <w:tab/>
        <w:t>(</w:t>
      </w:r>
      <w:r w:rsidR="00B3090A">
        <w:t>ii</w:t>
      </w:r>
      <w:r w:rsidRPr="00B3090A">
        <w:t>)</w:t>
      </w:r>
      <w:r w:rsidRPr="00B3090A">
        <w:tab/>
        <w:t xml:space="preserve">if the number of whole financial years in the lookback period for the </w:t>
      </w:r>
      <w:r w:rsidR="00B86730">
        <w:t>Part 6</w:t>
      </w:r>
      <w:r w:rsidRPr="00B3090A">
        <w:t xml:space="preserve">A product in respect of the </w:t>
      </w:r>
      <w:r w:rsidR="00F01F12">
        <w:t>assessment</w:t>
      </w:r>
      <w:r w:rsidRPr="00B3090A">
        <w:t xml:space="preserve"> year is less than 5—there is no determination in force under subregulation (</w:t>
      </w:r>
      <w:r w:rsidR="00711A14">
        <w:t>4</w:t>
      </w:r>
      <w:r w:rsidRPr="00B3090A">
        <w:t xml:space="preserve">) that specifies the </w:t>
      </w:r>
      <w:r w:rsidR="00B86730">
        <w:t>Part 6</w:t>
      </w:r>
      <w:r w:rsidRPr="00B3090A">
        <w:t>A product</w:t>
      </w:r>
      <w:r w:rsidR="00C95175">
        <w:t xml:space="preserve">, the superannuation entity that offers the </w:t>
      </w:r>
      <w:r w:rsidR="00B86730">
        <w:t>Part 6</w:t>
      </w:r>
      <w:r w:rsidR="00C95175">
        <w:t>A product</w:t>
      </w:r>
      <w:r w:rsidRPr="00B3090A">
        <w:t xml:space="preserve"> and the </w:t>
      </w:r>
      <w:r w:rsidR="00F01F12">
        <w:t>assessment</w:t>
      </w:r>
      <w:r w:rsidRPr="00B3090A">
        <w:t xml:space="preserve"> year</w:t>
      </w:r>
      <w:r w:rsidR="00B3090A">
        <w:t>; or</w:t>
      </w:r>
    </w:p>
    <w:p w14:paraId="4E95EDE6" w14:textId="77777777" w:rsidR="00B3090A" w:rsidRDefault="00B3090A" w:rsidP="00B3090A">
      <w:pPr>
        <w:pStyle w:val="paragraph"/>
      </w:pPr>
      <w:r>
        <w:tab/>
        <w:t>(b)</w:t>
      </w:r>
      <w:r>
        <w:tab/>
        <w:t xml:space="preserve">if APRA makes a determination under </w:t>
      </w:r>
      <w:r w:rsidR="00BE556A" w:rsidRPr="00B86730">
        <w:t>subregula</w:t>
      </w:r>
      <w:r w:rsidR="00BE556A">
        <w:t xml:space="preserve">tion </w:t>
      </w:r>
      <w:r>
        <w:t>(</w:t>
      </w:r>
      <w:r w:rsidR="005B5869">
        <w:t>7</w:t>
      </w:r>
      <w:r w:rsidR="00711A14">
        <w:t>)</w:t>
      </w:r>
      <w:r>
        <w:t xml:space="preserve"> specifying the </w:t>
      </w:r>
      <w:r w:rsidR="00B86730">
        <w:t>Part 6</w:t>
      </w:r>
      <w:r w:rsidRPr="00B3090A">
        <w:t>A product</w:t>
      </w:r>
      <w:r w:rsidR="00C95175">
        <w:t xml:space="preserve">, the superannuation entity that offers the </w:t>
      </w:r>
      <w:r w:rsidR="00B86730">
        <w:t>Part 6</w:t>
      </w:r>
      <w:r w:rsidR="00C95175">
        <w:t>A product</w:t>
      </w:r>
      <w:r w:rsidRPr="00B3090A">
        <w:t xml:space="preserve"> </w:t>
      </w:r>
      <w:r>
        <w:t xml:space="preserve">and </w:t>
      </w:r>
      <w:r w:rsidRPr="00B3090A">
        <w:t xml:space="preserve">the </w:t>
      </w:r>
      <w:r w:rsidR="00F01F12">
        <w:t>assessment</w:t>
      </w:r>
      <w:r w:rsidRPr="00B3090A">
        <w:t xml:space="preserve"> year</w:t>
      </w:r>
      <w:r>
        <w:t>—information available to APRA on</w:t>
      </w:r>
      <w:r w:rsidR="00296615">
        <w:t xml:space="preserve"> the day </w:t>
      </w:r>
      <w:r w:rsidR="00296615">
        <w:lastRenderedPageBreak/>
        <w:t xml:space="preserve">specified in the determination </w:t>
      </w:r>
      <w:r w:rsidR="001569E8">
        <w:t xml:space="preserve">shows </w:t>
      </w:r>
      <w:r>
        <w:t xml:space="preserve">that either or both of the conditions mentioned in </w:t>
      </w:r>
      <w:r w:rsidR="00B86730">
        <w:t>paragraph (</w:t>
      </w:r>
      <w:r>
        <w:t>a)</w:t>
      </w:r>
      <w:r w:rsidR="00DE394E">
        <w:t xml:space="preserve"> of this subregulation</w:t>
      </w:r>
      <w:r>
        <w:t xml:space="preserve"> are met</w:t>
      </w:r>
      <w:r w:rsidR="00525139">
        <w:t>.</w:t>
      </w:r>
    </w:p>
    <w:p w14:paraId="68D4813F" w14:textId="77777777" w:rsidR="00B07BC2" w:rsidRDefault="006F5614" w:rsidP="00B3090A">
      <w:pPr>
        <w:pStyle w:val="subsection"/>
      </w:pPr>
      <w:r w:rsidRPr="00B3090A">
        <w:tab/>
        <w:t>(</w:t>
      </w:r>
      <w:r w:rsidR="00711A14">
        <w:t>3</w:t>
      </w:r>
      <w:r w:rsidRPr="00B3090A">
        <w:t>)</w:t>
      </w:r>
      <w:r w:rsidRPr="00B3090A">
        <w:tab/>
        <w:t xml:space="preserve">The </w:t>
      </w:r>
      <w:r w:rsidR="00B10011" w:rsidRPr="001B5395">
        <w:rPr>
          <w:b/>
          <w:i/>
        </w:rPr>
        <w:t>performance measure</w:t>
      </w:r>
      <w:r w:rsidR="00B10011" w:rsidRPr="00B3090A">
        <w:t xml:space="preserve"> for a </w:t>
      </w:r>
      <w:r w:rsidR="00B86730">
        <w:t>Part 6</w:t>
      </w:r>
      <w:r w:rsidR="00B10011" w:rsidRPr="00B3090A">
        <w:t>A product for a financial year is</w:t>
      </w:r>
      <w:r w:rsidR="00B07BC2">
        <w:t xml:space="preserve"> the amount calculated using the following formula:</w:t>
      </w:r>
    </w:p>
    <w:p w14:paraId="3B6F2EEB" w14:textId="77777777" w:rsidR="00B07BC2" w:rsidRPr="00B3090A" w:rsidRDefault="00F92952" w:rsidP="00FE11B6">
      <w:pPr>
        <w:pStyle w:val="subsection2"/>
      </w:pPr>
      <w:r w:rsidRPr="00FE11B6">
        <w:object w:dxaOrig="6480" w:dyaOrig="580" w14:anchorId="764EB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open bracket Actual return minus Benchmark return close bracket plus open bracket Benchmark RAFE minus Actual RAFE close bracket end formula" style="width:324pt;height:29.25pt" o:ole="">
            <v:imagedata r:id="rId19" o:title=""/>
          </v:shape>
          <o:OLEObject Type="Embed" ProgID="Equation.DSMT4" ShapeID="_x0000_i1025" DrawAspect="Content" ObjectID="_1689678724" r:id="rId20"/>
        </w:object>
      </w:r>
    </w:p>
    <w:p w14:paraId="3367CFD4" w14:textId="77777777" w:rsidR="00B07BC2" w:rsidRDefault="00B07BC2" w:rsidP="00B07BC2">
      <w:pPr>
        <w:pStyle w:val="subsection2"/>
      </w:pPr>
      <w:r>
        <w:t>where:</w:t>
      </w:r>
    </w:p>
    <w:p w14:paraId="309CC56B" w14:textId="77777777" w:rsidR="00E955C3" w:rsidRPr="00E955C3" w:rsidRDefault="00E955C3" w:rsidP="00E955C3">
      <w:pPr>
        <w:pStyle w:val="Definition"/>
      </w:pPr>
      <w:r w:rsidRPr="00E955C3">
        <w:rPr>
          <w:b/>
          <w:i/>
        </w:rPr>
        <w:t>actual RAFE</w:t>
      </w:r>
      <w:r>
        <w:t xml:space="preserve"> means the</w:t>
      </w:r>
      <w:r w:rsidR="00912FC6">
        <w:t xml:space="preserve"> re</w:t>
      </w:r>
      <w:r w:rsidR="005312E4">
        <w:t>presentative</w:t>
      </w:r>
      <w:r w:rsidR="00912FC6">
        <w:t xml:space="preserve"> administration fees and expenses</w:t>
      </w:r>
      <w:r>
        <w:t xml:space="preserve"> for the </w:t>
      </w:r>
      <w:r w:rsidR="00B86730">
        <w:t>Part 6</w:t>
      </w:r>
      <w:r>
        <w:t xml:space="preserve">A product </w:t>
      </w:r>
      <w:r w:rsidR="00583843">
        <w:t xml:space="preserve">in relation to </w:t>
      </w:r>
      <w:r w:rsidR="00B36383">
        <w:t xml:space="preserve">the </w:t>
      </w:r>
      <w:r>
        <w:t>financial year</w:t>
      </w:r>
      <w:r w:rsidR="00525139">
        <w:t>.</w:t>
      </w:r>
    </w:p>
    <w:p w14:paraId="094E65B4" w14:textId="77777777" w:rsidR="006F5614" w:rsidRDefault="00B07BC2" w:rsidP="00B07BC2">
      <w:pPr>
        <w:pStyle w:val="Definition"/>
      </w:pPr>
      <w:r w:rsidRPr="00B07BC2">
        <w:rPr>
          <w:b/>
          <w:i/>
        </w:rPr>
        <w:t>actual return</w:t>
      </w:r>
      <w:r>
        <w:t xml:space="preserve"> means the </w:t>
      </w:r>
      <w:r w:rsidR="006F5614">
        <w:t>actual return</w:t>
      </w:r>
      <w:r w:rsidR="006F5614">
        <w:rPr>
          <w:b/>
          <w:i/>
        </w:rPr>
        <w:t xml:space="preserve"> </w:t>
      </w:r>
      <w:r w:rsidR="006F5614">
        <w:t xml:space="preserve">for the </w:t>
      </w:r>
      <w:r w:rsidR="00B86730">
        <w:t>Part 6</w:t>
      </w:r>
      <w:r w:rsidR="006F5614">
        <w:t xml:space="preserve">A product for the lookback period for the </w:t>
      </w:r>
      <w:r w:rsidR="00B86730">
        <w:t>Part 6</w:t>
      </w:r>
      <w:r w:rsidR="006F5614">
        <w:t>A product in respect of the financial year</w:t>
      </w:r>
      <w:r w:rsidR="00525139">
        <w:t>.</w:t>
      </w:r>
    </w:p>
    <w:p w14:paraId="1FA056FA" w14:textId="77777777" w:rsidR="00DB070B" w:rsidRDefault="00DB070B" w:rsidP="00DB070B">
      <w:pPr>
        <w:pStyle w:val="Definition"/>
      </w:pPr>
      <w:r>
        <w:rPr>
          <w:b/>
          <w:i/>
        </w:rPr>
        <w:t xml:space="preserve">benchmark </w:t>
      </w:r>
      <w:r w:rsidRPr="00E955C3">
        <w:rPr>
          <w:b/>
          <w:i/>
        </w:rPr>
        <w:t>RAFE</w:t>
      </w:r>
      <w:r>
        <w:t xml:space="preserve"> means the benchmark RAFE for the </w:t>
      </w:r>
      <w:r w:rsidR="00B86730">
        <w:t>Part 6</w:t>
      </w:r>
      <w:r>
        <w:t xml:space="preserve">A product in relation to the </w:t>
      </w:r>
      <w:r w:rsidR="0000589E">
        <w:t xml:space="preserve">financial </w:t>
      </w:r>
      <w:r>
        <w:t>year</w:t>
      </w:r>
      <w:r w:rsidR="00525139">
        <w:t>.</w:t>
      </w:r>
    </w:p>
    <w:p w14:paraId="65356B37" w14:textId="77777777" w:rsidR="006F5614" w:rsidRDefault="00E955C3" w:rsidP="00E955C3">
      <w:pPr>
        <w:pStyle w:val="Definition"/>
      </w:pPr>
      <w:r w:rsidRPr="00E955C3">
        <w:rPr>
          <w:b/>
          <w:i/>
        </w:rPr>
        <w:t>benchmark return</w:t>
      </w:r>
      <w:r>
        <w:t xml:space="preserve"> means the </w:t>
      </w:r>
      <w:r w:rsidR="006F5614">
        <w:t>benchmark return</w:t>
      </w:r>
      <w:r w:rsidR="006F5614">
        <w:rPr>
          <w:b/>
          <w:i/>
        </w:rPr>
        <w:t xml:space="preserve"> </w:t>
      </w:r>
      <w:r w:rsidR="006F5614">
        <w:t xml:space="preserve">for the </w:t>
      </w:r>
      <w:r w:rsidR="00B86730">
        <w:t>Part 6</w:t>
      </w:r>
      <w:r w:rsidR="006F5614">
        <w:t>A product for th</w:t>
      </w:r>
      <w:r>
        <w:t>e</w:t>
      </w:r>
      <w:r w:rsidR="006F5614">
        <w:t xml:space="preserve"> lookback period</w:t>
      </w:r>
      <w:r>
        <w:t xml:space="preserve"> for the </w:t>
      </w:r>
      <w:r w:rsidR="00B86730">
        <w:t>Part 6</w:t>
      </w:r>
      <w:r>
        <w:t>A product in respect of the financial year</w:t>
      </w:r>
      <w:r w:rsidR="00525139">
        <w:t>.</w:t>
      </w:r>
    </w:p>
    <w:bookmarkEnd w:id="26"/>
    <w:p w14:paraId="4D5F183D" w14:textId="77777777" w:rsidR="00711A14" w:rsidRDefault="00711A14" w:rsidP="00711A14">
      <w:pPr>
        <w:pStyle w:val="SubsectionHead"/>
      </w:pPr>
      <w:r>
        <w:t>APRA’s determination—</w:t>
      </w:r>
      <w:r w:rsidR="00B86730">
        <w:t>subparagraph (</w:t>
      </w:r>
      <w:r>
        <w:t>2</w:t>
      </w:r>
      <w:r w:rsidRPr="001D490D">
        <w:t>)(</w:t>
      </w:r>
      <w:r>
        <w:t>a)(ii)</w:t>
      </w:r>
    </w:p>
    <w:p w14:paraId="5431AE48" w14:textId="77777777" w:rsidR="00711A14" w:rsidRPr="001D490D" w:rsidRDefault="00711A14" w:rsidP="00711A14">
      <w:pPr>
        <w:pStyle w:val="subsection"/>
      </w:pPr>
      <w:r>
        <w:tab/>
        <w:t>(4)</w:t>
      </w:r>
      <w:r>
        <w:tab/>
        <w:t xml:space="preserve">For the purposes of </w:t>
      </w:r>
      <w:r w:rsidR="00B86730">
        <w:t>subparagraph (</w:t>
      </w:r>
      <w:r>
        <w:t>2</w:t>
      </w:r>
      <w:r w:rsidRPr="001D490D">
        <w:t>)(</w:t>
      </w:r>
      <w:r>
        <w:t>a</w:t>
      </w:r>
      <w:r w:rsidRPr="001D490D">
        <w:t>)</w:t>
      </w:r>
      <w:r>
        <w:t>(ii)</w:t>
      </w:r>
      <w:r w:rsidRPr="001D490D">
        <w:t>, APRA may make a determination, in writing, specifying:</w:t>
      </w:r>
    </w:p>
    <w:p w14:paraId="10F7DCFF" w14:textId="77777777" w:rsidR="00711A14" w:rsidRDefault="00711A14" w:rsidP="00711A14">
      <w:pPr>
        <w:pStyle w:val="paragraph"/>
      </w:pPr>
      <w:r w:rsidRPr="001D490D">
        <w:tab/>
        <w:t>(a)</w:t>
      </w:r>
      <w:r w:rsidRPr="001D490D">
        <w:tab/>
        <w:t>a</w:t>
      </w:r>
      <w:r>
        <w:t xml:space="preserve"> </w:t>
      </w:r>
      <w:r w:rsidR="00B86730">
        <w:t>Part 6</w:t>
      </w:r>
      <w:r w:rsidRPr="00C92D14">
        <w:t>A product</w:t>
      </w:r>
      <w:r>
        <w:t>; and</w:t>
      </w:r>
    </w:p>
    <w:p w14:paraId="0FE5D824" w14:textId="77777777" w:rsidR="00711A14" w:rsidRDefault="00711A14" w:rsidP="00711A14">
      <w:pPr>
        <w:pStyle w:val="paragraph"/>
      </w:pPr>
      <w:r>
        <w:tab/>
        <w:t>(b)</w:t>
      </w:r>
      <w:r>
        <w:tab/>
        <w:t xml:space="preserve">the superannuation entity that offers the </w:t>
      </w:r>
      <w:r w:rsidR="00B86730">
        <w:t>Part 6</w:t>
      </w:r>
      <w:r>
        <w:t>A product; and</w:t>
      </w:r>
    </w:p>
    <w:p w14:paraId="7FA184B6" w14:textId="77777777" w:rsidR="00711A14" w:rsidRDefault="00711A14" w:rsidP="00711A14">
      <w:pPr>
        <w:pStyle w:val="paragraph"/>
      </w:pPr>
      <w:r>
        <w:tab/>
        <w:t>(c)</w:t>
      </w:r>
      <w:r>
        <w:tab/>
        <w:t xml:space="preserve">one or more </w:t>
      </w:r>
      <w:r w:rsidRPr="00C92D14">
        <w:t>financial year</w:t>
      </w:r>
      <w:r>
        <w:t>s</w:t>
      </w:r>
      <w:r w:rsidR="00525139">
        <w:t>.</w:t>
      </w:r>
    </w:p>
    <w:p w14:paraId="726D3DB0" w14:textId="77777777" w:rsidR="00711A14" w:rsidRDefault="00711A14" w:rsidP="00711A14">
      <w:pPr>
        <w:pStyle w:val="subsection"/>
      </w:pPr>
      <w:r>
        <w:tab/>
        <w:t>(5)</w:t>
      </w:r>
      <w:r>
        <w:tab/>
        <w:t xml:space="preserve">In making the determination, APRA must consider whether any other </w:t>
      </w:r>
      <w:r w:rsidR="00B86730">
        <w:t>Part 6</w:t>
      </w:r>
      <w:r>
        <w:t>A products that are offered by:</w:t>
      </w:r>
    </w:p>
    <w:p w14:paraId="63E487A4" w14:textId="77777777" w:rsidR="00711A14" w:rsidRPr="003E1C37" w:rsidRDefault="00711A14" w:rsidP="00711A14">
      <w:pPr>
        <w:pStyle w:val="paragraph"/>
      </w:pPr>
      <w:r w:rsidRPr="003E1C37">
        <w:tab/>
        <w:t>(</w:t>
      </w:r>
      <w:r>
        <w:t>a</w:t>
      </w:r>
      <w:r w:rsidRPr="003E1C37">
        <w:t>)</w:t>
      </w:r>
      <w:r w:rsidRPr="003E1C37">
        <w:tab/>
        <w:t>the entity; or</w:t>
      </w:r>
    </w:p>
    <w:p w14:paraId="51347E69" w14:textId="77777777" w:rsidR="00711A14" w:rsidRDefault="00711A14" w:rsidP="00711A14">
      <w:pPr>
        <w:pStyle w:val="paragraph"/>
      </w:pPr>
      <w:r>
        <w:tab/>
        <w:t>(b)</w:t>
      </w:r>
      <w:r>
        <w:tab/>
      </w:r>
      <w:r w:rsidRPr="00656A76">
        <w:t xml:space="preserve">an associated entity (within the meaning of the </w:t>
      </w:r>
      <w:r w:rsidRPr="00656A76">
        <w:rPr>
          <w:i/>
        </w:rPr>
        <w:t>Corporations Act 2001</w:t>
      </w:r>
      <w:r w:rsidRPr="00656A76">
        <w:t>) of the</w:t>
      </w:r>
      <w:r>
        <w:t xml:space="preserve"> entity;</w:t>
      </w:r>
    </w:p>
    <w:p w14:paraId="65E26832" w14:textId="77777777" w:rsidR="00711A14" w:rsidRDefault="00711A14" w:rsidP="00711A14">
      <w:pPr>
        <w:pStyle w:val="subsection2"/>
      </w:pPr>
      <w:r>
        <w:t xml:space="preserve">have failed to meet the requirement in </w:t>
      </w:r>
      <w:r w:rsidR="00B86730">
        <w:t>subsection 6</w:t>
      </w:r>
      <w:r>
        <w:t>0D(1) of the Act in relation to any financial year</w:t>
      </w:r>
      <w:r w:rsidR="00525139">
        <w:t>.</w:t>
      </w:r>
    </w:p>
    <w:p w14:paraId="39C42F24" w14:textId="77777777" w:rsidR="00DD1986" w:rsidRDefault="00DD1986" w:rsidP="00DD1986">
      <w:pPr>
        <w:pStyle w:val="subsection"/>
      </w:pPr>
      <w:r>
        <w:tab/>
        <w:t>(</w:t>
      </w:r>
      <w:r w:rsidR="005B5869">
        <w:t>6</w:t>
      </w:r>
      <w:r>
        <w:t>)</w:t>
      </w:r>
      <w:r>
        <w:tab/>
        <w:t xml:space="preserve">APRA must give a notice of the determination to the trustee of the </w:t>
      </w:r>
      <w:r w:rsidRPr="005A20D4">
        <w:t xml:space="preserve">superannuation </w:t>
      </w:r>
      <w:r>
        <w:t>entity specified in the determination</w:t>
      </w:r>
      <w:r w:rsidR="00525139">
        <w:t>.</w:t>
      </w:r>
      <w:r>
        <w:t xml:space="preserve"> The notice must:</w:t>
      </w:r>
    </w:p>
    <w:p w14:paraId="36513DEA" w14:textId="77777777" w:rsidR="00DD1986" w:rsidRDefault="00DD1986" w:rsidP="00DD1986">
      <w:pPr>
        <w:pStyle w:val="paragraph"/>
      </w:pPr>
      <w:r>
        <w:tab/>
        <w:t>(a)</w:t>
      </w:r>
      <w:r>
        <w:tab/>
        <w:t>be in writing; and</w:t>
      </w:r>
    </w:p>
    <w:p w14:paraId="65C0F892" w14:textId="77777777" w:rsidR="00DD1986" w:rsidRDefault="00DD1986" w:rsidP="00DD1986">
      <w:pPr>
        <w:pStyle w:val="paragraph"/>
      </w:pPr>
      <w:r>
        <w:tab/>
        <w:t>(b)</w:t>
      </w:r>
      <w:r>
        <w:tab/>
        <w:t>include a copy of the determination</w:t>
      </w:r>
      <w:r w:rsidR="00525139">
        <w:t>.</w:t>
      </w:r>
    </w:p>
    <w:p w14:paraId="370CEC94" w14:textId="77777777" w:rsidR="00711A14" w:rsidRDefault="00711A14" w:rsidP="00711A14">
      <w:pPr>
        <w:pStyle w:val="SubsectionHead"/>
      </w:pPr>
      <w:r>
        <w:t>APRA’s determination—</w:t>
      </w:r>
      <w:r w:rsidR="00B86730">
        <w:t>paragraph (</w:t>
      </w:r>
      <w:r>
        <w:t>2</w:t>
      </w:r>
      <w:r w:rsidRPr="001D490D">
        <w:t>)(</w:t>
      </w:r>
      <w:r>
        <w:t>b)</w:t>
      </w:r>
    </w:p>
    <w:p w14:paraId="05DCC70E" w14:textId="77777777" w:rsidR="00711A14" w:rsidRPr="001D490D" w:rsidRDefault="00711A14" w:rsidP="00711A14">
      <w:pPr>
        <w:pStyle w:val="subsection"/>
      </w:pPr>
      <w:r>
        <w:tab/>
        <w:t>(</w:t>
      </w:r>
      <w:r w:rsidR="005B5869">
        <w:t>7</w:t>
      </w:r>
      <w:r>
        <w:t>)</w:t>
      </w:r>
      <w:r>
        <w:tab/>
        <w:t xml:space="preserve">For the purposes of </w:t>
      </w:r>
      <w:r w:rsidR="00B86730">
        <w:t>paragraph (</w:t>
      </w:r>
      <w:r>
        <w:t>2</w:t>
      </w:r>
      <w:r w:rsidRPr="001D490D">
        <w:t>)(b), APRA may make a determination, in writing, specifying:</w:t>
      </w:r>
    </w:p>
    <w:p w14:paraId="01CD1D09" w14:textId="77777777" w:rsidR="00711A14" w:rsidRDefault="00711A14" w:rsidP="00711A14">
      <w:pPr>
        <w:pStyle w:val="paragraph"/>
      </w:pPr>
      <w:r>
        <w:tab/>
        <w:t>(a)</w:t>
      </w:r>
      <w:r>
        <w:tab/>
        <w:t xml:space="preserve">a </w:t>
      </w:r>
      <w:r w:rsidR="00B86730">
        <w:t>Part 6</w:t>
      </w:r>
      <w:r>
        <w:t>A product; and</w:t>
      </w:r>
    </w:p>
    <w:p w14:paraId="34DF978B" w14:textId="77777777" w:rsidR="00711A14" w:rsidRDefault="00711A14" w:rsidP="00711A14">
      <w:pPr>
        <w:pStyle w:val="paragraph"/>
      </w:pPr>
      <w:r>
        <w:tab/>
        <w:t>(b)</w:t>
      </w:r>
      <w:r>
        <w:tab/>
        <w:t xml:space="preserve">the superannuation entity that offers the </w:t>
      </w:r>
      <w:r w:rsidR="00B86730">
        <w:t>Part 6</w:t>
      </w:r>
      <w:r>
        <w:t>A product; and</w:t>
      </w:r>
    </w:p>
    <w:p w14:paraId="00C58EF6" w14:textId="77777777" w:rsidR="00711A14" w:rsidRDefault="00711A14" w:rsidP="00711A14">
      <w:pPr>
        <w:pStyle w:val="paragraph"/>
      </w:pPr>
      <w:r>
        <w:tab/>
        <w:t>(c)</w:t>
      </w:r>
      <w:r>
        <w:tab/>
        <w:t xml:space="preserve">a </w:t>
      </w:r>
      <w:r w:rsidRPr="00C92D14">
        <w:t>financial year</w:t>
      </w:r>
      <w:r w:rsidR="00296615">
        <w:t>; and</w:t>
      </w:r>
    </w:p>
    <w:p w14:paraId="360A2738" w14:textId="77777777" w:rsidR="00296615" w:rsidRDefault="00296615" w:rsidP="00711A14">
      <w:pPr>
        <w:pStyle w:val="paragraph"/>
      </w:pPr>
      <w:r>
        <w:tab/>
        <w:t>(d)</w:t>
      </w:r>
      <w:r>
        <w:tab/>
        <w:t>a day occurring:</w:t>
      </w:r>
    </w:p>
    <w:p w14:paraId="3E8F5D7F" w14:textId="77777777" w:rsidR="00296615" w:rsidRDefault="00296615" w:rsidP="00296615">
      <w:pPr>
        <w:pStyle w:val="paragraphsub"/>
      </w:pPr>
      <w:r>
        <w:tab/>
        <w:t>(i)</w:t>
      </w:r>
      <w:r>
        <w:tab/>
        <w:t>after 15 August; and</w:t>
      </w:r>
    </w:p>
    <w:p w14:paraId="1D02A163" w14:textId="77777777" w:rsidR="00296615" w:rsidRDefault="00296615" w:rsidP="00296615">
      <w:pPr>
        <w:pStyle w:val="paragraphsub"/>
      </w:pPr>
      <w:r>
        <w:tab/>
        <w:t>(ii)</w:t>
      </w:r>
      <w:r>
        <w:tab/>
        <w:t>on or before 31 August;</w:t>
      </w:r>
    </w:p>
    <w:p w14:paraId="08F61B0D" w14:textId="77777777" w:rsidR="00296615" w:rsidRPr="00296615" w:rsidRDefault="00296615" w:rsidP="00296615">
      <w:pPr>
        <w:pStyle w:val="paragraph"/>
      </w:pPr>
      <w:r>
        <w:lastRenderedPageBreak/>
        <w:tab/>
      </w:r>
      <w:r>
        <w:tab/>
        <w:t>in the next financial year</w:t>
      </w:r>
      <w:r w:rsidR="00525139">
        <w:t>.</w:t>
      </w:r>
    </w:p>
    <w:p w14:paraId="64786B28" w14:textId="77777777" w:rsidR="00711A14" w:rsidRDefault="00711A14" w:rsidP="00711A14">
      <w:pPr>
        <w:pStyle w:val="subsection"/>
      </w:pPr>
      <w:r>
        <w:tab/>
        <w:t>(</w:t>
      </w:r>
      <w:r w:rsidR="005B5869">
        <w:t>8</w:t>
      </w:r>
      <w:r>
        <w:t>)</w:t>
      </w:r>
      <w:r>
        <w:tab/>
        <w:t xml:space="preserve">APRA must give a notice of the determination to the trustee of the </w:t>
      </w:r>
      <w:r w:rsidRPr="005A20D4">
        <w:t xml:space="preserve">superannuation </w:t>
      </w:r>
      <w:r>
        <w:t>entity specified in the determination</w:t>
      </w:r>
      <w:r w:rsidR="00525139">
        <w:t>.</w:t>
      </w:r>
      <w:r>
        <w:t xml:space="preserve"> The notice must:</w:t>
      </w:r>
    </w:p>
    <w:p w14:paraId="7AB3C887" w14:textId="77777777" w:rsidR="00711A14" w:rsidRDefault="00711A14" w:rsidP="00711A14">
      <w:pPr>
        <w:pStyle w:val="paragraph"/>
      </w:pPr>
      <w:r>
        <w:tab/>
        <w:t>(a)</w:t>
      </w:r>
      <w:r>
        <w:tab/>
        <w:t>be in writing; and</w:t>
      </w:r>
    </w:p>
    <w:p w14:paraId="5E20CB91" w14:textId="77777777" w:rsidR="00711A14" w:rsidRDefault="00711A14" w:rsidP="00711A14">
      <w:pPr>
        <w:pStyle w:val="paragraph"/>
      </w:pPr>
      <w:r>
        <w:tab/>
        <w:t>(b)</w:t>
      </w:r>
      <w:r>
        <w:tab/>
        <w:t>include a copy of the determination</w:t>
      </w:r>
      <w:r w:rsidR="00525139">
        <w:t>.</w:t>
      </w:r>
    </w:p>
    <w:p w14:paraId="2B2E6281" w14:textId="77777777" w:rsidR="00656D77" w:rsidRDefault="00525139" w:rsidP="00882884">
      <w:pPr>
        <w:pStyle w:val="ActHead5"/>
        <w:rPr>
          <w:i/>
        </w:rPr>
      </w:pPr>
      <w:bookmarkStart w:id="27" w:name="_Toc78797715"/>
      <w:r w:rsidRPr="0048118D">
        <w:rPr>
          <w:rStyle w:val="CharSectno"/>
        </w:rPr>
        <w:t>9AB.11</w:t>
      </w:r>
      <w:r w:rsidR="00882884">
        <w:t xml:space="preserve">  Meaning of </w:t>
      </w:r>
      <w:r w:rsidR="00FE325E">
        <w:rPr>
          <w:i/>
        </w:rPr>
        <w:t>actual return</w:t>
      </w:r>
      <w:r w:rsidR="00B11F49">
        <w:t xml:space="preserve">—standard </w:t>
      </w:r>
      <w:r w:rsidR="00B86730">
        <w:t>Part 6</w:t>
      </w:r>
      <w:r w:rsidR="00B11F49" w:rsidRPr="00C92D14">
        <w:t>A product</w:t>
      </w:r>
      <w:r w:rsidR="00B11F49">
        <w:t>s</w:t>
      </w:r>
      <w:bookmarkEnd w:id="27"/>
    </w:p>
    <w:p w14:paraId="2D85A6C3" w14:textId="77777777" w:rsidR="00E22037" w:rsidRDefault="00E22037" w:rsidP="00E22037">
      <w:pPr>
        <w:pStyle w:val="subsection"/>
      </w:pPr>
      <w:r>
        <w:tab/>
        <w:t>(1)</w:t>
      </w:r>
      <w:r>
        <w:tab/>
        <w:t xml:space="preserve">This </w:t>
      </w:r>
      <w:r w:rsidR="00D45949">
        <w:t>regulation</w:t>
      </w:r>
      <w:r>
        <w:t xml:space="preserve"> applies to </w:t>
      </w:r>
      <w:r w:rsidR="00604B49">
        <w:t xml:space="preserve">standard </w:t>
      </w:r>
      <w:r w:rsidR="00B86730">
        <w:t>Part 6</w:t>
      </w:r>
      <w:r>
        <w:t>A products</w:t>
      </w:r>
      <w:r w:rsidR="00525139">
        <w:t>.</w:t>
      </w:r>
    </w:p>
    <w:p w14:paraId="7B5B4DA5" w14:textId="77777777" w:rsidR="00686C34" w:rsidRDefault="006F4922" w:rsidP="006F4922">
      <w:pPr>
        <w:pStyle w:val="subsection"/>
      </w:pPr>
      <w:r>
        <w:tab/>
        <w:t>(</w:t>
      </w:r>
      <w:r w:rsidR="00FA09EE">
        <w:t>2</w:t>
      </w:r>
      <w:r>
        <w:t>)</w:t>
      </w:r>
      <w:r>
        <w:tab/>
        <w:t xml:space="preserve">The </w:t>
      </w:r>
      <w:r w:rsidR="00FE325E">
        <w:rPr>
          <w:b/>
          <w:i/>
        </w:rPr>
        <w:t>actual return</w:t>
      </w:r>
      <w:r w:rsidR="00130904">
        <w:t>, f</w:t>
      </w:r>
      <w:r>
        <w:t xml:space="preserve">or a </w:t>
      </w:r>
      <w:r w:rsidR="00B86730">
        <w:t>Part 6</w:t>
      </w:r>
      <w:r w:rsidR="00C92D14">
        <w:t>A product</w:t>
      </w:r>
      <w:r>
        <w:t xml:space="preserve"> for a lookback period for the product</w:t>
      </w:r>
      <w:r w:rsidR="00130904">
        <w:t xml:space="preserve"> in respect of a financial year,</w:t>
      </w:r>
      <w:r>
        <w:t xml:space="preserve"> is </w:t>
      </w:r>
      <w:r w:rsidR="00686C34">
        <w:t xml:space="preserve">the amount calculated using the following formula, </w:t>
      </w:r>
      <w:r w:rsidR="00686C34" w:rsidRPr="00710634">
        <w:t xml:space="preserve">rounded to </w:t>
      </w:r>
      <w:r w:rsidR="00686C34">
        <w:t>4</w:t>
      </w:r>
      <w:r w:rsidR="00686C34" w:rsidRPr="00710634">
        <w:t xml:space="preserve"> decimal places (rounding up if the f</w:t>
      </w:r>
      <w:r w:rsidR="00686C34">
        <w:t>if</w:t>
      </w:r>
      <w:r w:rsidR="00686C34" w:rsidRPr="00710634">
        <w:t>th decimal place is 5 or more)</w:t>
      </w:r>
      <w:r w:rsidR="00686C34">
        <w:t>:</w:t>
      </w:r>
    </w:p>
    <w:p w14:paraId="78BEA5BA" w14:textId="77777777" w:rsidR="00022F6D" w:rsidRPr="00FE11B6" w:rsidRDefault="00F92952" w:rsidP="00FE11B6">
      <w:pPr>
        <w:pStyle w:val="subsection2"/>
      </w:pPr>
      <w:r w:rsidRPr="00FE11B6">
        <w:object w:dxaOrig="2100" w:dyaOrig="1120" w14:anchorId="448D2EBF">
          <v:shape id="_x0000_i1026" type="#_x0000_t75" alt="This formula calculates the actual return for the product." style="width:104.25pt;height:55.5pt" o:ole="">
            <v:imagedata r:id="rId21" o:title=""/>
          </v:shape>
          <o:OLEObject Type="Embed" ProgID="Equation.DSMT4" ShapeID="_x0000_i1026" DrawAspect="Content" ObjectID="_1689678725" r:id="rId22"/>
        </w:object>
      </w:r>
    </w:p>
    <w:p w14:paraId="44E8DB43" w14:textId="77777777" w:rsidR="00CF6B43" w:rsidRDefault="00CF6B43" w:rsidP="00CF6B43">
      <w:pPr>
        <w:pStyle w:val="subsection2"/>
      </w:pPr>
      <w:bookmarkStart w:id="28" w:name="_Hlk67068226"/>
      <w:r>
        <w:t>where:</w:t>
      </w:r>
    </w:p>
    <w:p w14:paraId="34307B92" w14:textId="77777777" w:rsidR="00507164" w:rsidRDefault="00507164" w:rsidP="00507164">
      <w:pPr>
        <w:pStyle w:val="Definition"/>
      </w:pPr>
      <w:bookmarkStart w:id="29" w:name="_Hlk67068211"/>
      <w:bookmarkEnd w:id="28"/>
      <w:r w:rsidRPr="00CF6B43">
        <w:rPr>
          <w:b/>
          <w:i/>
        </w:rPr>
        <w:t>n</w:t>
      </w:r>
      <w:r>
        <w:t xml:space="preserve"> </w:t>
      </w:r>
      <w:r w:rsidRPr="00507164">
        <w:t>means the number of quarters in the lookback period, divided by 4</w:t>
      </w:r>
      <w:r w:rsidR="00525139">
        <w:t>.</w:t>
      </w:r>
    </w:p>
    <w:p w14:paraId="43016EE6" w14:textId="77777777" w:rsidR="00AF3732" w:rsidRDefault="00AF3732" w:rsidP="00AF3732">
      <w:pPr>
        <w:pStyle w:val="Definition"/>
      </w:pPr>
      <w:r>
        <w:rPr>
          <w:b/>
          <w:i/>
        </w:rPr>
        <w:t>N</w:t>
      </w:r>
      <w:r w:rsidR="004A78AF">
        <w:rPr>
          <w:b/>
          <w:i/>
        </w:rPr>
        <w:t>I</w:t>
      </w:r>
      <w:r>
        <w:rPr>
          <w:b/>
          <w:i/>
        </w:rPr>
        <w:t>R</w:t>
      </w:r>
      <w:r w:rsidR="001625D6">
        <w:t xml:space="preserve">, in relation to a quarter, </w:t>
      </w:r>
      <w:r>
        <w:t xml:space="preserve">means the </w:t>
      </w:r>
      <w:r w:rsidR="00B86730">
        <w:t>Part 6</w:t>
      </w:r>
      <w:r w:rsidR="00B12A51">
        <w:t>A product</w:t>
      </w:r>
      <w:r w:rsidR="00C43BEE">
        <w:t>’</w:t>
      </w:r>
      <w:r w:rsidR="00B12A51">
        <w:t xml:space="preserve">s </w:t>
      </w:r>
      <w:r>
        <w:t xml:space="preserve">net </w:t>
      </w:r>
      <w:r w:rsidR="004A78AF">
        <w:t xml:space="preserve">investment </w:t>
      </w:r>
      <w:r>
        <w:t>return in relation to the quarter</w:t>
      </w:r>
      <w:r w:rsidR="00525139">
        <w:t>.</w:t>
      </w:r>
    </w:p>
    <w:p w14:paraId="290845BF" w14:textId="77777777" w:rsidR="005D5A80" w:rsidRDefault="00CF6B43" w:rsidP="00485A64">
      <w:pPr>
        <w:pStyle w:val="Definition"/>
      </w:pPr>
      <w:r w:rsidRPr="00CF6B43">
        <w:rPr>
          <w:b/>
          <w:i/>
        </w:rPr>
        <w:t>t</w:t>
      </w:r>
      <w:r w:rsidR="00A32B34">
        <w:t xml:space="preserve"> represents a </w:t>
      </w:r>
      <w:r w:rsidR="00542C50">
        <w:t>quarter</w:t>
      </w:r>
      <w:r w:rsidR="00DE6D4B">
        <w:t xml:space="preserve"> in a </w:t>
      </w:r>
      <w:r w:rsidR="00CE0CB6">
        <w:t xml:space="preserve">consecutive </w:t>
      </w:r>
      <w:r w:rsidR="00DE6D4B">
        <w:t xml:space="preserve">sequence of </w:t>
      </w:r>
      <w:r w:rsidR="00542C50">
        <w:t>quarter</w:t>
      </w:r>
      <w:r w:rsidR="00DE6D4B">
        <w:t>s, where</w:t>
      </w:r>
      <w:r w:rsidR="00485A64">
        <w:t xml:space="preserve"> </w:t>
      </w:r>
      <w:r w:rsidR="005D5A80">
        <w:t xml:space="preserve">if t=1, the </w:t>
      </w:r>
      <w:r w:rsidR="00542C50">
        <w:t>quarter</w:t>
      </w:r>
      <w:r w:rsidR="005D5A80">
        <w:t xml:space="preserve"> is the first </w:t>
      </w:r>
      <w:r w:rsidR="00FA5F42">
        <w:t>quarter</w:t>
      </w:r>
      <w:r w:rsidR="005D5A80">
        <w:t xml:space="preserve"> that starts in the lookback period</w:t>
      </w:r>
      <w:r w:rsidR="00525139">
        <w:t>.</w:t>
      </w:r>
    </w:p>
    <w:p w14:paraId="3D688235" w14:textId="77777777" w:rsidR="00B11F49" w:rsidRDefault="00525139" w:rsidP="00B11F49">
      <w:pPr>
        <w:pStyle w:val="ActHead5"/>
        <w:rPr>
          <w:i/>
        </w:rPr>
      </w:pPr>
      <w:bookmarkStart w:id="30" w:name="_Toc78797716"/>
      <w:bookmarkEnd w:id="29"/>
      <w:r w:rsidRPr="0048118D">
        <w:rPr>
          <w:rStyle w:val="CharSectno"/>
        </w:rPr>
        <w:t>9AB.12</w:t>
      </w:r>
      <w:r w:rsidR="00B11F49">
        <w:t xml:space="preserve">  Meaning of </w:t>
      </w:r>
      <w:r w:rsidR="00FE325E">
        <w:rPr>
          <w:i/>
        </w:rPr>
        <w:t>actual return</w:t>
      </w:r>
      <w:r w:rsidR="00B11F49">
        <w:t>—</w:t>
      </w:r>
      <w:r w:rsidR="00E22037">
        <w:t xml:space="preserve">lifecycle </w:t>
      </w:r>
      <w:r w:rsidR="00B86730">
        <w:t>Part 6</w:t>
      </w:r>
      <w:r w:rsidR="00E22037" w:rsidRPr="00C92D14">
        <w:t>A product</w:t>
      </w:r>
      <w:r w:rsidR="00E22037">
        <w:t>s</w:t>
      </w:r>
      <w:bookmarkEnd w:id="30"/>
    </w:p>
    <w:p w14:paraId="6D581294" w14:textId="77777777" w:rsidR="00E22037" w:rsidRDefault="00E22037" w:rsidP="00E22037">
      <w:pPr>
        <w:pStyle w:val="subsection"/>
      </w:pPr>
      <w:r>
        <w:tab/>
        <w:t>(1)</w:t>
      </w:r>
      <w:r>
        <w:tab/>
        <w:t xml:space="preserve">This </w:t>
      </w:r>
      <w:r w:rsidR="00D45949">
        <w:t>regulation</w:t>
      </w:r>
      <w:r>
        <w:t xml:space="preserve"> applies to </w:t>
      </w:r>
      <w:r w:rsidR="00604B49">
        <w:t xml:space="preserve">lifecycle </w:t>
      </w:r>
      <w:r w:rsidR="00B86730">
        <w:t>Part 6</w:t>
      </w:r>
      <w:r>
        <w:t>A products</w:t>
      </w:r>
      <w:r w:rsidR="00525139">
        <w:t>.</w:t>
      </w:r>
    </w:p>
    <w:p w14:paraId="66CDA41C" w14:textId="77777777" w:rsidR="00686C34" w:rsidRDefault="00B11F49" w:rsidP="001E3BC8">
      <w:pPr>
        <w:pStyle w:val="subsection"/>
      </w:pPr>
      <w:r>
        <w:tab/>
        <w:t>(</w:t>
      </w:r>
      <w:r w:rsidR="00FA09EE">
        <w:t>2</w:t>
      </w:r>
      <w:r>
        <w:t>)</w:t>
      </w:r>
      <w:r>
        <w:tab/>
      </w:r>
      <w:r w:rsidR="001E3BC8">
        <w:t xml:space="preserve">The </w:t>
      </w:r>
      <w:r w:rsidR="001E3BC8">
        <w:rPr>
          <w:b/>
          <w:i/>
        </w:rPr>
        <w:t>actual return</w:t>
      </w:r>
      <w:r w:rsidR="001E3BC8">
        <w:t xml:space="preserve">, for a </w:t>
      </w:r>
      <w:r w:rsidR="00B86730">
        <w:t>Part 6</w:t>
      </w:r>
      <w:r w:rsidR="001E3BC8">
        <w:t xml:space="preserve">A product for </w:t>
      </w:r>
      <w:r w:rsidR="00C13C2D">
        <w:t>a</w:t>
      </w:r>
      <w:r w:rsidR="001E3BC8">
        <w:t xml:space="preserve"> lookback period for the product in respect of a financial year, </w:t>
      </w:r>
      <w:r>
        <w:t xml:space="preserve">is </w:t>
      </w:r>
      <w:r w:rsidR="00686C34">
        <w:t xml:space="preserve">the amount calculated using the following formula, </w:t>
      </w:r>
      <w:r w:rsidR="00686C34" w:rsidRPr="00710634">
        <w:t xml:space="preserve">rounded to </w:t>
      </w:r>
      <w:r w:rsidR="00686C34">
        <w:t>4</w:t>
      </w:r>
      <w:r w:rsidR="00686C34" w:rsidRPr="00710634">
        <w:t xml:space="preserve"> decimal places (rounding up if the f</w:t>
      </w:r>
      <w:r w:rsidR="00686C34">
        <w:t>if</w:t>
      </w:r>
      <w:r w:rsidR="00686C34" w:rsidRPr="00710634">
        <w:t>th decimal place is 5 or more)</w:t>
      </w:r>
      <w:r w:rsidR="00686C34">
        <w:t>:</w:t>
      </w:r>
    </w:p>
    <w:p w14:paraId="7A1DB92F" w14:textId="77777777" w:rsidR="00921148" w:rsidRPr="00FE11B6" w:rsidRDefault="00467F94" w:rsidP="00FE11B6">
      <w:pPr>
        <w:pStyle w:val="subsection2"/>
      </w:pPr>
      <w:r w:rsidRPr="00272A08">
        <w:rPr>
          <w:position w:val="-60"/>
        </w:rPr>
        <w:object w:dxaOrig="4680" w:dyaOrig="1700" w14:anchorId="77473A03">
          <v:shape id="_x0000_i1027" type="#_x0000_t75" alt="This formula calculates the actual return for the product." style="width:234pt;height:84pt" o:ole="">
            <v:imagedata r:id="rId23" o:title=""/>
          </v:shape>
          <o:OLEObject Type="Embed" ProgID="Equation.DSMT4" ShapeID="_x0000_i1027" DrawAspect="Content" ObjectID="_1689678726" r:id="rId24"/>
        </w:object>
      </w:r>
    </w:p>
    <w:p w14:paraId="6156394E" w14:textId="77777777" w:rsidR="00B11F49" w:rsidRPr="00CF6B43" w:rsidRDefault="00B11F49" w:rsidP="00B11F49">
      <w:pPr>
        <w:pStyle w:val="subsection2"/>
      </w:pPr>
      <w:r>
        <w:t>where:</w:t>
      </w:r>
    </w:p>
    <w:p w14:paraId="43E161A4" w14:textId="77777777" w:rsidR="004D2CB9" w:rsidRDefault="004D2CB9" w:rsidP="004D2CB9">
      <w:pPr>
        <w:pStyle w:val="Definition"/>
      </w:pPr>
      <w:r>
        <w:rPr>
          <w:b/>
          <w:i/>
        </w:rPr>
        <w:t>j</w:t>
      </w:r>
      <w:r>
        <w:t xml:space="preserve"> represents a lifestage of the </w:t>
      </w:r>
      <w:r w:rsidR="00B86730">
        <w:t>Part 6</w:t>
      </w:r>
      <w:r>
        <w:t xml:space="preserve">A product, in a consecutive sequence of lifestages of the </w:t>
      </w:r>
      <w:r w:rsidR="00B86730">
        <w:t>Part 6</w:t>
      </w:r>
      <w:r>
        <w:t>A product, where:</w:t>
      </w:r>
    </w:p>
    <w:p w14:paraId="386BB788" w14:textId="77777777" w:rsidR="004D2CB9" w:rsidRDefault="004D2CB9" w:rsidP="004D2CB9">
      <w:pPr>
        <w:pStyle w:val="paragraph"/>
      </w:pPr>
      <w:r>
        <w:tab/>
        <w:t>(a)</w:t>
      </w:r>
      <w:r>
        <w:tab/>
        <w:t>if j=1, the lifestage is the lifestage that applies to the youngest</w:t>
      </w:r>
      <w:r w:rsidR="003D5C6E">
        <w:t xml:space="preserve"> </w:t>
      </w:r>
      <w:r>
        <w:t>beneficiaries who hold the product; and</w:t>
      </w:r>
    </w:p>
    <w:p w14:paraId="176CA5EA" w14:textId="77777777" w:rsidR="004D2CB9" w:rsidRDefault="004D2CB9" w:rsidP="004D2CB9">
      <w:pPr>
        <w:pStyle w:val="paragraph"/>
      </w:pPr>
      <w:r>
        <w:tab/>
        <w:t>(b)</w:t>
      </w:r>
      <w:r>
        <w:tab/>
        <w:t xml:space="preserve">subject to </w:t>
      </w:r>
      <w:r w:rsidR="00B86730">
        <w:t>paragraph (</w:t>
      </w:r>
      <w:r>
        <w:t>c), the sequence proceeds in ascending order of the ages of those beneficiaries; and</w:t>
      </w:r>
    </w:p>
    <w:p w14:paraId="3E25BCC1" w14:textId="77777777" w:rsidR="004D2CB9" w:rsidRDefault="004D2CB9" w:rsidP="004D2CB9">
      <w:pPr>
        <w:pStyle w:val="paragraph"/>
      </w:pPr>
      <w:r>
        <w:tab/>
        <w:t>(c)</w:t>
      </w:r>
      <w:r>
        <w:tab/>
        <w:t xml:space="preserve">if there are </w:t>
      </w:r>
      <w:r w:rsidR="00997A24">
        <w:t>2</w:t>
      </w:r>
      <w:r>
        <w:t xml:space="preserve"> or more lifestages of the </w:t>
      </w:r>
      <w:r w:rsidR="00B86730">
        <w:t>Part 6</w:t>
      </w:r>
      <w:r>
        <w:t xml:space="preserve">A product that apply to beneficiaries of the same age—the sequence proceeds in respect of those </w:t>
      </w:r>
      <w:r>
        <w:lastRenderedPageBreak/>
        <w:t xml:space="preserve">lifestages in the order specified by APRA in a determination under </w:t>
      </w:r>
      <w:r w:rsidR="00D45949">
        <w:t>regulation</w:t>
      </w:r>
      <w:r>
        <w:t xml:space="preserve"> </w:t>
      </w:r>
      <w:r w:rsidR="00525139">
        <w:t>9AB.15.</w:t>
      </w:r>
    </w:p>
    <w:p w14:paraId="48C6FB2D" w14:textId="77777777" w:rsidR="00D05FDF" w:rsidRDefault="00D05FDF" w:rsidP="00D05FDF">
      <w:pPr>
        <w:pStyle w:val="Definition"/>
      </w:pPr>
      <w:r>
        <w:rPr>
          <w:b/>
          <w:i/>
        </w:rPr>
        <w:t>J</w:t>
      </w:r>
      <w:r>
        <w:t xml:space="preserve"> means the number of lifestages of the </w:t>
      </w:r>
      <w:r w:rsidR="00B86730">
        <w:t>Part 6</w:t>
      </w:r>
      <w:r>
        <w:t>A product</w:t>
      </w:r>
      <w:r w:rsidR="00525139">
        <w:t>.</w:t>
      </w:r>
    </w:p>
    <w:p w14:paraId="149EB6A1" w14:textId="77777777" w:rsidR="00672514" w:rsidRDefault="00672514" w:rsidP="00672514">
      <w:pPr>
        <w:pStyle w:val="Definition"/>
      </w:pPr>
      <w:r>
        <w:rPr>
          <w:b/>
          <w:i/>
        </w:rPr>
        <w:t>lifestage weight</w:t>
      </w:r>
      <w:r>
        <w:t>, in relation to a lifestage and a quarter,</w:t>
      </w:r>
      <w:r>
        <w:rPr>
          <w:b/>
          <w:i/>
        </w:rPr>
        <w:t xml:space="preserve"> </w:t>
      </w:r>
      <w:r>
        <w:t xml:space="preserve">means the </w:t>
      </w:r>
      <w:r w:rsidR="00B86730">
        <w:t>Part 6</w:t>
      </w:r>
      <w:r>
        <w:t>A product</w:t>
      </w:r>
      <w:r w:rsidR="00C43BEE">
        <w:t>’</w:t>
      </w:r>
      <w:r>
        <w:t>s lifestage weight in relation to the quarter and the lifestage</w:t>
      </w:r>
      <w:r w:rsidR="00525139">
        <w:t>.</w:t>
      </w:r>
    </w:p>
    <w:p w14:paraId="27D10AB1" w14:textId="77777777" w:rsidR="008E44FB" w:rsidRDefault="008E44FB" w:rsidP="008E44FB">
      <w:pPr>
        <w:pStyle w:val="Definition"/>
      </w:pPr>
      <w:r w:rsidRPr="00CF6B43">
        <w:rPr>
          <w:b/>
          <w:i/>
        </w:rPr>
        <w:t>n</w:t>
      </w:r>
      <w:r>
        <w:t xml:space="preserve"> </w:t>
      </w:r>
      <w:r w:rsidRPr="00507164">
        <w:t>means the number of quarters in the lookback period, divided by 4</w:t>
      </w:r>
      <w:r w:rsidR="00525139">
        <w:t>.</w:t>
      </w:r>
    </w:p>
    <w:p w14:paraId="1993F7BA" w14:textId="77777777" w:rsidR="00D05FDF" w:rsidRDefault="00D05FDF" w:rsidP="00D05FDF">
      <w:pPr>
        <w:pStyle w:val="Definition"/>
      </w:pPr>
      <w:r>
        <w:rPr>
          <w:b/>
          <w:i/>
        </w:rPr>
        <w:t>N</w:t>
      </w:r>
      <w:r w:rsidR="004A78AF">
        <w:rPr>
          <w:b/>
          <w:i/>
        </w:rPr>
        <w:t>I</w:t>
      </w:r>
      <w:r>
        <w:rPr>
          <w:b/>
          <w:i/>
        </w:rPr>
        <w:t>R</w:t>
      </w:r>
      <w:r>
        <w:t xml:space="preserve">, in relation to a quarter and a lifestage, means the </w:t>
      </w:r>
      <w:r w:rsidR="00B86730">
        <w:t>Part 6</w:t>
      </w:r>
      <w:r w:rsidR="00B12A51">
        <w:t>A product</w:t>
      </w:r>
      <w:r w:rsidR="00C43BEE">
        <w:t>’</w:t>
      </w:r>
      <w:r w:rsidR="00B12A51">
        <w:t xml:space="preserve">s </w:t>
      </w:r>
      <w:r>
        <w:t xml:space="preserve">net </w:t>
      </w:r>
      <w:r w:rsidR="004A78AF">
        <w:t xml:space="preserve">investment </w:t>
      </w:r>
      <w:r>
        <w:t>return in relation to the quarter and the lifestage</w:t>
      </w:r>
      <w:r w:rsidR="00525139">
        <w:t>.</w:t>
      </w:r>
    </w:p>
    <w:p w14:paraId="5C9362BA" w14:textId="77777777" w:rsidR="00B11F49" w:rsidRDefault="00B11F49" w:rsidP="00B11F49">
      <w:pPr>
        <w:pStyle w:val="Definition"/>
      </w:pPr>
      <w:r w:rsidRPr="00CF6B43">
        <w:rPr>
          <w:b/>
          <w:i/>
        </w:rPr>
        <w:t>t</w:t>
      </w:r>
      <w:r>
        <w:t xml:space="preserve"> represents a quarter in a consecutive sequence of quarters, where if t=1, the quarter is the first quarter that starts in the lookback period</w:t>
      </w:r>
      <w:r w:rsidR="00525139">
        <w:t>.</w:t>
      </w:r>
    </w:p>
    <w:p w14:paraId="1D3F5057" w14:textId="77777777" w:rsidR="00C95175" w:rsidRDefault="00C95175" w:rsidP="00C95175">
      <w:pPr>
        <w:pStyle w:val="SubsectionHead"/>
      </w:pPr>
      <w:bookmarkStart w:id="31" w:name="_Hlk67563396"/>
      <w:r>
        <w:t>Change of lifestages</w:t>
      </w:r>
    </w:p>
    <w:p w14:paraId="20F9DA1F" w14:textId="77777777" w:rsidR="00272A08" w:rsidRDefault="00272A08" w:rsidP="00272A08">
      <w:pPr>
        <w:pStyle w:val="subsection"/>
      </w:pPr>
      <w:r>
        <w:tab/>
        <w:t>(</w:t>
      </w:r>
      <w:r w:rsidR="00DE394E">
        <w:t>3</w:t>
      </w:r>
      <w:r>
        <w:t>)</w:t>
      </w:r>
      <w:r>
        <w:tab/>
        <w:t>Subregulation (</w:t>
      </w:r>
      <w:r w:rsidR="00DE394E">
        <w:t>4</w:t>
      </w:r>
      <w:r>
        <w:t>) applies if:</w:t>
      </w:r>
    </w:p>
    <w:p w14:paraId="2C3199CD" w14:textId="77777777" w:rsidR="00272A08" w:rsidRDefault="00272A08" w:rsidP="00272A08">
      <w:pPr>
        <w:pStyle w:val="paragraph"/>
      </w:pPr>
      <w:r>
        <w:tab/>
        <w:t>(a)</w:t>
      </w:r>
      <w:r>
        <w:tab/>
        <w:t>the following circumstances exist:</w:t>
      </w:r>
    </w:p>
    <w:p w14:paraId="05E60C57" w14:textId="77777777" w:rsidR="00272A08" w:rsidRPr="00D90D68" w:rsidRDefault="00272A08" w:rsidP="00272A08">
      <w:pPr>
        <w:pStyle w:val="paragraphsub"/>
      </w:pPr>
      <w:r w:rsidRPr="00D90D68">
        <w:tab/>
        <w:t>(</w:t>
      </w:r>
      <w:r>
        <w:t>i</w:t>
      </w:r>
      <w:r w:rsidRPr="00D90D68">
        <w:t>)</w:t>
      </w:r>
      <w:r w:rsidRPr="00D90D68">
        <w:tab/>
        <w:t xml:space="preserve">a lifecycle </w:t>
      </w:r>
      <w:r w:rsidR="00B86730">
        <w:t>Part 6</w:t>
      </w:r>
      <w:r w:rsidRPr="00D90D68">
        <w:t>A product has particular lifestages at</w:t>
      </w:r>
      <w:r w:rsidR="00C13C2D">
        <w:t xml:space="preserve"> the end of a quarter </w:t>
      </w:r>
      <w:r w:rsidR="00DD6A02">
        <w:t xml:space="preserve">in </w:t>
      </w:r>
      <w:r w:rsidR="00C13C2D">
        <w:t>a</w:t>
      </w:r>
      <w:r w:rsidR="004D776D">
        <w:t xml:space="preserve"> lookback period for the product in respect of </w:t>
      </w:r>
      <w:r w:rsidR="004549F0">
        <w:t>a financial year</w:t>
      </w:r>
      <w:r w:rsidRPr="00D90D68">
        <w:t>;</w:t>
      </w:r>
    </w:p>
    <w:p w14:paraId="6574284A" w14:textId="77777777" w:rsidR="00272A08" w:rsidRDefault="00272A08" w:rsidP="00272A08">
      <w:pPr>
        <w:pStyle w:val="paragraphsub"/>
      </w:pPr>
      <w:r w:rsidRPr="00D90D68">
        <w:tab/>
        <w:t>(</w:t>
      </w:r>
      <w:r>
        <w:t>ii</w:t>
      </w:r>
      <w:r w:rsidRPr="00D90D68">
        <w:t>)</w:t>
      </w:r>
      <w:r w:rsidRPr="00D90D68">
        <w:tab/>
        <w:t xml:space="preserve">the product </w:t>
      </w:r>
      <w:r w:rsidR="004549F0">
        <w:t xml:space="preserve">has different </w:t>
      </w:r>
      <w:r w:rsidRPr="00D90D68">
        <w:t xml:space="preserve">lifestages </w:t>
      </w:r>
      <w:r w:rsidR="004549F0">
        <w:t>at</w:t>
      </w:r>
      <w:r w:rsidR="004D776D">
        <w:t xml:space="preserve"> </w:t>
      </w:r>
      <w:r w:rsidR="00C13C2D">
        <w:t xml:space="preserve">the end of </w:t>
      </w:r>
      <w:r w:rsidR="004D776D">
        <w:t xml:space="preserve">a later </w:t>
      </w:r>
      <w:r w:rsidR="00C13C2D">
        <w:t>quarter</w:t>
      </w:r>
      <w:r w:rsidR="004D776D">
        <w:t xml:space="preserve"> </w:t>
      </w:r>
      <w:r w:rsidR="004549F0">
        <w:t xml:space="preserve">in the </w:t>
      </w:r>
      <w:r w:rsidR="004D776D">
        <w:t>lookback period</w:t>
      </w:r>
      <w:r>
        <w:t>; and</w:t>
      </w:r>
    </w:p>
    <w:p w14:paraId="343A920C" w14:textId="77777777" w:rsidR="00C95175" w:rsidRDefault="00272A08" w:rsidP="00272A08">
      <w:pPr>
        <w:pStyle w:val="paragraph"/>
      </w:pPr>
      <w:r>
        <w:tab/>
        <w:t>(b)</w:t>
      </w:r>
      <w:r>
        <w:tab/>
      </w:r>
      <w:r w:rsidRPr="001D490D">
        <w:t>APRA make</w:t>
      </w:r>
      <w:r>
        <w:t>s</w:t>
      </w:r>
      <w:r w:rsidRPr="001D490D">
        <w:t xml:space="preserve"> a determination</w:t>
      </w:r>
      <w:r>
        <w:t xml:space="preserve"> under</w:t>
      </w:r>
      <w:r w:rsidRPr="00B86730">
        <w:t xml:space="preserve"> subregulation (</w:t>
      </w:r>
      <w:r w:rsidR="00DE394E" w:rsidRPr="00B86730">
        <w:t>5</w:t>
      </w:r>
      <w:r w:rsidRPr="00B86730">
        <w:t xml:space="preserve">) that </w:t>
      </w:r>
      <w:r>
        <w:t>specifies</w:t>
      </w:r>
      <w:r w:rsidR="00C95175">
        <w:t>:</w:t>
      </w:r>
    </w:p>
    <w:p w14:paraId="4601B72B" w14:textId="77777777" w:rsidR="00C95175" w:rsidRDefault="00C95175" w:rsidP="00C95175">
      <w:pPr>
        <w:pStyle w:val="paragraphsub"/>
      </w:pPr>
      <w:r>
        <w:tab/>
        <w:t>(i)</w:t>
      </w:r>
      <w:r>
        <w:tab/>
      </w:r>
      <w:r w:rsidR="00272A08">
        <w:t xml:space="preserve">the </w:t>
      </w:r>
      <w:r w:rsidR="00B86730">
        <w:t>Part 6</w:t>
      </w:r>
      <w:r w:rsidR="00272A08">
        <w:t>A product</w:t>
      </w:r>
      <w:r>
        <w:t>;</w:t>
      </w:r>
      <w:r w:rsidR="00272A08">
        <w:t xml:space="preserve"> and</w:t>
      </w:r>
    </w:p>
    <w:p w14:paraId="4ADCBA2C" w14:textId="77777777" w:rsidR="00C95175" w:rsidRDefault="00C95175" w:rsidP="00C95175">
      <w:pPr>
        <w:pStyle w:val="paragraphsub"/>
      </w:pPr>
      <w:r>
        <w:tab/>
        <w:t>(ii)</w:t>
      </w:r>
      <w:r>
        <w:tab/>
        <w:t xml:space="preserve">the superannuation entity that offers the </w:t>
      </w:r>
      <w:r w:rsidR="00B86730">
        <w:t>Part 6</w:t>
      </w:r>
      <w:r>
        <w:t>A product; and</w:t>
      </w:r>
    </w:p>
    <w:p w14:paraId="10DF03C0" w14:textId="77777777" w:rsidR="00DD6A02" w:rsidRDefault="00DD6A02" w:rsidP="00C95175">
      <w:pPr>
        <w:pStyle w:val="paragraphsub"/>
      </w:pPr>
      <w:r>
        <w:tab/>
        <w:t>(iii)</w:t>
      </w:r>
      <w:r>
        <w:tab/>
        <w:t xml:space="preserve">the </w:t>
      </w:r>
      <w:r w:rsidR="00C13C2D">
        <w:t xml:space="preserve">quarter </w:t>
      </w:r>
      <w:r>
        <w:t>mentioned in subparagraph (a)(i)</w:t>
      </w:r>
      <w:r w:rsidR="003D1C30">
        <w:t xml:space="preserve"> of this </w:t>
      </w:r>
      <w:r w:rsidR="00CF074E">
        <w:t>sub</w:t>
      </w:r>
      <w:r w:rsidR="003D1C30">
        <w:t>regulation</w:t>
      </w:r>
      <w:r>
        <w:t>; and</w:t>
      </w:r>
    </w:p>
    <w:p w14:paraId="569FA774" w14:textId="77777777" w:rsidR="00DD6A02" w:rsidRDefault="00DD6A02" w:rsidP="00C95175">
      <w:pPr>
        <w:pStyle w:val="paragraphsub"/>
      </w:pPr>
      <w:r>
        <w:tab/>
        <w:t>(iv)</w:t>
      </w:r>
      <w:r>
        <w:tab/>
        <w:t xml:space="preserve">the </w:t>
      </w:r>
      <w:r w:rsidR="00C13C2D">
        <w:t>quarter</w:t>
      </w:r>
      <w:r>
        <w:t xml:space="preserve"> mentioned in subparagraph (a)(ii)</w:t>
      </w:r>
      <w:r w:rsidR="00525139">
        <w:t>.</w:t>
      </w:r>
    </w:p>
    <w:p w14:paraId="45E7EAA7" w14:textId="77777777" w:rsidR="00272A08" w:rsidRPr="00354C8E" w:rsidRDefault="00272A08" w:rsidP="003B40F8">
      <w:pPr>
        <w:pStyle w:val="subsection"/>
      </w:pPr>
      <w:r w:rsidRPr="00B86730">
        <w:tab/>
        <w:t>(</w:t>
      </w:r>
      <w:r w:rsidR="00DE394E" w:rsidRPr="00B86730">
        <w:t>4</w:t>
      </w:r>
      <w:r w:rsidRPr="00B86730">
        <w:t>)</w:t>
      </w:r>
      <w:r w:rsidRPr="00B86730">
        <w:tab/>
        <w:t>Despite subregulation (2), t</w:t>
      </w:r>
      <w:r>
        <w:t xml:space="preserve">he </w:t>
      </w:r>
      <w:r>
        <w:rPr>
          <w:b/>
          <w:i/>
        </w:rPr>
        <w:t>actual return</w:t>
      </w:r>
      <w:r>
        <w:t xml:space="preserve">, for the </w:t>
      </w:r>
      <w:r w:rsidR="00B86730">
        <w:t>Part 6</w:t>
      </w:r>
      <w:r>
        <w:t xml:space="preserve">A product for the lookback period, is the amount calculated using the formula in </w:t>
      </w:r>
      <w:r w:rsidRPr="00B86730">
        <w:t>subregula</w:t>
      </w:r>
      <w:r>
        <w:t xml:space="preserve">tion (2), </w:t>
      </w:r>
      <w:r w:rsidRPr="00B86730">
        <w:t>as modified in the way specified in the determination</w:t>
      </w:r>
      <w:r w:rsidR="00525139">
        <w:t>.</w:t>
      </w:r>
    </w:p>
    <w:p w14:paraId="6D21D684" w14:textId="77777777" w:rsidR="00272A08" w:rsidRDefault="00272A08" w:rsidP="00272A08">
      <w:pPr>
        <w:pStyle w:val="subsection"/>
      </w:pPr>
      <w:r>
        <w:tab/>
        <w:t>(</w:t>
      </w:r>
      <w:r w:rsidR="00DE394E">
        <w:t>5</w:t>
      </w:r>
      <w:r>
        <w:t>)</w:t>
      </w:r>
      <w:r>
        <w:tab/>
        <w:t xml:space="preserve">For the purposes of </w:t>
      </w:r>
      <w:r w:rsidR="00B86730">
        <w:t>paragraph (</w:t>
      </w:r>
      <w:r w:rsidR="00DE394E">
        <w:t>3</w:t>
      </w:r>
      <w:r w:rsidRPr="001D490D">
        <w:t>)(b), APRA may make a determination, in writing, that</w:t>
      </w:r>
      <w:r>
        <w:t>:</w:t>
      </w:r>
    </w:p>
    <w:p w14:paraId="462F7B97" w14:textId="77777777" w:rsidR="00272A08" w:rsidRDefault="00272A08" w:rsidP="00272A08">
      <w:pPr>
        <w:pStyle w:val="paragraph"/>
      </w:pPr>
      <w:r>
        <w:tab/>
        <w:t>(a)</w:t>
      </w:r>
      <w:r>
        <w:tab/>
        <w:t>specifies:</w:t>
      </w:r>
    </w:p>
    <w:p w14:paraId="26A53097" w14:textId="77777777" w:rsidR="00272A08" w:rsidRDefault="00272A08" w:rsidP="00272A08">
      <w:pPr>
        <w:pStyle w:val="paragraphsub"/>
      </w:pPr>
      <w:r>
        <w:tab/>
        <w:t>(i)</w:t>
      </w:r>
      <w:r>
        <w:tab/>
        <w:t xml:space="preserve">a </w:t>
      </w:r>
      <w:r w:rsidR="00DE394E" w:rsidRPr="00D90D68">
        <w:t xml:space="preserve">lifecycle </w:t>
      </w:r>
      <w:r w:rsidR="00B86730">
        <w:t>Part 6</w:t>
      </w:r>
      <w:r>
        <w:t>A product; and</w:t>
      </w:r>
    </w:p>
    <w:p w14:paraId="2A45D771" w14:textId="77777777" w:rsidR="00C95175" w:rsidRDefault="00C95175" w:rsidP="00272A08">
      <w:pPr>
        <w:pStyle w:val="paragraphsub"/>
      </w:pPr>
      <w:r>
        <w:tab/>
        <w:t>(ii)</w:t>
      </w:r>
      <w:r>
        <w:tab/>
        <w:t xml:space="preserve">the superannuation entity that offers the </w:t>
      </w:r>
      <w:r w:rsidR="00B86730">
        <w:t>Part 6</w:t>
      </w:r>
      <w:r>
        <w:t>A product; and</w:t>
      </w:r>
    </w:p>
    <w:p w14:paraId="5466C192" w14:textId="77777777" w:rsidR="00272A08" w:rsidRDefault="00DD6A02" w:rsidP="00DD6A02">
      <w:pPr>
        <w:pStyle w:val="paragraphsub"/>
      </w:pPr>
      <w:r>
        <w:tab/>
        <w:t>(iii)</w:t>
      </w:r>
      <w:r>
        <w:tab/>
      </w:r>
      <w:r w:rsidR="00C13C2D">
        <w:t>2 quarters</w:t>
      </w:r>
      <w:r w:rsidR="00272A08">
        <w:t>; and</w:t>
      </w:r>
    </w:p>
    <w:p w14:paraId="051CEEBC" w14:textId="77777777" w:rsidR="00272A08" w:rsidRPr="00B86730" w:rsidRDefault="00272A08" w:rsidP="00272A08">
      <w:pPr>
        <w:pStyle w:val="paragraph"/>
      </w:pPr>
      <w:r>
        <w:tab/>
        <w:t>(b)</w:t>
      </w:r>
      <w:r>
        <w:tab/>
        <w:t xml:space="preserve">specifies modifications of the formula in subregulation (2) </w:t>
      </w:r>
      <w:r w:rsidRPr="00B86730">
        <w:t xml:space="preserve">that APRA considers are reasonably necessary to reflect the circumstances mentioned in </w:t>
      </w:r>
      <w:r w:rsidR="00B86730" w:rsidRPr="00B86730">
        <w:t>paragraph (</w:t>
      </w:r>
      <w:r w:rsidR="00DE394E" w:rsidRPr="00B86730">
        <w:t>3</w:t>
      </w:r>
      <w:r w:rsidRPr="00B86730">
        <w:t>)(a)</w:t>
      </w:r>
      <w:r w:rsidR="00525139">
        <w:t>.</w:t>
      </w:r>
    </w:p>
    <w:p w14:paraId="41FF5CF7" w14:textId="77777777" w:rsidR="00272A08" w:rsidRPr="005210A5" w:rsidRDefault="00272A08" w:rsidP="00272A08">
      <w:pPr>
        <w:pStyle w:val="subsection"/>
      </w:pPr>
      <w:r w:rsidRPr="005210A5">
        <w:tab/>
        <w:t>(</w:t>
      </w:r>
      <w:r w:rsidR="00DE394E">
        <w:t>6</w:t>
      </w:r>
      <w:r w:rsidRPr="005210A5">
        <w:t>)</w:t>
      </w:r>
      <w:r w:rsidRPr="005210A5">
        <w:tab/>
        <w:t xml:space="preserve">APRA must give a notice of the determination to the </w:t>
      </w:r>
      <w:r>
        <w:t xml:space="preserve">trustee of the </w:t>
      </w:r>
      <w:r w:rsidRPr="005210A5">
        <w:t>superannuation entity</w:t>
      </w:r>
      <w:r w:rsidR="00C95175">
        <w:t xml:space="preserve"> specified in the determination</w:t>
      </w:r>
      <w:r w:rsidR="00525139">
        <w:t>.</w:t>
      </w:r>
      <w:r w:rsidRPr="005210A5">
        <w:t xml:space="preserve"> The notice must:</w:t>
      </w:r>
    </w:p>
    <w:p w14:paraId="7C9E522F" w14:textId="77777777" w:rsidR="00272A08" w:rsidRPr="005210A5" w:rsidRDefault="00272A08" w:rsidP="00272A08">
      <w:pPr>
        <w:pStyle w:val="paragraph"/>
      </w:pPr>
      <w:r w:rsidRPr="005210A5">
        <w:tab/>
        <w:t>(a)</w:t>
      </w:r>
      <w:r w:rsidRPr="005210A5">
        <w:tab/>
        <w:t>be in writing; and</w:t>
      </w:r>
    </w:p>
    <w:p w14:paraId="60C3C8D6" w14:textId="77777777" w:rsidR="00272A08" w:rsidRPr="005210A5" w:rsidRDefault="00272A08" w:rsidP="00272A08">
      <w:pPr>
        <w:pStyle w:val="paragraph"/>
      </w:pPr>
      <w:r w:rsidRPr="005210A5">
        <w:tab/>
        <w:t>(b)</w:t>
      </w:r>
      <w:r w:rsidRPr="005210A5">
        <w:tab/>
        <w:t>include a copy of the determination</w:t>
      </w:r>
      <w:r w:rsidR="00525139">
        <w:t>.</w:t>
      </w:r>
    </w:p>
    <w:p w14:paraId="51FCAC02" w14:textId="77777777" w:rsidR="004D2CB9" w:rsidRPr="00656D77" w:rsidRDefault="00525139" w:rsidP="004D2CB9">
      <w:pPr>
        <w:pStyle w:val="ActHead5"/>
      </w:pPr>
      <w:bookmarkStart w:id="32" w:name="_Toc78797717"/>
      <w:r w:rsidRPr="0048118D">
        <w:rPr>
          <w:rStyle w:val="CharSectno"/>
        </w:rPr>
        <w:t>9AB.13</w:t>
      </w:r>
      <w:r w:rsidR="004D2CB9" w:rsidRPr="009855D9">
        <w:t xml:space="preserve">  Meaning of </w:t>
      </w:r>
      <w:r w:rsidR="009574EB">
        <w:rPr>
          <w:i/>
        </w:rPr>
        <w:t>benchmark return</w:t>
      </w:r>
      <w:r w:rsidR="004D2CB9">
        <w:t xml:space="preserve">—standard </w:t>
      </w:r>
      <w:r w:rsidR="00B86730">
        <w:t>Part 6</w:t>
      </w:r>
      <w:r w:rsidR="004D2CB9" w:rsidRPr="00C92D14">
        <w:t>A product</w:t>
      </w:r>
      <w:r w:rsidR="004D2CB9">
        <w:t>s</w:t>
      </w:r>
      <w:bookmarkEnd w:id="32"/>
    </w:p>
    <w:bookmarkEnd w:id="31"/>
    <w:p w14:paraId="655FA2A3" w14:textId="77777777" w:rsidR="00656D77" w:rsidRDefault="00FA09EE" w:rsidP="00656D77">
      <w:pPr>
        <w:pStyle w:val="subsection"/>
      </w:pPr>
      <w:r>
        <w:tab/>
        <w:t>(1)</w:t>
      </w:r>
      <w:r>
        <w:tab/>
      </w:r>
      <w:r w:rsidR="00656D77">
        <w:t xml:space="preserve">This </w:t>
      </w:r>
      <w:r w:rsidR="00D45949">
        <w:t>regulation</w:t>
      </w:r>
      <w:r w:rsidR="00656D77">
        <w:t xml:space="preserve"> applies to </w:t>
      </w:r>
      <w:r w:rsidR="00604B49">
        <w:t xml:space="preserve">standard </w:t>
      </w:r>
      <w:r w:rsidR="00B86730">
        <w:t>Part 6</w:t>
      </w:r>
      <w:r w:rsidR="00656D77">
        <w:t>A products</w:t>
      </w:r>
      <w:r w:rsidR="00525139">
        <w:t>.</w:t>
      </w:r>
    </w:p>
    <w:p w14:paraId="20EF4638" w14:textId="77777777" w:rsidR="002B6635" w:rsidRDefault="00FA09EE" w:rsidP="00C063AA">
      <w:pPr>
        <w:pStyle w:val="subsection"/>
      </w:pPr>
      <w:r>
        <w:lastRenderedPageBreak/>
        <w:tab/>
        <w:t>(2)</w:t>
      </w:r>
      <w:r>
        <w:tab/>
      </w:r>
      <w:r w:rsidR="001E3BC8">
        <w:t xml:space="preserve">The </w:t>
      </w:r>
      <w:r w:rsidR="001E3BC8">
        <w:rPr>
          <w:b/>
          <w:i/>
        </w:rPr>
        <w:t>benchm</w:t>
      </w:r>
      <w:bookmarkStart w:id="33" w:name="opcCurrentPosition"/>
      <w:bookmarkEnd w:id="33"/>
      <w:r w:rsidR="001E3BC8">
        <w:rPr>
          <w:b/>
          <w:i/>
        </w:rPr>
        <w:t>ark return</w:t>
      </w:r>
      <w:r w:rsidR="001E3BC8">
        <w:t xml:space="preserve">, for a </w:t>
      </w:r>
      <w:r w:rsidR="00B86730">
        <w:t>Part 6</w:t>
      </w:r>
      <w:r w:rsidR="001E3BC8">
        <w:t xml:space="preserve">A product for a lookback period for the product in respect of a financial year, </w:t>
      </w:r>
      <w:r w:rsidR="006F4922">
        <w:t xml:space="preserve">is </w:t>
      </w:r>
      <w:r w:rsidR="00686C34">
        <w:t xml:space="preserve">the amount calculated using the following formula, </w:t>
      </w:r>
      <w:r w:rsidR="00686C34" w:rsidRPr="00710634">
        <w:t xml:space="preserve">rounded to </w:t>
      </w:r>
      <w:r w:rsidR="00686C34">
        <w:t>4</w:t>
      </w:r>
      <w:r w:rsidR="00686C34" w:rsidRPr="00710634">
        <w:t xml:space="preserve"> decimal places (rounding up if the f</w:t>
      </w:r>
      <w:r w:rsidR="00686C34">
        <w:t>if</w:t>
      </w:r>
      <w:r w:rsidR="00686C34" w:rsidRPr="00710634">
        <w:t>th decimal place is 5 or more)</w:t>
      </w:r>
      <w:r w:rsidR="00686C34">
        <w:t>:</w:t>
      </w:r>
    </w:p>
    <w:p w14:paraId="1665A79D" w14:textId="77777777" w:rsidR="004258C7" w:rsidRPr="00FE11B6" w:rsidRDefault="00467F94" w:rsidP="00FE11B6">
      <w:pPr>
        <w:pStyle w:val="subsection2"/>
      </w:pPr>
      <w:r w:rsidRPr="00FE11B6">
        <w:object w:dxaOrig="6480" w:dyaOrig="2799" w14:anchorId="02898320">
          <v:shape id="_x0000_i1028" type="#_x0000_t75" alt="This formula calculates the benchmark return for the product." style="width:324pt;height:138.75pt" o:ole="">
            <v:imagedata r:id="rId25" o:title=""/>
          </v:shape>
          <o:OLEObject Type="Embed" ProgID="Equation.DSMT4" ShapeID="_x0000_i1028" DrawAspect="Content" ObjectID="_1689678727" r:id="rId26"/>
        </w:object>
      </w:r>
    </w:p>
    <w:p w14:paraId="54DC00A2" w14:textId="77777777" w:rsidR="00A57B86" w:rsidRPr="00CF6B43" w:rsidRDefault="00A57B86" w:rsidP="004258C7">
      <w:pPr>
        <w:pStyle w:val="subsection2"/>
      </w:pPr>
      <w:r>
        <w:t>where:</w:t>
      </w:r>
    </w:p>
    <w:p w14:paraId="17113573" w14:textId="77777777" w:rsidR="00A74C1C" w:rsidRDefault="00A74C1C" w:rsidP="00A57B86">
      <w:pPr>
        <w:pStyle w:val="Definition"/>
      </w:pPr>
      <w:r>
        <w:rPr>
          <w:b/>
          <w:i/>
        </w:rPr>
        <w:t>a</w:t>
      </w:r>
      <w:r>
        <w:t xml:space="preserve"> represents a covered asset class for the </w:t>
      </w:r>
      <w:r w:rsidR="00542C50">
        <w:t>quarter</w:t>
      </w:r>
      <w:r>
        <w:t xml:space="preserve">, where the value of </w:t>
      </w:r>
      <w:r w:rsidR="00C43BEE">
        <w:t>“</w:t>
      </w:r>
      <w:r>
        <w:t>a</w:t>
      </w:r>
      <w:r w:rsidR="00C43BEE">
        <w:t>”</w:t>
      </w:r>
      <w:r>
        <w:t xml:space="preserve"> corresponds to the number of the item of the table in </w:t>
      </w:r>
      <w:r w:rsidR="00D45949">
        <w:t>regulation</w:t>
      </w:r>
      <w:r>
        <w:t xml:space="preserve"> </w:t>
      </w:r>
      <w:r w:rsidR="00525139">
        <w:t>9AB.17</w:t>
      </w:r>
      <w:r>
        <w:t xml:space="preserve"> relating to the </w:t>
      </w:r>
      <w:r w:rsidR="00542C50">
        <w:t>quarter</w:t>
      </w:r>
      <w:r>
        <w:t xml:space="preserve"> that identifies that covered asset class for the </w:t>
      </w:r>
      <w:r w:rsidR="00542C50">
        <w:t>quarter</w:t>
      </w:r>
      <w:r w:rsidR="00525139">
        <w:t>.</w:t>
      </w:r>
    </w:p>
    <w:p w14:paraId="0A3C3427" w14:textId="77777777" w:rsidR="00A74C1C" w:rsidRPr="009349F6" w:rsidRDefault="00A74C1C" w:rsidP="009349F6">
      <w:pPr>
        <w:pStyle w:val="notetext"/>
      </w:pPr>
      <w:r>
        <w:t>Example:</w:t>
      </w:r>
      <w:r w:rsidR="004376E4">
        <w:tab/>
      </w:r>
      <w:r>
        <w:t xml:space="preserve">If </w:t>
      </w:r>
      <w:r w:rsidRPr="009349F6">
        <w:t>a=2</w:t>
      </w:r>
      <w:r>
        <w:t xml:space="preserve">, then </w:t>
      </w:r>
      <w:r w:rsidR="00C43BEE">
        <w:t>“</w:t>
      </w:r>
      <w:r>
        <w:t>a</w:t>
      </w:r>
      <w:r w:rsidR="00C43BEE">
        <w:t>”</w:t>
      </w:r>
      <w:r>
        <w:t xml:space="preserve"> represents the </w:t>
      </w:r>
      <w:r w:rsidRPr="009349F6">
        <w:t xml:space="preserve">covered asset class identified in </w:t>
      </w:r>
      <w:r w:rsidR="00B27E57">
        <w:t>item 2</w:t>
      </w:r>
      <w:r w:rsidRPr="009349F6">
        <w:t xml:space="preserve"> of the table in </w:t>
      </w:r>
      <w:r w:rsidR="00D45949">
        <w:t>regulation</w:t>
      </w:r>
      <w:r w:rsidRPr="009349F6">
        <w:t xml:space="preserve"> </w:t>
      </w:r>
      <w:r w:rsidR="00525139">
        <w:t>9AB.17</w:t>
      </w:r>
      <w:r w:rsidRPr="009349F6">
        <w:t xml:space="preserve"> that relates to the </w:t>
      </w:r>
      <w:r w:rsidR="00542C50">
        <w:t>quarter</w:t>
      </w:r>
      <w:r w:rsidR="00525139">
        <w:t>.</w:t>
      </w:r>
    </w:p>
    <w:p w14:paraId="42A9788F" w14:textId="77777777" w:rsidR="00A16538" w:rsidRDefault="00A16538" w:rsidP="009349F6">
      <w:pPr>
        <w:pStyle w:val="Definition"/>
      </w:pPr>
      <w:r>
        <w:rPr>
          <w:b/>
          <w:i/>
        </w:rPr>
        <w:t>A</w:t>
      </w:r>
      <w:r>
        <w:t xml:space="preserve"> means the number of covered asset classes identified in the table in </w:t>
      </w:r>
      <w:r w:rsidR="00D45949">
        <w:t>regulation</w:t>
      </w:r>
      <w:r>
        <w:t xml:space="preserve"> </w:t>
      </w:r>
      <w:r w:rsidR="00525139">
        <w:t>9AB.17</w:t>
      </w:r>
      <w:r>
        <w:t xml:space="preserve"> that relates to the </w:t>
      </w:r>
      <w:r w:rsidR="00542C50">
        <w:t>quarter</w:t>
      </w:r>
      <w:r w:rsidR="00525139">
        <w:t>.</w:t>
      </w:r>
    </w:p>
    <w:p w14:paraId="7A82EF38" w14:textId="77777777" w:rsidR="00C0341C" w:rsidRDefault="00C0341C" w:rsidP="00C0341C">
      <w:pPr>
        <w:pStyle w:val="Definition"/>
      </w:pPr>
      <w:r>
        <w:rPr>
          <w:b/>
          <w:i/>
        </w:rPr>
        <w:t>ART</w:t>
      </w:r>
      <w:r>
        <w:t xml:space="preserve">, in relation to a covered asset class and a quarter, means </w:t>
      </w:r>
      <w:r w:rsidR="00956925">
        <w:t xml:space="preserve">the </w:t>
      </w:r>
      <w:r w:rsidRPr="00C0341C">
        <w:t>assumed rate of tax</w:t>
      </w:r>
      <w:r>
        <w:t xml:space="preserve"> for </w:t>
      </w:r>
      <w:r w:rsidR="00956925">
        <w:t>the</w:t>
      </w:r>
      <w:r>
        <w:t xml:space="preserve"> quarter for </w:t>
      </w:r>
      <w:r w:rsidR="00956925">
        <w:t xml:space="preserve">the </w:t>
      </w:r>
      <w:r w:rsidRPr="00E7467F">
        <w:t>covered asset class</w:t>
      </w:r>
      <w:r w:rsidR="00525139">
        <w:t>.</w:t>
      </w:r>
    </w:p>
    <w:p w14:paraId="0C203F6B" w14:textId="77777777" w:rsidR="00A16538" w:rsidRDefault="00A16538" w:rsidP="00A16538">
      <w:pPr>
        <w:pStyle w:val="Definition"/>
      </w:pPr>
      <w:r>
        <w:rPr>
          <w:b/>
          <w:i/>
        </w:rPr>
        <w:t>fee</w:t>
      </w:r>
      <w:r w:rsidR="00C0341C">
        <w:t>, in relation to a covered asset class and a quarter,</w:t>
      </w:r>
      <w:r>
        <w:t xml:space="preserve"> means </w:t>
      </w:r>
      <w:r w:rsidR="00956925">
        <w:t xml:space="preserve">the </w:t>
      </w:r>
      <w:r>
        <w:t>assumed annual fee</w:t>
      </w:r>
      <w:r w:rsidR="00956925">
        <w:t xml:space="preserve"> for the quarter for the </w:t>
      </w:r>
      <w:r w:rsidR="00956925" w:rsidRPr="00E7467F">
        <w:t>covered asset class</w:t>
      </w:r>
      <w:r w:rsidR="00525139">
        <w:t>.</w:t>
      </w:r>
    </w:p>
    <w:p w14:paraId="4C2D99F4" w14:textId="77777777" w:rsidR="0061256F" w:rsidRPr="007C57DA" w:rsidRDefault="003C6E85" w:rsidP="007C57DA">
      <w:pPr>
        <w:pStyle w:val="Definition"/>
      </w:pPr>
      <w:r>
        <w:rPr>
          <w:b/>
          <w:i/>
        </w:rPr>
        <w:t>index</w:t>
      </w:r>
      <w:r w:rsidRPr="007C57DA">
        <w:t>, in relation to a covered asset class and a quarter, means the amount calculated using the following formula, rounded to 4 decimal places (rounding up if the fifth decimal place is 5 or more):</w:t>
      </w:r>
    </w:p>
    <w:p w14:paraId="0C77F452" w14:textId="77777777" w:rsidR="003C6E85" w:rsidRDefault="00467F94" w:rsidP="0061256F">
      <w:pPr>
        <w:pStyle w:val="Definition"/>
      </w:pPr>
      <w:r w:rsidRPr="00BF322B">
        <w:rPr>
          <w:position w:val="-56"/>
        </w:rPr>
        <w:object w:dxaOrig="5400" w:dyaOrig="1240" w14:anchorId="707803D1">
          <v:shape id="_x0000_i1029" type="#_x0000_t75" alt="This formula calculates the index in relation to a covered asset class and a quarter." style="width:270.75pt;height:62.25pt" o:ole="">
            <v:imagedata r:id="rId27" o:title=""/>
          </v:shape>
          <o:OLEObject Type="Embed" ProgID="Equation.DSMT4" ShapeID="_x0000_i1029" DrawAspect="Content" ObjectID="_1689678728" r:id="rId28"/>
        </w:object>
      </w:r>
    </w:p>
    <w:p w14:paraId="70E4969F" w14:textId="77777777" w:rsidR="003C6E85" w:rsidRDefault="003C6E85" w:rsidP="003C6E85">
      <w:pPr>
        <w:pStyle w:val="notetext"/>
      </w:pPr>
      <w:r>
        <w:t>Note:</w:t>
      </w:r>
      <w:r>
        <w:tab/>
        <w:t xml:space="preserve">For the covered asset class for a quarter that is identified in </w:t>
      </w:r>
      <w:r w:rsidR="00B86730">
        <w:t>item 1</w:t>
      </w:r>
      <w:r w:rsidR="00D70A8F">
        <w:t>6</w:t>
      </w:r>
      <w:r>
        <w:t xml:space="preserve"> of the table in regulation </w:t>
      </w:r>
      <w:r w:rsidR="00525139">
        <w:t>9AB.17</w:t>
      </w:r>
      <w:r w:rsidRPr="001D490D">
        <w:t xml:space="preserve"> (other</w:t>
      </w:r>
      <w:r>
        <w:t>/commodities</w:t>
      </w:r>
      <w:r w:rsidRPr="001D490D">
        <w:t xml:space="preserve"> asset class), see subregulations (</w:t>
      </w:r>
      <w:r w:rsidR="0000589E">
        <w:t>6</w:t>
      </w:r>
      <w:r w:rsidRPr="001D490D">
        <w:t>) and (</w:t>
      </w:r>
      <w:r w:rsidR="0000589E">
        <w:t>7</w:t>
      </w:r>
      <w:r w:rsidRPr="001D490D">
        <w:t>)</w:t>
      </w:r>
      <w:r w:rsidR="007434F8">
        <w:t xml:space="preserve"> of this regulation</w:t>
      </w:r>
      <w:r w:rsidR="00525139">
        <w:t>.</w:t>
      </w:r>
    </w:p>
    <w:p w14:paraId="0C7351BE" w14:textId="77777777" w:rsidR="0040235E" w:rsidRDefault="0040235E" w:rsidP="0040235E">
      <w:pPr>
        <w:pStyle w:val="Definition"/>
      </w:pPr>
      <w:r w:rsidRPr="00CF6B43">
        <w:rPr>
          <w:b/>
          <w:i/>
        </w:rPr>
        <w:t>n</w:t>
      </w:r>
      <w:r>
        <w:t xml:space="preserve"> </w:t>
      </w:r>
      <w:r w:rsidRPr="00507164">
        <w:t>means the number of quarters in the lookback period, divided by 4</w:t>
      </w:r>
      <w:r w:rsidR="00525139">
        <w:t>.</w:t>
      </w:r>
    </w:p>
    <w:p w14:paraId="3F13A2CA" w14:textId="77777777" w:rsidR="007446A8" w:rsidRDefault="007446A8" w:rsidP="007446A8">
      <w:pPr>
        <w:pStyle w:val="Definition"/>
      </w:pPr>
      <w:r>
        <w:rPr>
          <w:b/>
          <w:i/>
        </w:rPr>
        <w:t>SAA</w:t>
      </w:r>
      <w:r>
        <w:t>, in relation to a covered asset class and a quarter,</w:t>
      </w:r>
      <w:r>
        <w:rPr>
          <w:b/>
          <w:i/>
        </w:rPr>
        <w:t xml:space="preserve"> </w:t>
      </w:r>
      <w:r w:rsidR="00715A66">
        <w:t>has the meaning given by sub</w:t>
      </w:r>
      <w:r w:rsidR="00D45949">
        <w:t>regulation</w:t>
      </w:r>
      <w:r w:rsidR="00715A66">
        <w:t xml:space="preserve"> (</w:t>
      </w:r>
      <w:r w:rsidR="00FA09EE">
        <w:t>3</w:t>
      </w:r>
      <w:r w:rsidR="00715A66">
        <w:t>)</w:t>
      </w:r>
      <w:r w:rsidR="00525139">
        <w:t>.</w:t>
      </w:r>
    </w:p>
    <w:p w14:paraId="6F590522" w14:textId="77777777" w:rsidR="00FA5F42" w:rsidRDefault="00FA5F42" w:rsidP="00FA5F42">
      <w:pPr>
        <w:pStyle w:val="Definition"/>
      </w:pPr>
      <w:r w:rsidRPr="00CF6B43">
        <w:rPr>
          <w:b/>
          <w:i/>
        </w:rPr>
        <w:t>t</w:t>
      </w:r>
      <w:r>
        <w:t xml:space="preserve"> represents a </w:t>
      </w:r>
      <w:r w:rsidR="00542C50">
        <w:t>quarter</w:t>
      </w:r>
      <w:r>
        <w:t xml:space="preserve"> in a </w:t>
      </w:r>
      <w:r w:rsidR="00CE0CB6">
        <w:t xml:space="preserve">consecutive </w:t>
      </w:r>
      <w:r>
        <w:t xml:space="preserve">sequence of </w:t>
      </w:r>
      <w:r w:rsidR="00542C50">
        <w:t>quarter</w:t>
      </w:r>
      <w:r>
        <w:t xml:space="preserve">s, where if t=1, the </w:t>
      </w:r>
      <w:r w:rsidR="00542C50">
        <w:t>quarter</w:t>
      </w:r>
      <w:r>
        <w:t xml:space="preserve"> is the first quarter that starts in the lookback period</w:t>
      </w:r>
      <w:r w:rsidR="00525139">
        <w:t>.</w:t>
      </w:r>
    </w:p>
    <w:p w14:paraId="4526DCD1" w14:textId="77777777" w:rsidR="00715A66" w:rsidRDefault="00FA09EE" w:rsidP="00715A66">
      <w:pPr>
        <w:pStyle w:val="subsection"/>
      </w:pPr>
      <w:r>
        <w:tab/>
        <w:t>(3)</w:t>
      </w:r>
      <w:r>
        <w:tab/>
      </w:r>
      <w:r w:rsidR="00715A66">
        <w:t>For the purposes of sub</w:t>
      </w:r>
      <w:r w:rsidR="00D45949">
        <w:t>regulation</w:t>
      </w:r>
      <w:r w:rsidR="00715A66">
        <w:t xml:space="preserve"> (</w:t>
      </w:r>
      <w:r>
        <w:t>2</w:t>
      </w:r>
      <w:r w:rsidR="00715A66">
        <w:t xml:space="preserve">), </w:t>
      </w:r>
      <w:r w:rsidR="00715A66">
        <w:rPr>
          <w:b/>
          <w:i/>
        </w:rPr>
        <w:t>SAA</w:t>
      </w:r>
      <w:r w:rsidR="00715A66">
        <w:t>, in relation to a covered asset class and a quarter,</w:t>
      </w:r>
      <w:r w:rsidR="00715A66">
        <w:rPr>
          <w:b/>
          <w:i/>
        </w:rPr>
        <w:t xml:space="preserve"> </w:t>
      </w:r>
      <w:r w:rsidR="00715A66">
        <w:t>means</w:t>
      </w:r>
      <w:r w:rsidR="001C3F43">
        <w:t>:</w:t>
      </w:r>
    </w:p>
    <w:p w14:paraId="7EF21451" w14:textId="77777777" w:rsidR="00715A66" w:rsidRDefault="00715A66" w:rsidP="00715A66">
      <w:pPr>
        <w:pStyle w:val="paragraph"/>
      </w:pPr>
      <w:r>
        <w:lastRenderedPageBreak/>
        <w:tab/>
        <w:t>(a)</w:t>
      </w:r>
      <w:r>
        <w:tab/>
        <w:t xml:space="preserve">unless </w:t>
      </w:r>
      <w:r w:rsidR="00B86730">
        <w:t>paragraph (</w:t>
      </w:r>
      <w:r>
        <w:t>b) or (c) applies—the product</w:t>
      </w:r>
      <w:r w:rsidR="00C43BEE">
        <w:t>’</w:t>
      </w:r>
      <w:r>
        <w:t>s strategic asset allocation to the covered asset class in relation to the quarter</w:t>
      </w:r>
      <w:r w:rsidR="00130E84">
        <w:t xml:space="preserve"> (expressed as a fraction)</w:t>
      </w:r>
      <w:r>
        <w:t>; or</w:t>
      </w:r>
    </w:p>
    <w:p w14:paraId="280251D3" w14:textId="77777777" w:rsidR="00715A66" w:rsidRDefault="00715A66" w:rsidP="00715A66">
      <w:pPr>
        <w:pStyle w:val="paragraph"/>
      </w:pPr>
      <w:r>
        <w:tab/>
        <w:t>(b)</w:t>
      </w:r>
      <w:r>
        <w:tab/>
        <w:t xml:space="preserve">unless </w:t>
      </w:r>
      <w:r w:rsidR="00B86730">
        <w:t>paragraph (</w:t>
      </w:r>
      <w:r>
        <w:t>c) applies, if the product does not have a strategic asset allocation to the covered asset class in relation to the quarter—zero; or</w:t>
      </w:r>
    </w:p>
    <w:p w14:paraId="7C09E2CA" w14:textId="77777777" w:rsidR="00002C41" w:rsidRDefault="00715A66" w:rsidP="00002C41">
      <w:pPr>
        <w:pStyle w:val="paragraph"/>
      </w:pPr>
      <w:r>
        <w:tab/>
        <w:t>(c)</w:t>
      </w:r>
      <w:r>
        <w:tab/>
      </w:r>
      <w:r w:rsidR="00002C41">
        <w:t xml:space="preserve">if the quarter is before the first quarter (the </w:t>
      </w:r>
      <w:r w:rsidR="00002C41" w:rsidRPr="00ED779C">
        <w:rPr>
          <w:b/>
          <w:i/>
        </w:rPr>
        <w:t>initial quarter</w:t>
      </w:r>
      <w:r w:rsidR="00002C41">
        <w:t xml:space="preserve">) in relation to which the trustee of the superannuation </w:t>
      </w:r>
      <w:r w:rsidR="00AA7FBA">
        <w:t>entity that offer</w:t>
      </w:r>
      <w:r w:rsidR="00C13C2D">
        <w:t>ed</w:t>
      </w:r>
      <w:r w:rsidR="00AA7FBA">
        <w:t xml:space="preserve"> the Part 6A product </w:t>
      </w:r>
      <w:r w:rsidR="00002C41">
        <w:t xml:space="preserve">reported to APRA, </w:t>
      </w:r>
      <w:r w:rsidR="009E6638">
        <w:t xml:space="preserve">in accordance with </w:t>
      </w:r>
      <w:r w:rsidR="00002C41">
        <w:t>the</w:t>
      </w:r>
      <w:r w:rsidR="00CF074E">
        <w:t xml:space="preserve"> applicable</w:t>
      </w:r>
      <w:r w:rsidR="00002C41">
        <w:t xml:space="preserve"> </w:t>
      </w:r>
      <w:r w:rsidR="00002C41" w:rsidRPr="00834E8A">
        <w:t>investment performance standard</w:t>
      </w:r>
      <w:r w:rsidR="00002C41">
        <w:t xml:space="preserve">, a net return </w:t>
      </w:r>
      <w:r w:rsidR="00B12A51">
        <w:t>of</w:t>
      </w:r>
      <w:r w:rsidR="00002C41">
        <w:t xml:space="preserve"> the </w:t>
      </w:r>
      <w:r w:rsidR="00B86730">
        <w:t>Part 6</w:t>
      </w:r>
      <w:r w:rsidR="00002C41">
        <w:t>A product—t</w:t>
      </w:r>
      <w:r w:rsidR="001C3F43">
        <w:t>he product</w:t>
      </w:r>
      <w:r w:rsidR="00C43BEE">
        <w:t>’</w:t>
      </w:r>
      <w:r w:rsidR="001C3F43">
        <w:t xml:space="preserve">s strategic asset allocation </w:t>
      </w:r>
      <w:r w:rsidR="00002C41">
        <w:t xml:space="preserve">to the covered asset class </w:t>
      </w:r>
      <w:r w:rsidR="001C3F43">
        <w:t xml:space="preserve">in relation to </w:t>
      </w:r>
      <w:r w:rsidR="00002C41">
        <w:t>the initial quarter</w:t>
      </w:r>
      <w:r w:rsidR="00130E84">
        <w:t xml:space="preserve"> (expressed as a fraction)</w:t>
      </w:r>
      <w:r w:rsidR="00525139">
        <w:t>.</w:t>
      </w:r>
    </w:p>
    <w:p w14:paraId="224E691A" w14:textId="77777777" w:rsidR="00171395" w:rsidRDefault="00171395" w:rsidP="00171395">
      <w:pPr>
        <w:pStyle w:val="subsection"/>
      </w:pPr>
      <w:bookmarkStart w:id="34" w:name="_Hlk67563307"/>
      <w:bookmarkStart w:id="35" w:name="_Hlk67563407"/>
      <w:r>
        <w:tab/>
        <w:t>(</w:t>
      </w:r>
      <w:r w:rsidR="009B770E">
        <w:t>4</w:t>
      </w:r>
      <w:r>
        <w:t>)</w:t>
      </w:r>
      <w:r>
        <w:tab/>
      </w:r>
      <w:r w:rsidR="00BE556A" w:rsidRPr="00B86730">
        <w:t>Subregula</w:t>
      </w:r>
      <w:r w:rsidR="00BE556A">
        <w:t xml:space="preserve">tion </w:t>
      </w:r>
      <w:r>
        <w:t>(</w:t>
      </w:r>
      <w:r w:rsidR="009B770E">
        <w:t>5</w:t>
      </w:r>
      <w:r>
        <w:t xml:space="preserve">) applies, for the purposes of the definition of </w:t>
      </w:r>
      <w:r>
        <w:rPr>
          <w:b/>
          <w:i/>
        </w:rPr>
        <w:t>index</w:t>
      </w:r>
      <w:r>
        <w:t xml:space="preserve">, in relation to a covered asset class and a quarter, in </w:t>
      </w:r>
      <w:r w:rsidR="00BE556A" w:rsidRPr="00B86730">
        <w:t>subregula</w:t>
      </w:r>
      <w:r w:rsidR="00BE556A">
        <w:t xml:space="preserve">tion </w:t>
      </w:r>
      <w:r>
        <w:t>(2), if:</w:t>
      </w:r>
    </w:p>
    <w:p w14:paraId="3522DEE4" w14:textId="77777777" w:rsidR="00171395" w:rsidRDefault="00171395" w:rsidP="00171395">
      <w:pPr>
        <w:pStyle w:val="paragraph"/>
      </w:pPr>
      <w:r>
        <w:tab/>
        <w:t>(a)</w:t>
      </w:r>
      <w:r>
        <w:tab/>
        <w:t>the</w:t>
      </w:r>
      <w:r w:rsidRPr="00B76CF1">
        <w:t xml:space="preserve"> covered asset class for </w:t>
      </w:r>
      <w:r>
        <w:t>the</w:t>
      </w:r>
      <w:r w:rsidRPr="00B76CF1">
        <w:t xml:space="preserve"> quarter is identified in </w:t>
      </w:r>
      <w:r w:rsidR="00B86730">
        <w:t>item 1</w:t>
      </w:r>
      <w:r w:rsidR="00D70A8F">
        <w:t>0</w:t>
      </w:r>
      <w:r>
        <w:t xml:space="preserve"> or </w:t>
      </w:r>
      <w:r w:rsidR="00D70A8F">
        <w:t>11</w:t>
      </w:r>
      <w:r>
        <w:t xml:space="preserve"> </w:t>
      </w:r>
      <w:r w:rsidRPr="00B76CF1">
        <w:t xml:space="preserve">of the table in regulation </w:t>
      </w:r>
      <w:r w:rsidR="00525139">
        <w:t>9AB.17</w:t>
      </w:r>
      <w:r w:rsidRPr="00B76CF1">
        <w:t xml:space="preserve"> relating to the quarter</w:t>
      </w:r>
      <w:r>
        <w:t>; and</w:t>
      </w:r>
    </w:p>
    <w:p w14:paraId="15CD9F81" w14:textId="77777777" w:rsidR="00171395" w:rsidRPr="00910E1F" w:rsidRDefault="00171395" w:rsidP="00171395">
      <w:pPr>
        <w:pStyle w:val="paragraph"/>
      </w:pPr>
      <w:r>
        <w:tab/>
        <w:t>(b)</w:t>
      </w:r>
      <w:r>
        <w:tab/>
        <w:t xml:space="preserve">the value at the end of the quarter of the assumed index for the covered asset class for the quarter </w:t>
      </w:r>
      <w:r w:rsidRPr="00910E1F">
        <w:t xml:space="preserve">is not publicly available earlier than </w:t>
      </w:r>
      <w:r w:rsidR="007C57DA">
        <w:t>36</w:t>
      </w:r>
      <w:r w:rsidRPr="00910E1F">
        <w:t xml:space="preserve"> days after the end of the financial year</w:t>
      </w:r>
      <w:r w:rsidR="00525139">
        <w:t>.</w:t>
      </w:r>
    </w:p>
    <w:p w14:paraId="0C6CE711" w14:textId="77777777" w:rsidR="00171395" w:rsidRDefault="00171395" w:rsidP="00171395">
      <w:pPr>
        <w:pStyle w:val="subsection"/>
      </w:pPr>
      <w:r>
        <w:tab/>
        <w:t>(</w:t>
      </w:r>
      <w:r w:rsidR="009B770E">
        <w:t>5</w:t>
      </w:r>
      <w:r>
        <w:t>)</w:t>
      </w:r>
      <w:r>
        <w:tab/>
        <w:t>For those purposes:</w:t>
      </w:r>
    </w:p>
    <w:p w14:paraId="48E92A6D" w14:textId="77777777" w:rsidR="00171395" w:rsidRPr="000427D0" w:rsidRDefault="00171395" w:rsidP="00171395">
      <w:pPr>
        <w:pStyle w:val="paragraph"/>
      </w:pPr>
      <w:r>
        <w:tab/>
        <w:t>(a)</w:t>
      </w:r>
      <w:r>
        <w:tab/>
        <w:t xml:space="preserve">treat the value at the end of the quarter of the assumed index for the covered asset class for the quarter as being the value at the end of the quarter of the assumed index for the covered asset class </w:t>
      </w:r>
      <w:r w:rsidRPr="00B76CF1">
        <w:t xml:space="preserve">identified in </w:t>
      </w:r>
      <w:r w:rsidR="00B86730">
        <w:t>item 6</w:t>
      </w:r>
      <w:r>
        <w:t xml:space="preserve"> </w:t>
      </w:r>
      <w:r w:rsidRPr="00B76CF1">
        <w:t xml:space="preserve">of the table in regulation </w:t>
      </w:r>
      <w:r w:rsidR="00525139">
        <w:t>9AB.17</w:t>
      </w:r>
      <w:r w:rsidRPr="00B76CF1">
        <w:t xml:space="preserve"> </w:t>
      </w:r>
      <w:r>
        <w:t xml:space="preserve">for </w:t>
      </w:r>
      <w:r w:rsidRPr="00B76CF1">
        <w:t>the quarter</w:t>
      </w:r>
      <w:r>
        <w:t>; and</w:t>
      </w:r>
    </w:p>
    <w:p w14:paraId="340D7ABB" w14:textId="77777777" w:rsidR="00171395" w:rsidRPr="000427D0" w:rsidRDefault="00171395" w:rsidP="00171395">
      <w:pPr>
        <w:pStyle w:val="paragraph"/>
      </w:pPr>
      <w:r>
        <w:tab/>
        <w:t>(b)</w:t>
      </w:r>
      <w:r>
        <w:tab/>
        <w:t xml:space="preserve">treat the value at the end of the previous quarter of the assumed index for the covered asset class for the previous quarter as being the value at the end of the previous quarter of the assumed index for the covered asset class </w:t>
      </w:r>
      <w:r w:rsidRPr="00B76CF1">
        <w:t xml:space="preserve">identified in </w:t>
      </w:r>
      <w:r w:rsidR="00B86730">
        <w:t>item 6</w:t>
      </w:r>
      <w:r>
        <w:t xml:space="preserve"> </w:t>
      </w:r>
      <w:r w:rsidRPr="00B76CF1">
        <w:t xml:space="preserve">of the table in regulation </w:t>
      </w:r>
      <w:r w:rsidR="00525139">
        <w:t>9AB.17</w:t>
      </w:r>
      <w:r w:rsidRPr="00B76CF1">
        <w:t xml:space="preserve"> </w:t>
      </w:r>
      <w:r>
        <w:t xml:space="preserve">for </w:t>
      </w:r>
      <w:r w:rsidRPr="00B76CF1">
        <w:t xml:space="preserve">the </w:t>
      </w:r>
      <w:r>
        <w:t xml:space="preserve">previous </w:t>
      </w:r>
      <w:r w:rsidRPr="00B76CF1">
        <w:t>quarter</w:t>
      </w:r>
      <w:r w:rsidR="00525139">
        <w:t>.</w:t>
      </w:r>
    </w:p>
    <w:p w14:paraId="042A1754" w14:textId="77777777" w:rsidR="00B76CF1" w:rsidRPr="00B76CF1" w:rsidRDefault="00FA09EE" w:rsidP="00B76CF1">
      <w:pPr>
        <w:pStyle w:val="subsection"/>
      </w:pPr>
      <w:r>
        <w:tab/>
        <w:t>(</w:t>
      </w:r>
      <w:r w:rsidR="009B770E">
        <w:t>6</w:t>
      </w:r>
      <w:r>
        <w:t>)</w:t>
      </w:r>
      <w:r>
        <w:tab/>
      </w:r>
      <w:r w:rsidR="00B76CF1" w:rsidRPr="00B76CF1">
        <w:t>Sub</w:t>
      </w:r>
      <w:r w:rsidR="00E75FDB">
        <w:t>regulation</w:t>
      </w:r>
      <w:r w:rsidR="00B76CF1" w:rsidRPr="00B76CF1">
        <w:t xml:space="preserve"> (</w:t>
      </w:r>
      <w:r w:rsidR="009B770E">
        <w:t>7</w:t>
      </w:r>
      <w:r w:rsidR="00B76CF1" w:rsidRPr="00B76CF1">
        <w:t xml:space="preserve">) applies in relation to the covered asset class for a quarter that is identified in </w:t>
      </w:r>
      <w:r w:rsidR="00B86730">
        <w:t>item 1</w:t>
      </w:r>
      <w:r w:rsidR="00D70A8F">
        <w:t>6</w:t>
      </w:r>
      <w:r w:rsidR="00B76CF1" w:rsidRPr="00B76CF1">
        <w:t xml:space="preserve"> of the table in regulation </w:t>
      </w:r>
      <w:r w:rsidR="00525139">
        <w:t>9AB.17</w:t>
      </w:r>
      <w:r w:rsidR="00B76CF1" w:rsidRPr="00B76CF1">
        <w:t xml:space="preserve"> relating to the quarter</w:t>
      </w:r>
      <w:r w:rsidR="00525139">
        <w:t>.</w:t>
      </w:r>
    </w:p>
    <w:p w14:paraId="5DCD9841" w14:textId="77777777" w:rsidR="00B76CF1" w:rsidRPr="00B76CF1" w:rsidRDefault="00FA09EE" w:rsidP="00B76CF1">
      <w:pPr>
        <w:pStyle w:val="subsection"/>
      </w:pPr>
      <w:r>
        <w:tab/>
        <w:t>(</w:t>
      </w:r>
      <w:r w:rsidR="009B770E">
        <w:t>7</w:t>
      </w:r>
      <w:r>
        <w:t>)</w:t>
      </w:r>
      <w:r>
        <w:tab/>
      </w:r>
      <w:r w:rsidR="00B76CF1" w:rsidRPr="00B76CF1">
        <w:t>For the purposes of sub</w:t>
      </w:r>
      <w:r w:rsidR="00E75FDB">
        <w:t>regulation</w:t>
      </w:r>
      <w:r w:rsidR="00B76CF1" w:rsidRPr="00B76CF1">
        <w:t xml:space="preserve"> (</w:t>
      </w:r>
      <w:r>
        <w:t>2</w:t>
      </w:r>
      <w:r w:rsidR="00B76CF1" w:rsidRPr="00B76CF1">
        <w:t xml:space="preserve">), treat </w:t>
      </w:r>
      <w:r w:rsidR="00B76CF1" w:rsidRPr="00B76CF1">
        <w:rPr>
          <w:b/>
          <w:i/>
        </w:rPr>
        <w:t>index</w:t>
      </w:r>
      <w:r w:rsidR="00B76CF1" w:rsidRPr="00B76CF1">
        <w:t>, in relation to that covered asset class and the quarter, as being the sum of the following:</w:t>
      </w:r>
    </w:p>
    <w:p w14:paraId="3356CBEF" w14:textId="77777777" w:rsidR="00B76CF1" w:rsidRPr="00B76CF1" w:rsidRDefault="00B76CF1" w:rsidP="00B76CF1">
      <w:pPr>
        <w:pStyle w:val="paragraph"/>
      </w:pPr>
      <w:r w:rsidRPr="00B76CF1">
        <w:tab/>
        <w:t>(a)</w:t>
      </w:r>
      <w:r w:rsidRPr="00B76CF1">
        <w:tab/>
        <w:t>25% of the index (worked out in accordance with sub</w:t>
      </w:r>
      <w:r w:rsidR="00E75FDB">
        <w:t>regulation</w:t>
      </w:r>
      <w:r w:rsidRPr="00B76CF1">
        <w:t xml:space="preserve"> (</w:t>
      </w:r>
      <w:r w:rsidR="00FA09EE">
        <w:t>2</w:t>
      </w:r>
      <w:r w:rsidRPr="00B76CF1">
        <w:t xml:space="preserve">)) in relation to the covered asset class identified in </w:t>
      </w:r>
      <w:r w:rsidR="00B27E57">
        <w:t>item 2</w:t>
      </w:r>
      <w:r w:rsidRPr="00B76CF1">
        <w:t xml:space="preserve"> of the table in regulation </w:t>
      </w:r>
      <w:r w:rsidR="00525139">
        <w:t>9AB.17</w:t>
      </w:r>
      <w:r w:rsidRPr="00B76CF1">
        <w:t xml:space="preserve"> and the quarter;</w:t>
      </w:r>
    </w:p>
    <w:p w14:paraId="23DA4CE5" w14:textId="77777777" w:rsidR="00B76CF1" w:rsidRPr="00B76CF1" w:rsidRDefault="00B76CF1" w:rsidP="00B76CF1">
      <w:pPr>
        <w:pStyle w:val="paragraph"/>
      </w:pPr>
      <w:r w:rsidRPr="00B76CF1">
        <w:tab/>
        <w:t>(b)</w:t>
      </w:r>
      <w:r w:rsidRPr="00B76CF1">
        <w:tab/>
        <w:t>25% of the index (worked out in accordance with sub</w:t>
      </w:r>
      <w:r w:rsidR="00E75FDB">
        <w:t>regulation</w:t>
      </w:r>
      <w:r w:rsidRPr="00B76CF1">
        <w:t xml:space="preserve"> (</w:t>
      </w:r>
      <w:r w:rsidR="00FA09EE">
        <w:t>2</w:t>
      </w:r>
      <w:r w:rsidRPr="00B76CF1">
        <w:t xml:space="preserve">)) in relation to the covered asset class identified in </w:t>
      </w:r>
      <w:r w:rsidR="00B27E57">
        <w:t>item 3</w:t>
      </w:r>
      <w:r w:rsidRPr="00B76CF1">
        <w:t xml:space="preserve"> of that table and the quarter;</w:t>
      </w:r>
    </w:p>
    <w:p w14:paraId="08C4A218" w14:textId="77777777" w:rsidR="00B76CF1" w:rsidRPr="00D142D6" w:rsidRDefault="00B76CF1" w:rsidP="00B76CF1">
      <w:pPr>
        <w:pStyle w:val="paragraph"/>
      </w:pPr>
      <w:r w:rsidRPr="00B76CF1">
        <w:tab/>
        <w:t>(c)</w:t>
      </w:r>
      <w:r w:rsidRPr="00B76CF1">
        <w:tab/>
        <w:t>50% of the index (worked out in accordance with sub</w:t>
      </w:r>
      <w:r w:rsidR="00E75FDB">
        <w:t>regulation</w:t>
      </w:r>
      <w:r w:rsidRPr="00B76CF1">
        <w:t xml:space="preserve"> (</w:t>
      </w:r>
      <w:r w:rsidR="00FA09EE">
        <w:t>2</w:t>
      </w:r>
      <w:r w:rsidRPr="00B76CF1">
        <w:t xml:space="preserve">)) in relation to the covered asset class identified in </w:t>
      </w:r>
      <w:r w:rsidR="00B86730">
        <w:t>item 1</w:t>
      </w:r>
      <w:r w:rsidR="004E677A">
        <w:t>3</w:t>
      </w:r>
      <w:r w:rsidRPr="00B76CF1">
        <w:t xml:space="preserve"> of that table and the quarter</w:t>
      </w:r>
      <w:bookmarkEnd w:id="34"/>
      <w:r w:rsidR="00525139">
        <w:t>.</w:t>
      </w:r>
    </w:p>
    <w:p w14:paraId="7A8B2F55" w14:textId="77777777" w:rsidR="00656D77" w:rsidRPr="00656D77" w:rsidRDefault="00525139" w:rsidP="00656D77">
      <w:pPr>
        <w:pStyle w:val="ActHead5"/>
      </w:pPr>
      <w:bookmarkStart w:id="36" w:name="_Toc78797718"/>
      <w:bookmarkEnd w:id="35"/>
      <w:r w:rsidRPr="0048118D">
        <w:rPr>
          <w:rStyle w:val="CharSectno"/>
        </w:rPr>
        <w:t>9AB.14</w:t>
      </w:r>
      <w:r w:rsidR="00656D77" w:rsidRPr="009855D9">
        <w:t xml:space="preserve">  Meaning of </w:t>
      </w:r>
      <w:r w:rsidR="009574EB">
        <w:rPr>
          <w:i/>
        </w:rPr>
        <w:t>benchmark return</w:t>
      </w:r>
      <w:r w:rsidR="00656D77">
        <w:t xml:space="preserve">—lifecycle </w:t>
      </w:r>
      <w:r w:rsidR="00B86730">
        <w:t>Part 6</w:t>
      </w:r>
      <w:r w:rsidR="00656D77" w:rsidRPr="00C92D14">
        <w:t>A product</w:t>
      </w:r>
      <w:r w:rsidR="00656D77">
        <w:t>s</w:t>
      </w:r>
      <w:bookmarkEnd w:id="36"/>
    </w:p>
    <w:p w14:paraId="48A3CE0F" w14:textId="77777777" w:rsidR="00656D77" w:rsidRDefault="005B565A" w:rsidP="00656D77">
      <w:pPr>
        <w:pStyle w:val="subsection"/>
      </w:pPr>
      <w:r>
        <w:tab/>
        <w:t>(1)</w:t>
      </w:r>
      <w:r>
        <w:tab/>
      </w:r>
      <w:r w:rsidR="00656D77">
        <w:t xml:space="preserve">This </w:t>
      </w:r>
      <w:r w:rsidR="00D45949">
        <w:t>regulation</w:t>
      </w:r>
      <w:r w:rsidR="00656D77">
        <w:t xml:space="preserve"> applies to </w:t>
      </w:r>
      <w:r w:rsidR="00604B49">
        <w:t xml:space="preserve">lifecycle </w:t>
      </w:r>
      <w:r w:rsidR="00B86730">
        <w:t>Part 6</w:t>
      </w:r>
      <w:r w:rsidR="00656D77">
        <w:t>A products</w:t>
      </w:r>
      <w:r w:rsidR="00525139">
        <w:t>.</w:t>
      </w:r>
    </w:p>
    <w:p w14:paraId="4F24EACB" w14:textId="77777777" w:rsidR="00A14DA2" w:rsidRPr="006F4922" w:rsidRDefault="005B565A" w:rsidP="00A14DA2">
      <w:pPr>
        <w:pStyle w:val="subsection"/>
      </w:pPr>
      <w:r>
        <w:tab/>
        <w:t>(2)</w:t>
      </w:r>
      <w:r>
        <w:tab/>
      </w:r>
      <w:r w:rsidR="00650394">
        <w:t xml:space="preserve">The </w:t>
      </w:r>
      <w:r w:rsidR="009574EB">
        <w:rPr>
          <w:b/>
          <w:i/>
        </w:rPr>
        <w:t>benchmark return</w:t>
      </w:r>
      <w:r w:rsidR="00130904">
        <w:t>, f</w:t>
      </w:r>
      <w:r w:rsidR="00650394">
        <w:t xml:space="preserve">or a </w:t>
      </w:r>
      <w:r w:rsidR="00B86730">
        <w:t>Part 6</w:t>
      </w:r>
      <w:r w:rsidR="00650394">
        <w:t>A product for a lookback period for the product</w:t>
      </w:r>
      <w:r w:rsidR="00D90D68">
        <w:t xml:space="preserve"> in respect of a financial year</w:t>
      </w:r>
      <w:r w:rsidR="00650394">
        <w:t xml:space="preserve">, is </w:t>
      </w:r>
      <w:r w:rsidR="00686C34">
        <w:t xml:space="preserve">the amount calculated using the </w:t>
      </w:r>
      <w:r w:rsidR="00686C34">
        <w:lastRenderedPageBreak/>
        <w:t xml:space="preserve">following formula, </w:t>
      </w:r>
      <w:r w:rsidR="00686C34" w:rsidRPr="00710634">
        <w:t xml:space="preserve">rounded to </w:t>
      </w:r>
      <w:r w:rsidR="00686C34">
        <w:t>4</w:t>
      </w:r>
      <w:r w:rsidR="00686C34" w:rsidRPr="00710634">
        <w:t xml:space="preserve"> decimal places (rounding up if the f</w:t>
      </w:r>
      <w:r w:rsidR="00686C34">
        <w:t>if</w:t>
      </w:r>
      <w:r w:rsidR="00686C34" w:rsidRPr="00710634">
        <w:t>th decimal place is 5 or more)</w:t>
      </w:r>
      <w:r w:rsidR="00686C34">
        <w:t>:</w:t>
      </w:r>
    </w:p>
    <w:p w14:paraId="56504350" w14:textId="77777777" w:rsidR="004258C7" w:rsidRDefault="00467F94" w:rsidP="00FE11B6">
      <w:pPr>
        <w:pStyle w:val="subsection"/>
      </w:pPr>
      <w:r w:rsidRPr="00FE11B6">
        <w:object w:dxaOrig="9060" w:dyaOrig="3120" w14:anchorId="473754AD">
          <v:shape id="_x0000_i1030" type="#_x0000_t75" alt="This formula calculates the benchmark return for the product." style="width:382.5pt;height:132.75pt;mso-position-horizontal:absolute" o:ole="">
            <v:imagedata r:id="rId29" o:title=""/>
          </v:shape>
          <o:OLEObject Type="Embed" ProgID="Equation.DSMT4" ShapeID="_x0000_i1030" DrawAspect="Content" ObjectID="_1689678729" r:id="rId30"/>
        </w:object>
      </w:r>
    </w:p>
    <w:p w14:paraId="60333E89" w14:textId="77777777" w:rsidR="00656D77" w:rsidRPr="00CF6B43" w:rsidRDefault="00656D77" w:rsidP="004258C7">
      <w:pPr>
        <w:pStyle w:val="subsection2"/>
      </w:pPr>
      <w:r>
        <w:t>where:</w:t>
      </w:r>
    </w:p>
    <w:p w14:paraId="28F2EBE2" w14:textId="77777777" w:rsidR="00656D77" w:rsidRDefault="00656D77" w:rsidP="00656D77">
      <w:pPr>
        <w:pStyle w:val="Definition"/>
      </w:pPr>
      <w:r>
        <w:rPr>
          <w:b/>
          <w:i/>
        </w:rPr>
        <w:t>a</w:t>
      </w:r>
      <w:r>
        <w:t xml:space="preserve"> represents a covered asset class for the quarter, where the value of </w:t>
      </w:r>
      <w:r w:rsidR="00C43BEE">
        <w:t>“</w:t>
      </w:r>
      <w:r>
        <w:t>a</w:t>
      </w:r>
      <w:r w:rsidR="00C43BEE">
        <w:t>”</w:t>
      </w:r>
      <w:r>
        <w:t xml:space="preserve"> corresponds to the number of the item of the table in </w:t>
      </w:r>
      <w:r w:rsidR="00D45949">
        <w:t>regulation</w:t>
      </w:r>
      <w:r>
        <w:t xml:space="preserve"> </w:t>
      </w:r>
      <w:r w:rsidR="00525139">
        <w:t>9AB.17</w:t>
      </w:r>
      <w:r>
        <w:t xml:space="preserve"> relating to the quarter that identifies that covered asset class for the quarter</w:t>
      </w:r>
      <w:r w:rsidR="00525139">
        <w:t>.</w:t>
      </w:r>
    </w:p>
    <w:p w14:paraId="0A4FF5FA" w14:textId="77777777" w:rsidR="00656D77" w:rsidRPr="009349F6" w:rsidRDefault="00656D77" w:rsidP="00656D77">
      <w:pPr>
        <w:pStyle w:val="notetext"/>
      </w:pPr>
      <w:r>
        <w:t>Example:</w:t>
      </w:r>
      <w:r w:rsidR="004376E4">
        <w:tab/>
      </w:r>
      <w:r>
        <w:t xml:space="preserve">If </w:t>
      </w:r>
      <w:r w:rsidRPr="009349F6">
        <w:t>a=2</w:t>
      </w:r>
      <w:r>
        <w:t xml:space="preserve">, then </w:t>
      </w:r>
      <w:r w:rsidR="00C43BEE">
        <w:t>“</w:t>
      </w:r>
      <w:r>
        <w:t>a</w:t>
      </w:r>
      <w:r w:rsidR="00C43BEE">
        <w:t>”</w:t>
      </w:r>
      <w:r>
        <w:t xml:space="preserve"> represents the </w:t>
      </w:r>
      <w:r w:rsidRPr="009349F6">
        <w:t xml:space="preserve">covered asset class identified in </w:t>
      </w:r>
      <w:r w:rsidR="00B27E57">
        <w:t>item 2</w:t>
      </w:r>
      <w:r w:rsidRPr="009349F6">
        <w:t xml:space="preserve"> of the table in </w:t>
      </w:r>
      <w:r w:rsidR="00D45949">
        <w:t>regulation</w:t>
      </w:r>
      <w:r w:rsidRPr="009349F6">
        <w:t xml:space="preserve"> </w:t>
      </w:r>
      <w:r w:rsidR="00525139">
        <w:t>9AB.17</w:t>
      </w:r>
      <w:r w:rsidRPr="009349F6">
        <w:t xml:space="preserve"> that relates to the </w:t>
      </w:r>
      <w:r>
        <w:t>quarter</w:t>
      </w:r>
      <w:r w:rsidR="00525139">
        <w:t>.</w:t>
      </w:r>
    </w:p>
    <w:p w14:paraId="389C2620" w14:textId="77777777" w:rsidR="00656D77" w:rsidRDefault="00656D77" w:rsidP="00656D77">
      <w:pPr>
        <w:pStyle w:val="Definition"/>
      </w:pPr>
      <w:r>
        <w:rPr>
          <w:b/>
          <w:i/>
        </w:rPr>
        <w:t>A</w:t>
      </w:r>
      <w:r>
        <w:t xml:space="preserve"> means the number of covered asset classes identified in the table in </w:t>
      </w:r>
      <w:r w:rsidR="00D45949">
        <w:t>regulation</w:t>
      </w:r>
      <w:r>
        <w:t xml:space="preserve"> </w:t>
      </w:r>
      <w:r w:rsidR="00525139">
        <w:t>9AB.17</w:t>
      </w:r>
      <w:r>
        <w:t xml:space="preserve"> that relates to the quarter</w:t>
      </w:r>
      <w:r w:rsidR="00525139">
        <w:t>.</w:t>
      </w:r>
    </w:p>
    <w:p w14:paraId="596F7D34" w14:textId="77777777" w:rsidR="00956925" w:rsidRDefault="00956925" w:rsidP="00956925">
      <w:pPr>
        <w:pStyle w:val="Definition"/>
      </w:pPr>
      <w:r>
        <w:rPr>
          <w:b/>
          <w:i/>
        </w:rPr>
        <w:t>ART</w:t>
      </w:r>
      <w:r>
        <w:t xml:space="preserve">, in relation to a covered asset class and a quarter, means the </w:t>
      </w:r>
      <w:r w:rsidRPr="00C0341C">
        <w:t>assumed rate of tax</w:t>
      </w:r>
      <w:r>
        <w:t xml:space="preserve"> for the quarter for the </w:t>
      </w:r>
      <w:r w:rsidRPr="00E7467F">
        <w:t>covered asset class</w:t>
      </w:r>
      <w:r w:rsidR="00525139">
        <w:t>.</w:t>
      </w:r>
    </w:p>
    <w:p w14:paraId="25231D18" w14:textId="77777777" w:rsidR="00956925" w:rsidRDefault="00956925" w:rsidP="00956925">
      <w:pPr>
        <w:pStyle w:val="Definition"/>
      </w:pPr>
      <w:r>
        <w:rPr>
          <w:b/>
          <w:i/>
        </w:rPr>
        <w:t>fee</w:t>
      </w:r>
      <w:r>
        <w:t xml:space="preserve">, in relation to a covered asset class and a quarter, means the assumed annual fee for the quarter for the </w:t>
      </w:r>
      <w:r w:rsidRPr="00E7467F">
        <w:t>covered asset class</w:t>
      </w:r>
      <w:r w:rsidR="00525139">
        <w:t>.</w:t>
      </w:r>
    </w:p>
    <w:p w14:paraId="4F1FD618" w14:textId="77777777" w:rsidR="00ED59C6" w:rsidRDefault="00674C70" w:rsidP="00ED59C6">
      <w:pPr>
        <w:pStyle w:val="Definition"/>
      </w:pPr>
      <w:r>
        <w:rPr>
          <w:b/>
          <w:i/>
        </w:rPr>
        <w:t>index</w:t>
      </w:r>
      <w:r>
        <w:t xml:space="preserve">, in relation to a covered asset class and a quarter, means the amount calculated using the following formula, </w:t>
      </w:r>
      <w:r w:rsidRPr="00710634">
        <w:t xml:space="preserve">rounded to </w:t>
      </w:r>
      <w:r>
        <w:t>4</w:t>
      </w:r>
      <w:r w:rsidRPr="00710634">
        <w:t xml:space="preserve"> decimal places (rounding up if the f</w:t>
      </w:r>
      <w:r>
        <w:t>if</w:t>
      </w:r>
      <w:r w:rsidRPr="00710634">
        <w:t>th decimal place is 5 or more)</w:t>
      </w:r>
      <w:r>
        <w:t>:</w:t>
      </w:r>
    </w:p>
    <w:p w14:paraId="13652F49" w14:textId="77777777" w:rsidR="00674C70" w:rsidRDefault="00467F94" w:rsidP="00ED59C6">
      <w:pPr>
        <w:pStyle w:val="Definition"/>
      </w:pPr>
      <w:r w:rsidRPr="00BF322B">
        <w:rPr>
          <w:position w:val="-56"/>
        </w:rPr>
        <w:object w:dxaOrig="5400" w:dyaOrig="1240" w14:anchorId="30B8430C">
          <v:shape id="_x0000_i1031" type="#_x0000_t75" alt="This formula calculates the index in relation to a covered asset class and a quarter." style="width:269.25pt;height:62.25pt" o:ole="">
            <v:imagedata r:id="rId27" o:title=""/>
          </v:shape>
          <o:OLEObject Type="Embed" ProgID="Equation.DSMT4" ShapeID="_x0000_i1031" DrawAspect="Content" ObjectID="_1689678730" r:id="rId31"/>
        </w:object>
      </w:r>
    </w:p>
    <w:p w14:paraId="2BD3D1D2" w14:textId="77777777" w:rsidR="00674C70" w:rsidRDefault="00674C70" w:rsidP="00674C70">
      <w:pPr>
        <w:pStyle w:val="notetext"/>
      </w:pPr>
      <w:r>
        <w:t>Note:</w:t>
      </w:r>
      <w:r>
        <w:tab/>
        <w:t xml:space="preserve">For the covered asset class for a quarter that is identified in </w:t>
      </w:r>
      <w:r w:rsidR="00B86730">
        <w:t>item 1</w:t>
      </w:r>
      <w:r w:rsidR="00D70A8F">
        <w:t>6</w:t>
      </w:r>
      <w:r>
        <w:t xml:space="preserve"> of the table in regulation </w:t>
      </w:r>
      <w:r w:rsidR="00525139">
        <w:t>9AB.17</w:t>
      </w:r>
      <w:r w:rsidRPr="001D490D">
        <w:t xml:space="preserve"> (other</w:t>
      </w:r>
      <w:r>
        <w:t>/commodities</w:t>
      </w:r>
      <w:r w:rsidRPr="001D490D">
        <w:t xml:space="preserve"> asset class), see subregulations (</w:t>
      </w:r>
      <w:r w:rsidR="007D7DF7">
        <w:t>6</w:t>
      </w:r>
      <w:r w:rsidRPr="001D490D">
        <w:t>) and (</w:t>
      </w:r>
      <w:r w:rsidR="007D7DF7">
        <w:t>7</w:t>
      </w:r>
      <w:r w:rsidRPr="001D490D">
        <w:t>)</w:t>
      </w:r>
      <w:r w:rsidR="00C300D2">
        <w:t xml:space="preserve"> of this regulation</w:t>
      </w:r>
      <w:r w:rsidR="00525139">
        <w:t>.</w:t>
      </w:r>
    </w:p>
    <w:p w14:paraId="78253802" w14:textId="77777777" w:rsidR="00A20CD9" w:rsidRDefault="00A20CD9" w:rsidP="00A20CD9">
      <w:pPr>
        <w:pStyle w:val="Definition"/>
      </w:pPr>
      <w:r>
        <w:rPr>
          <w:b/>
          <w:i/>
        </w:rPr>
        <w:t>j</w:t>
      </w:r>
      <w:r>
        <w:t xml:space="preserve"> represents a lifestage of the </w:t>
      </w:r>
      <w:r w:rsidR="00B86730">
        <w:t>Part 6</w:t>
      </w:r>
      <w:r>
        <w:t xml:space="preserve">A product, in a consecutive sequence of lifestages of the </w:t>
      </w:r>
      <w:r w:rsidR="00B86730">
        <w:t>Part 6</w:t>
      </w:r>
      <w:r>
        <w:t>A product, where</w:t>
      </w:r>
      <w:r w:rsidR="0066159A">
        <w:t>:</w:t>
      </w:r>
    </w:p>
    <w:p w14:paraId="46E292F2" w14:textId="77777777" w:rsidR="0066159A" w:rsidRDefault="0066159A" w:rsidP="0066159A">
      <w:pPr>
        <w:pStyle w:val="paragraph"/>
      </w:pPr>
      <w:r>
        <w:tab/>
        <w:t>(a)</w:t>
      </w:r>
      <w:r>
        <w:tab/>
        <w:t>if j=1, the lifestage is the lifestage that applies to the youngest beneficiaries who hold the product; and</w:t>
      </w:r>
    </w:p>
    <w:p w14:paraId="7D2C2F3E" w14:textId="77777777" w:rsidR="0066159A" w:rsidRDefault="0066159A" w:rsidP="0066159A">
      <w:pPr>
        <w:pStyle w:val="paragraph"/>
      </w:pPr>
      <w:r>
        <w:tab/>
        <w:t>(b)</w:t>
      </w:r>
      <w:r>
        <w:tab/>
      </w:r>
      <w:r w:rsidR="006011CF">
        <w:t xml:space="preserve">subject to </w:t>
      </w:r>
      <w:r w:rsidR="00B86730">
        <w:t>paragraph (</w:t>
      </w:r>
      <w:r w:rsidR="006011CF">
        <w:t xml:space="preserve">c), </w:t>
      </w:r>
      <w:r>
        <w:t>the sequence proceeds in ascending order of the ages of those beneficiaries</w:t>
      </w:r>
      <w:r w:rsidR="006011CF">
        <w:t>; and</w:t>
      </w:r>
    </w:p>
    <w:p w14:paraId="231D5BDB" w14:textId="77777777" w:rsidR="004D2CB9" w:rsidRDefault="004D2CB9" w:rsidP="004D2CB9">
      <w:pPr>
        <w:pStyle w:val="paragraph"/>
      </w:pPr>
      <w:r>
        <w:tab/>
        <w:t>(c)</w:t>
      </w:r>
      <w:r>
        <w:tab/>
        <w:t xml:space="preserve">if there are </w:t>
      </w:r>
      <w:r w:rsidR="00997A24">
        <w:t>2</w:t>
      </w:r>
      <w:r>
        <w:t xml:space="preserve"> or more lifestages of the </w:t>
      </w:r>
      <w:r w:rsidR="00B86730">
        <w:t>Part 6</w:t>
      </w:r>
      <w:r>
        <w:t xml:space="preserve">A product that apply to beneficiaries of the same age—the sequence proceeds in respect of those lifestages in the order specified by APRA in a determination under </w:t>
      </w:r>
      <w:r w:rsidR="00D45949">
        <w:t>regulation</w:t>
      </w:r>
      <w:r>
        <w:t xml:space="preserve"> </w:t>
      </w:r>
      <w:r w:rsidR="00525139">
        <w:t>9AB.15.</w:t>
      </w:r>
    </w:p>
    <w:p w14:paraId="38599DA0" w14:textId="77777777" w:rsidR="00A20CD9" w:rsidRDefault="00A20CD9" w:rsidP="00A20CD9">
      <w:pPr>
        <w:pStyle w:val="Definition"/>
      </w:pPr>
      <w:r>
        <w:rPr>
          <w:b/>
          <w:i/>
        </w:rPr>
        <w:lastRenderedPageBreak/>
        <w:t>J</w:t>
      </w:r>
      <w:r>
        <w:t xml:space="preserve"> means the number of lifestages of the </w:t>
      </w:r>
      <w:r w:rsidR="00B86730">
        <w:t>Part 6</w:t>
      </w:r>
      <w:r>
        <w:t>A product</w:t>
      </w:r>
      <w:r w:rsidR="00525139">
        <w:t>.</w:t>
      </w:r>
    </w:p>
    <w:p w14:paraId="6100DE63" w14:textId="77777777" w:rsidR="003F0457" w:rsidRDefault="003F0457" w:rsidP="003F0457">
      <w:pPr>
        <w:pStyle w:val="Definition"/>
      </w:pPr>
      <w:r>
        <w:rPr>
          <w:b/>
          <w:i/>
        </w:rPr>
        <w:t>lifestage weight</w:t>
      </w:r>
      <w:r w:rsidR="00E03049">
        <w:t xml:space="preserve">, in relation to </w:t>
      </w:r>
      <w:r w:rsidR="00672514">
        <w:t>a lifestage and a quarter,</w:t>
      </w:r>
      <w:r w:rsidR="00672514">
        <w:rPr>
          <w:b/>
          <w:i/>
        </w:rPr>
        <w:t xml:space="preserve"> </w:t>
      </w:r>
      <w:r w:rsidR="00672514">
        <w:t xml:space="preserve">means the </w:t>
      </w:r>
      <w:r w:rsidR="00B86730">
        <w:t>Part 6</w:t>
      </w:r>
      <w:r w:rsidR="00672514">
        <w:t>A product</w:t>
      </w:r>
      <w:r w:rsidR="00C43BEE">
        <w:t>’</w:t>
      </w:r>
      <w:r w:rsidR="00672514">
        <w:t>s lifestage weight in relation to the quarter and the lifestage</w:t>
      </w:r>
      <w:r w:rsidR="00525139">
        <w:t>.</w:t>
      </w:r>
    </w:p>
    <w:p w14:paraId="79605EF1" w14:textId="77777777" w:rsidR="00507164" w:rsidRDefault="00507164" w:rsidP="00507164">
      <w:pPr>
        <w:pStyle w:val="Definition"/>
      </w:pPr>
      <w:r w:rsidRPr="00CF6B43">
        <w:rPr>
          <w:b/>
          <w:i/>
        </w:rPr>
        <w:t>n</w:t>
      </w:r>
      <w:r>
        <w:t xml:space="preserve"> </w:t>
      </w:r>
      <w:r w:rsidRPr="00507164">
        <w:t>means the number of quarters in the lookback period, divided by 4</w:t>
      </w:r>
      <w:r w:rsidR="00525139">
        <w:t>.</w:t>
      </w:r>
    </w:p>
    <w:p w14:paraId="012741BC" w14:textId="77777777" w:rsidR="00672514" w:rsidRDefault="00672514" w:rsidP="00672514">
      <w:pPr>
        <w:pStyle w:val="Definition"/>
      </w:pPr>
      <w:r>
        <w:rPr>
          <w:b/>
          <w:i/>
        </w:rPr>
        <w:t>SAA</w:t>
      </w:r>
      <w:r>
        <w:t>, in relation to a covered asset class, a lifestage and a quarter,</w:t>
      </w:r>
      <w:r>
        <w:rPr>
          <w:b/>
          <w:i/>
        </w:rPr>
        <w:t xml:space="preserve"> </w:t>
      </w:r>
      <w:r>
        <w:t>has the meaning given by subregulation (</w:t>
      </w:r>
      <w:r w:rsidR="005210A5">
        <w:t>3</w:t>
      </w:r>
      <w:r>
        <w:t>)</w:t>
      </w:r>
      <w:r w:rsidR="00525139">
        <w:t>.</w:t>
      </w:r>
    </w:p>
    <w:p w14:paraId="5A117847" w14:textId="77777777" w:rsidR="00656D77" w:rsidRDefault="00656D77" w:rsidP="00656D77">
      <w:pPr>
        <w:pStyle w:val="Definition"/>
      </w:pPr>
      <w:r w:rsidRPr="00CF6B43">
        <w:rPr>
          <w:b/>
          <w:i/>
        </w:rPr>
        <w:t>t</w:t>
      </w:r>
      <w:r>
        <w:t xml:space="preserve"> represents a quarter in a </w:t>
      </w:r>
      <w:r w:rsidR="00CE0CB6">
        <w:t xml:space="preserve">consecutive </w:t>
      </w:r>
      <w:r>
        <w:t>sequence of quarters, where if t=1, the quarter is the first quarter that starts in the lookback period</w:t>
      </w:r>
      <w:r w:rsidR="00525139">
        <w:t>.</w:t>
      </w:r>
    </w:p>
    <w:p w14:paraId="6B40115C" w14:textId="77777777" w:rsidR="003D5C6E" w:rsidRDefault="005B565A" w:rsidP="003D5C6E">
      <w:pPr>
        <w:pStyle w:val="subsection"/>
      </w:pPr>
      <w:r>
        <w:tab/>
        <w:t>(</w:t>
      </w:r>
      <w:r w:rsidR="00C63C1C">
        <w:t>3</w:t>
      </w:r>
      <w:r>
        <w:t>)</w:t>
      </w:r>
      <w:r>
        <w:tab/>
      </w:r>
      <w:r w:rsidR="003D5C6E">
        <w:t>For the purposes of subregulation (</w:t>
      </w:r>
      <w:r w:rsidR="00F035BC">
        <w:t>2</w:t>
      </w:r>
      <w:r w:rsidR="003D5C6E">
        <w:t xml:space="preserve">), </w:t>
      </w:r>
      <w:r w:rsidR="003D5C6E">
        <w:rPr>
          <w:b/>
          <w:i/>
        </w:rPr>
        <w:t>SAA</w:t>
      </w:r>
      <w:r w:rsidR="003D5C6E">
        <w:t>, in relation to a covered asset class</w:t>
      </w:r>
      <w:r w:rsidR="00006A90">
        <w:t>, a lifestage</w:t>
      </w:r>
      <w:r w:rsidR="003D5C6E">
        <w:t xml:space="preserve"> and a quarter,</w:t>
      </w:r>
      <w:r w:rsidR="003D5C6E">
        <w:rPr>
          <w:b/>
          <w:i/>
        </w:rPr>
        <w:t xml:space="preserve"> </w:t>
      </w:r>
      <w:r w:rsidR="003D5C6E">
        <w:t>means</w:t>
      </w:r>
      <w:r w:rsidR="00574A57">
        <w:t>:</w:t>
      </w:r>
    </w:p>
    <w:p w14:paraId="13E6EC5D" w14:textId="77777777" w:rsidR="003D5C6E" w:rsidRDefault="003D5C6E" w:rsidP="003D5C6E">
      <w:pPr>
        <w:pStyle w:val="paragraph"/>
      </w:pPr>
      <w:r>
        <w:tab/>
        <w:t>(a)</w:t>
      </w:r>
      <w:r>
        <w:tab/>
        <w:t xml:space="preserve">unless </w:t>
      </w:r>
      <w:r w:rsidR="00B86730">
        <w:t>paragraph (</w:t>
      </w:r>
      <w:r>
        <w:t>b) or (c) applies—the product</w:t>
      </w:r>
      <w:r w:rsidR="00C43BEE">
        <w:t>’</w:t>
      </w:r>
      <w:r>
        <w:t>s strategic asset allocation to the covered asset class</w:t>
      </w:r>
      <w:r w:rsidR="00006A90">
        <w:t xml:space="preserve">, the lifestage and </w:t>
      </w:r>
      <w:r>
        <w:t>the quarter</w:t>
      </w:r>
      <w:r w:rsidR="00162824" w:rsidRPr="00162824">
        <w:t xml:space="preserve"> (expressed as a fraction)</w:t>
      </w:r>
      <w:r>
        <w:t>; or</w:t>
      </w:r>
    </w:p>
    <w:p w14:paraId="1D065BAB" w14:textId="77777777" w:rsidR="003D5C6E" w:rsidRDefault="003D5C6E" w:rsidP="003D5C6E">
      <w:pPr>
        <w:pStyle w:val="paragraph"/>
      </w:pPr>
      <w:r>
        <w:tab/>
        <w:t>(b)</w:t>
      </w:r>
      <w:r>
        <w:tab/>
        <w:t xml:space="preserve">unless </w:t>
      </w:r>
      <w:r w:rsidR="00B86730">
        <w:t>paragraph (</w:t>
      </w:r>
      <w:r>
        <w:t>c) applies, if the product does not have a strategic asset allocation to the covered asset class</w:t>
      </w:r>
      <w:r w:rsidR="00006A90">
        <w:t>, the lifestage</w:t>
      </w:r>
      <w:r>
        <w:t xml:space="preserve"> </w:t>
      </w:r>
      <w:r w:rsidR="00006A90">
        <w:t xml:space="preserve">and </w:t>
      </w:r>
      <w:r>
        <w:t>the quarter—zero; or</w:t>
      </w:r>
    </w:p>
    <w:p w14:paraId="17F76539" w14:textId="77777777" w:rsidR="003D5C6E" w:rsidRDefault="003D5C6E" w:rsidP="003D5C6E">
      <w:pPr>
        <w:pStyle w:val="paragraph"/>
      </w:pPr>
      <w:r>
        <w:tab/>
        <w:t>(c)</w:t>
      </w:r>
      <w:r>
        <w:tab/>
        <w:t xml:space="preserve">if the quarter is before the first quarter (the </w:t>
      </w:r>
      <w:r w:rsidRPr="00ED779C">
        <w:rPr>
          <w:b/>
          <w:i/>
        </w:rPr>
        <w:t>initial quarter</w:t>
      </w:r>
      <w:r>
        <w:t xml:space="preserve">) in relation to which the trustee of the superannuation </w:t>
      </w:r>
      <w:r w:rsidR="00AA7FBA">
        <w:t>entity that offer</w:t>
      </w:r>
      <w:r w:rsidR="00C13C2D">
        <w:t>ed</w:t>
      </w:r>
      <w:r w:rsidR="00AA7FBA">
        <w:t xml:space="preserve"> the Part 6A product </w:t>
      </w:r>
      <w:r>
        <w:t xml:space="preserve">reported to APRA, in accordance with the </w:t>
      </w:r>
      <w:r w:rsidR="00CF074E">
        <w:t xml:space="preserve">applicable </w:t>
      </w:r>
      <w:r w:rsidRPr="00834E8A">
        <w:t>investment performance standard</w:t>
      </w:r>
      <w:r>
        <w:t xml:space="preserve">, a net return of the </w:t>
      </w:r>
      <w:r w:rsidR="00B86730">
        <w:t>Part 6</w:t>
      </w:r>
      <w:r>
        <w:t>A product—</w:t>
      </w:r>
      <w:r w:rsidR="00162824">
        <w:t>the product</w:t>
      </w:r>
      <w:r w:rsidR="00C43BEE">
        <w:t>’</w:t>
      </w:r>
      <w:r w:rsidR="00162824">
        <w:t>s strategic asset allocation to the covered asset class, the lifestage and the initial quarter</w:t>
      </w:r>
      <w:r w:rsidR="00162824" w:rsidRPr="00162824">
        <w:t xml:space="preserve"> (expressed as a fraction)</w:t>
      </w:r>
      <w:r w:rsidR="00525139">
        <w:t>.</w:t>
      </w:r>
    </w:p>
    <w:p w14:paraId="08F2F4BB" w14:textId="77777777" w:rsidR="005655D9" w:rsidRDefault="005655D9" w:rsidP="005655D9">
      <w:pPr>
        <w:pStyle w:val="subsection"/>
      </w:pPr>
      <w:r>
        <w:tab/>
        <w:t>(</w:t>
      </w:r>
      <w:r w:rsidR="009B770E">
        <w:t>4</w:t>
      </w:r>
      <w:r>
        <w:t>)</w:t>
      </w:r>
      <w:r>
        <w:tab/>
      </w:r>
      <w:r w:rsidR="00BE556A" w:rsidRPr="00B86730">
        <w:t>Subregula</w:t>
      </w:r>
      <w:r w:rsidR="00BE556A">
        <w:t xml:space="preserve">tion </w:t>
      </w:r>
      <w:r>
        <w:t>(</w:t>
      </w:r>
      <w:r w:rsidR="009B770E">
        <w:t>5</w:t>
      </w:r>
      <w:r>
        <w:t xml:space="preserve">) applies, for the purposes of the definition of </w:t>
      </w:r>
      <w:r>
        <w:rPr>
          <w:b/>
          <w:i/>
        </w:rPr>
        <w:t>index</w:t>
      </w:r>
      <w:r>
        <w:t xml:space="preserve">, in relation to a covered asset class and a quarter, in </w:t>
      </w:r>
      <w:r w:rsidR="00BE556A" w:rsidRPr="00B86730">
        <w:t>subregula</w:t>
      </w:r>
      <w:r w:rsidR="00BE556A">
        <w:t xml:space="preserve">tion </w:t>
      </w:r>
      <w:r>
        <w:t>(2), if:</w:t>
      </w:r>
    </w:p>
    <w:p w14:paraId="6BA3662C" w14:textId="77777777" w:rsidR="005655D9" w:rsidRDefault="005655D9" w:rsidP="005655D9">
      <w:pPr>
        <w:pStyle w:val="paragraph"/>
      </w:pPr>
      <w:r>
        <w:tab/>
        <w:t>(a)</w:t>
      </w:r>
      <w:r>
        <w:tab/>
        <w:t>the</w:t>
      </w:r>
      <w:r w:rsidRPr="00B76CF1">
        <w:t xml:space="preserve"> covered asset class for </w:t>
      </w:r>
      <w:r>
        <w:t>the</w:t>
      </w:r>
      <w:r w:rsidRPr="00B76CF1">
        <w:t xml:space="preserve"> quarter is identified in </w:t>
      </w:r>
      <w:r w:rsidR="00B86730">
        <w:t>item 1</w:t>
      </w:r>
      <w:r w:rsidR="004E677A">
        <w:t>0 or 11</w:t>
      </w:r>
      <w:r>
        <w:t xml:space="preserve"> </w:t>
      </w:r>
      <w:r w:rsidRPr="00B76CF1">
        <w:t xml:space="preserve">of the table in regulation </w:t>
      </w:r>
      <w:r w:rsidR="00525139">
        <w:t>9AB.17</w:t>
      </w:r>
      <w:r w:rsidRPr="00B76CF1">
        <w:t xml:space="preserve"> relating to the quarter</w:t>
      </w:r>
      <w:r>
        <w:t>; and</w:t>
      </w:r>
    </w:p>
    <w:p w14:paraId="7693A7AF" w14:textId="77777777" w:rsidR="005655D9" w:rsidRPr="00910E1F" w:rsidRDefault="005655D9" w:rsidP="005655D9">
      <w:pPr>
        <w:pStyle w:val="paragraph"/>
      </w:pPr>
      <w:r>
        <w:tab/>
        <w:t>(b)</w:t>
      </w:r>
      <w:r>
        <w:tab/>
        <w:t xml:space="preserve">the value at the end of the quarter of the assumed index for the covered asset class for the quarter </w:t>
      </w:r>
      <w:r w:rsidRPr="00910E1F">
        <w:t xml:space="preserve">is not publicly available earlier than </w:t>
      </w:r>
      <w:r w:rsidR="00757821">
        <w:t>36</w:t>
      </w:r>
      <w:r w:rsidRPr="00910E1F">
        <w:t xml:space="preserve"> days after the end of the financial year</w:t>
      </w:r>
      <w:r w:rsidR="00525139">
        <w:t>.</w:t>
      </w:r>
    </w:p>
    <w:p w14:paraId="1994CE9A" w14:textId="77777777" w:rsidR="005655D9" w:rsidRDefault="005655D9" w:rsidP="005655D9">
      <w:pPr>
        <w:pStyle w:val="subsection"/>
      </w:pPr>
      <w:r>
        <w:tab/>
        <w:t>(</w:t>
      </w:r>
      <w:r w:rsidR="009B770E">
        <w:t>5</w:t>
      </w:r>
      <w:r>
        <w:t>)</w:t>
      </w:r>
      <w:r>
        <w:tab/>
        <w:t>For those purposes:</w:t>
      </w:r>
    </w:p>
    <w:p w14:paraId="7CC69E51" w14:textId="77777777" w:rsidR="005655D9" w:rsidRPr="000427D0" w:rsidRDefault="005655D9" w:rsidP="005655D9">
      <w:pPr>
        <w:pStyle w:val="paragraph"/>
      </w:pPr>
      <w:r>
        <w:tab/>
        <w:t>(a)</w:t>
      </w:r>
      <w:r>
        <w:tab/>
        <w:t xml:space="preserve">treat the value at the end of the quarter of the assumed index for the covered asset class for the quarter as being the value at the end of the quarter of the assumed index for the covered asset class </w:t>
      </w:r>
      <w:r w:rsidRPr="00B76CF1">
        <w:t xml:space="preserve">identified in </w:t>
      </w:r>
      <w:r w:rsidR="00B86730">
        <w:t>item 6</w:t>
      </w:r>
      <w:r>
        <w:t xml:space="preserve"> </w:t>
      </w:r>
      <w:r w:rsidRPr="00B76CF1">
        <w:t xml:space="preserve">of the table in regulation </w:t>
      </w:r>
      <w:r w:rsidR="00525139">
        <w:t>9AB.17</w:t>
      </w:r>
      <w:r w:rsidRPr="00B76CF1">
        <w:t xml:space="preserve"> </w:t>
      </w:r>
      <w:r>
        <w:t xml:space="preserve">for </w:t>
      </w:r>
      <w:r w:rsidRPr="00B76CF1">
        <w:t>the quarter</w:t>
      </w:r>
      <w:r>
        <w:t>; and</w:t>
      </w:r>
    </w:p>
    <w:p w14:paraId="6AB4885A" w14:textId="77777777" w:rsidR="005655D9" w:rsidRPr="000427D0" w:rsidRDefault="005655D9" w:rsidP="005655D9">
      <w:pPr>
        <w:pStyle w:val="paragraph"/>
      </w:pPr>
      <w:r>
        <w:tab/>
        <w:t>(b)</w:t>
      </w:r>
      <w:r>
        <w:tab/>
        <w:t xml:space="preserve">treat the value at the end of the previous quarter of the assumed index for the covered asset class for the previous quarter as being the value at the end of the previous quarter of the assumed index for the covered asset class </w:t>
      </w:r>
      <w:r w:rsidRPr="00B76CF1">
        <w:t xml:space="preserve">identified in </w:t>
      </w:r>
      <w:r w:rsidR="00B86730">
        <w:t>item 6</w:t>
      </w:r>
      <w:r>
        <w:t xml:space="preserve"> </w:t>
      </w:r>
      <w:r w:rsidRPr="00B76CF1">
        <w:t xml:space="preserve">of the table in regulation </w:t>
      </w:r>
      <w:r w:rsidR="00525139">
        <w:t>9AB.17</w:t>
      </w:r>
      <w:r w:rsidRPr="00B76CF1">
        <w:t xml:space="preserve"> </w:t>
      </w:r>
      <w:r>
        <w:t xml:space="preserve">for </w:t>
      </w:r>
      <w:r w:rsidRPr="00B76CF1">
        <w:t xml:space="preserve">the </w:t>
      </w:r>
      <w:r>
        <w:t xml:space="preserve">previous </w:t>
      </w:r>
      <w:r w:rsidRPr="00B76CF1">
        <w:t>quarter</w:t>
      </w:r>
      <w:r w:rsidR="00525139">
        <w:t>.</w:t>
      </w:r>
    </w:p>
    <w:p w14:paraId="2ADFD983" w14:textId="77777777" w:rsidR="00B76CF1" w:rsidRPr="00B76CF1" w:rsidRDefault="005B565A" w:rsidP="00B76CF1">
      <w:pPr>
        <w:pStyle w:val="subsection"/>
      </w:pPr>
      <w:r>
        <w:tab/>
        <w:t>(</w:t>
      </w:r>
      <w:r w:rsidR="009B770E">
        <w:t>6</w:t>
      </w:r>
      <w:r>
        <w:t>)</w:t>
      </w:r>
      <w:r>
        <w:tab/>
      </w:r>
      <w:r w:rsidR="00B76CF1" w:rsidRPr="00B76CF1">
        <w:t>Sub</w:t>
      </w:r>
      <w:r w:rsidR="00E75FDB">
        <w:t>regulation</w:t>
      </w:r>
      <w:r w:rsidR="00B76CF1" w:rsidRPr="00B76CF1">
        <w:t xml:space="preserve"> (</w:t>
      </w:r>
      <w:r w:rsidR="009B770E">
        <w:t>7</w:t>
      </w:r>
      <w:r w:rsidR="00B76CF1" w:rsidRPr="00B76CF1">
        <w:t xml:space="preserve">) applies in relation to the covered asset class for a quarter that is identified in </w:t>
      </w:r>
      <w:r w:rsidR="00B86730">
        <w:t>item 1</w:t>
      </w:r>
      <w:r w:rsidR="00D70A8F">
        <w:t>6</w:t>
      </w:r>
      <w:r w:rsidR="00B76CF1" w:rsidRPr="00B76CF1">
        <w:t xml:space="preserve"> of the table in regulation </w:t>
      </w:r>
      <w:r w:rsidR="00525139">
        <w:t>9AB.17</w:t>
      </w:r>
      <w:r w:rsidR="00B76CF1" w:rsidRPr="00B76CF1">
        <w:t xml:space="preserve"> relating to the quarter</w:t>
      </w:r>
      <w:r w:rsidR="00525139">
        <w:t>.</w:t>
      </w:r>
    </w:p>
    <w:p w14:paraId="68A830E2" w14:textId="77777777" w:rsidR="00B76CF1" w:rsidRPr="00B76CF1" w:rsidRDefault="005B565A" w:rsidP="00B76CF1">
      <w:pPr>
        <w:pStyle w:val="subsection"/>
      </w:pPr>
      <w:r>
        <w:tab/>
        <w:t>(</w:t>
      </w:r>
      <w:r w:rsidR="009B770E">
        <w:t>7</w:t>
      </w:r>
      <w:r>
        <w:t>)</w:t>
      </w:r>
      <w:r>
        <w:tab/>
      </w:r>
      <w:r w:rsidR="00B76CF1" w:rsidRPr="00B76CF1">
        <w:t>For the purposes of sub</w:t>
      </w:r>
      <w:r w:rsidR="00E75FDB">
        <w:t>regulation</w:t>
      </w:r>
      <w:r w:rsidR="00B76CF1" w:rsidRPr="00B76CF1">
        <w:t xml:space="preserve"> (</w:t>
      </w:r>
      <w:r w:rsidR="00F035BC">
        <w:t>2</w:t>
      </w:r>
      <w:r w:rsidR="00B76CF1" w:rsidRPr="00B76CF1">
        <w:t xml:space="preserve">), treat </w:t>
      </w:r>
      <w:r w:rsidR="00B76CF1" w:rsidRPr="00B76CF1">
        <w:rPr>
          <w:b/>
          <w:i/>
        </w:rPr>
        <w:t>index</w:t>
      </w:r>
      <w:r w:rsidR="00B76CF1" w:rsidRPr="00B76CF1">
        <w:t>, in relation to that covered asset class and the quarter, as being the sum of the following:</w:t>
      </w:r>
    </w:p>
    <w:p w14:paraId="17683415" w14:textId="77777777" w:rsidR="00B76CF1" w:rsidRPr="00B76CF1" w:rsidRDefault="00B76CF1" w:rsidP="00B76CF1">
      <w:pPr>
        <w:pStyle w:val="paragraph"/>
      </w:pPr>
      <w:r w:rsidRPr="00B76CF1">
        <w:tab/>
        <w:t>(a)</w:t>
      </w:r>
      <w:r w:rsidRPr="00B76CF1">
        <w:tab/>
        <w:t>25% of the index (worked out in accordance with sub</w:t>
      </w:r>
      <w:r w:rsidR="00E75FDB">
        <w:t>regulation</w:t>
      </w:r>
      <w:r w:rsidRPr="00B76CF1">
        <w:t xml:space="preserve"> (</w:t>
      </w:r>
      <w:r w:rsidR="00F035BC">
        <w:t>2</w:t>
      </w:r>
      <w:r w:rsidRPr="00B76CF1">
        <w:t xml:space="preserve">)) in relation to the covered asset class identified in </w:t>
      </w:r>
      <w:r w:rsidR="00B27E57">
        <w:t>item 2</w:t>
      </w:r>
      <w:r w:rsidRPr="00B76CF1">
        <w:t xml:space="preserve"> of the table in regulation </w:t>
      </w:r>
      <w:r w:rsidR="00525139">
        <w:t>9AB.17</w:t>
      </w:r>
      <w:r w:rsidRPr="00B76CF1">
        <w:t xml:space="preserve"> and the quarter;</w:t>
      </w:r>
    </w:p>
    <w:p w14:paraId="13A2C546" w14:textId="77777777" w:rsidR="00B76CF1" w:rsidRPr="00B76CF1" w:rsidRDefault="00B76CF1" w:rsidP="00B76CF1">
      <w:pPr>
        <w:pStyle w:val="paragraph"/>
      </w:pPr>
      <w:r w:rsidRPr="00B76CF1">
        <w:lastRenderedPageBreak/>
        <w:tab/>
        <w:t>(b)</w:t>
      </w:r>
      <w:r w:rsidRPr="00B76CF1">
        <w:tab/>
        <w:t>25% of the index (worked out in accordance with sub</w:t>
      </w:r>
      <w:r w:rsidR="00E75FDB">
        <w:t>regulation</w:t>
      </w:r>
      <w:r w:rsidRPr="00B76CF1">
        <w:t xml:space="preserve"> (</w:t>
      </w:r>
      <w:r w:rsidR="00F035BC">
        <w:t>2</w:t>
      </w:r>
      <w:r w:rsidRPr="00B76CF1">
        <w:t xml:space="preserve">)) in relation to the covered asset class identified in </w:t>
      </w:r>
      <w:r w:rsidR="00B27E57">
        <w:t>item 3</w:t>
      </w:r>
      <w:r w:rsidRPr="00B76CF1">
        <w:t xml:space="preserve"> of that table and the quarter;</w:t>
      </w:r>
    </w:p>
    <w:p w14:paraId="6676D862" w14:textId="77777777" w:rsidR="00B76CF1" w:rsidRPr="00D142D6" w:rsidRDefault="00B76CF1" w:rsidP="00B76CF1">
      <w:pPr>
        <w:pStyle w:val="paragraph"/>
      </w:pPr>
      <w:r w:rsidRPr="00B76CF1">
        <w:tab/>
        <w:t>(c)</w:t>
      </w:r>
      <w:r w:rsidRPr="00B76CF1">
        <w:tab/>
        <w:t>50% of the index (worked out in accordance with sub</w:t>
      </w:r>
      <w:r w:rsidR="00E75FDB">
        <w:t>regulation</w:t>
      </w:r>
      <w:r w:rsidRPr="00B76CF1">
        <w:t xml:space="preserve"> (</w:t>
      </w:r>
      <w:r w:rsidR="00F035BC">
        <w:t>2</w:t>
      </w:r>
      <w:r w:rsidRPr="00B76CF1">
        <w:t xml:space="preserve">)) in relation to the covered asset class identified in </w:t>
      </w:r>
      <w:r w:rsidR="00B86730">
        <w:t>item 1</w:t>
      </w:r>
      <w:r w:rsidR="004E677A">
        <w:t>3</w:t>
      </w:r>
      <w:r w:rsidRPr="00B76CF1">
        <w:t xml:space="preserve"> of that table and the quarter</w:t>
      </w:r>
      <w:r w:rsidR="00525139">
        <w:t>.</w:t>
      </w:r>
    </w:p>
    <w:p w14:paraId="78580C27" w14:textId="77777777" w:rsidR="009F654D" w:rsidRDefault="00B369AE" w:rsidP="00B369AE">
      <w:pPr>
        <w:pStyle w:val="SubsectionHead"/>
      </w:pPr>
      <w:r>
        <w:t xml:space="preserve">Change </w:t>
      </w:r>
      <w:r w:rsidR="009F654D">
        <w:t>of lifestage</w:t>
      </w:r>
      <w:r w:rsidR="00604B49">
        <w:t>s</w:t>
      </w:r>
    </w:p>
    <w:p w14:paraId="64D72B3A" w14:textId="77777777" w:rsidR="00D90D68" w:rsidRDefault="009F654D" w:rsidP="00B369AE">
      <w:pPr>
        <w:pStyle w:val="subsection"/>
      </w:pPr>
      <w:r>
        <w:tab/>
        <w:t>(</w:t>
      </w:r>
      <w:r w:rsidR="009B770E">
        <w:t>8</w:t>
      </w:r>
      <w:r>
        <w:t>)</w:t>
      </w:r>
      <w:r>
        <w:tab/>
        <w:t>Subregulation (</w:t>
      </w:r>
      <w:r w:rsidR="009B770E">
        <w:t>9</w:t>
      </w:r>
      <w:r>
        <w:t>) applies if</w:t>
      </w:r>
      <w:r w:rsidR="00D90D68">
        <w:t>:</w:t>
      </w:r>
    </w:p>
    <w:p w14:paraId="2DA2420A" w14:textId="77777777" w:rsidR="004549F0" w:rsidRDefault="004549F0" w:rsidP="004549F0">
      <w:pPr>
        <w:pStyle w:val="paragraph"/>
      </w:pPr>
      <w:r>
        <w:tab/>
        <w:t>(a)</w:t>
      </w:r>
      <w:r>
        <w:tab/>
        <w:t>the following circumstances exist:</w:t>
      </w:r>
    </w:p>
    <w:p w14:paraId="44CC37AC" w14:textId="77777777" w:rsidR="00B1554A" w:rsidRPr="00D90D68" w:rsidRDefault="00B1554A" w:rsidP="00B1554A">
      <w:pPr>
        <w:pStyle w:val="paragraphsub"/>
      </w:pPr>
      <w:r w:rsidRPr="00D90D68">
        <w:tab/>
        <w:t>(</w:t>
      </w:r>
      <w:r>
        <w:t>i</w:t>
      </w:r>
      <w:r w:rsidRPr="00D90D68">
        <w:t>)</w:t>
      </w:r>
      <w:r w:rsidRPr="00D90D68">
        <w:tab/>
        <w:t xml:space="preserve">a lifecycle </w:t>
      </w:r>
      <w:r>
        <w:t>Part 6</w:t>
      </w:r>
      <w:r w:rsidRPr="00D90D68">
        <w:t xml:space="preserve">A product has particular lifestages at </w:t>
      </w:r>
      <w:r w:rsidR="00C13C2D">
        <w:t xml:space="preserve">the end of a quarter </w:t>
      </w:r>
      <w:r>
        <w:t xml:space="preserve">in </w:t>
      </w:r>
      <w:r w:rsidR="00C13C2D">
        <w:t>a</w:t>
      </w:r>
      <w:r>
        <w:t xml:space="preserve"> lookback period for the product in respect of a financial year</w:t>
      </w:r>
      <w:r w:rsidRPr="00D90D68">
        <w:t>;</w:t>
      </w:r>
    </w:p>
    <w:p w14:paraId="6980AA9B" w14:textId="77777777" w:rsidR="00B1554A" w:rsidRDefault="00B1554A" w:rsidP="00B1554A">
      <w:pPr>
        <w:pStyle w:val="paragraphsub"/>
      </w:pPr>
      <w:r w:rsidRPr="00D90D68">
        <w:tab/>
        <w:t>(</w:t>
      </w:r>
      <w:r>
        <w:t>ii</w:t>
      </w:r>
      <w:r w:rsidRPr="00D90D68">
        <w:t>)</w:t>
      </w:r>
      <w:r w:rsidRPr="00D90D68">
        <w:tab/>
        <w:t xml:space="preserve">the product </w:t>
      </w:r>
      <w:r>
        <w:t xml:space="preserve">has different </w:t>
      </w:r>
      <w:r w:rsidRPr="00D90D68">
        <w:t xml:space="preserve">lifestages </w:t>
      </w:r>
      <w:r>
        <w:t xml:space="preserve">at </w:t>
      </w:r>
      <w:r w:rsidR="00C13C2D">
        <w:t xml:space="preserve">the end of a </w:t>
      </w:r>
      <w:r>
        <w:t xml:space="preserve">later </w:t>
      </w:r>
      <w:r w:rsidR="00C13C2D">
        <w:t xml:space="preserve">quarter </w:t>
      </w:r>
      <w:r>
        <w:t>in the lookback period; and</w:t>
      </w:r>
    </w:p>
    <w:p w14:paraId="081DF672" w14:textId="77777777" w:rsidR="00C95175" w:rsidRDefault="004549F0" w:rsidP="004549F0">
      <w:pPr>
        <w:pStyle w:val="paragraph"/>
      </w:pPr>
      <w:r>
        <w:tab/>
        <w:t>(b)</w:t>
      </w:r>
      <w:r>
        <w:tab/>
      </w:r>
      <w:r w:rsidRPr="001D490D">
        <w:t>APRA make</w:t>
      </w:r>
      <w:r>
        <w:t>s</w:t>
      </w:r>
      <w:r w:rsidRPr="001D490D">
        <w:t xml:space="preserve"> a determination</w:t>
      </w:r>
      <w:r>
        <w:t xml:space="preserve"> under</w:t>
      </w:r>
      <w:r w:rsidRPr="00B86730">
        <w:t xml:space="preserve"> subregulation (1</w:t>
      </w:r>
      <w:r w:rsidR="00B25F93" w:rsidRPr="00B86730">
        <w:t>0</w:t>
      </w:r>
      <w:r w:rsidRPr="00B86730">
        <w:t xml:space="preserve">) that </w:t>
      </w:r>
      <w:r>
        <w:t>specifies</w:t>
      </w:r>
      <w:r w:rsidR="00C95175">
        <w:t>:</w:t>
      </w:r>
    </w:p>
    <w:p w14:paraId="008429BE" w14:textId="77777777" w:rsidR="00C95175" w:rsidRDefault="00C95175" w:rsidP="00C95175">
      <w:pPr>
        <w:pStyle w:val="paragraphsub"/>
      </w:pPr>
      <w:r>
        <w:tab/>
        <w:t>(i)</w:t>
      </w:r>
      <w:r>
        <w:tab/>
      </w:r>
      <w:r w:rsidR="004549F0">
        <w:t xml:space="preserve">the </w:t>
      </w:r>
      <w:r w:rsidR="00B86730">
        <w:t>Part 6</w:t>
      </w:r>
      <w:r w:rsidR="004549F0">
        <w:t>A product</w:t>
      </w:r>
      <w:r>
        <w:t>;</w:t>
      </w:r>
      <w:r w:rsidR="004549F0">
        <w:t xml:space="preserve"> and</w:t>
      </w:r>
    </w:p>
    <w:p w14:paraId="69420595" w14:textId="77777777" w:rsidR="00C95175" w:rsidRDefault="00C95175" w:rsidP="00C95175">
      <w:pPr>
        <w:pStyle w:val="paragraphsub"/>
      </w:pPr>
      <w:r>
        <w:tab/>
        <w:t>(ii)</w:t>
      </w:r>
      <w:r>
        <w:tab/>
        <w:t xml:space="preserve">the superannuation entity that offers the </w:t>
      </w:r>
      <w:r w:rsidR="00B86730">
        <w:t>Part 6</w:t>
      </w:r>
      <w:r>
        <w:t>A product; and</w:t>
      </w:r>
    </w:p>
    <w:p w14:paraId="24DD21BD" w14:textId="77777777" w:rsidR="00B1554A" w:rsidRDefault="00B1554A" w:rsidP="00C95175">
      <w:pPr>
        <w:pStyle w:val="paragraphsub"/>
      </w:pPr>
      <w:r>
        <w:tab/>
        <w:t>(iii)</w:t>
      </w:r>
      <w:r>
        <w:tab/>
        <w:t xml:space="preserve">the </w:t>
      </w:r>
      <w:r w:rsidR="00C13C2D">
        <w:t xml:space="preserve">quarter </w:t>
      </w:r>
      <w:r>
        <w:t xml:space="preserve">mentioned in subparagraph </w:t>
      </w:r>
      <w:r w:rsidR="00C13C2D">
        <w:t>(a)</w:t>
      </w:r>
      <w:r>
        <w:t>(i)</w:t>
      </w:r>
      <w:r w:rsidR="003D1C30">
        <w:t xml:space="preserve"> of this </w:t>
      </w:r>
      <w:r w:rsidR="00CF074E">
        <w:t>sub</w:t>
      </w:r>
      <w:r w:rsidR="003D1C30">
        <w:t>regulation</w:t>
      </w:r>
      <w:r>
        <w:t>; and</w:t>
      </w:r>
    </w:p>
    <w:p w14:paraId="52641139" w14:textId="77777777" w:rsidR="004549F0" w:rsidRDefault="00B1554A" w:rsidP="00B1554A">
      <w:pPr>
        <w:pStyle w:val="paragraphsub"/>
      </w:pPr>
      <w:r>
        <w:tab/>
        <w:t>(iv)</w:t>
      </w:r>
      <w:r>
        <w:tab/>
        <w:t xml:space="preserve">the </w:t>
      </w:r>
      <w:r w:rsidR="00C13C2D">
        <w:t xml:space="preserve">quarter </w:t>
      </w:r>
      <w:r>
        <w:t xml:space="preserve">mentioned in subparagraph </w:t>
      </w:r>
      <w:r w:rsidR="00C13C2D">
        <w:t>(a)</w:t>
      </w:r>
      <w:r>
        <w:t>(ii)</w:t>
      </w:r>
      <w:r w:rsidR="00525139">
        <w:t>.</w:t>
      </w:r>
    </w:p>
    <w:p w14:paraId="63F58F12" w14:textId="77777777" w:rsidR="009F654D" w:rsidRPr="00354C8E" w:rsidRDefault="00130904" w:rsidP="00130904">
      <w:pPr>
        <w:pStyle w:val="subsection"/>
      </w:pPr>
      <w:r w:rsidRPr="00B86730">
        <w:tab/>
        <w:t>(</w:t>
      </w:r>
      <w:r w:rsidR="009B770E" w:rsidRPr="00B86730">
        <w:t>9</w:t>
      </w:r>
      <w:r w:rsidRPr="00B86730">
        <w:t>)</w:t>
      </w:r>
      <w:r w:rsidRPr="00B86730">
        <w:tab/>
        <w:t>Despite sub</w:t>
      </w:r>
      <w:r w:rsidR="00BE556A" w:rsidRPr="00B86730">
        <w:t>regulat</w:t>
      </w:r>
      <w:r w:rsidRPr="00B86730">
        <w:t>ion (2), t</w:t>
      </w:r>
      <w:r w:rsidR="00D90D68">
        <w:t xml:space="preserve">he </w:t>
      </w:r>
      <w:r w:rsidR="00D90D68">
        <w:rPr>
          <w:b/>
          <w:i/>
        </w:rPr>
        <w:t>benchmark return</w:t>
      </w:r>
      <w:r>
        <w:t xml:space="preserve">, for the </w:t>
      </w:r>
      <w:r w:rsidR="00B86730">
        <w:t>Part 6</w:t>
      </w:r>
      <w:r w:rsidR="00D90D68">
        <w:t xml:space="preserve">A product for the lookback period for the product in respect of the </w:t>
      </w:r>
      <w:r w:rsidR="00C95175">
        <w:t>year</w:t>
      </w:r>
      <w:r w:rsidR="00D90D68">
        <w:t xml:space="preserve">, is the amount calculated using the formula in </w:t>
      </w:r>
      <w:r w:rsidR="00BE556A" w:rsidRPr="00B86730">
        <w:t>subregula</w:t>
      </w:r>
      <w:r w:rsidR="00D90D68">
        <w:t xml:space="preserve">tion (2), </w:t>
      </w:r>
      <w:r w:rsidR="00D90D68" w:rsidRPr="00B86730">
        <w:t>as</w:t>
      </w:r>
      <w:r w:rsidR="009F654D" w:rsidRPr="00B86730">
        <w:t xml:space="preserve"> modified in the way specified in the determination</w:t>
      </w:r>
      <w:r w:rsidR="00525139">
        <w:t>.</w:t>
      </w:r>
    </w:p>
    <w:p w14:paraId="5E7E9DCC" w14:textId="77777777" w:rsidR="00D90D68" w:rsidRDefault="00D90D68" w:rsidP="00D90D68">
      <w:pPr>
        <w:pStyle w:val="subsection"/>
      </w:pPr>
      <w:r>
        <w:tab/>
        <w:t>(1</w:t>
      </w:r>
      <w:r w:rsidR="009B770E">
        <w:t>0</w:t>
      </w:r>
      <w:r>
        <w:t>)</w:t>
      </w:r>
      <w:r>
        <w:tab/>
      </w:r>
      <w:r w:rsidR="00295491">
        <w:t xml:space="preserve">For the purposes of </w:t>
      </w:r>
      <w:r w:rsidR="00B86730">
        <w:t>paragraph (</w:t>
      </w:r>
      <w:r w:rsidR="009B770E">
        <w:t>8</w:t>
      </w:r>
      <w:r w:rsidR="00295491" w:rsidRPr="001D490D">
        <w:t xml:space="preserve">)(b), </w:t>
      </w:r>
      <w:r w:rsidRPr="001D490D">
        <w:t>APRA may make a determination, in writing, that</w:t>
      </w:r>
      <w:r>
        <w:t>:</w:t>
      </w:r>
    </w:p>
    <w:p w14:paraId="3A788968" w14:textId="77777777" w:rsidR="00E10DC0" w:rsidRDefault="00D90D68" w:rsidP="00D90D68">
      <w:pPr>
        <w:pStyle w:val="paragraph"/>
      </w:pPr>
      <w:r>
        <w:tab/>
        <w:t>(a)</w:t>
      </w:r>
      <w:r>
        <w:tab/>
        <w:t>specifies</w:t>
      </w:r>
      <w:r w:rsidR="00E10DC0">
        <w:t>:</w:t>
      </w:r>
    </w:p>
    <w:p w14:paraId="3D3C1CA5" w14:textId="77777777" w:rsidR="00E10DC0" w:rsidRDefault="00E10DC0" w:rsidP="00E10DC0">
      <w:pPr>
        <w:pStyle w:val="paragraphsub"/>
      </w:pPr>
      <w:r>
        <w:tab/>
        <w:t>(i)</w:t>
      </w:r>
      <w:r>
        <w:tab/>
      </w:r>
      <w:r w:rsidR="00265E5C">
        <w:t>a</w:t>
      </w:r>
      <w:r w:rsidR="00D90D68">
        <w:t xml:space="preserve"> </w:t>
      </w:r>
      <w:r w:rsidR="00C459D5">
        <w:t xml:space="preserve">lifecycle </w:t>
      </w:r>
      <w:r w:rsidR="00B86730">
        <w:t>Part 6</w:t>
      </w:r>
      <w:r w:rsidR="00D90D68">
        <w:t>A product</w:t>
      </w:r>
      <w:r>
        <w:t>; and</w:t>
      </w:r>
    </w:p>
    <w:p w14:paraId="4623B2D1" w14:textId="77777777" w:rsidR="002A36C4" w:rsidRDefault="002A36C4" w:rsidP="00E10DC0">
      <w:pPr>
        <w:pStyle w:val="paragraphsub"/>
      </w:pPr>
      <w:r>
        <w:tab/>
        <w:t>(ii)</w:t>
      </w:r>
      <w:r>
        <w:tab/>
        <w:t xml:space="preserve">the superannuation entity that offers the </w:t>
      </w:r>
      <w:r w:rsidR="00B86730">
        <w:t>Part 6</w:t>
      </w:r>
      <w:r>
        <w:t>A product; and</w:t>
      </w:r>
    </w:p>
    <w:p w14:paraId="628FE3B3" w14:textId="77777777" w:rsidR="00D90D68" w:rsidRDefault="00B1554A" w:rsidP="00C13C2D">
      <w:pPr>
        <w:pStyle w:val="paragraphsub"/>
      </w:pPr>
      <w:r>
        <w:tab/>
        <w:t>(iii)</w:t>
      </w:r>
      <w:r>
        <w:tab/>
      </w:r>
      <w:r w:rsidR="00C13C2D">
        <w:t>2 quarters</w:t>
      </w:r>
      <w:r>
        <w:t>;</w:t>
      </w:r>
      <w:r w:rsidR="00D90D68">
        <w:t xml:space="preserve"> and</w:t>
      </w:r>
    </w:p>
    <w:p w14:paraId="451F39D2" w14:textId="77777777" w:rsidR="00D90D68" w:rsidRPr="00B86730" w:rsidRDefault="00D90D68" w:rsidP="00D90D68">
      <w:pPr>
        <w:pStyle w:val="paragraph"/>
      </w:pPr>
      <w:r>
        <w:tab/>
        <w:t>(b)</w:t>
      </w:r>
      <w:r>
        <w:tab/>
        <w:t xml:space="preserve">specifies modifications of the formula in subregulation </w:t>
      </w:r>
      <w:r w:rsidR="00130904">
        <w:t xml:space="preserve">(2) </w:t>
      </w:r>
      <w:r w:rsidRPr="00B86730">
        <w:t xml:space="preserve">that APRA considers are reasonably necessary to reflect the circumstances mentioned in </w:t>
      </w:r>
      <w:r w:rsidR="00B86730" w:rsidRPr="00B86730">
        <w:t>paragraph (</w:t>
      </w:r>
      <w:r w:rsidR="009B770E" w:rsidRPr="00B86730">
        <w:t>8</w:t>
      </w:r>
      <w:r w:rsidRPr="00B86730">
        <w:t>)</w:t>
      </w:r>
      <w:r w:rsidR="00014EDE" w:rsidRPr="00B86730">
        <w:t>(a)</w:t>
      </w:r>
      <w:r w:rsidR="00525139">
        <w:t>.</w:t>
      </w:r>
    </w:p>
    <w:p w14:paraId="59FA076D" w14:textId="77777777" w:rsidR="003A0193" w:rsidRPr="005210A5" w:rsidRDefault="003A0193" w:rsidP="003A0193">
      <w:pPr>
        <w:pStyle w:val="subsection"/>
      </w:pPr>
      <w:r w:rsidRPr="005210A5">
        <w:tab/>
        <w:t>(11)</w:t>
      </w:r>
      <w:r w:rsidRPr="005210A5">
        <w:tab/>
        <w:t xml:space="preserve">APRA must give a notice of the determination to the </w:t>
      </w:r>
      <w:r w:rsidR="00E10DC0">
        <w:t xml:space="preserve">trustee of the </w:t>
      </w:r>
      <w:r w:rsidRPr="005210A5">
        <w:t>superannuation entity</w:t>
      </w:r>
      <w:r w:rsidR="002A36C4">
        <w:t xml:space="preserve"> specified in the determination</w:t>
      </w:r>
      <w:r w:rsidR="00525139">
        <w:t>.</w:t>
      </w:r>
      <w:r w:rsidRPr="005210A5">
        <w:t xml:space="preserve"> The notice must:</w:t>
      </w:r>
    </w:p>
    <w:p w14:paraId="67FBCE24" w14:textId="77777777" w:rsidR="003A0193" w:rsidRPr="005210A5" w:rsidRDefault="003A0193" w:rsidP="003A0193">
      <w:pPr>
        <w:pStyle w:val="paragraph"/>
      </w:pPr>
      <w:r w:rsidRPr="005210A5">
        <w:tab/>
        <w:t>(a)</w:t>
      </w:r>
      <w:r w:rsidRPr="005210A5">
        <w:tab/>
        <w:t>be in writing; and</w:t>
      </w:r>
    </w:p>
    <w:p w14:paraId="42202A59" w14:textId="77777777" w:rsidR="003A0193" w:rsidRPr="005210A5" w:rsidRDefault="003A0193" w:rsidP="003A0193">
      <w:pPr>
        <w:pStyle w:val="paragraph"/>
      </w:pPr>
      <w:r w:rsidRPr="005210A5">
        <w:tab/>
        <w:t>(b)</w:t>
      </w:r>
      <w:r w:rsidRPr="005210A5">
        <w:tab/>
        <w:t>include a copy of the determination</w:t>
      </w:r>
      <w:r w:rsidR="00525139">
        <w:t>.</w:t>
      </w:r>
    </w:p>
    <w:p w14:paraId="6705680E" w14:textId="77777777" w:rsidR="00E00072" w:rsidRDefault="00525139" w:rsidP="00E00072">
      <w:pPr>
        <w:pStyle w:val="ActHead5"/>
      </w:pPr>
      <w:bookmarkStart w:id="37" w:name="_Toc78797719"/>
      <w:r w:rsidRPr="0048118D">
        <w:rPr>
          <w:rStyle w:val="CharSectno"/>
        </w:rPr>
        <w:t>9AB.15</w:t>
      </w:r>
      <w:r w:rsidR="00E00072" w:rsidRPr="009855D9">
        <w:t xml:space="preserve">  </w:t>
      </w:r>
      <w:r w:rsidR="00E00072">
        <w:t>APRA</w:t>
      </w:r>
      <w:r w:rsidR="00711A14">
        <w:t>’s</w:t>
      </w:r>
      <w:r w:rsidR="00E00072">
        <w:t xml:space="preserve"> determination</w:t>
      </w:r>
      <w:r w:rsidR="00711A14">
        <w:t xml:space="preserve"> of </w:t>
      </w:r>
      <w:r w:rsidR="00E00072">
        <w:t>sequence of lifestages</w:t>
      </w:r>
      <w:bookmarkEnd w:id="37"/>
    </w:p>
    <w:p w14:paraId="5575C51D" w14:textId="77777777" w:rsidR="00E00072" w:rsidRDefault="00E00072" w:rsidP="00E00072">
      <w:pPr>
        <w:pStyle w:val="subsection"/>
      </w:pPr>
      <w:r>
        <w:tab/>
        <w:t>(1)</w:t>
      </w:r>
      <w:r>
        <w:tab/>
        <w:t xml:space="preserve">For the purposes of </w:t>
      </w:r>
      <w:r w:rsidR="00B86730">
        <w:t>paragraph (</w:t>
      </w:r>
      <w:r>
        <w:t xml:space="preserve">c) of the definition of </w:t>
      </w:r>
      <w:r w:rsidRPr="00A05D8A">
        <w:rPr>
          <w:b/>
          <w:i/>
        </w:rPr>
        <w:t>j</w:t>
      </w:r>
      <w:r>
        <w:t xml:space="preserve"> in subregulation </w:t>
      </w:r>
      <w:r w:rsidR="00525139">
        <w:t>9AB.12</w:t>
      </w:r>
      <w:r w:rsidRPr="001D490D">
        <w:t>(</w:t>
      </w:r>
      <w:r>
        <w:t>2</w:t>
      </w:r>
      <w:r w:rsidRPr="001D490D">
        <w:t>)</w:t>
      </w:r>
      <w:r>
        <w:t xml:space="preserve"> or</w:t>
      </w:r>
      <w:r w:rsidRPr="001D490D">
        <w:t xml:space="preserve"> </w:t>
      </w:r>
      <w:r w:rsidR="00525139">
        <w:t>9AB.14</w:t>
      </w:r>
      <w:r w:rsidRPr="001D490D">
        <w:t>(</w:t>
      </w:r>
      <w:r>
        <w:t>2</w:t>
      </w:r>
      <w:r w:rsidRPr="001D490D">
        <w:t>), APRA may make a determination, in writing, that specifies</w:t>
      </w:r>
      <w:r>
        <w:t>:</w:t>
      </w:r>
    </w:p>
    <w:p w14:paraId="2217D62F" w14:textId="77777777" w:rsidR="00E00072" w:rsidRDefault="00E00072" w:rsidP="00E00072">
      <w:pPr>
        <w:pStyle w:val="paragraph"/>
      </w:pPr>
      <w:r>
        <w:tab/>
        <w:t>(a)</w:t>
      </w:r>
      <w:r>
        <w:tab/>
        <w:t xml:space="preserve">a </w:t>
      </w:r>
      <w:r w:rsidR="00B86730">
        <w:t>Part 6</w:t>
      </w:r>
      <w:r>
        <w:t>A product; and</w:t>
      </w:r>
    </w:p>
    <w:p w14:paraId="07808B17" w14:textId="77777777" w:rsidR="00E00072" w:rsidRDefault="00E00072" w:rsidP="00E00072">
      <w:pPr>
        <w:pStyle w:val="paragraph"/>
      </w:pPr>
      <w:r>
        <w:tab/>
        <w:t>(b)</w:t>
      </w:r>
      <w:r>
        <w:tab/>
        <w:t xml:space="preserve">the trustee of the superannuation entity that offers the </w:t>
      </w:r>
      <w:r w:rsidR="00B86730">
        <w:t>Part 6</w:t>
      </w:r>
      <w:r>
        <w:t>A product; and</w:t>
      </w:r>
    </w:p>
    <w:p w14:paraId="6964A5CE" w14:textId="77777777" w:rsidR="00E00072" w:rsidRDefault="00E00072" w:rsidP="00E00072">
      <w:pPr>
        <w:pStyle w:val="paragraph"/>
      </w:pPr>
      <w:r>
        <w:tab/>
        <w:t>(c)</w:t>
      </w:r>
      <w:r>
        <w:tab/>
      </w:r>
      <w:r w:rsidRPr="001D490D">
        <w:t xml:space="preserve">a sequence of lifestages </w:t>
      </w:r>
      <w:r>
        <w:t xml:space="preserve">of the </w:t>
      </w:r>
      <w:r w:rsidR="00B86730">
        <w:t>Part 6</w:t>
      </w:r>
      <w:r>
        <w:t>A product that apply to beneficiaries of the same age</w:t>
      </w:r>
      <w:r w:rsidR="00525139">
        <w:t>.</w:t>
      </w:r>
    </w:p>
    <w:p w14:paraId="5539AF5E" w14:textId="77777777" w:rsidR="00E00072" w:rsidRPr="005210A5" w:rsidRDefault="00E00072" w:rsidP="00E00072">
      <w:pPr>
        <w:pStyle w:val="subsection"/>
      </w:pPr>
      <w:r w:rsidRPr="005210A5">
        <w:lastRenderedPageBreak/>
        <w:tab/>
        <w:t>(2)</w:t>
      </w:r>
      <w:r w:rsidRPr="005210A5">
        <w:tab/>
        <w:t xml:space="preserve">APRA must give a notice of the determination to the </w:t>
      </w:r>
      <w:r>
        <w:t xml:space="preserve">trustee of the </w:t>
      </w:r>
      <w:r w:rsidRPr="005210A5">
        <w:t>superannuation entity specified in the determination</w:t>
      </w:r>
      <w:r w:rsidR="00525139">
        <w:t>.</w:t>
      </w:r>
      <w:r w:rsidRPr="005210A5">
        <w:t xml:space="preserve"> The notice must:</w:t>
      </w:r>
    </w:p>
    <w:p w14:paraId="210999B1" w14:textId="77777777" w:rsidR="00E00072" w:rsidRPr="005210A5" w:rsidRDefault="00E00072" w:rsidP="00E00072">
      <w:pPr>
        <w:pStyle w:val="paragraph"/>
      </w:pPr>
      <w:r w:rsidRPr="005210A5">
        <w:tab/>
        <w:t>(a)</w:t>
      </w:r>
      <w:r w:rsidRPr="005210A5">
        <w:tab/>
        <w:t>be in writing; and</w:t>
      </w:r>
    </w:p>
    <w:p w14:paraId="0859EE66" w14:textId="77777777" w:rsidR="00E00072" w:rsidRPr="005210A5" w:rsidRDefault="00E00072" w:rsidP="00E00072">
      <w:pPr>
        <w:pStyle w:val="paragraph"/>
      </w:pPr>
      <w:r w:rsidRPr="005210A5">
        <w:tab/>
        <w:t>(b)</w:t>
      </w:r>
      <w:r w:rsidRPr="005210A5">
        <w:tab/>
        <w:t>include a copy of the determination</w:t>
      </w:r>
      <w:r w:rsidR="00525139">
        <w:t>.</w:t>
      </w:r>
    </w:p>
    <w:p w14:paraId="7D1B8363" w14:textId="77777777" w:rsidR="009D04AC" w:rsidRDefault="00525139" w:rsidP="009855D9">
      <w:pPr>
        <w:pStyle w:val="ActHead5"/>
        <w:rPr>
          <w:i/>
        </w:rPr>
      </w:pPr>
      <w:bookmarkStart w:id="38" w:name="_Toc78797720"/>
      <w:r w:rsidRPr="0048118D">
        <w:rPr>
          <w:rStyle w:val="CharSectno"/>
        </w:rPr>
        <w:t>9AB.16</w:t>
      </w:r>
      <w:r w:rsidR="009855D9">
        <w:t xml:space="preserve">  Meaning of </w:t>
      </w:r>
      <w:r w:rsidR="002328E9" w:rsidRPr="002328E9">
        <w:rPr>
          <w:i/>
        </w:rPr>
        <w:t>benchmark RAF</w:t>
      </w:r>
      <w:r w:rsidR="0079586E">
        <w:rPr>
          <w:i/>
        </w:rPr>
        <w:t>E</w:t>
      </w:r>
      <w:bookmarkEnd w:id="38"/>
    </w:p>
    <w:p w14:paraId="238C5FFB" w14:textId="77777777" w:rsidR="009613E2" w:rsidRDefault="00934526" w:rsidP="00E0617F">
      <w:pPr>
        <w:pStyle w:val="subsection"/>
      </w:pPr>
      <w:r>
        <w:tab/>
        <w:t>(1)</w:t>
      </w:r>
      <w:r>
        <w:tab/>
        <w:t xml:space="preserve">Work out the </w:t>
      </w:r>
      <w:r w:rsidR="002328E9" w:rsidRPr="002328E9">
        <w:rPr>
          <w:b/>
          <w:i/>
        </w:rPr>
        <w:t>benchmark RAF</w:t>
      </w:r>
      <w:r w:rsidR="0079586E">
        <w:rPr>
          <w:b/>
          <w:i/>
        </w:rPr>
        <w:t>E</w:t>
      </w:r>
      <w:r>
        <w:rPr>
          <w:b/>
          <w:i/>
        </w:rPr>
        <w:t xml:space="preserve"> </w:t>
      </w:r>
      <w:r>
        <w:t xml:space="preserve">for a </w:t>
      </w:r>
      <w:r w:rsidR="00B86730">
        <w:t>Part 6</w:t>
      </w:r>
      <w:r>
        <w:t>A product in relation</w:t>
      </w:r>
      <w:r w:rsidR="00306F63">
        <w:t xml:space="preserve"> to</w:t>
      </w:r>
      <w:r>
        <w:t xml:space="preserve"> a</w:t>
      </w:r>
      <w:r w:rsidR="00E0617F">
        <w:t xml:space="preserve"> </w:t>
      </w:r>
      <w:r w:rsidR="00160E39">
        <w:t>financial year</w:t>
      </w:r>
      <w:r w:rsidR="00E0617F">
        <w:t xml:space="preserve"> </w:t>
      </w:r>
      <w:r w:rsidR="00463889">
        <w:t>in accordance with</w:t>
      </w:r>
      <w:r w:rsidR="006133A1">
        <w:t xml:space="preserve"> the following </w:t>
      </w:r>
      <w:r w:rsidR="00BE556A" w:rsidRPr="00B86730">
        <w:t>subregula</w:t>
      </w:r>
      <w:r w:rsidR="00BE556A">
        <w:t>tions</w:t>
      </w:r>
      <w:r w:rsidR="00525139">
        <w:t>.</w:t>
      </w:r>
    </w:p>
    <w:p w14:paraId="5B4AF321" w14:textId="77777777" w:rsidR="00B200B3" w:rsidRDefault="00934526" w:rsidP="00934526">
      <w:pPr>
        <w:pStyle w:val="subsection"/>
      </w:pPr>
      <w:r>
        <w:tab/>
        <w:t>(2)</w:t>
      </w:r>
      <w:r>
        <w:tab/>
        <w:t>First</w:t>
      </w:r>
      <w:r w:rsidR="00B200B3">
        <w:t>:</w:t>
      </w:r>
    </w:p>
    <w:p w14:paraId="655E15BF" w14:textId="77777777" w:rsidR="00B200B3" w:rsidRPr="00B26056" w:rsidRDefault="00B200B3" w:rsidP="00B200B3">
      <w:pPr>
        <w:pStyle w:val="paragraph"/>
      </w:pPr>
      <w:r w:rsidRPr="00B26056">
        <w:tab/>
        <w:t>(a)</w:t>
      </w:r>
      <w:r w:rsidRPr="00B26056">
        <w:tab/>
        <w:t xml:space="preserve">if the </w:t>
      </w:r>
      <w:r w:rsidR="00B86730">
        <w:t>Part 6</w:t>
      </w:r>
      <w:r w:rsidRPr="00B26056">
        <w:t xml:space="preserve">A product is a MySuper product—identify all </w:t>
      </w:r>
      <w:r w:rsidR="00B86730">
        <w:t>Part 6</w:t>
      </w:r>
      <w:r w:rsidRPr="00B26056">
        <w:t>A products that exist at the end of the</w:t>
      </w:r>
      <w:r w:rsidR="004224C8">
        <w:t xml:space="preserve"> </w:t>
      </w:r>
      <w:r w:rsidR="00160E39">
        <w:t xml:space="preserve">year </w:t>
      </w:r>
      <w:r w:rsidRPr="00B26056">
        <w:t>that are MySuper products</w:t>
      </w:r>
      <w:r w:rsidR="00574A57">
        <w:t>;</w:t>
      </w:r>
      <w:r w:rsidRPr="00B26056">
        <w:t xml:space="preserve"> </w:t>
      </w:r>
      <w:r w:rsidR="000219C9">
        <w:t>or</w:t>
      </w:r>
    </w:p>
    <w:p w14:paraId="65753BA4" w14:textId="77777777" w:rsidR="00B200B3" w:rsidRDefault="00B200B3" w:rsidP="00B200B3">
      <w:pPr>
        <w:pStyle w:val="paragraph"/>
      </w:pPr>
      <w:r w:rsidRPr="00B26056">
        <w:tab/>
        <w:t>(b)</w:t>
      </w:r>
      <w:r w:rsidRPr="00B26056">
        <w:tab/>
        <w:t xml:space="preserve">otherwise—identify all </w:t>
      </w:r>
      <w:r w:rsidR="00B86730">
        <w:t>Part 6</w:t>
      </w:r>
      <w:r w:rsidRPr="00B26056">
        <w:t>A products that exist at the end of the</w:t>
      </w:r>
      <w:r w:rsidR="00E0617F">
        <w:t xml:space="preserve"> </w:t>
      </w:r>
      <w:r w:rsidR="00160E39">
        <w:t>year</w:t>
      </w:r>
      <w:r w:rsidR="00146442">
        <w:t xml:space="preserve"> </w:t>
      </w:r>
      <w:r>
        <w:t>that are not MySuper products</w:t>
      </w:r>
      <w:r w:rsidR="00525139">
        <w:t>.</w:t>
      </w:r>
    </w:p>
    <w:p w14:paraId="5D7DFB10" w14:textId="77777777" w:rsidR="00553E0E" w:rsidRDefault="0098560D" w:rsidP="004C5D40">
      <w:pPr>
        <w:pStyle w:val="subsection"/>
      </w:pPr>
      <w:r w:rsidRPr="0098560D">
        <w:tab/>
        <w:t>(3)</w:t>
      </w:r>
      <w:r w:rsidRPr="0098560D">
        <w:tab/>
        <w:t xml:space="preserve">Next, </w:t>
      </w:r>
      <w:r w:rsidR="00553E0E">
        <w:t xml:space="preserve">construct a </w:t>
      </w:r>
      <w:r w:rsidR="00553E0E" w:rsidRPr="0098560D">
        <w:t>consecutive sequence</w:t>
      </w:r>
      <w:r w:rsidR="00553E0E">
        <w:t xml:space="preserve"> of the</w:t>
      </w:r>
      <w:r w:rsidR="00912FC6">
        <w:t xml:space="preserve"> re</w:t>
      </w:r>
      <w:r w:rsidR="00773221">
        <w:t>presentative</w:t>
      </w:r>
      <w:r w:rsidR="00912FC6">
        <w:t xml:space="preserve"> administration fees and expenses</w:t>
      </w:r>
      <w:r w:rsidR="004C5D40">
        <w:t xml:space="preserve"> for each of the </w:t>
      </w:r>
      <w:r w:rsidR="00B86730">
        <w:t>Part 6</w:t>
      </w:r>
      <w:r w:rsidR="004C5D40">
        <w:t xml:space="preserve">A products identified under subregulation (2) in relation to the </w:t>
      </w:r>
      <w:r w:rsidR="00B36383">
        <w:t>year</w:t>
      </w:r>
      <w:r w:rsidR="006D5866">
        <w:t>, where the sequence</w:t>
      </w:r>
      <w:r w:rsidR="00553E0E">
        <w:t>:</w:t>
      </w:r>
    </w:p>
    <w:p w14:paraId="451571A6" w14:textId="77777777" w:rsidR="00553E0E" w:rsidRDefault="00553E0E" w:rsidP="00553E0E">
      <w:pPr>
        <w:pStyle w:val="paragraph"/>
      </w:pPr>
      <w:r>
        <w:tab/>
        <w:t>(a)</w:t>
      </w:r>
      <w:r>
        <w:tab/>
      </w:r>
      <w:r w:rsidRPr="0098560D">
        <w:t>start</w:t>
      </w:r>
      <w:r>
        <w:t>s</w:t>
      </w:r>
      <w:r w:rsidRPr="0098560D">
        <w:t xml:space="preserve"> with the lowest </w:t>
      </w:r>
      <w:r w:rsidR="006D5866">
        <w:t xml:space="preserve">of those </w:t>
      </w:r>
      <w:r w:rsidR="00AC7630">
        <w:t>RAFE</w:t>
      </w:r>
      <w:r w:rsidR="006D5866">
        <w:t>s</w:t>
      </w:r>
      <w:r>
        <w:t xml:space="preserve">; </w:t>
      </w:r>
      <w:r w:rsidR="006D5866">
        <w:t>and</w:t>
      </w:r>
    </w:p>
    <w:p w14:paraId="62B5C92A" w14:textId="77777777" w:rsidR="00553E0E" w:rsidRDefault="00553E0E" w:rsidP="00553E0E">
      <w:pPr>
        <w:pStyle w:val="paragraph"/>
      </w:pPr>
      <w:r>
        <w:tab/>
        <w:t>(</w:t>
      </w:r>
      <w:r w:rsidR="0066159A">
        <w:t>b</w:t>
      </w:r>
      <w:r>
        <w:t>)</w:t>
      </w:r>
      <w:r>
        <w:tab/>
        <w:t xml:space="preserve">proceeds in ascending order of the amount of each of those </w:t>
      </w:r>
      <w:r w:rsidR="00672514">
        <w:t>RAFE</w:t>
      </w:r>
      <w:r>
        <w:t>s</w:t>
      </w:r>
      <w:r w:rsidR="00525139">
        <w:t>.</w:t>
      </w:r>
    </w:p>
    <w:p w14:paraId="72F3449E" w14:textId="77777777" w:rsidR="00ED59C6" w:rsidRDefault="0098560D" w:rsidP="00ED59C6">
      <w:pPr>
        <w:pStyle w:val="subsection"/>
      </w:pPr>
      <w:r>
        <w:tab/>
        <w:t>(4)</w:t>
      </w:r>
      <w:r>
        <w:tab/>
      </w:r>
      <w:r w:rsidR="00B200B3">
        <w:t>Next, work out the result of the following formula:</w:t>
      </w:r>
    </w:p>
    <w:p w14:paraId="799C64F8" w14:textId="77777777" w:rsidR="00ED59C6" w:rsidRDefault="00467F94" w:rsidP="00DB11F2">
      <w:pPr>
        <w:pStyle w:val="subsection2"/>
      </w:pPr>
      <w:r w:rsidRPr="00DB11F2">
        <w:object w:dxaOrig="1800" w:dyaOrig="620" w14:anchorId="27F0E0CD">
          <v:shape id="_x0000_i1032" type="#_x0000_t75" alt="Start formula P equals 0.5 times open bracket M plus 1 close bracket end formula." style="width:91.5pt;height:30.75pt" o:ole="">
            <v:imagedata r:id="rId32" o:title=""/>
          </v:shape>
          <o:OLEObject Type="Embed" ProgID="Equation.DSMT4" ShapeID="_x0000_i1032" DrawAspect="Content" ObjectID="_1689678731" r:id="rId33"/>
        </w:object>
      </w:r>
    </w:p>
    <w:p w14:paraId="7FDA7CCB" w14:textId="77777777" w:rsidR="0098560D" w:rsidRPr="00CF6B43" w:rsidRDefault="0098560D" w:rsidP="0098560D">
      <w:pPr>
        <w:pStyle w:val="subsection2"/>
      </w:pPr>
      <w:r>
        <w:t>where:</w:t>
      </w:r>
    </w:p>
    <w:p w14:paraId="7BF27DF0" w14:textId="77777777" w:rsidR="0098560D" w:rsidRDefault="00F17DB0" w:rsidP="0098560D">
      <w:pPr>
        <w:pStyle w:val="Definition"/>
      </w:pPr>
      <w:r>
        <w:rPr>
          <w:b/>
          <w:i/>
        </w:rPr>
        <w:t>M</w:t>
      </w:r>
      <w:r w:rsidR="0098560D">
        <w:t xml:space="preserve"> is the number of </w:t>
      </w:r>
      <w:r w:rsidR="00B86730">
        <w:t>Part 6</w:t>
      </w:r>
      <w:r w:rsidR="0098560D">
        <w:t>A products identified under sub</w:t>
      </w:r>
      <w:r w:rsidR="00D45949">
        <w:t>regulation</w:t>
      </w:r>
      <w:r w:rsidR="0098560D">
        <w:t xml:space="preserve"> (2)</w:t>
      </w:r>
      <w:r w:rsidR="00525139">
        <w:t>.</w:t>
      </w:r>
    </w:p>
    <w:p w14:paraId="20D66CAE" w14:textId="77777777" w:rsidR="0098560D" w:rsidRDefault="000219C9" w:rsidP="0098560D">
      <w:pPr>
        <w:pStyle w:val="subsection"/>
      </w:pPr>
      <w:r>
        <w:t xml:space="preserve"> </w:t>
      </w:r>
      <w:r w:rsidR="0098560D">
        <w:tab/>
        <w:t>(5)</w:t>
      </w:r>
      <w:r w:rsidR="0098560D">
        <w:tab/>
        <w:t xml:space="preserve">If P is a whole number, </w:t>
      </w:r>
      <w:r w:rsidR="00960AD7">
        <w:t xml:space="preserve">the </w:t>
      </w:r>
      <w:r w:rsidR="00960AD7" w:rsidRPr="00934526">
        <w:rPr>
          <w:b/>
          <w:i/>
        </w:rPr>
        <w:t xml:space="preserve">benchmark </w:t>
      </w:r>
      <w:r w:rsidR="0079586E">
        <w:rPr>
          <w:b/>
          <w:i/>
        </w:rPr>
        <w:t>RAFE</w:t>
      </w:r>
      <w:r w:rsidR="00960AD7">
        <w:rPr>
          <w:b/>
          <w:i/>
        </w:rPr>
        <w:t xml:space="preserve"> </w:t>
      </w:r>
      <w:r w:rsidR="00766202">
        <w:t xml:space="preserve">for the </w:t>
      </w:r>
      <w:r w:rsidR="00B86730">
        <w:t>Part 6</w:t>
      </w:r>
      <w:r w:rsidR="00766202">
        <w:t>A product in relation to the</w:t>
      </w:r>
      <w:r w:rsidR="00160E39">
        <w:t xml:space="preserve"> year</w:t>
      </w:r>
      <w:r w:rsidR="00960AD7">
        <w:t xml:space="preserve"> is</w:t>
      </w:r>
      <w:r w:rsidR="0098560D">
        <w:t xml:space="preserve"> the </w:t>
      </w:r>
      <w:r w:rsidR="00672514">
        <w:t>RAFE</w:t>
      </w:r>
      <w:r w:rsidR="0098560D" w:rsidRPr="0098560D">
        <w:t xml:space="preserve"> </w:t>
      </w:r>
      <w:r w:rsidR="0098560D">
        <w:t xml:space="preserve">that occupies the </w:t>
      </w:r>
      <w:r w:rsidR="00102827">
        <w:t>place in the sequence mentioned in sub</w:t>
      </w:r>
      <w:r w:rsidR="00D45949">
        <w:t>regulation</w:t>
      </w:r>
      <w:r w:rsidR="00102827">
        <w:t xml:space="preserve"> (3)</w:t>
      </w:r>
      <w:r w:rsidR="00FD4096">
        <w:t xml:space="preserve"> corresponding to P</w:t>
      </w:r>
      <w:r w:rsidR="00525139">
        <w:t>.</w:t>
      </w:r>
    </w:p>
    <w:p w14:paraId="5D1418DD" w14:textId="77777777" w:rsidR="0098560D" w:rsidRPr="009349F6" w:rsidRDefault="0098560D" w:rsidP="0098560D">
      <w:pPr>
        <w:pStyle w:val="notetext"/>
      </w:pPr>
      <w:r>
        <w:t>Example:</w:t>
      </w:r>
      <w:r w:rsidR="004376E4">
        <w:tab/>
      </w:r>
      <w:r>
        <w:t>If P</w:t>
      </w:r>
      <w:r w:rsidRPr="009349F6">
        <w:t>=</w:t>
      </w:r>
      <w:r>
        <w:t xml:space="preserve">5, then </w:t>
      </w:r>
      <w:r w:rsidR="00960AD7">
        <w:t xml:space="preserve">the </w:t>
      </w:r>
      <w:r w:rsidR="00960AD7" w:rsidRPr="00960AD7">
        <w:t xml:space="preserve">benchmark </w:t>
      </w:r>
      <w:r w:rsidR="002A0C05">
        <w:t>RAFE</w:t>
      </w:r>
      <w:r w:rsidR="00960AD7">
        <w:t xml:space="preserve"> is</w:t>
      </w:r>
      <w:r>
        <w:t xml:space="preserve"> the fifth </w:t>
      </w:r>
      <w:r w:rsidR="002A0C05">
        <w:t>RAFE</w:t>
      </w:r>
      <w:r w:rsidR="00FD4096">
        <w:t xml:space="preserve"> </w:t>
      </w:r>
      <w:r>
        <w:t>in that sequence</w:t>
      </w:r>
      <w:r w:rsidR="00525139">
        <w:t>.</w:t>
      </w:r>
    </w:p>
    <w:p w14:paraId="670AC554" w14:textId="77777777" w:rsidR="00ED59C6" w:rsidRDefault="00FD4096" w:rsidP="00C063AA">
      <w:pPr>
        <w:pStyle w:val="subsection"/>
      </w:pPr>
      <w:r>
        <w:tab/>
        <w:t>(</w:t>
      </w:r>
      <w:r w:rsidR="000932FA">
        <w:t>6</w:t>
      </w:r>
      <w:r>
        <w:t>)</w:t>
      </w:r>
      <w:r>
        <w:tab/>
        <w:t xml:space="preserve">If P is not a whole number, </w:t>
      </w:r>
      <w:r w:rsidR="00A5370A">
        <w:t xml:space="preserve">determine the </w:t>
      </w:r>
      <w:r w:rsidR="00A5370A" w:rsidRPr="00934526">
        <w:rPr>
          <w:b/>
          <w:i/>
        </w:rPr>
        <w:t xml:space="preserve">benchmark </w:t>
      </w:r>
      <w:r w:rsidR="0079586E">
        <w:rPr>
          <w:b/>
          <w:i/>
        </w:rPr>
        <w:t>RAFE</w:t>
      </w:r>
      <w:r w:rsidR="00A5370A">
        <w:rPr>
          <w:b/>
          <w:i/>
        </w:rPr>
        <w:t xml:space="preserve"> </w:t>
      </w:r>
      <w:r w:rsidR="00A5370A">
        <w:t>mentioned in sub</w:t>
      </w:r>
      <w:r w:rsidR="00D45949">
        <w:t>regulation</w:t>
      </w:r>
      <w:r w:rsidR="00A5370A">
        <w:t xml:space="preserve"> (1) by </w:t>
      </w:r>
      <w:r>
        <w:t>us</w:t>
      </w:r>
      <w:r w:rsidR="00A5370A">
        <w:t>ing</w:t>
      </w:r>
      <w:r>
        <w:t xml:space="preserve"> the following formula:</w:t>
      </w:r>
    </w:p>
    <w:p w14:paraId="234108B3" w14:textId="77777777" w:rsidR="00ED59C6" w:rsidRPr="00FE11B6" w:rsidRDefault="00467F94" w:rsidP="00FE11B6">
      <w:pPr>
        <w:pStyle w:val="subsection2"/>
      </w:pPr>
      <w:r w:rsidRPr="00FE11B6">
        <w:object w:dxaOrig="3980" w:dyaOrig="940" w14:anchorId="5EECF036">
          <v:shape id="_x0000_i1033" type="#_x0000_t75" alt="This formula calculates benchmark RAFE." style="width:199.5pt;height:48.75pt" o:ole="">
            <v:imagedata r:id="rId34" o:title=""/>
          </v:shape>
          <o:OLEObject Type="Embed" ProgID="Equation.DSMT4" ShapeID="_x0000_i1033" DrawAspect="Content" ObjectID="_1689678732" r:id="rId35"/>
        </w:object>
      </w:r>
    </w:p>
    <w:p w14:paraId="10F7850F" w14:textId="77777777" w:rsidR="00FD4096" w:rsidRPr="00CF6B43" w:rsidRDefault="00FD4096" w:rsidP="00FD4096">
      <w:pPr>
        <w:pStyle w:val="subsection2"/>
      </w:pPr>
      <w:r>
        <w:t>where:</w:t>
      </w:r>
    </w:p>
    <w:p w14:paraId="02B8559D" w14:textId="77777777" w:rsidR="00FD4096" w:rsidRDefault="00FB5E7B" w:rsidP="00FD4096">
      <w:pPr>
        <w:pStyle w:val="Definition"/>
      </w:pPr>
      <w:r>
        <w:rPr>
          <w:b/>
          <w:i/>
        </w:rPr>
        <w:t>PR</w:t>
      </w:r>
      <w:r w:rsidR="00FD4096">
        <w:t xml:space="preserve"> is P rounded down to the nearest whole number</w:t>
      </w:r>
      <w:r w:rsidR="00525139">
        <w:t>.</w:t>
      </w:r>
    </w:p>
    <w:p w14:paraId="74B90E3F" w14:textId="77777777" w:rsidR="002E4F5E" w:rsidRDefault="002E4F5E" w:rsidP="002E4F5E">
      <w:pPr>
        <w:pStyle w:val="Definition"/>
      </w:pPr>
      <w:r w:rsidRPr="00FD4096">
        <w:rPr>
          <w:b/>
          <w:i/>
        </w:rPr>
        <w:t>RAF</w:t>
      </w:r>
      <w:r w:rsidR="00672514">
        <w:rPr>
          <w:b/>
          <w:i/>
        </w:rPr>
        <w:t>E</w:t>
      </w:r>
      <w:r w:rsidR="00FB5E7B">
        <w:rPr>
          <w:b/>
          <w:i/>
          <w:vertAlign w:val="subscript"/>
        </w:rPr>
        <w:t>PR</w:t>
      </w:r>
      <w:r>
        <w:t xml:space="preserve"> is the </w:t>
      </w:r>
      <w:r w:rsidR="00672514">
        <w:t>RAFE</w:t>
      </w:r>
      <w:r w:rsidRPr="0098560D">
        <w:t xml:space="preserve"> </w:t>
      </w:r>
      <w:r>
        <w:t>that occupies the place in the sequence mentioned in sub</w:t>
      </w:r>
      <w:r w:rsidR="00D45949">
        <w:t>regulation</w:t>
      </w:r>
      <w:r>
        <w:t xml:space="preserve"> (3) corresponding to </w:t>
      </w:r>
      <w:r w:rsidR="00FB5E7B">
        <w:t>PR</w:t>
      </w:r>
      <w:r w:rsidR="00525139">
        <w:t>.</w:t>
      </w:r>
    </w:p>
    <w:p w14:paraId="7A647927" w14:textId="77777777" w:rsidR="002E4F5E" w:rsidRDefault="002E4F5E" w:rsidP="002E4F5E">
      <w:pPr>
        <w:pStyle w:val="Definition"/>
      </w:pPr>
      <w:r w:rsidRPr="00FD4096">
        <w:rPr>
          <w:b/>
          <w:i/>
        </w:rPr>
        <w:t>RAF</w:t>
      </w:r>
      <w:r w:rsidR="00672514">
        <w:rPr>
          <w:b/>
          <w:i/>
        </w:rPr>
        <w:t>E</w:t>
      </w:r>
      <w:r w:rsidR="00FB5E7B">
        <w:rPr>
          <w:b/>
          <w:i/>
          <w:vertAlign w:val="subscript"/>
        </w:rPr>
        <w:t>PR+1</w:t>
      </w:r>
      <w:r>
        <w:t xml:space="preserve"> is the </w:t>
      </w:r>
      <w:r w:rsidR="00672514">
        <w:t>RAFE</w:t>
      </w:r>
      <w:r w:rsidRPr="0098560D">
        <w:t xml:space="preserve"> </w:t>
      </w:r>
      <w:r>
        <w:t>that occupies the place in the sequence mentioned in sub</w:t>
      </w:r>
      <w:r w:rsidR="00D45949">
        <w:t>regulation</w:t>
      </w:r>
      <w:r>
        <w:t xml:space="preserve"> (3) corresponding to </w:t>
      </w:r>
      <w:r w:rsidR="00FB5E7B">
        <w:t>PR</w:t>
      </w:r>
      <w:r>
        <w:t xml:space="preserve"> + 1</w:t>
      </w:r>
      <w:r w:rsidR="00525139">
        <w:t>.</w:t>
      </w:r>
    </w:p>
    <w:p w14:paraId="7B88BE15" w14:textId="77777777" w:rsidR="00357E71" w:rsidRPr="00357E71" w:rsidRDefault="00335EF0" w:rsidP="00357E71">
      <w:pPr>
        <w:pStyle w:val="SubsectionHead"/>
      </w:pPr>
      <w:r>
        <w:lastRenderedPageBreak/>
        <w:t>RAFE for l</w:t>
      </w:r>
      <w:r w:rsidR="00357E71">
        <w:t xml:space="preserve">ifecycle </w:t>
      </w:r>
      <w:r w:rsidR="00B86730">
        <w:t>Part 6</w:t>
      </w:r>
      <w:r w:rsidR="00357E71">
        <w:t>A products</w:t>
      </w:r>
    </w:p>
    <w:p w14:paraId="47F121A4" w14:textId="77777777" w:rsidR="00615A37" w:rsidRDefault="00357E71" w:rsidP="00471969">
      <w:pPr>
        <w:pStyle w:val="subsection"/>
      </w:pPr>
      <w:r>
        <w:tab/>
        <w:t>(7)</w:t>
      </w:r>
      <w:r>
        <w:tab/>
      </w:r>
      <w:r w:rsidR="00471969">
        <w:t>If</w:t>
      </w:r>
      <w:r w:rsidR="003F46E7">
        <w:t xml:space="preserve"> </w:t>
      </w:r>
      <w:r w:rsidR="00615A37">
        <w:t>a</w:t>
      </w:r>
      <w:r w:rsidR="00AC7630">
        <w:t xml:space="preserve"> </w:t>
      </w:r>
      <w:r w:rsidR="00B86730">
        <w:t>Part 6</w:t>
      </w:r>
      <w:r w:rsidR="00AC7630">
        <w:t xml:space="preserve">A product is in the class of </w:t>
      </w:r>
      <w:r w:rsidR="00B86730">
        <w:t>Part 6</w:t>
      </w:r>
      <w:r w:rsidR="00AC7630" w:rsidRPr="00C92D14">
        <w:t>A product</w:t>
      </w:r>
      <w:r w:rsidR="00335EF0">
        <w:t>s</w:t>
      </w:r>
      <w:r w:rsidR="00AC7630">
        <w:t xml:space="preserve"> specified</w:t>
      </w:r>
      <w:r w:rsidR="00AC7630" w:rsidRPr="00C92D14">
        <w:t xml:space="preserve"> in relation to </w:t>
      </w:r>
      <w:r w:rsidR="00AC7630">
        <w:t xml:space="preserve">a </w:t>
      </w:r>
      <w:r w:rsidR="00AC7630" w:rsidRPr="00C92D14">
        <w:t>financial year</w:t>
      </w:r>
      <w:r w:rsidR="00AC7630">
        <w:t xml:space="preserve"> under subregulation </w:t>
      </w:r>
      <w:r w:rsidR="00525139">
        <w:t>9AB.9</w:t>
      </w:r>
      <w:r w:rsidR="00AC7630" w:rsidRPr="001D490D">
        <w:t>(3)</w:t>
      </w:r>
      <w:r w:rsidR="00AC7630">
        <w:t xml:space="preserve"> (lifecycle </w:t>
      </w:r>
      <w:r w:rsidR="00B86730">
        <w:t>Part 6</w:t>
      </w:r>
      <w:r w:rsidR="00AC7630">
        <w:t>A products)</w:t>
      </w:r>
      <w:r w:rsidR="00615A37">
        <w:t xml:space="preserve">, </w:t>
      </w:r>
      <w:r w:rsidR="00471969">
        <w:t>treat a reference in sub</w:t>
      </w:r>
      <w:r w:rsidR="00583843">
        <w:t>r</w:t>
      </w:r>
      <w:r w:rsidR="00471969">
        <w:t xml:space="preserve">egulations (1) to (6) of this regulation to the </w:t>
      </w:r>
      <w:r w:rsidR="00615A37">
        <w:t xml:space="preserve">RAFE for the </w:t>
      </w:r>
      <w:r w:rsidR="00B86730">
        <w:t>Part 6</w:t>
      </w:r>
      <w:r w:rsidR="00615A37">
        <w:t>A product in relation to the</w:t>
      </w:r>
      <w:r w:rsidR="00B36383">
        <w:t xml:space="preserve"> </w:t>
      </w:r>
      <w:r w:rsidR="00583843">
        <w:t>year</w:t>
      </w:r>
      <w:r w:rsidR="00615A37">
        <w:t xml:space="preserve"> as </w:t>
      </w:r>
      <w:r w:rsidR="00471969">
        <w:t xml:space="preserve">being a reference to the largest of the </w:t>
      </w:r>
      <w:r w:rsidR="00615A37">
        <w:t>RAFEs for the product in relation to t</w:t>
      </w:r>
      <w:r w:rsidR="00B36383">
        <w:t>h</w:t>
      </w:r>
      <w:r w:rsidR="00CB16FC">
        <w:t>e year</w:t>
      </w:r>
      <w:r w:rsidR="00B36383">
        <w:t xml:space="preserve"> </w:t>
      </w:r>
      <w:r w:rsidR="00615A37">
        <w:t>and each lifestage of the product</w:t>
      </w:r>
      <w:r w:rsidR="00525139">
        <w:t>.</w:t>
      </w:r>
    </w:p>
    <w:p w14:paraId="08A46DB8" w14:textId="77777777" w:rsidR="00EA58DB" w:rsidRDefault="00AB0A49" w:rsidP="00CB16FC">
      <w:pPr>
        <w:pStyle w:val="subsection"/>
      </w:pPr>
      <w:r>
        <w:tab/>
        <w:t>(8)</w:t>
      </w:r>
      <w:r>
        <w:tab/>
        <w:t>However, if</w:t>
      </w:r>
      <w:r w:rsidR="00305D98">
        <w:t>:</w:t>
      </w:r>
    </w:p>
    <w:p w14:paraId="2711D6DB" w14:textId="77777777" w:rsidR="00EA58DB" w:rsidRDefault="00EA58DB" w:rsidP="00EA58DB">
      <w:pPr>
        <w:pStyle w:val="paragraph"/>
      </w:pPr>
      <w:r w:rsidRPr="00D90D68">
        <w:tab/>
        <w:t>(</w:t>
      </w:r>
      <w:r>
        <w:t>a</w:t>
      </w:r>
      <w:r w:rsidRPr="00D90D68">
        <w:t>)</w:t>
      </w:r>
      <w:r w:rsidRPr="00D90D68">
        <w:tab/>
      </w:r>
      <w:r>
        <w:t>the life</w:t>
      </w:r>
      <w:r w:rsidRPr="00D90D68">
        <w:t xml:space="preserve">cycle </w:t>
      </w:r>
      <w:r>
        <w:t>Part 6</w:t>
      </w:r>
      <w:r w:rsidRPr="00D90D68">
        <w:t xml:space="preserve">A product has particular lifestages at the </w:t>
      </w:r>
      <w:r>
        <w:t>start of the financial year</w:t>
      </w:r>
      <w:r w:rsidRPr="00D90D68">
        <w:t>;</w:t>
      </w:r>
      <w:r>
        <w:t xml:space="preserve"> and</w:t>
      </w:r>
    </w:p>
    <w:p w14:paraId="726C4D12" w14:textId="77777777" w:rsidR="00EA58DB" w:rsidRDefault="003D1C30" w:rsidP="003D1C30">
      <w:pPr>
        <w:pStyle w:val="paragraph"/>
      </w:pPr>
      <w:r>
        <w:tab/>
        <w:t>(b)</w:t>
      </w:r>
      <w:r>
        <w:tab/>
        <w:t>at one or more times during the year, the product starts to have different lifestages</w:t>
      </w:r>
      <w:r w:rsidR="00EA58DB">
        <w:t>;</w:t>
      </w:r>
    </w:p>
    <w:p w14:paraId="3FD5B09D" w14:textId="77777777" w:rsidR="00AB0A49" w:rsidRDefault="00DB19E7" w:rsidP="00EA58DB">
      <w:pPr>
        <w:pStyle w:val="subsection2"/>
      </w:pPr>
      <w:r>
        <w:t>t</w:t>
      </w:r>
      <w:r w:rsidR="00EA58DB">
        <w:t>reat a reference in subregulations (1) to (6) of this regulation to the RAFE for the Part 6A product in relation to the year as being a reference to the amount worked out as follows</w:t>
      </w:r>
      <w:r w:rsidR="00AB0A49">
        <w:t>:</w:t>
      </w:r>
    </w:p>
    <w:p w14:paraId="03E5414B" w14:textId="77777777" w:rsidR="00BB29C9" w:rsidRDefault="00BB29C9" w:rsidP="00BB29C9">
      <w:pPr>
        <w:pStyle w:val="paragraph"/>
      </w:pPr>
      <w:r>
        <w:tab/>
        <w:t>(</w:t>
      </w:r>
      <w:r w:rsidR="00EA58DB">
        <w:t>c</w:t>
      </w:r>
      <w:r w:rsidR="00145CE8">
        <w:t>)</w:t>
      </w:r>
      <w:r>
        <w:tab/>
      </w:r>
      <w:r w:rsidR="00EA58DB">
        <w:t>first</w:t>
      </w:r>
      <w:r w:rsidR="00DB19E7">
        <w:t>,</w:t>
      </w:r>
      <w:r w:rsidR="00EA58DB">
        <w:t xml:space="preserve"> </w:t>
      </w:r>
      <w:r>
        <w:t>divide the year into periods on the following basis:</w:t>
      </w:r>
    </w:p>
    <w:p w14:paraId="0D068DF3" w14:textId="77777777" w:rsidR="00BB29C9" w:rsidRPr="00BB29C9" w:rsidRDefault="00BB29C9" w:rsidP="00BB29C9">
      <w:pPr>
        <w:pStyle w:val="paragraphsub"/>
      </w:pPr>
      <w:r>
        <w:tab/>
        <w:t>(i</w:t>
      </w:r>
      <w:r w:rsidRPr="00BB29C9">
        <w:t>)</w:t>
      </w:r>
      <w:r w:rsidRPr="00BB29C9">
        <w:tab/>
        <w:t>the first period starts at the start of the year;</w:t>
      </w:r>
    </w:p>
    <w:p w14:paraId="4F80637E" w14:textId="77777777" w:rsidR="00BB29C9" w:rsidRPr="00BB29C9" w:rsidRDefault="00BB29C9" w:rsidP="00BB29C9">
      <w:pPr>
        <w:pStyle w:val="paragraphsub"/>
      </w:pPr>
      <w:r w:rsidRPr="00BB29C9">
        <w:tab/>
        <w:t>(</w:t>
      </w:r>
      <w:r>
        <w:t>ii</w:t>
      </w:r>
      <w:r w:rsidRPr="00BB29C9">
        <w:t>)</w:t>
      </w:r>
      <w:r w:rsidRPr="00BB29C9">
        <w:tab/>
        <w:t>a new period starts each time the product starts to have different lifestages;</w:t>
      </w:r>
    </w:p>
    <w:p w14:paraId="0B75A5CE" w14:textId="77777777" w:rsidR="00BB29C9" w:rsidRDefault="00BB29C9" w:rsidP="00BB29C9">
      <w:pPr>
        <w:pStyle w:val="paragraphsub"/>
      </w:pPr>
      <w:r w:rsidRPr="00BB29C9">
        <w:tab/>
        <w:t>(</w:t>
      </w:r>
      <w:r>
        <w:t>iii)</w:t>
      </w:r>
      <w:r>
        <w:tab/>
        <w:t>the last period ends at the end of the year;</w:t>
      </w:r>
    </w:p>
    <w:p w14:paraId="3B6678D3" w14:textId="77777777" w:rsidR="00CF074E" w:rsidRDefault="00CF074E" w:rsidP="00CF074E">
      <w:pPr>
        <w:pStyle w:val="noteToPara"/>
      </w:pPr>
      <w:r>
        <w:t>Note:</w:t>
      </w:r>
      <w:r>
        <w:tab/>
        <w:t>E</w:t>
      </w:r>
      <w:r w:rsidRPr="00BB29C9">
        <w:t>ach period, other than the last period, ends immediately before the first time after the start of th</w:t>
      </w:r>
      <w:r>
        <w:t xml:space="preserve">at </w:t>
      </w:r>
      <w:r w:rsidRPr="00BB29C9">
        <w:t xml:space="preserve">period at which there is a change </w:t>
      </w:r>
      <w:r>
        <w:t>of the</w:t>
      </w:r>
      <w:r w:rsidRPr="00BB29C9">
        <w:t xml:space="preserve"> lifestages</w:t>
      </w:r>
      <w:r w:rsidR="00525139">
        <w:t>.</w:t>
      </w:r>
    </w:p>
    <w:p w14:paraId="6535F7D7" w14:textId="77777777" w:rsidR="00BB29C9" w:rsidRDefault="00BB29C9" w:rsidP="00BB29C9">
      <w:pPr>
        <w:pStyle w:val="paragraph"/>
      </w:pPr>
      <w:r>
        <w:tab/>
        <w:t>(</w:t>
      </w:r>
      <w:r w:rsidR="00EA58DB">
        <w:t>d</w:t>
      </w:r>
      <w:r>
        <w:t>)</w:t>
      </w:r>
      <w:r>
        <w:tab/>
      </w:r>
      <w:r w:rsidR="00DB19E7">
        <w:t xml:space="preserve">then, </w:t>
      </w:r>
      <w:r w:rsidR="00B07593">
        <w:t>for each</w:t>
      </w:r>
      <w:r w:rsidR="00145CE8">
        <w:t xml:space="preserve"> period identified under paragraph (c), </w:t>
      </w:r>
      <w:r w:rsidR="00B07593">
        <w:t>w</w:t>
      </w:r>
      <w:r w:rsidR="00AD1DDB">
        <w:t xml:space="preserve">ork out </w:t>
      </w:r>
      <w:r w:rsidR="00B07593">
        <w:t>what</w:t>
      </w:r>
      <w:r w:rsidR="003545F1">
        <w:t xml:space="preserve"> is</w:t>
      </w:r>
      <w:r w:rsidR="00B07593">
        <w:t xml:space="preserve"> </w:t>
      </w:r>
      <w:r w:rsidR="00AD1DDB">
        <w:t xml:space="preserve">the largest of the RAFEs for the product in relation to </w:t>
      </w:r>
      <w:r w:rsidR="00B07593">
        <w:t>th</w:t>
      </w:r>
      <w:r w:rsidR="00145CE8">
        <w:t>e</w:t>
      </w:r>
      <w:r w:rsidR="00CB16FC">
        <w:t xml:space="preserve"> period</w:t>
      </w:r>
      <w:r w:rsidR="008261F7">
        <w:t xml:space="preserve"> </w:t>
      </w:r>
      <w:r w:rsidR="00B07593">
        <w:t xml:space="preserve">and each lifestage </w:t>
      </w:r>
      <w:r>
        <w:t>that the product has during th</w:t>
      </w:r>
      <w:r w:rsidR="00145CE8">
        <w:t>e</w:t>
      </w:r>
      <w:r>
        <w:t xml:space="preserve"> period;</w:t>
      </w:r>
    </w:p>
    <w:p w14:paraId="6271CDFE" w14:textId="77777777" w:rsidR="00AD1DDB" w:rsidRDefault="00AD1DDB" w:rsidP="00AD1DDB">
      <w:pPr>
        <w:pStyle w:val="paragraph"/>
      </w:pPr>
      <w:r>
        <w:tab/>
        <w:t>(</w:t>
      </w:r>
      <w:r w:rsidR="00EA58DB">
        <w:t>e</w:t>
      </w:r>
      <w:r>
        <w:t>)</w:t>
      </w:r>
      <w:r>
        <w:tab/>
      </w:r>
      <w:r w:rsidR="00EA58DB">
        <w:t>the RAFE for the Part 6A product in relation to the year is the sum of the RAFEs worked out under paragraph (d)</w:t>
      </w:r>
      <w:r w:rsidR="00525139">
        <w:t>.</w:t>
      </w:r>
    </w:p>
    <w:p w14:paraId="42F86FC7" w14:textId="77777777" w:rsidR="00B15445" w:rsidRPr="009855D9" w:rsidRDefault="00525139" w:rsidP="00B15445">
      <w:pPr>
        <w:pStyle w:val="ActHead5"/>
      </w:pPr>
      <w:bookmarkStart w:id="39" w:name="_Toc78797721"/>
      <w:r w:rsidRPr="0048118D">
        <w:rPr>
          <w:rStyle w:val="CharSectno"/>
        </w:rPr>
        <w:t>9AB.17</w:t>
      </w:r>
      <w:r w:rsidR="00B15445">
        <w:t xml:space="preserve">  Meaning of </w:t>
      </w:r>
      <w:r w:rsidR="00B15445" w:rsidRPr="009855D9">
        <w:rPr>
          <w:i/>
        </w:rPr>
        <w:t>c</w:t>
      </w:r>
      <w:r w:rsidR="00B15445">
        <w:rPr>
          <w:i/>
        </w:rPr>
        <w:t>overed asset class</w:t>
      </w:r>
      <w:r w:rsidR="007C57DA">
        <w:t xml:space="preserve">, </w:t>
      </w:r>
      <w:r w:rsidR="007C57DA">
        <w:rPr>
          <w:i/>
        </w:rPr>
        <w:t>assumed index</w:t>
      </w:r>
      <w:r w:rsidR="007C57DA">
        <w:t xml:space="preserve">, </w:t>
      </w:r>
      <w:r w:rsidR="007C57DA">
        <w:rPr>
          <w:i/>
        </w:rPr>
        <w:t>assumed</w:t>
      </w:r>
      <w:r w:rsidR="00B15445">
        <w:rPr>
          <w:i/>
        </w:rPr>
        <w:t xml:space="preserve"> annual fee</w:t>
      </w:r>
      <w:r w:rsidR="00B15445">
        <w:t xml:space="preserve"> and </w:t>
      </w:r>
      <w:r w:rsidR="00B15445">
        <w:rPr>
          <w:i/>
        </w:rPr>
        <w:t>assumed rate of tax</w:t>
      </w:r>
      <w:bookmarkEnd w:id="39"/>
    </w:p>
    <w:p w14:paraId="4FE4EB5A" w14:textId="77777777" w:rsidR="00B15445" w:rsidRDefault="00B15445" w:rsidP="00B15445">
      <w:pPr>
        <w:pStyle w:val="subsection"/>
      </w:pPr>
      <w:r>
        <w:tab/>
        <w:t>(1)</w:t>
      </w:r>
      <w:r>
        <w:tab/>
        <w:t>Subregulations (2) to (5) define the following:</w:t>
      </w:r>
    </w:p>
    <w:p w14:paraId="1C25AF2B" w14:textId="77777777" w:rsidR="00B15445" w:rsidRDefault="00B15445" w:rsidP="00B15445">
      <w:pPr>
        <w:pStyle w:val="paragraph"/>
      </w:pPr>
      <w:r>
        <w:tab/>
        <w:t>(a)</w:t>
      </w:r>
      <w:r>
        <w:tab/>
        <w:t xml:space="preserve">a </w:t>
      </w:r>
      <w:r w:rsidRPr="00D3183C">
        <w:rPr>
          <w:b/>
          <w:i/>
        </w:rPr>
        <w:t>covered asset class</w:t>
      </w:r>
      <w:r>
        <w:t xml:space="preserve"> for a quarter starting on or after </w:t>
      </w:r>
      <w:r w:rsidR="00B86730">
        <w:t>1 July</w:t>
      </w:r>
      <w:r w:rsidRPr="008867A1">
        <w:t xml:space="preserve"> 2014</w:t>
      </w:r>
      <w:r>
        <w:t>;</w:t>
      </w:r>
    </w:p>
    <w:p w14:paraId="6CBDC56F" w14:textId="77777777" w:rsidR="00B15445" w:rsidRDefault="00B15445" w:rsidP="00B15445">
      <w:pPr>
        <w:pStyle w:val="paragraph"/>
      </w:pPr>
      <w:r>
        <w:tab/>
        <w:t>(b)</w:t>
      </w:r>
      <w:r>
        <w:tab/>
        <w:t xml:space="preserve">the </w:t>
      </w:r>
      <w:r>
        <w:rPr>
          <w:b/>
          <w:i/>
        </w:rPr>
        <w:t xml:space="preserve">assumed </w:t>
      </w:r>
      <w:r w:rsidR="00BD163D">
        <w:rPr>
          <w:b/>
          <w:i/>
        </w:rPr>
        <w:t>index</w:t>
      </w:r>
      <w:r>
        <w:rPr>
          <w:b/>
          <w:i/>
        </w:rPr>
        <w:t xml:space="preserve"> </w:t>
      </w:r>
      <w:r w:rsidRPr="00E7467F">
        <w:t>for a covered ass</w:t>
      </w:r>
      <w:r>
        <w:t>et class for such a quarter;</w:t>
      </w:r>
    </w:p>
    <w:p w14:paraId="474C11BC" w14:textId="77777777" w:rsidR="00BD163D" w:rsidRDefault="00BD163D" w:rsidP="00BD163D">
      <w:pPr>
        <w:pStyle w:val="paragraph"/>
      </w:pPr>
      <w:r>
        <w:tab/>
        <w:t>(c)</w:t>
      </w:r>
      <w:r>
        <w:tab/>
        <w:t xml:space="preserve">the </w:t>
      </w:r>
      <w:r>
        <w:rPr>
          <w:b/>
          <w:i/>
        </w:rPr>
        <w:t xml:space="preserve">assumed annual fee </w:t>
      </w:r>
      <w:r w:rsidRPr="00E7467F">
        <w:t>for a covered ass</w:t>
      </w:r>
      <w:r>
        <w:t>et class for such a quarter;</w:t>
      </w:r>
    </w:p>
    <w:p w14:paraId="4C512E0A" w14:textId="77777777" w:rsidR="00B15445" w:rsidRDefault="00B15445" w:rsidP="00B15445">
      <w:pPr>
        <w:pStyle w:val="paragraph"/>
      </w:pPr>
      <w:r>
        <w:tab/>
        <w:t>(</w:t>
      </w:r>
      <w:r w:rsidR="00BD163D">
        <w:t>d</w:t>
      </w:r>
      <w:r>
        <w:t>)</w:t>
      </w:r>
      <w:r>
        <w:tab/>
        <w:t xml:space="preserve">the </w:t>
      </w:r>
      <w:r>
        <w:rPr>
          <w:b/>
          <w:i/>
        </w:rPr>
        <w:t xml:space="preserve">assumed rate of tax </w:t>
      </w:r>
      <w:r w:rsidRPr="00E7467F">
        <w:t>for a covered ass</w:t>
      </w:r>
      <w:r>
        <w:t>et class for such a quarter</w:t>
      </w:r>
      <w:r w:rsidR="00525139">
        <w:t>.</w:t>
      </w:r>
    </w:p>
    <w:p w14:paraId="6160202E" w14:textId="77777777" w:rsidR="00B15445" w:rsidRDefault="00B15445" w:rsidP="00B15445">
      <w:pPr>
        <w:pStyle w:val="subsection"/>
        <w:jc w:val="both"/>
      </w:pPr>
      <w:r>
        <w:tab/>
        <w:t>(2)</w:t>
      </w:r>
      <w:r>
        <w:tab/>
        <w:t xml:space="preserve">A </w:t>
      </w:r>
      <w:r w:rsidRPr="00D3183C">
        <w:rPr>
          <w:b/>
          <w:i/>
        </w:rPr>
        <w:t>covered asset class</w:t>
      </w:r>
      <w:r>
        <w:t xml:space="preserve"> for a quarter mentioned in </w:t>
      </w:r>
      <w:r w:rsidR="00B86730">
        <w:t>paragraph (</w:t>
      </w:r>
      <w:r>
        <w:t>1)(a) is a class of assets identified in an item of the table in subregulation (</w:t>
      </w:r>
      <w:r w:rsidR="00D70A8F">
        <w:t>7</w:t>
      </w:r>
      <w:r>
        <w:t>) by its description</w:t>
      </w:r>
      <w:r w:rsidR="00525139">
        <w:t>.</w:t>
      </w:r>
    </w:p>
    <w:p w14:paraId="3FBF69CA" w14:textId="77777777" w:rsidR="00B15445" w:rsidRDefault="00B15445" w:rsidP="00912FC6">
      <w:pPr>
        <w:pStyle w:val="subsection"/>
      </w:pPr>
      <w:r>
        <w:tab/>
        <w:t>(</w:t>
      </w:r>
      <w:r w:rsidR="00D70A8F">
        <w:t>3</w:t>
      </w:r>
      <w:r>
        <w:t>)</w:t>
      </w:r>
      <w:r>
        <w:tab/>
        <w:t xml:space="preserve">For the purposes of this </w:t>
      </w:r>
      <w:r w:rsidR="00761156">
        <w:t>regulation</w:t>
      </w:r>
      <w:r>
        <w:t xml:space="preserve">, in determining a covered asset class for a quarter, treat the term </w:t>
      </w:r>
      <w:r w:rsidRPr="00B10622">
        <w:rPr>
          <w:b/>
          <w:i/>
        </w:rPr>
        <w:t>Other/Commodities</w:t>
      </w:r>
      <w:r>
        <w:t xml:space="preserve"> as having the same meaning as that term has in the asset allocation standard </w:t>
      </w:r>
      <w:r w:rsidR="00CF074E">
        <w:t xml:space="preserve">that applies </w:t>
      </w:r>
      <w:r>
        <w:t xml:space="preserve">in relation to </w:t>
      </w:r>
      <w:r w:rsidR="00912FC6">
        <w:t xml:space="preserve">the </w:t>
      </w:r>
      <w:r w:rsidR="00BD49C4">
        <w:t>quarter</w:t>
      </w:r>
      <w:r w:rsidR="00525139">
        <w:t>.</w:t>
      </w:r>
    </w:p>
    <w:p w14:paraId="2D4A457F" w14:textId="77777777" w:rsidR="00B15445" w:rsidRDefault="00B15445" w:rsidP="00B15445">
      <w:pPr>
        <w:pStyle w:val="subsection"/>
      </w:pPr>
      <w:r>
        <w:tab/>
        <w:t>(</w:t>
      </w:r>
      <w:r w:rsidR="00D70A8F">
        <w:t>4</w:t>
      </w:r>
      <w:r>
        <w:t>)</w:t>
      </w:r>
      <w:r>
        <w:tab/>
        <w:t xml:space="preserve">The </w:t>
      </w:r>
      <w:r>
        <w:rPr>
          <w:b/>
          <w:i/>
        </w:rPr>
        <w:t>assumed index</w:t>
      </w:r>
      <w:r>
        <w:t xml:space="preserve"> for a quarter mentioned in </w:t>
      </w:r>
      <w:r w:rsidR="00B86730">
        <w:t>paragraph (</w:t>
      </w:r>
      <w:r>
        <w:t xml:space="preserve">1)(a) for a </w:t>
      </w:r>
      <w:r w:rsidRPr="00E7467F">
        <w:t>covered asset class</w:t>
      </w:r>
      <w:r>
        <w:t xml:space="preserve"> for the quarter</w:t>
      </w:r>
      <w:r w:rsidRPr="00E7467F">
        <w:t xml:space="preserve"> </w:t>
      </w:r>
      <w:r>
        <w:t>is the assumed index identified in the item of the table in subregulation (</w:t>
      </w:r>
      <w:r w:rsidR="00D70A8F">
        <w:t>7</w:t>
      </w:r>
      <w:r>
        <w:t>) that identifies the covered asset class</w:t>
      </w:r>
      <w:r w:rsidR="00525139">
        <w:t>.</w:t>
      </w:r>
    </w:p>
    <w:p w14:paraId="1558EE2F" w14:textId="77777777" w:rsidR="00B15445" w:rsidRDefault="00B15445" w:rsidP="00B15445">
      <w:pPr>
        <w:pStyle w:val="subsection"/>
      </w:pPr>
      <w:r>
        <w:tab/>
        <w:t>(</w:t>
      </w:r>
      <w:r w:rsidR="00D70A8F">
        <w:t>5</w:t>
      </w:r>
      <w:r>
        <w:t>)</w:t>
      </w:r>
      <w:r>
        <w:tab/>
        <w:t xml:space="preserve">The </w:t>
      </w:r>
      <w:r>
        <w:rPr>
          <w:b/>
          <w:i/>
        </w:rPr>
        <w:t>assumed annual fee</w:t>
      </w:r>
      <w:r>
        <w:t xml:space="preserve"> for a quarter mentioned in </w:t>
      </w:r>
      <w:r w:rsidR="00B86730">
        <w:t>paragraph (</w:t>
      </w:r>
      <w:r>
        <w:t xml:space="preserve">1)(a) for a </w:t>
      </w:r>
      <w:r w:rsidRPr="00E7467F">
        <w:t>covered asset class</w:t>
      </w:r>
      <w:r>
        <w:t xml:space="preserve"> for the quarter</w:t>
      </w:r>
      <w:r w:rsidRPr="00E7467F">
        <w:t xml:space="preserve"> </w:t>
      </w:r>
      <w:r>
        <w:t>is the assumed annual fee identified in the item of the table in subregulation (</w:t>
      </w:r>
      <w:r w:rsidR="00D70A8F">
        <w:t>7</w:t>
      </w:r>
      <w:r>
        <w:t>) that identifies the covered asset class</w:t>
      </w:r>
      <w:r w:rsidR="00525139">
        <w:t>.</w:t>
      </w:r>
    </w:p>
    <w:p w14:paraId="0FB63AC6" w14:textId="77777777" w:rsidR="00B15445" w:rsidRDefault="00B15445" w:rsidP="00B15445">
      <w:pPr>
        <w:pStyle w:val="subsection"/>
      </w:pPr>
      <w:r>
        <w:lastRenderedPageBreak/>
        <w:tab/>
        <w:t>(</w:t>
      </w:r>
      <w:r w:rsidR="00BD163D">
        <w:t>6</w:t>
      </w:r>
      <w:r>
        <w:t>)</w:t>
      </w:r>
      <w:r>
        <w:tab/>
        <w:t xml:space="preserve">The </w:t>
      </w:r>
      <w:r>
        <w:rPr>
          <w:b/>
          <w:i/>
        </w:rPr>
        <w:t>assumed rate of tax</w:t>
      </w:r>
      <w:r>
        <w:t xml:space="preserve"> for a quarter mentioned in </w:t>
      </w:r>
      <w:r w:rsidR="00B86730">
        <w:t>paragraph (</w:t>
      </w:r>
      <w:r>
        <w:t xml:space="preserve">1)(a) for a </w:t>
      </w:r>
      <w:r w:rsidRPr="00E7467F">
        <w:t>covered asset class</w:t>
      </w:r>
      <w:r>
        <w:t xml:space="preserve"> for the quarter</w:t>
      </w:r>
      <w:r w:rsidRPr="00E7467F">
        <w:t xml:space="preserve"> </w:t>
      </w:r>
      <w:r>
        <w:t>is the assumed rate of tax identified in the item of the table in subregulation (</w:t>
      </w:r>
      <w:r w:rsidR="00D70A8F">
        <w:t>7</w:t>
      </w:r>
      <w:r>
        <w:t>) that identifies the covered asset class</w:t>
      </w:r>
      <w:r w:rsidR="00525139">
        <w:t>.</w:t>
      </w:r>
    </w:p>
    <w:p w14:paraId="5CF96C29" w14:textId="77777777" w:rsidR="00B15445" w:rsidRDefault="00B15445" w:rsidP="00B15445">
      <w:pPr>
        <w:pStyle w:val="subsection"/>
      </w:pPr>
      <w:r>
        <w:tab/>
        <w:t>(</w:t>
      </w:r>
      <w:r w:rsidR="00D70A8F">
        <w:t>7</w:t>
      </w:r>
      <w:r>
        <w:t>)</w:t>
      </w:r>
      <w:r>
        <w:tab/>
        <w:t>The table is as follows:</w:t>
      </w:r>
    </w:p>
    <w:p w14:paraId="67B73D81" w14:textId="77777777" w:rsidR="00B15445" w:rsidRDefault="00B15445" w:rsidP="00B15445">
      <w:pPr>
        <w:pStyle w:val="Tabletext"/>
      </w:pPr>
    </w:p>
    <w:tbl>
      <w:tblPr>
        <w:tblW w:w="831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3402"/>
        <w:gridCol w:w="1134"/>
        <w:gridCol w:w="1233"/>
      </w:tblGrid>
      <w:tr w:rsidR="00B15445" w:rsidRPr="004F23CD" w14:paraId="797FC46F" w14:textId="77777777" w:rsidTr="006929EF">
        <w:trPr>
          <w:tblHeader/>
        </w:trPr>
        <w:tc>
          <w:tcPr>
            <w:tcW w:w="8316" w:type="dxa"/>
            <w:gridSpan w:val="5"/>
            <w:tcBorders>
              <w:top w:val="single" w:sz="12" w:space="0" w:color="auto"/>
              <w:bottom w:val="single" w:sz="6" w:space="0" w:color="auto"/>
            </w:tcBorders>
            <w:shd w:val="clear" w:color="auto" w:fill="auto"/>
          </w:tcPr>
          <w:p w14:paraId="7BBF6B2E" w14:textId="77777777" w:rsidR="00B15445" w:rsidRPr="004F23CD" w:rsidRDefault="00B15445" w:rsidP="006929EF">
            <w:pPr>
              <w:pStyle w:val="TableHeading"/>
            </w:pPr>
            <w:r w:rsidRPr="004F23CD">
              <w:t xml:space="preserve">Covered asset classes, </w:t>
            </w:r>
            <w:r>
              <w:t xml:space="preserve">assumed indices, </w:t>
            </w:r>
            <w:r w:rsidRPr="004F23CD">
              <w:t xml:space="preserve">assumed annual fees and assumed tax rates for quarters starting on or after </w:t>
            </w:r>
            <w:r w:rsidR="00B86730">
              <w:t>1 July</w:t>
            </w:r>
            <w:r w:rsidRPr="004F23CD">
              <w:t xml:space="preserve"> 2014</w:t>
            </w:r>
          </w:p>
        </w:tc>
      </w:tr>
      <w:tr w:rsidR="00B15445" w:rsidRPr="004F23CD" w14:paraId="0E0EC83C" w14:textId="77777777" w:rsidTr="002C02C3">
        <w:trPr>
          <w:tblHeader/>
        </w:trPr>
        <w:tc>
          <w:tcPr>
            <w:tcW w:w="714" w:type="dxa"/>
            <w:tcBorders>
              <w:top w:val="single" w:sz="6" w:space="0" w:color="auto"/>
              <w:bottom w:val="single" w:sz="12" w:space="0" w:color="auto"/>
            </w:tcBorders>
            <w:shd w:val="clear" w:color="auto" w:fill="auto"/>
          </w:tcPr>
          <w:p w14:paraId="359FD8ED" w14:textId="77777777" w:rsidR="00B15445" w:rsidRPr="004F23CD" w:rsidRDefault="00B15445" w:rsidP="006929EF">
            <w:pPr>
              <w:pStyle w:val="TableHeading"/>
            </w:pPr>
            <w:r w:rsidRPr="004F23CD">
              <w:t>Item</w:t>
            </w:r>
          </w:p>
        </w:tc>
        <w:tc>
          <w:tcPr>
            <w:tcW w:w="1833" w:type="dxa"/>
            <w:tcBorders>
              <w:top w:val="single" w:sz="6" w:space="0" w:color="auto"/>
              <w:bottom w:val="single" w:sz="12" w:space="0" w:color="auto"/>
            </w:tcBorders>
            <w:shd w:val="clear" w:color="auto" w:fill="auto"/>
          </w:tcPr>
          <w:p w14:paraId="5051C6A7" w14:textId="77777777" w:rsidR="00B15445" w:rsidRPr="004F23CD" w:rsidRDefault="00B15445" w:rsidP="006929EF">
            <w:pPr>
              <w:pStyle w:val="TableHeading"/>
            </w:pPr>
            <w:r w:rsidRPr="004F23CD">
              <w:t>Description</w:t>
            </w:r>
          </w:p>
        </w:tc>
        <w:tc>
          <w:tcPr>
            <w:tcW w:w="3402" w:type="dxa"/>
            <w:tcBorders>
              <w:top w:val="single" w:sz="6" w:space="0" w:color="auto"/>
              <w:bottom w:val="single" w:sz="12" w:space="0" w:color="auto"/>
            </w:tcBorders>
            <w:shd w:val="clear" w:color="auto" w:fill="auto"/>
          </w:tcPr>
          <w:p w14:paraId="6C3EC43D" w14:textId="77777777" w:rsidR="00B15445" w:rsidRPr="004F23CD" w:rsidRDefault="00B15445" w:rsidP="006929EF">
            <w:pPr>
              <w:pStyle w:val="TableHeading"/>
            </w:pPr>
            <w:r w:rsidRPr="004F23CD">
              <w:t>Assumed index</w:t>
            </w:r>
          </w:p>
        </w:tc>
        <w:tc>
          <w:tcPr>
            <w:tcW w:w="1134" w:type="dxa"/>
            <w:tcBorders>
              <w:top w:val="single" w:sz="6" w:space="0" w:color="auto"/>
              <w:bottom w:val="single" w:sz="12" w:space="0" w:color="auto"/>
            </w:tcBorders>
            <w:shd w:val="clear" w:color="auto" w:fill="auto"/>
          </w:tcPr>
          <w:p w14:paraId="3EFB549E" w14:textId="77777777" w:rsidR="00B15445" w:rsidRPr="004F23CD" w:rsidRDefault="00B15445" w:rsidP="006929EF">
            <w:pPr>
              <w:pStyle w:val="TableHeading"/>
            </w:pPr>
            <w:r w:rsidRPr="004F23CD">
              <w:t>Assumed annual fee</w:t>
            </w:r>
          </w:p>
        </w:tc>
        <w:tc>
          <w:tcPr>
            <w:tcW w:w="1233" w:type="dxa"/>
            <w:tcBorders>
              <w:top w:val="single" w:sz="6" w:space="0" w:color="auto"/>
              <w:bottom w:val="single" w:sz="12" w:space="0" w:color="auto"/>
            </w:tcBorders>
            <w:shd w:val="clear" w:color="auto" w:fill="auto"/>
          </w:tcPr>
          <w:p w14:paraId="4AE9FFFF" w14:textId="77777777" w:rsidR="00B15445" w:rsidRPr="004F23CD" w:rsidRDefault="00B15445" w:rsidP="006929EF">
            <w:pPr>
              <w:pStyle w:val="TableHeading"/>
            </w:pPr>
            <w:r w:rsidRPr="004F23CD">
              <w:t>Assumed annual rate of tax</w:t>
            </w:r>
          </w:p>
        </w:tc>
      </w:tr>
      <w:tr w:rsidR="00B15445" w:rsidRPr="007A6083" w14:paraId="097DA844" w14:textId="77777777" w:rsidTr="002C02C3">
        <w:tc>
          <w:tcPr>
            <w:tcW w:w="714" w:type="dxa"/>
            <w:tcBorders>
              <w:top w:val="single" w:sz="12" w:space="0" w:color="auto"/>
            </w:tcBorders>
            <w:shd w:val="clear" w:color="auto" w:fill="auto"/>
          </w:tcPr>
          <w:p w14:paraId="68245D2B" w14:textId="77777777" w:rsidR="00B15445" w:rsidRPr="004A096D" w:rsidRDefault="00D70A8F" w:rsidP="004A096D">
            <w:pPr>
              <w:pStyle w:val="Tabletext"/>
            </w:pPr>
            <w:r w:rsidRPr="004A096D">
              <w:t>1</w:t>
            </w:r>
          </w:p>
        </w:tc>
        <w:tc>
          <w:tcPr>
            <w:tcW w:w="1833" w:type="dxa"/>
            <w:tcBorders>
              <w:top w:val="single" w:sz="12" w:space="0" w:color="auto"/>
            </w:tcBorders>
            <w:shd w:val="clear" w:color="auto" w:fill="auto"/>
          </w:tcPr>
          <w:p w14:paraId="56171D60" w14:textId="77777777" w:rsidR="00B15445" w:rsidRPr="004A096D" w:rsidRDefault="00B15445" w:rsidP="004A096D">
            <w:pPr>
              <w:pStyle w:val="Tabletext"/>
            </w:pPr>
            <w:r w:rsidRPr="004A096D">
              <w:t>Australian Equity</w:t>
            </w:r>
          </w:p>
        </w:tc>
        <w:tc>
          <w:tcPr>
            <w:tcW w:w="3402" w:type="dxa"/>
            <w:tcBorders>
              <w:top w:val="single" w:sz="12" w:space="0" w:color="auto"/>
            </w:tcBorders>
            <w:shd w:val="clear" w:color="auto" w:fill="auto"/>
          </w:tcPr>
          <w:p w14:paraId="4FCED526" w14:textId="77777777" w:rsidR="00B15445" w:rsidRPr="004A096D" w:rsidRDefault="00B15445" w:rsidP="004A096D">
            <w:pPr>
              <w:pStyle w:val="Tabletext"/>
            </w:pPr>
            <w:r w:rsidRPr="004A096D">
              <w:t>ASA52</w:t>
            </w:r>
          </w:p>
          <w:p w14:paraId="4CD3F483" w14:textId="77777777" w:rsidR="00B15445" w:rsidRPr="004A096D" w:rsidRDefault="00B15445" w:rsidP="004A096D">
            <w:pPr>
              <w:pStyle w:val="Tabletext"/>
            </w:pPr>
            <w:r w:rsidRPr="004A096D">
              <w:t>S&amp;P/ASX 300 Total Return Index</w:t>
            </w:r>
          </w:p>
        </w:tc>
        <w:tc>
          <w:tcPr>
            <w:tcW w:w="1134" w:type="dxa"/>
            <w:tcBorders>
              <w:top w:val="single" w:sz="12" w:space="0" w:color="auto"/>
            </w:tcBorders>
            <w:shd w:val="clear" w:color="auto" w:fill="auto"/>
          </w:tcPr>
          <w:p w14:paraId="7A581A08" w14:textId="77777777" w:rsidR="00B15445" w:rsidRPr="004A096D" w:rsidRDefault="00B15445" w:rsidP="004A096D">
            <w:pPr>
              <w:pStyle w:val="Tabletext"/>
            </w:pPr>
            <w:r w:rsidRPr="004A096D">
              <w:t>0</w:t>
            </w:r>
            <w:r w:rsidR="00525139">
              <w:t>.</w:t>
            </w:r>
            <w:r w:rsidRPr="004A096D">
              <w:t>05%</w:t>
            </w:r>
          </w:p>
        </w:tc>
        <w:tc>
          <w:tcPr>
            <w:tcW w:w="1233" w:type="dxa"/>
            <w:tcBorders>
              <w:top w:val="single" w:sz="12" w:space="0" w:color="auto"/>
            </w:tcBorders>
            <w:shd w:val="clear" w:color="auto" w:fill="auto"/>
          </w:tcPr>
          <w:p w14:paraId="20EB99F2" w14:textId="77777777" w:rsidR="00B15445" w:rsidRPr="004A096D" w:rsidRDefault="00B15445" w:rsidP="004A096D">
            <w:pPr>
              <w:pStyle w:val="Tabletext"/>
            </w:pPr>
            <w:r w:rsidRPr="004A096D">
              <w:t>0</w:t>
            </w:r>
            <w:r w:rsidR="00525139">
              <w:t>.</w:t>
            </w:r>
            <w:r w:rsidRPr="004A096D">
              <w:t>00%</w:t>
            </w:r>
          </w:p>
        </w:tc>
      </w:tr>
      <w:tr w:rsidR="00B15445" w:rsidRPr="002C02C3" w14:paraId="2856D501" w14:textId="77777777" w:rsidTr="002C02C3">
        <w:tc>
          <w:tcPr>
            <w:tcW w:w="714" w:type="dxa"/>
            <w:shd w:val="clear" w:color="auto" w:fill="auto"/>
          </w:tcPr>
          <w:p w14:paraId="34ACF9E4" w14:textId="77777777" w:rsidR="00B15445" w:rsidRPr="002C02C3" w:rsidRDefault="00D70A8F" w:rsidP="002C02C3">
            <w:pPr>
              <w:pStyle w:val="Tabletext"/>
            </w:pPr>
            <w:r w:rsidRPr="002C02C3">
              <w:t>2</w:t>
            </w:r>
          </w:p>
        </w:tc>
        <w:tc>
          <w:tcPr>
            <w:tcW w:w="1833" w:type="dxa"/>
            <w:shd w:val="clear" w:color="auto" w:fill="auto"/>
          </w:tcPr>
          <w:p w14:paraId="6AFB7AB7" w14:textId="77777777" w:rsidR="00B15445" w:rsidRPr="002C02C3" w:rsidRDefault="00B15445" w:rsidP="002C02C3">
            <w:pPr>
              <w:pStyle w:val="Tabletext"/>
            </w:pPr>
            <w:r w:rsidRPr="002C02C3">
              <w:t>International Equity (hedged)</w:t>
            </w:r>
          </w:p>
        </w:tc>
        <w:tc>
          <w:tcPr>
            <w:tcW w:w="3402" w:type="dxa"/>
            <w:shd w:val="clear" w:color="auto" w:fill="auto"/>
          </w:tcPr>
          <w:p w14:paraId="4C9FA4FB" w14:textId="77777777" w:rsidR="00B15445" w:rsidRPr="002C02C3" w:rsidRDefault="00B15445" w:rsidP="002C02C3">
            <w:pPr>
              <w:pStyle w:val="Tabletext"/>
            </w:pPr>
            <w:r w:rsidRPr="002C02C3">
              <w:t>DE725341</w:t>
            </w:r>
          </w:p>
          <w:p w14:paraId="23891D9B" w14:textId="77777777" w:rsidR="00B15445" w:rsidRPr="002C02C3" w:rsidRDefault="00B15445" w:rsidP="002C02C3">
            <w:pPr>
              <w:pStyle w:val="Tabletext"/>
            </w:pPr>
            <w:r w:rsidRPr="002C02C3">
              <w:t>MSCI All Country World Ex</w:t>
            </w:r>
            <w:r w:rsidR="00525139">
              <w:noBreakHyphen/>
            </w:r>
            <w:r w:rsidRPr="002C02C3">
              <w:t>Australia Equities Index with Special Tax (100% hedged to AUD)</w:t>
            </w:r>
          </w:p>
        </w:tc>
        <w:tc>
          <w:tcPr>
            <w:tcW w:w="1134" w:type="dxa"/>
            <w:shd w:val="clear" w:color="auto" w:fill="auto"/>
          </w:tcPr>
          <w:p w14:paraId="5E4196C7" w14:textId="77777777" w:rsidR="00B15445" w:rsidRPr="002C02C3" w:rsidRDefault="00B15445" w:rsidP="002C02C3">
            <w:pPr>
              <w:pStyle w:val="Tabletext"/>
            </w:pPr>
            <w:r w:rsidRPr="002C02C3">
              <w:t>0</w:t>
            </w:r>
            <w:r w:rsidR="00525139">
              <w:t>.</w:t>
            </w:r>
            <w:r w:rsidRPr="002C02C3">
              <w:t>11%</w:t>
            </w:r>
          </w:p>
        </w:tc>
        <w:tc>
          <w:tcPr>
            <w:tcW w:w="1233" w:type="dxa"/>
            <w:shd w:val="clear" w:color="auto" w:fill="auto"/>
          </w:tcPr>
          <w:p w14:paraId="15423779" w14:textId="77777777" w:rsidR="00B15445" w:rsidRPr="002C02C3" w:rsidRDefault="00B15445" w:rsidP="002C02C3">
            <w:pPr>
              <w:pStyle w:val="Tabletext"/>
            </w:pPr>
            <w:r w:rsidRPr="002C02C3">
              <w:t>14</w:t>
            </w:r>
            <w:r w:rsidR="00525139">
              <w:t>.</w:t>
            </w:r>
            <w:r w:rsidRPr="002C02C3">
              <w:t>00%</w:t>
            </w:r>
          </w:p>
        </w:tc>
      </w:tr>
      <w:tr w:rsidR="00B15445" w:rsidRPr="002C02C3" w14:paraId="549DBBD2" w14:textId="77777777" w:rsidTr="002C02C3">
        <w:tc>
          <w:tcPr>
            <w:tcW w:w="714" w:type="dxa"/>
            <w:shd w:val="clear" w:color="auto" w:fill="auto"/>
          </w:tcPr>
          <w:p w14:paraId="26365C1C" w14:textId="77777777" w:rsidR="00B15445" w:rsidRPr="002C02C3" w:rsidRDefault="00D70A8F" w:rsidP="002C02C3">
            <w:pPr>
              <w:pStyle w:val="Tabletext"/>
            </w:pPr>
            <w:r w:rsidRPr="002C02C3">
              <w:t>3</w:t>
            </w:r>
          </w:p>
        </w:tc>
        <w:tc>
          <w:tcPr>
            <w:tcW w:w="1833" w:type="dxa"/>
            <w:shd w:val="clear" w:color="auto" w:fill="auto"/>
          </w:tcPr>
          <w:p w14:paraId="0E78625C" w14:textId="77777777" w:rsidR="00B15445" w:rsidRPr="002C02C3" w:rsidRDefault="00B15445" w:rsidP="002C02C3">
            <w:pPr>
              <w:pStyle w:val="Tabletext"/>
            </w:pPr>
            <w:r w:rsidRPr="002C02C3">
              <w:t>International Equity (unhedged)</w:t>
            </w:r>
          </w:p>
        </w:tc>
        <w:tc>
          <w:tcPr>
            <w:tcW w:w="3402" w:type="dxa"/>
            <w:shd w:val="clear" w:color="auto" w:fill="auto"/>
          </w:tcPr>
          <w:p w14:paraId="3B622223" w14:textId="77777777" w:rsidR="00B15445" w:rsidRPr="002C02C3" w:rsidRDefault="00B15445" w:rsidP="002C02C3">
            <w:pPr>
              <w:pStyle w:val="Tabletext"/>
            </w:pPr>
            <w:r w:rsidRPr="002C02C3">
              <w:t>DN714533</w:t>
            </w:r>
          </w:p>
          <w:p w14:paraId="3EC473D4" w14:textId="77777777" w:rsidR="00B15445" w:rsidRPr="002C02C3" w:rsidRDefault="00B15445" w:rsidP="002C02C3">
            <w:pPr>
              <w:pStyle w:val="Tabletext"/>
            </w:pPr>
            <w:r w:rsidRPr="002C02C3">
              <w:t>MSCI All Country World Ex</w:t>
            </w:r>
            <w:r w:rsidR="00525139">
              <w:noBreakHyphen/>
            </w:r>
            <w:r w:rsidRPr="002C02C3">
              <w:t>Australia Equities Index with Special Tax (unhedged in AUD)</w:t>
            </w:r>
          </w:p>
        </w:tc>
        <w:tc>
          <w:tcPr>
            <w:tcW w:w="1134" w:type="dxa"/>
            <w:shd w:val="clear" w:color="auto" w:fill="auto"/>
          </w:tcPr>
          <w:p w14:paraId="119C6110" w14:textId="77777777" w:rsidR="00B15445" w:rsidRPr="002C02C3" w:rsidRDefault="00B15445" w:rsidP="002C02C3">
            <w:pPr>
              <w:pStyle w:val="Tabletext"/>
            </w:pPr>
            <w:r w:rsidRPr="002C02C3">
              <w:t>0</w:t>
            </w:r>
            <w:r w:rsidR="00525139">
              <w:t>.</w:t>
            </w:r>
            <w:r w:rsidRPr="002C02C3">
              <w:t>09%</w:t>
            </w:r>
          </w:p>
        </w:tc>
        <w:tc>
          <w:tcPr>
            <w:tcW w:w="1233" w:type="dxa"/>
            <w:shd w:val="clear" w:color="auto" w:fill="auto"/>
          </w:tcPr>
          <w:p w14:paraId="37445C82" w14:textId="77777777" w:rsidR="00B15445" w:rsidRPr="002C02C3" w:rsidRDefault="00B15445" w:rsidP="002C02C3">
            <w:pPr>
              <w:pStyle w:val="Tabletext"/>
            </w:pPr>
            <w:r w:rsidRPr="002C02C3">
              <w:t>14</w:t>
            </w:r>
            <w:r w:rsidR="00525139">
              <w:t>.</w:t>
            </w:r>
            <w:r w:rsidRPr="002C02C3">
              <w:t>00%</w:t>
            </w:r>
          </w:p>
        </w:tc>
      </w:tr>
      <w:tr w:rsidR="00B15445" w:rsidRPr="002C02C3" w14:paraId="3B449A97" w14:textId="77777777" w:rsidTr="002C02C3">
        <w:tc>
          <w:tcPr>
            <w:tcW w:w="714" w:type="dxa"/>
            <w:shd w:val="clear" w:color="auto" w:fill="auto"/>
          </w:tcPr>
          <w:p w14:paraId="423B43E7" w14:textId="77777777" w:rsidR="00B15445" w:rsidRPr="002C02C3" w:rsidRDefault="00D70A8F" w:rsidP="002C02C3">
            <w:pPr>
              <w:pStyle w:val="Tabletext"/>
            </w:pPr>
            <w:r w:rsidRPr="002C02C3">
              <w:t>4</w:t>
            </w:r>
          </w:p>
        </w:tc>
        <w:tc>
          <w:tcPr>
            <w:tcW w:w="1833" w:type="dxa"/>
            <w:shd w:val="clear" w:color="auto" w:fill="auto"/>
          </w:tcPr>
          <w:p w14:paraId="76A8BBDF" w14:textId="77777777" w:rsidR="00B15445" w:rsidRPr="002C02C3" w:rsidRDefault="00B15445" w:rsidP="002C02C3">
            <w:pPr>
              <w:pStyle w:val="Tabletext"/>
            </w:pPr>
            <w:r w:rsidRPr="002C02C3">
              <w:t>Australian Listed Property</w:t>
            </w:r>
          </w:p>
        </w:tc>
        <w:tc>
          <w:tcPr>
            <w:tcW w:w="3402" w:type="dxa"/>
            <w:shd w:val="clear" w:color="auto" w:fill="auto"/>
          </w:tcPr>
          <w:p w14:paraId="423C5ABD" w14:textId="77777777" w:rsidR="00B15445" w:rsidRPr="002C02C3" w:rsidRDefault="00B15445" w:rsidP="002C02C3">
            <w:pPr>
              <w:pStyle w:val="Tabletext"/>
            </w:pPr>
            <w:r w:rsidRPr="002C02C3">
              <w:t>ASA6PROP</w:t>
            </w:r>
          </w:p>
          <w:p w14:paraId="2071E0E6" w14:textId="77777777" w:rsidR="00B15445" w:rsidRPr="002C02C3" w:rsidRDefault="00B15445" w:rsidP="002C02C3">
            <w:pPr>
              <w:pStyle w:val="Tabletext"/>
            </w:pPr>
            <w:r w:rsidRPr="002C02C3">
              <w:t>S&amp;P/ASX 300 A</w:t>
            </w:r>
            <w:r w:rsidR="00525139">
              <w:noBreakHyphen/>
            </w:r>
            <w:r w:rsidRPr="002C02C3">
              <w:t>REIT Total Return Index</w:t>
            </w:r>
          </w:p>
        </w:tc>
        <w:tc>
          <w:tcPr>
            <w:tcW w:w="1134" w:type="dxa"/>
            <w:shd w:val="clear" w:color="auto" w:fill="auto"/>
          </w:tcPr>
          <w:p w14:paraId="4BCDA208" w14:textId="77777777" w:rsidR="00B15445" w:rsidRPr="002C02C3" w:rsidRDefault="00B15445" w:rsidP="002C02C3">
            <w:pPr>
              <w:pStyle w:val="Tabletext"/>
            </w:pPr>
            <w:r w:rsidRPr="002C02C3">
              <w:t>0</w:t>
            </w:r>
            <w:r w:rsidR="00525139">
              <w:t>.</w:t>
            </w:r>
            <w:r w:rsidRPr="002C02C3">
              <w:t>12%</w:t>
            </w:r>
          </w:p>
        </w:tc>
        <w:tc>
          <w:tcPr>
            <w:tcW w:w="1233" w:type="dxa"/>
            <w:shd w:val="clear" w:color="auto" w:fill="auto"/>
          </w:tcPr>
          <w:p w14:paraId="2ACDFBE0" w14:textId="77777777" w:rsidR="00B15445" w:rsidRPr="002C02C3" w:rsidRDefault="00B15445" w:rsidP="002C02C3">
            <w:pPr>
              <w:pStyle w:val="Tabletext"/>
            </w:pPr>
            <w:r w:rsidRPr="002C02C3">
              <w:t>14</w:t>
            </w:r>
            <w:r w:rsidR="00525139">
              <w:t>.</w:t>
            </w:r>
            <w:r w:rsidRPr="002C02C3">
              <w:t>00%</w:t>
            </w:r>
          </w:p>
        </w:tc>
      </w:tr>
      <w:tr w:rsidR="00B15445" w:rsidRPr="002C02C3" w14:paraId="43F62D88" w14:textId="77777777" w:rsidTr="002C02C3">
        <w:tc>
          <w:tcPr>
            <w:tcW w:w="714" w:type="dxa"/>
            <w:shd w:val="clear" w:color="auto" w:fill="auto"/>
          </w:tcPr>
          <w:p w14:paraId="51EB6101" w14:textId="77777777" w:rsidR="00B15445" w:rsidRPr="002C02C3" w:rsidRDefault="00D70A8F" w:rsidP="002C02C3">
            <w:pPr>
              <w:pStyle w:val="Tabletext"/>
            </w:pPr>
            <w:r w:rsidRPr="002C02C3">
              <w:t>5</w:t>
            </w:r>
          </w:p>
        </w:tc>
        <w:tc>
          <w:tcPr>
            <w:tcW w:w="1833" w:type="dxa"/>
            <w:shd w:val="clear" w:color="auto" w:fill="auto"/>
          </w:tcPr>
          <w:p w14:paraId="4DF54E83" w14:textId="77777777" w:rsidR="00B15445" w:rsidRPr="002C02C3" w:rsidRDefault="00B15445" w:rsidP="002C02C3">
            <w:pPr>
              <w:pStyle w:val="Tabletext"/>
            </w:pPr>
            <w:r w:rsidRPr="002C02C3">
              <w:t>International Listed Property</w:t>
            </w:r>
          </w:p>
        </w:tc>
        <w:tc>
          <w:tcPr>
            <w:tcW w:w="3402" w:type="dxa"/>
            <w:shd w:val="clear" w:color="auto" w:fill="auto"/>
          </w:tcPr>
          <w:p w14:paraId="56D1C7B0" w14:textId="77777777" w:rsidR="00B15445" w:rsidRPr="002C02C3" w:rsidRDefault="00B15445" w:rsidP="002C02C3">
            <w:pPr>
              <w:pStyle w:val="Tabletext"/>
            </w:pPr>
            <w:r w:rsidRPr="002C02C3">
              <w:t>RAHRSAH</w:t>
            </w:r>
          </w:p>
          <w:p w14:paraId="48E68B72" w14:textId="77777777" w:rsidR="00B15445" w:rsidRPr="002C02C3" w:rsidRDefault="00B15445" w:rsidP="002C02C3">
            <w:pPr>
              <w:pStyle w:val="Tabletext"/>
            </w:pPr>
            <w:r w:rsidRPr="002C02C3">
              <w:t>FTSE EPRA Nareit Developed ex Aus Rental 100% Hedged to AUD Net Tax (Super) Index</w:t>
            </w:r>
          </w:p>
        </w:tc>
        <w:tc>
          <w:tcPr>
            <w:tcW w:w="1134" w:type="dxa"/>
            <w:shd w:val="clear" w:color="auto" w:fill="auto"/>
          </w:tcPr>
          <w:p w14:paraId="4F806C74" w14:textId="77777777" w:rsidR="00B15445" w:rsidRPr="002C02C3" w:rsidRDefault="00B15445" w:rsidP="002C02C3">
            <w:pPr>
              <w:pStyle w:val="Tabletext"/>
            </w:pPr>
            <w:r w:rsidRPr="002C02C3">
              <w:t>0</w:t>
            </w:r>
            <w:r w:rsidR="00525139">
              <w:t>.</w:t>
            </w:r>
            <w:r w:rsidRPr="002C02C3">
              <w:t>22%</w:t>
            </w:r>
          </w:p>
        </w:tc>
        <w:tc>
          <w:tcPr>
            <w:tcW w:w="1233" w:type="dxa"/>
            <w:shd w:val="clear" w:color="auto" w:fill="auto"/>
          </w:tcPr>
          <w:p w14:paraId="0CCD8864" w14:textId="77777777" w:rsidR="00B15445" w:rsidRPr="002C02C3" w:rsidRDefault="00B15445" w:rsidP="002C02C3">
            <w:pPr>
              <w:pStyle w:val="Tabletext"/>
            </w:pPr>
            <w:r w:rsidRPr="002C02C3">
              <w:t>14</w:t>
            </w:r>
            <w:r w:rsidR="00525139">
              <w:t>.</w:t>
            </w:r>
            <w:r w:rsidRPr="002C02C3">
              <w:t>00%</w:t>
            </w:r>
          </w:p>
        </w:tc>
      </w:tr>
      <w:tr w:rsidR="00B15445" w:rsidRPr="002C02C3" w14:paraId="398100E6" w14:textId="77777777" w:rsidTr="002C02C3">
        <w:tc>
          <w:tcPr>
            <w:tcW w:w="714" w:type="dxa"/>
            <w:shd w:val="clear" w:color="auto" w:fill="auto"/>
          </w:tcPr>
          <w:p w14:paraId="563DA601" w14:textId="77777777" w:rsidR="00B15445" w:rsidRPr="002C02C3" w:rsidRDefault="00D70A8F" w:rsidP="002C02C3">
            <w:pPr>
              <w:pStyle w:val="Tabletext"/>
            </w:pPr>
            <w:r w:rsidRPr="002C02C3">
              <w:t>6</w:t>
            </w:r>
          </w:p>
        </w:tc>
        <w:tc>
          <w:tcPr>
            <w:tcW w:w="1833" w:type="dxa"/>
            <w:shd w:val="clear" w:color="auto" w:fill="auto"/>
          </w:tcPr>
          <w:p w14:paraId="161647E9" w14:textId="77777777" w:rsidR="00B15445" w:rsidRPr="002C02C3" w:rsidRDefault="00B15445" w:rsidP="002C02C3">
            <w:pPr>
              <w:pStyle w:val="Tabletext"/>
            </w:pPr>
            <w:r w:rsidRPr="002C02C3">
              <w:t>Australian Listed Infrastructure</w:t>
            </w:r>
          </w:p>
        </w:tc>
        <w:tc>
          <w:tcPr>
            <w:tcW w:w="3402" w:type="dxa"/>
            <w:shd w:val="clear" w:color="auto" w:fill="auto"/>
          </w:tcPr>
          <w:p w14:paraId="6FD17D6C" w14:textId="77777777" w:rsidR="00B15445" w:rsidRPr="002C02C3" w:rsidRDefault="00B15445" w:rsidP="002C02C3">
            <w:pPr>
              <w:pStyle w:val="Tabletext"/>
            </w:pPr>
            <w:r w:rsidRPr="002C02C3">
              <w:t>FDCIISAH</w:t>
            </w:r>
          </w:p>
          <w:p w14:paraId="52C598E3" w14:textId="77777777" w:rsidR="00B15445" w:rsidRPr="002C02C3" w:rsidRDefault="00B15445" w:rsidP="002C02C3">
            <w:pPr>
              <w:pStyle w:val="Tabletext"/>
            </w:pPr>
            <w:r w:rsidRPr="002C02C3">
              <w:t>FTSE Developed Core Infrastructure 100% Hedged to AUD Net Tax (Super) Index</w:t>
            </w:r>
          </w:p>
        </w:tc>
        <w:tc>
          <w:tcPr>
            <w:tcW w:w="1134" w:type="dxa"/>
            <w:shd w:val="clear" w:color="auto" w:fill="auto"/>
          </w:tcPr>
          <w:p w14:paraId="018711AA" w14:textId="77777777" w:rsidR="00B15445" w:rsidRPr="002C02C3" w:rsidRDefault="00B15445" w:rsidP="002C02C3">
            <w:pPr>
              <w:pStyle w:val="Tabletext"/>
            </w:pPr>
            <w:r w:rsidRPr="002C02C3">
              <w:t>0</w:t>
            </w:r>
            <w:r w:rsidR="00525139">
              <w:t>.</w:t>
            </w:r>
            <w:r w:rsidRPr="002C02C3">
              <w:t>26%</w:t>
            </w:r>
          </w:p>
        </w:tc>
        <w:tc>
          <w:tcPr>
            <w:tcW w:w="1233" w:type="dxa"/>
            <w:shd w:val="clear" w:color="auto" w:fill="auto"/>
          </w:tcPr>
          <w:p w14:paraId="35BD4807" w14:textId="77777777" w:rsidR="00B15445" w:rsidRPr="002C02C3" w:rsidRDefault="00B15445" w:rsidP="002C02C3">
            <w:pPr>
              <w:pStyle w:val="Tabletext"/>
            </w:pPr>
            <w:r w:rsidRPr="002C02C3">
              <w:t>14</w:t>
            </w:r>
            <w:r w:rsidR="00525139">
              <w:t>.</w:t>
            </w:r>
            <w:r w:rsidRPr="002C02C3">
              <w:t>00%</w:t>
            </w:r>
          </w:p>
        </w:tc>
      </w:tr>
      <w:tr w:rsidR="00B15445" w:rsidRPr="002C02C3" w14:paraId="105ABACB" w14:textId="77777777" w:rsidTr="002C02C3">
        <w:tc>
          <w:tcPr>
            <w:tcW w:w="714" w:type="dxa"/>
            <w:shd w:val="clear" w:color="auto" w:fill="auto"/>
          </w:tcPr>
          <w:p w14:paraId="250C3A05" w14:textId="77777777" w:rsidR="00B15445" w:rsidRPr="002C02C3" w:rsidRDefault="00D70A8F" w:rsidP="002C02C3">
            <w:pPr>
              <w:pStyle w:val="Tabletext"/>
            </w:pPr>
            <w:r w:rsidRPr="002C02C3">
              <w:t>7</w:t>
            </w:r>
          </w:p>
        </w:tc>
        <w:tc>
          <w:tcPr>
            <w:tcW w:w="1833" w:type="dxa"/>
            <w:shd w:val="clear" w:color="auto" w:fill="auto"/>
          </w:tcPr>
          <w:p w14:paraId="611A89B6" w14:textId="77777777" w:rsidR="00B15445" w:rsidRPr="002C02C3" w:rsidRDefault="00B15445" w:rsidP="002C02C3">
            <w:pPr>
              <w:pStyle w:val="Tabletext"/>
            </w:pPr>
            <w:r w:rsidRPr="002C02C3">
              <w:t>International Listed Infrastructure</w:t>
            </w:r>
          </w:p>
        </w:tc>
        <w:tc>
          <w:tcPr>
            <w:tcW w:w="3402" w:type="dxa"/>
            <w:shd w:val="clear" w:color="auto" w:fill="auto"/>
          </w:tcPr>
          <w:p w14:paraId="5221F849" w14:textId="77777777" w:rsidR="00B15445" w:rsidRPr="002C02C3" w:rsidRDefault="00B15445" w:rsidP="002C02C3">
            <w:pPr>
              <w:pStyle w:val="Tabletext"/>
            </w:pPr>
            <w:r w:rsidRPr="002C02C3">
              <w:t>FDCIISAH</w:t>
            </w:r>
          </w:p>
          <w:p w14:paraId="7C3EFB4E" w14:textId="77777777" w:rsidR="00B15445" w:rsidRPr="002C02C3" w:rsidRDefault="00B15445" w:rsidP="002C02C3">
            <w:pPr>
              <w:pStyle w:val="Tabletext"/>
            </w:pPr>
            <w:r w:rsidRPr="002C02C3">
              <w:t>FTSE Developed Core Infrastructure 100% Hedged to AUD Net Tax (Super) Index</w:t>
            </w:r>
          </w:p>
        </w:tc>
        <w:tc>
          <w:tcPr>
            <w:tcW w:w="1134" w:type="dxa"/>
            <w:shd w:val="clear" w:color="auto" w:fill="auto"/>
          </w:tcPr>
          <w:p w14:paraId="173BEA08" w14:textId="77777777" w:rsidR="00B15445" w:rsidRPr="002C02C3" w:rsidRDefault="00B15445" w:rsidP="002C02C3">
            <w:pPr>
              <w:pStyle w:val="Tabletext"/>
            </w:pPr>
            <w:r w:rsidRPr="002C02C3">
              <w:t>0</w:t>
            </w:r>
            <w:r w:rsidR="00525139">
              <w:t>.</w:t>
            </w:r>
            <w:r w:rsidRPr="002C02C3">
              <w:t>26%</w:t>
            </w:r>
          </w:p>
        </w:tc>
        <w:tc>
          <w:tcPr>
            <w:tcW w:w="1233" w:type="dxa"/>
            <w:shd w:val="clear" w:color="auto" w:fill="auto"/>
          </w:tcPr>
          <w:p w14:paraId="708DF0C5" w14:textId="77777777" w:rsidR="00B15445" w:rsidRPr="002C02C3" w:rsidRDefault="00B15445" w:rsidP="002C02C3">
            <w:pPr>
              <w:pStyle w:val="Tabletext"/>
            </w:pPr>
            <w:r w:rsidRPr="002C02C3">
              <w:t>14</w:t>
            </w:r>
            <w:r w:rsidR="00525139">
              <w:t>.</w:t>
            </w:r>
            <w:r w:rsidRPr="002C02C3">
              <w:t>00%</w:t>
            </w:r>
          </w:p>
        </w:tc>
      </w:tr>
      <w:tr w:rsidR="00B15445" w:rsidRPr="002C02C3" w14:paraId="1939128A" w14:textId="77777777" w:rsidTr="002C02C3">
        <w:tc>
          <w:tcPr>
            <w:tcW w:w="714" w:type="dxa"/>
            <w:shd w:val="clear" w:color="auto" w:fill="auto"/>
          </w:tcPr>
          <w:p w14:paraId="03BCAFBA" w14:textId="77777777" w:rsidR="00B15445" w:rsidRPr="002C02C3" w:rsidRDefault="00D70A8F" w:rsidP="002C02C3">
            <w:pPr>
              <w:pStyle w:val="Tabletext"/>
            </w:pPr>
            <w:r w:rsidRPr="002C02C3">
              <w:t>8</w:t>
            </w:r>
          </w:p>
        </w:tc>
        <w:tc>
          <w:tcPr>
            <w:tcW w:w="1833" w:type="dxa"/>
            <w:shd w:val="clear" w:color="auto" w:fill="auto"/>
          </w:tcPr>
          <w:p w14:paraId="78AE2BF6" w14:textId="77777777" w:rsidR="00B15445" w:rsidRPr="002C02C3" w:rsidRDefault="00B15445" w:rsidP="002C02C3">
            <w:pPr>
              <w:pStyle w:val="Tabletext"/>
            </w:pPr>
            <w:r w:rsidRPr="002C02C3">
              <w:t>Australian Unlisted Property</w:t>
            </w:r>
          </w:p>
        </w:tc>
        <w:tc>
          <w:tcPr>
            <w:tcW w:w="3402" w:type="dxa"/>
            <w:shd w:val="clear" w:color="auto" w:fill="auto"/>
          </w:tcPr>
          <w:p w14:paraId="4CD981D0" w14:textId="77777777" w:rsidR="00B15445" w:rsidRPr="002C02C3" w:rsidRDefault="00576CC1" w:rsidP="002C02C3">
            <w:pPr>
              <w:pStyle w:val="Tabletext"/>
            </w:pPr>
            <w:r w:rsidRPr="002C02C3">
              <w:t>MSCI/Mercer Australia Core Wholesale Monthly Property Fund Index – NAV</w:t>
            </w:r>
            <w:r w:rsidR="00525139">
              <w:noBreakHyphen/>
            </w:r>
            <w:r w:rsidRPr="002C02C3">
              <w:t>Weighted Post</w:t>
            </w:r>
            <w:r w:rsidR="00525139">
              <w:noBreakHyphen/>
            </w:r>
            <w:r w:rsidR="00757821" w:rsidRPr="002C02C3">
              <w:t>F</w:t>
            </w:r>
            <w:r w:rsidRPr="002C02C3">
              <w:t>ee Total Return (All Funds)</w:t>
            </w:r>
          </w:p>
        </w:tc>
        <w:tc>
          <w:tcPr>
            <w:tcW w:w="1134" w:type="dxa"/>
            <w:shd w:val="clear" w:color="auto" w:fill="auto"/>
          </w:tcPr>
          <w:p w14:paraId="4F55F5BB" w14:textId="77777777" w:rsidR="00B15445" w:rsidRPr="002C02C3" w:rsidRDefault="00B15445" w:rsidP="002C02C3">
            <w:pPr>
              <w:pStyle w:val="Tabletext"/>
            </w:pPr>
            <w:r w:rsidRPr="002C02C3">
              <w:t>0%</w:t>
            </w:r>
          </w:p>
        </w:tc>
        <w:tc>
          <w:tcPr>
            <w:tcW w:w="1233" w:type="dxa"/>
            <w:shd w:val="clear" w:color="auto" w:fill="auto"/>
          </w:tcPr>
          <w:p w14:paraId="2FC0F9BA" w14:textId="77777777" w:rsidR="00B15445" w:rsidRPr="002C02C3" w:rsidRDefault="00B15445" w:rsidP="002C02C3">
            <w:pPr>
              <w:pStyle w:val="Tabletext"/>
            </w:pPr>
            <w:r w:rsidRPr="002C02C3">
              <w:t>14</w:t>
            </w:r>
            <w:r w:rsidR="00525139">
              <w:t>.</w:t>
            </w:r>
            <w:r w:rsidRPr="002C02C3">
              <w:t>00%</w:t>
            </w:r>
          </w:p>
        </w:tc>
      </w:tr>
      <w:tr w:rsidR="008F7FC7" w:rsidRPr="002C02C3" w14:paraId="0683A732" w14:textId="77777777" w:rsidTr="002C02C3">
        <w:tc>
          <w:tcPr>
            <w:tcW w:w="714" w:type="dxa"/>
            <w:shd w:val="clear" w:color="auto" w:fill="auto"/>
          </w:tcPr>
          <w:p w14:paraId="3D88F3ED" w14:textId="77777777" w:rsidR="008F7FC7" w:rsidRPr="002C02C3" w:rsidRDefault="008F7FC7" w:rsidP="002C02C3">
            <w:pPr>
              <w:pStyle w:val="Tabletext"/>
            </w:pPr>
            <w:r w:rsidRPr="002C02C3">
              <w:t>9</w:t>
            </w:r>
          </w:p>
        </w:tc>
        <w:tc>
          <w:tcPr>
            <w:tcW w:w="1833" w:type="dxa"/>
            <w:shd w:val="clear" w:color="auto" w:fill="auto"/>
          </w:tcPr>
          <w:p w14:paraId="4A02A2FD" w14:textId="77777777" w:rsidR="008F7FC7" w:rsidRPr="002C02C3" w:rsidRDefault="008F7FC7" w:rsidP="002C02C3">
            <w:pPr>
              <w:pStyle w:val="Tabletext"/>
            </w:pPr>
            <w:r w:rsidRPr="002C02C3">
              <w:t>International Unlisted Property</w:t>
            </w:r>
          </w:p>
        </w:tc>
        <w:tc>
          <w:tcPr>
            <w:tcW w:w="3402" w:type="dxa"/>
            <w:shd w:val="clear" w:color="auto" w:fill="auto"/>
          </w:tcPr>
          <w:p w14:paraId="6233A038" w14:textId="77777777" w:rsidR="008F7FC7" w:rsidRPr="002C02C3" w:rsidRDefault="00576CC1" w:rsidP="002C02C3">
            <w:pPr>
              <w:pStyle w:val="Tabletext"/>
            </w:pPr>
            <w:r w:rsidRPr="002C02C3">
              <w:t>MSCI/Mercer Australia Core Wholesale Monthly Property Fund Index – NAV</w:t>
            </w:r>
            <w:r w:rsidR="00525139">
              <w:noBreakHyphen/>
            </w:r>
            <w:r w:rsidRPr="002C02C3">
              <w:t>Weighted Post</w:t>
            </w:r>
            <w:r w:rsidR="00525139">
              <w:noBreakHyphen/>
            </w:r>
            <w:r w:rsidR="00757821" w:rsidRPr="002C02C3">
              <w:t>F</w:t>
            </w:r>
            <w:r w:rsidRPr="002C02C3">
              <w:t>ee Total Return (All Funds)</w:t>
            </w:r>
          </w:p>
        </w:tc>
        <w:tc>
          <w:tcPr>
            <w:tcW w:w="1134" w:type="dxa"/>
            <w:shd w:val="clear" w:color="auto" w:fill="auto"/>
          </w:tcPr>
          <w:p w14:paraId="71967C27" w14:textId="77777777" w:rsidR="008F7FC7" w:rsidRPr="002C02C3" w:rsidRDefault="008F7FC7" w:rsidP="002C02C3">
            <w:pPr>
              <w:pStyle w:val="Tabletext"/>
            </w:pPr>
            <w:r w:rsidRPr="002C02C3">
              <w:t>0%</w:t>
            </w:r>
          </w:p>
        </w:tc>
        <w:tc>
          <w:tcPr>
            <w:tcW w:w="1233" w:type="dxa"/>
            <w:shd w:val="clear" w:color="auto" w:fill="auto"/>
          </w:tcPr>
          <w:p w14:paraId="3525CF04" w14:textId="77777777" w:rsidR="008F7FC7" w:rsidRPr="002C02C3" w:rsidRDefault="008F7FC7" w:rsidP="002C02C3">
            <w:pPr>
              <w:pStyle w:val="Tabletext"/>
            </w:pPr>
            <w:r w:rsidRPr="002C02C3">
              <w:t>14</w:t>
            </w:r>
            <w:r w:rsidR="00525139">
              <w:t>.</w:t>
            </w:r>
            <w:r w:rsidRPr="002C02C3">
              <w:t>00%</w:t>
            </w:r>
          </w:p>
        </w:tc>
      </w:tr>
      <w:tr w:rsidR="008F7FC7" w:rsidRPr="002C02C3" w14:paraId="304A11A3" w14:textId="77777777" w:rsidTr="002C02C3">
        <w:tc>
          <w:tcPr>
            <w:tcW w:w="714" w:type="dxa"/>
            <w:shd w:val="clear" w:color="auto" w:fill="auto"/>
          </w:tcPr>
          <w:p w14:paraId="03B1DB5F" w14:textId="77777777" w:rsidR="008F7FC7" w:rsidRPr="002C02C3" w:rsidRDefault="008F7FC7" w:rsidP="002C02C3">
            <w:pPr>
              <w:pStyle w:val="Tabletext"/>
            </w:pPr>
            <w:r w:rsidRPr="002C02C3">
              <w:t>10</w:t>
            </w:r>
          </w:p>
        </w:tc>
        <w:tc>
          <w:tcPr>
            <w:tcW w:w="1833" w:type="dxa"/>
            <w:shd w:val="clear" w:color="auto" w:fill="auto"/>
          </w:tcPr>
          <w:p w14:paraId="59397373" w14:textId="77777777" w:rsidR="008F7FC7" w:rsidRPr="002C02C3" w:rsidRDefault="008F7FC7" w:rsidP="002C02C3">
            <w:pPr>
              <w:pStyle w:val="Tabletext"/>
            </w:pPr>
            <w:r w:rsidRPr="002C02C3">
              <w:t>Australian Unlisted Infrastructure</w:t>
            </w:r>
          </w:p>
          <w:p w14:paraId="0C0ED580" w14:textId="77777777" w:rsidR="008F7FC7" w:rsidRPr="002C02C3" w:rsidRDefault="008F7FC7" w:rsidP="002C02C3">
            <w:pPr>
              <w:pStyle w:val="Tabletext"/>
            </w:pPr>
          </w:p>
        </w:tc>
        <w:tc>
          <w:tcPr>
            <w:tcW w:w="3402" w:type="dxa"/>
            <w:shd w:val="clear" w:color="auto" w:fill="auto"/>
          </w:tcPr>
          <w:p w14:paraId="3021575C" w14:textId="77777777" w:rsidR="008F7FC7" w:rsidRPr="002C02C3" w:rsidRDefault="00CF3BF0" w:rsidP="002C02C3">
            <w:pPr>
              <w:pStyle w:val="Tabletext"/>
            </w:pPr>
            <w:r w:rsidRPr="002C02C3">
              <w:t>MSCI Australia Quarterly Private Infrastructure Fund Index (Unfrozen) – NAV</w:t>
            </w:r>
            <w:r w:rsidR="00525139">
              <w:noBreakHyphen/>
            </w:r>
            <w:r w:rsidRPr="002C02C3">
              <w:t>Weighted Post</w:t>
            </w:r>
            <w:r w:rsidR="00525139">
              <w:noBreakHyphen/>
            </w:r>
            <w:r w:rsidRPr="002C02C3">
              <w:t>Fee Total Return (All Funds)</w:t>
            </w:r>
          </w:p>
        </w:tc>
        <w:tc>
          <w:tcPr>
            <w:tcW w:w="1134" w:type="dxa"/>
            <w:shd w:val="clear" w:color="auto" w:fill="auto"/>
          </w:tcPr>
          <w:p w14:paraId="0A211F52" w14:textId="77777777" w:rsidR="008F7FC7" w:rsidRPr="002C02C3" w:rsidRDefault="008F7FC7" w:rsidP="002C02C3">
            <w:pPr>
              <w:pStyle w:val="Tabletext"/>
            </w:pPr>
            <w:r w:rsidRPr="002C02C3">
              <w:t>0%</w:t>
            </w:r>
          </w:p>
        </w:tc>
        <w:tc>
          <w:tcPr>
            <w:tcW w:w="1233" w:type="dxa"/>
            <w:shd w:val="clear" w:color="auto" w:fill="auto"/>
          </w:tcPr>
          <w:p w14:paraId="33BB376D" w14:textId="77777777" w:rsidR="008F7FC7" w:rsidRPr="002C02C3" w:rsidRDefault="008F7FC7" w:rsidP="002C02C3">
            <w:pPr>
              <w:pStyle w:val="Tabletext"/>
            </w:pPr>
            <w:r w:rsidRPr="002C02C3">
              <w:t>14</w:t>
            </w:r>
            <w:r w:rsidR="00525139">
              <w:t>.</w:t>
            </w:r>
            <w:r w:rsidRPr="002C02C3">
              <w:t>00%</w:t>
            </w:r>
          </w:p>
        </w:tc>
      </w:tr>
      <w:tr w:rsidR="008F7FC7" w:rsidRPr="002C02C3" w14:paraId="4DE7BA0F" w14:textId="77777777" w:rsidTr="002C02C3">
        <w:tc>
          <w:tcPr>
            <w:tcW w:w="714" w:type="dxa"/>
            <w:shd w:val="clear" w:color="auto" w:fill="auto"/>
          </w:tcPr>
          <w:p w14:paraId="2493672B" w14:textId="77777777" w:rsidR="008F7FC7" w:rsidRPr="002C02C3" w:rsidRDefault="008F7FC7" w:rsidP="002C02C3">
            <w:pPr>
              <w:pStyle w:val="Tabletext"/>
            </w:pPr>
            <w:r w:rsidRPr="002C02C3">
              <w:t>11</w:t>
            </w:r>
          </w:p>
        </w:tc>
        <w:tc>
          <w:tcPr>
            <w:tcW w:w="1833" w:type="dxa"/>
            <w:shd w:val="clear" w:color="auto" w:fill="auto"/>
          </w:tcPr>
          <w:p w14:paraId="45E9A500" w14:textId="77777777" w:rsidR="008F7FC7" w:rsidRPr="002C02C3" w:rsidRDefault="008F7FC7" w:rsidP="002C02C3">
            <w:pPr>
              <w:pStyle w:val="Tabletext"/>
            </w:pPr>
            <w:r w:rsidRPr="002C02C3">
              <w:t xml:space="preserve">International Unlisted </w:t>
            </w:r>
            <w:r w:rsidRPr="002C02C3">
              <w:lastRenderedPageBreak/>
              <w:t>Infrastructure</w:t>
            </w:r>
          </w:p>
        </w:tc>
        <w:tc>
          <w:tcPr>
            <w:tcW w:w="3402" w:type="dxa"/>
            <w:shd w:val="clear" w:color="auto" w:fill="auto"/>
          </w:tcPr>
          <w:p w14:paraId="2F6BDCAC" w14:textId="77777777" w:rsidR="008F7FC7" w:rsidRPr="002C02C3" w:rsidRDefault="00CF3BF0" w:rsidP="002C02C3">
            <w:pPr>
              <w:pStyle w:val="Tabletext"/>
            </w:pPr>
            <w:r w:rsidRPr="002C02C3">
              <w:lastRenderedPageBreak/>
              <w:t xml:space="preserve">MSCI Australia Quarterly Private Infrastructure Fund Index (Unfrozen) – </w:t>
            </w:r>
            <w:r w:rsidRPr="002C02C3">
              <w:lastRenderedPageBreak/>
              <w:t>Nav</w:t>
            </w:r>
            <w:r w:rsidR="00525139">
              <w:noBreakHyphen/>
            </w:r>
            <w:r w:rsidRPr="002C02C3">
              <w:t>Weighted Post</w:t>
            </w:r>
            <w:r w:rsidR="00525139">
              <w:noBreakHyphen/>
            </w:r>
            <w:r w:rsidRPr="002C02C3">
              <w:t>Fee Total Return (All Funds)</w:t>
            </w:r>
          </w:p>
        </w:tc>
        <w:tc>
          <w:tcPr>
            <w:tcW w:w="1134" w:type="dxa"/>
            <w:shd w:val="clear" w:color="auto" w:fill="auto"/>
          </w:tcPr>
          <w:p w14:paraId="57FD8CFF" w14:textId="77777777" w:rsidR="008F7FC7" w:rsidRPr="002C02C3" w:rsidRDefault="008F7FC7" w:rsidP="002C02C3">
            <w:pPr>
              <w:pStyle w:val="Tabletext"/>
            </w:pPr>
            <w:r w:rsidRPr="002C02C3">
              <w:lastRenderedPageBreak/>
              <w:t>0%</w:t>
            </w:r>
          </w:p>
        </w:tc>
        <w:tc>
          <w:tcPr>
            <w:tcW w:w="1233" w:type="dxa"/>
            <w:shd w:val="clear" w:color="auto" w:fill="auto"/>
          </w:tcPr>
          <w:p w14:paraId="3516FCA9" w14:textId="77777777" w:rsidR="008F7FC7" w:rsidRPr="002C02C3" w:rsidRDefault="008F7FC7" w:rsidP="002C02C3">
            <w:pPr>
              <w:pStyle w:val="Tabletext"/>
            </w:pPr>
            <w:r w:rsidRPr="002C02C3">
              <w:t>14</w:t>
            </w:r>
            <w:r w:rsidR="00525139">
              <w:t>.</w:t>
            </w:r>
            <w:r w:rsidRPr="002C02C3">
              <w:t>00%</w:t>
            </w:r>
          </w:p>
        </w:tc>
      </w:tr>
      <w:tr w:rsidR="008F7FC7" w:rsidRPr="002C02C3" w14:paraId="33C8517C" w14:textId="77777777" w:rsidTr="002C02C3">
        <w:tc>
          <w:tcPr>
            <w:tcW w:w="714" w:type="dxa"/>
            <w:shd w:val="clear" w:color="auto" w:fill="auto"/>
          </w:tcPr>
          <w:p w14:paraId="4DD9A30C" w14:textId="77777777" w:rsidR="008F7FC7" w:rsidRPr="002C02C3" w:rsidRDefault="008F7FC7" w:rsidP="002C02C3">
            <w:pPr>
              <w:pStyle w:val="Tabletext"/>
            </w:pPr>
            <w:r w:rsidRPr="002C02C3">
              <w:t>12</w:t>
            </w:r>
          </w:p>
        </w:tc>
        <w:tc>
          <w:tcPr>
            <w:tcW w:w="1833" w:type="dxa"/>
            <w:shd w:val="clear" w:color="auto" w:fill="auto"/>
          </w:tcPr>
          <w:p w14:paraId="3150D5C8" w14:textId="77777777" w:rsidR="008F7FC7" w:rsidRPr="002C02C3" w:rsidRDefault="008F7FC7" w:rsidP="002C02C3">
            <w:pPr>
              <w:pStyle w:val="Tabletext"/>
            </w:pPr>
            <w:r w:rsidRPr="002C02C3">
              <w:t>Australian Fixed Interest</w:t>
            </w:r>
          </w:p>
        </w:tc>
        <w:tc>
          <w:tcPr>
            <w:tcW w:w="3402" w:type="dxa"/>
            <w:shd w:val="clear" w:color="auto" w:fill="auto"/>
          </w:tcPr>
          <w:p w14:paraId="05262C02" w14:textId="77777777" w:rsidR="008F7FC7" w:rsidRPr="002C02C3" w:rsidRDefault="008F7FC7" w:rsidP="002C02C3">
            <w:pPr>
              <w:pStyle w:val="Tabletext"/>
            </w:pPr>
            <w:r w:rsidRPr="002C02C3">
              <w:t>BACM0</w:t>
            </w:r>
          </w:p>
          <w:p w14:paraId="2472EDBE" w14:textId="77777777" w:rsidR="008F7FC7" w:rsidRPr="002C02C3" w:rsidRDefault="008F7FC7" w:rsidP="002C02C3">
            <w:pPr>
              <w:pStyle w:val="Tabletext"/>
            </w:pPr>
            <w:r w:rsidRPr="002C02C3">
              <w:t>Bloomberg Ausbond Composite 0+ Yr Index</w:t>
            </w:r>
          </w:p>
        </w:tc>
        <w:tc>
          <w:tcPr>
            <w:tcW w:w="1134" w:type="dxa"/>
            <w:shd w:val="clear" w:color="auto" w:fill="auto"/>
          </w:tcPr>
          <w:p w14:paraId="68176185" w14:textId="77777777" w:rsidR="008F7FC7" w:rsidRPr="002C02C3" w:rsidRDefault="008F7FC7" w:rsidP="002C02C3">
            <w:pPr>
              <w:pStyle w:val="Tabletext"/>
            </w:pPr>
            <w:r w:rsidRPr="002C02C3">
              <w:t>0</w:t>
            </w:r>
            <w:r w:rsidR="00525139">
              <w:t>.</w:t>
            </w:r>
            <w:r w:rsidRPr="002C02C3">
              <w:t>10%</w:t>
            </w:r>
          </w:p>
        </w:tc>
        <w:tc>
          <w:tcPr>
            <w:tcW w:w="1233" w:type="dxa"/>
            <w:shd w:val="clear" w:color="auto" w:fill="auto"/>
          </w:tcPr>
          <w:p w14:paraId="640520CD" w14:textId="77777777" w:rsidR="008F7FC7" w:rsidRPr="002C02C3" w:rsidRDefault="008F7FC7" w:rsidP="002C02C3">
            <w:pPr>
              <w:pStyle w:val="Tabletext"/>
            </w:pPr>
            <w:r w:rsidRPr="002C02C3">
              <w:t>15</w:t>
            </w:r>
            <w:r w:rsidR="00525139">
              <w:t>.</w:t>
            </w:r>
            <w:r w:rsidRPr="002C02C3">
              <w:t>00%</w:t>
            </w:r>
          </w:p>
        </w:tc>
      </w:tr>
      <w:tr w:rsidR="008F7FC7" w:rsidRPr="002C02C3" w14:paraId="525BFE0E" w14:textId="77777777" w:rsidTr="002C02C3">
        <w:tc>
          <w:tcPr>
            <w:tcW w:w="714" w:type="dxa"/>
            <w:shd w:val="clear" w:color="auto" w:fill="auto"/>
          </w:tcPr>
          <w:p w14:paraId="26EAC2F0" w14:textId="77777777" w:rsidR="008F7FC7" w:rsidRPr="002C02C3" w:rsidRDefault="008F7FC7" w:rsidP="002C02C3">
            <w:pPr>
              <w:pStyle w:val="Tabletext"/>
            </w:pPr>
            <w:r w:rsidRPr="002C02C3">
              <w:t>13</w:t>
            </w:r>
          </w:p>
        </w:tc>
        <w:tc>
          <w:tcPr>
            <w:tcW w:w="1833" w:type="dxa"/>
            <w:shd w:val="clear" w:color="auto" w:fill="auto"/>
          </w:tcPr>
          <w:p w14:paraId="17453034" w14:textId="77777777" w:rsidR="008F7FC7" w:rsidRPr="002C02C3" w:rsidRDefault="008F7FC7" w:rsidP="002C02C3">
            <w:pPr>
              <w:pStyle w:val="Tabletext"/>
            </w:pPr>
            <w:r w:rsidRPr="002C02C3">
              <w:t>International Fixed Interest</w:t>
            </w:r>
          </w:p>
        </w:tc>
        <w:tc>
          <w:tcPr>
            <w:tcW w:w="3402" w:type="dxa"/>
            <w:shd w:val="clear" w:color="auto" w:fill="auto"/>
          </w:tcPr>
          <w:p w14:paraId="54570B83" w14:textId="77777777" w:rsidR="008F7FC7" w:rsidRPr="002C02C3" w:rsidRDefault="008F7FC7" w:rsidP="002C02C3">
            <w:pPr>
              <w:pStyle w:val="Tabletext"/>
            </w:pPr>
            <w:r w:rsidRPr="002C02C3">
              <w:t>LEGATRAH</w:t>
            </w:r>
          </w:p>
          <w:p w14:paraId="2A618B84" w14:textId="77777777" w:rsidR="008F7FC7" w:rsidRPr="002C02C3" w:rsidRDefault="008F7FC7" w:rsidP="002C02C3">
            <w:pPr>
              <w:pStyle w:val="Tabletext"/>
            </w:pPr>
            <w:r w:rsidRPr="002C02C3">
              <w:t>Bloomberg Barclays Global Aggregate Index (hedged to AUD)</w:t>
            </w:r>
          </w:p>
        </w:tc>
        <w:tc>
          <w:tcPr>
            <w:tcW w:w="1134" w:type="dxa"/>
            <w:shd w:val="clear" w:color="auto" w:fill="auto"/>
          </w:tcPr>
          <w:p w14:paraId="7B320225" w14:textId="77777777" w:rsidR="008F7FC7" w:rsidRPr="002C02C3" w:rsidRDefault="008F7FC7" w:rsidP="002C02C3">
            <w:pPr>
              <w:pStyle w:val="Tabletext"/>
            </w:pPr>
            <w:r w:rsidRPr="002C02C3">
              <w:t>0</w:t>
            </w:r>
            <w:r w:rsidR="00525139">
              <w:t>.</w:t>
            </w:r>
            <w:r w:rsidRPr="002C02C3">
              <w:t>10%</w:t>
            </w:r>
          </w:p>
        </w:tc>
        <w:tc>
          <w:tcPr>
            <w:tcW w:w="1233" w:type="dxa"/>
            <w:shd w:val="clear" w:color="auto" w:fill="auto"/>
          </w:tcPr>
          <w:p w14:paraId="48893250" w14:textId="77777777" w:rsidR="008F7FC7" w:rsidRPr="002C02C3" w:rsidRDefault="008F7FC7" w:rsidP="002C02C3">
            <w:pPr>
              <w:pStyle w:val="Tabletext"/>
            </w:pPr>
            <w:r w:rsidRPr="002C02C3">
              <w:t>15</w:t>
            </w:r>
            <w:r w:rsidR="00525139">
              <w:t>.</w:t>
            </w:r>
            <w:r w:rsidRPr="002C02C3">
              <w:t>00%</w:t>
            </w:r>
          </w:p>
        </w:tc>
      </w:tr>
      <w:tr w:rsidR="008F7FC7" w:rsidRPr="002C02C3" w14:paraId="4DEFDE47" w14:textId="77777777" w:rsidTr="002C02C3">
        <w:tc>
          <w:tcPr>
            <w:tcW w:w="714" w:type="dxa"/>
            <w:shd w:val="clear" w:color="auto" w:fill="auto"/>
          </w:tcPr>
          <w:p w14:paraId="2E2E3481" w14:textId="77777777" w:rsidR="008F7FC7" w:rsidRPr="002C02C3" w:rsidRDefault="008F7FC7" w:rsidP="002C02C3">
            <w:pPr>
              <w:pStyle w:val="Tabletext"/>
            </w:pPr>
            <w:r w:rsidRPr="002C02C3">
              <w:t>14</w:t>
            </w:r>
          </w:p>
        </w:tc>
        <w:tc>
          <w:tcPr>
            <w:tcW w:w="1833" w:type="dxa"/>
            <w:shd w:val="clear" w:color="auto" w:fill="auto"/>
          </w:tcPr>
          <w:p w14:paraId="3DA11566" w14:textId="77777777" w:rsidR="008F7FC7" w:rsidRPr="002C02C3" w:rsidRDefault="008F7FC7" w:rsidP="002C02C3">
            <w:pPr>
              <w:pStyle w:val="Tabletext"/>
            </w:pPr>
            <w:r w:rsidRPr="002C02C3">
              <w:t>Australian Cash</w:t>
            </w:r>
          </w:p>
        </w:tc>
        <w:tc>
          <w:tcPr>
            <w:tcW w:w="3402" w:type="dxa"/>
            <w:shd w:val="clear" w:color="auto" w:fill="auto"/>
          </w:tcPr>
          <w:p w14:paraId="67BED068" w14:textId="77777777" w:rsidR="008F7FC7" w:rsidRPr="002C02C3" w:rsidRDefault="008F7FC7" w:rsidP="002C02C3">
            <w:pPr>
              <w:pStyle w:val="Tabletext"/>
            </w:pPr>
            <w:r w:rsidRPr="002C02C3">
              <w:t>BAUBIL</w:t>
            </w:r>
          </w:p>
          <w:p w14:paraId="1E4E0445" w14:textId="77777777" w:rsidR="008F7FC7" w:rsidRPr="002C02C3" w:rsidRDefault="008F7FC7" w:rsidP="002C02C3">
            <w:pPr>
              <w:pStyle w:val="Tabletext"/>
            </w:pPr>
            <w:r w:rsidRPr="002C02C3">
              <w:t>Bloomberg Ausbond Bank Bill Index</w:t>
            </w:r>
          </w:p>
        </w:tc>
        <w:tc>
          <w:tcPr>
            <w:tcW w:w="1134" w:type="dxa"/>
            <w:shd w:val="clear" w:color="auto" w:fill="auto"/>
          </w:tcPr>
          <w:p w14:paraId="3206806B" w14:textId="77777777" w:rsidR="008F7FC7" w:rsidRPr="002C02C3" w:rsidRDefault="008F7FC7" w:rsidP="002C02C3">
            <w:pPr>
              <w:pStyle w:val="Tabletext"/>
            </w:pPr>
            <w:r w:rsidRPr="002C02C3">
              <w:t>0</w:t>
            </w:r>
            <w:r w:rsidR="00525139">
              <w:t>.</w:t>
            </w:r>
            <w:r w:rsidRPr="002C02C3">
              <w:t>04%</w:t>
            </w:r>
          </w:p>
        </w:tc>
        <w:tc>
          <w:tcPr>
            <w:tcW w:w="1233" w:type="dxa"/>
            <w:shd w:val="clear" w:color="auto" w:fill="auto"/>
          </w:tcPr>
          <w:p w14:paraId="3E7948EF" w14:textId="77777777" w:rsidR="008F7FC7" w:rsidRPr="002C02C3" w:rsidRDefault="008F7FC7" w:rsidP="002C02C3">
            <w:pPr>
              <w:pStyle w:val="Tabletext"/>
            </w:pPr>
            <w:r w:rsidRPr="002C02C3">
              <w:t>15</w:t>
            </w:r>
            <w:r w:rsidR="00525139">
              <w:t>.</w:t>
            </w:r>
            <w:r w:rsidRPr="002C02C3">
              <w:t>00%</w:t>
            </w:r>
          </w:p>
        </w:tc>
      </w:tr>
      <w:tr w:rsidR="008F7FC7" w:rsidRPr="002C02C3" w14:paraId="421C9E6F" w14:textId="77777777" w:rsidTr="002C02C3">
        <w:tc>
          <w:tcPr>
            <w:tcW w:w="714" w:type="dxa"/>
            <w:tcBorders>
              <w:bottom w:val="single" w:sz="2" w:space="0" w:color="auto"/>
            </w:tcBorders>
            <w:shd w:val="clear" w:color="auto" w:fill="auto"/>
          </w:tcPr>
          <w:p w14:paraId="062F2163" w14:textId="77777777" w:rsidR="008F7FC7" w:rsidRPr="002C02C3" w:rsidRDefault="008F7FC7" w:rsidP="002C02C3">
            <w:pPr>
              <w:pStyle w:val="Tabletext"/>
            </w:pPr>
            <w:r w:rsidRPr="002C02C3">
              <w:t>15</w:t>
            </w:r>
          </w:p>
        </w:tc>
        <w:tc>
          <w:tcPr>
            <w:tcW w:w="1833" w:type="dxa"/>
            <w:tcBorders>
              <w:bottom w:val="single" w:sz="2" w:space="0" w:color="auto"/>
            </w:tcBorders>
            <w:shd w:val="clear" w:color="auto" w:fill="auto"/>
          </w:tcPr>
          <w:p w14:paraId="59209367" w14:textId="77777777" w:rsidR="008F7FC7" w:rsidRPr="002C02C3" w:rsidRDefault="008F7FC7" w:rsidP="002C02C3">
            <w:pPr>
              <w:pStyle w:val="Tabletext"/>
            </w:pPr>
            <w:r w:rsidRPr="002C02C3">
              <w:t>International Cash</w:t>
            </w:r>
          </w:p>
        </w:tc>
        <w:tc>
          <w:tcPr>
            <w:tcW w:w="3402" w:type="dxa"/>
            <w:tcBorders>
              <w:bottom w:val="single" w:sz="2" w:space="0" w:color="auto"/>
            </w:tcBorders>
            <w:shd w:val="clear" w:color="auto" w:fill="auto"/>
          </w:tcPr>
          <w:p w14:paraId="51C3B859" w14:textId="77777777" w:rsidR="008F7FC7" w:rsidRPr="002C02C3" w:rsidRDefault="008F7FC7" w:rsidP="002C02C3">
            <w:pPr>
              <w:pStyle w:val="Tabletext"/>
            </w:pPr>
            <w:r w:rsidRPr="002C02C3">
              <w:t>BAUBIL</w:t>
            </w:r>
          </w:p>
          <w:p w14:paraId="5C8417AE" w14:textId="77777777" w:rsidR="008F7FC7" w:rsidRPr="002C02C3" w:rsidRDefault="008F7FC7" w:rsidP="002C02C3">
            <w:pPr>
              <w:pStyle w:val="Tabletext"/>
            </w:pPr>
            <w:r w:rsidRPr="002C02C3">
              <w:t>Bloomberg Ausbond Bank Bill Index</w:t>
            </w:r>
          </w:p>
        </w:tc>
        <w:tc>
          <w:tcPr>
            <w:tcW w:w="1134" w:type="dxa"/>
            <w:tcBorders>
              <w:bottom w:val="single" w:sz="2" w:space="0" w:color="auto"/>
            </w:tcBorders>
            <w:shd w:val="clear" w:color="auto" w:fill="auto"/>
          </w:tcPr>
          <w:p w14:paraId="528D56E3" w14:textId="77777777" w:rsidR="008F7FC7" w:rsidRPr="002C02C3" w:rsidRDefault="008F7FC7" w:rsidP="002C02C3">
            <w:pPr>
              <w:pStyle w:val="Tabletext"/>
            </w:pPr>
            <w:r w:rsidRPr="002C02C3">
              <w:t>0</w:t>
            </w:r>
            <w:r w:rsidR="00525139">
              <w:t>.</w:t>
            </w:r>
            <w:r w:rsidRPr="002C02C3">
              <w:t>04%</w:t>
            </w:r>
          </w:p>
        </w:tc>
        <w:tc>
          <w:tcPr>
            <w:tcW w:w="1233" w:type="dxa"/>
            <w:tcBorders>
              <w:bottom w:val="single" w:sz="2" w:space="0" w:color="auto"/>
            </w:tcBorders>
            <w:shd w:val="clear" w:color="auto" w:fill="auto"/>
          </w:tcPr>
          <w:p w14:paraId="134B12CB" w14:textId="77777777" w:rsidR="008F7FC7" w:rsidRPr="002C02C3" w:rsidRDefault="008F7FC7" w:rsidP="002C02C3">
            <w:pPr>
              <w:pStyle w:val="Tabletext"/>
            </w:pPr>
            <w:r w:rsidRPr="002C02C3">
              <w:t>15</w:t>
            </w:r>
            <w:r w:rsidR="00525139">
              <w:t>.</w:t>
            </w:r>
            <w:r w:rsidRPr="002C02C3">
              <w:t>00%</w:t>
            </w:r>
          </w:p>
        </w:tc>
      </w:tr>
      <w:tr w:rsidR="008F7FC7" w:rsidRPr="007A6083" w14:paraId="050EC894" w14:textId="77777777" w:rsidTr="002C02C3">
        <w:tc>
          <w:tcPr>
            <w:tcW w:w="714" w:type="dxa"/>
            <w:tcBorders>
              <w:top w:val="single" w:sz="2" w:space="0" w:color="auto"/>
              <w:bottom w:val="single" w:sz="12" w:space="0" w:color="auto"/>
            </w:tcBorders>
            <w:shd w:val="clear" w:color="auto" w:fill="auto"/>
          </w:tcPr>
          <w:p w14:paraId="5EF6D400" w14:textId="77777777" w:rsidR="008F7FC7" w:rsidRPr="002C02C3" w:rsidRDefault="008F7FC7" w:rsidP="002C02C3">
            <w:pPr>
              <w:pStyle w:val="Tabletext"/>
            </w:pPr>
            <w:r w:rsidRPr="002C02C3">
              <w:t>16</w:t>
            </w:r>
          </w:p>
        </w:tc>
        <w:tc>
          <w:tcPr>
            <w:tcW w:w="1833" w:type="dxa"/>
            <w:tcBorders>
              <w:top w:val="single" w:sz="2" w:space="0" w:color="auto"/>
              <w:bottom w:val="single" w:sz="12" w:space="0" w:color="auto"/>
            </w:tcBorders>
            <w:shd w:val="clear" w:color="auto" w:fill="auto"/>
          </w:tcPr>
          <w:p w14:paraId="3E2FEF5F" w14:textId="77777777" w:rsidR="008F7FC7" w:rsidRPr="002C02C3" w:rsidRDefault="008F7FC7" w:rsidP="002C02C3">
            <w:pPr>
              <w:pStyle w:val="Tabletext"/>
            </w:pPr>
            <w:r w:rsidRPr="002C02C3">
              <w:t>Other/Commodities</w:t>
            </w:r>
          </w:p>
        </w:tc>
        <w:tc>
          <w:tcPr>
            <w:tcW w:w="3402" w:type="dxa"/>
            <w:tcBorders>
              <w:top w:val="single" w:sz="2" w:space="0" w:color="auto"/>
              <w:bottom w:val="single" w:sz="12" w:space="0" w:color="auto"/>
            </w:tcBorders>
            <w:shd w:val="clear" w:color="auto" w:fill="auto"/>
          </w:tcPr>
          <w:p w14:paraId="4FFEF484" w14:textId="77777777" w:rsidR="008F7FC7" w:rsidRPr="002C02C3" w:rsidRDefault="008F7FC7" w:rsidP="002C02C3">
            <w:pPr>
              <w:pStyle w:val="Tabletext"/>
            </w:pPr>
          </w:p>
        </w:tc>
        <w:tc>
          <w:tcPr>
            <w:tcW w:w="1134" w:type="dxa"/>
            <w:tcBorders>
              <w:top w:val="single" w:sz="2" w:space="0" w:color="auto"/>
              <w:bottom w:val="single" w:sz="12" w:space="0" w:color="auto"/>
            </w:tcBorders>
            <w:shd w:val="clear" w:color="auto" w:fill="auto"/>
          </w:tcPr>
          <w:p w14:paraId="02F7401A" w14:textId="77777777" w:rsidR="008F7FC7" w:rsidRPr="002C02C3" w:rsidRDefault="008F7FC7" w:rsidP="002C02C3">
            <w:pPr>
              <w:pStyle w:val="Tabletext"/>
            </w:pPr>
            <w:r w:rsidRPr="002C02C3">
              <w:t>0</w:t>
            </w:r>
            <w:r w:rsidR="00525139">
              <w:t>.</w:t>
            </w:r>
            <w:r w:rsidRPr="002C02C3">
              <w:t>10%</w:t>
            </w:r>
          </w:p>
        </w:tc>
        <w:tc>
          <w:tcPr>
            <w:tcW w:w="1233" w:type="dxa"/>
            <w:tcBorders>
              <w:top w:val="single" w:sz="2" w:space="0" w:color="auto"/>
              <w:bottom w:val="single" w:sz="12" w:space="0" w:color="auto"/>
            </w:tcBorders>
            <w:shd w:val="clear" w:color="auto" w:fill="auto"/>
          </w:tcPr>
          <w:p w14:paraId="6262D83F" w14:textId="77777777" w:rsidR="008F7FC7" w:rsidRPr="002C02C3" w:rsidRDefault="008F7FC7" w:rsidP="002C02C3">
            <w:pPr>
              <w:pStyle w:val="Tabletext"/>
            </w:pPr>
            <w:r w:rsidRPr="002C02C3">
              <w:t>14</w:t>
            </w:r>
            <w:r w:rsidR="00525139">
              <w:t>.</w:t>
            </w:r>
            <w:r w:rsidRPr="002C02C3">
              <w:t>50%</w:t>
            </w:r>
          </w:p>
        </w:tc>
      </w:tr>
    </w:tbl>
    <w:p w14:paraId="23317829" w14:textId="77777777" w:rsidR="00B15445" w:rsidRDefault="00525139" w:rsidP="00B15445">
      <w:pPr>
        <w:pStyle w:val="ActHead5"/>
      </w:pPr>
      <w:bookmarkStart w:id="40" w:name="_Toc78797722"/>
      <w:r w:rsidRPr="0048118D">
        <w:rPr>
          <w:rStyle w:val="CharSectno"/>
        </w:rPr>
        <w:t>9AB.18</w:t>
      </w:r>
      <w:r w:rsidR="00B15445">
        <w:t xml:space="preserve">  APRA</w:t>
      </w:r>
      <w:r w:rsidR="00C43BEE">
        <w:t>’</w:t>
      </w:r>
      <w:r w:rsidR="00B15445">
        <w:t>s determination of alternative assumptions—paragraphs 60D(7)(b) and (c) of Act</w:t>
      </w:r>
      <w:bookmarkEnd w:id="40"/>
    </w:p>
    <w:p w14:paraId="3BDB7EAF" w14:textId="77777777" w:rsidR="00B15445" w:rsidRDefault="00B15445" w:rsidP="00B15445">
      <w:pPr>
        <w:pStyle w:val="SubsectionHead"/>
      </w:pPr>
      <w:r>
        <w:t>APRA</w:t>
      </w:r>
      <w:r w:rsidR="00C43BEE">
        <w:t>’</w:t>
      </w:r>
      <w:r>
        <w:t>s determination of alternative assumptions</w:t>
      </w:r>
    </w:p>
    <w:p w14:paraId="6E97C57B" w14:textId="77777777" w:rsidR="00B15445" w:rsidRDefault="00B15445" w:rsidP="00B15445">
      <w:pPr>
        <w:pStyle w:val="subsection"/>
      </w:pPr>
      <w:r>
        <w:tab/>
        <w:t>(1)</w:t>
      </w:r>
      <w:r>
        <w:tab/>
        <w:t xml:space="preserve">For the purposes of </w:t>
      </w:r>
      <w:r w:rsidR="00B86730">
        <w:t>paragraph 6</w:t>
      </w:r>
      <w:r>
        <w:t>0D(7)(b) of the Act, APRA may, by legislative instrument,</w:t>
      </w:r>
      <w:r w:rsidRPr="00360397">
        <w:t xml:space="preserve"> determin</w:t>
      </w:r>
      <w:r>
        <w:t xml:space="preserve">e a specified alternative assumption in relation to a specified quarter covered by the table in regulation </w:t>
      </w:r>
      <w:r w:rsidR="00525139">
        <w:t>9AB.17</w:t>
      </w:r>
      <w:r>
        <w:t xml:space="preserve"> that replaces one of the following assumptions in relation to that quarter:</w:t>
      </w:r>
    </w:p>
    <w:p w14:paraId="4F7FEB94" w14:textId="77777777" w:rsidR="00B15445" w:rsidRDefault="00B15445" w:rsidP="00B15445">
      <w:pPr>
        <w:pStyle w:val="paragraph"/>
      </w:pPr>
      <w:r>
        <w:tab/>
        <w:t>(a)</w:t>
      </w:r>
      <w:r>
        <w:tab/>
        <w:t>an assumed index identified in an item of that table;</w:t>
      </w:r>
    </w:p>
    <w:p w14:paraId="797D7C2E" w14:textId="77777777" w:rsidR="00B15445" w:rsidRPr="003D6580" w:rsidRDefault="00B15445" w:rsidP="00B15445">
      <w:pPr>
        <w:pStyle w:val="paragraph"/>
      </w:pPr>
      <w:r>
        <w:tab/>
        <w:t>(b)</w:t>
      </w:r>
      <w:r>
        <w:tab/>
        <w:t>an assumed annual fee identified in an item of that table;</w:t>
      </w:r>
    </w:p>
    <w:p w14:paraId="5E11F4BC" w14:textId="77777777" w:rsidR="00B15445" w:rsidRDefault="00B15445" w:rsidP="00B15445">
      <w:pPr>
        <w:pStyle w:val="paragraph"/>
      </w:pPr>
      <w:r>
        <w:tab/>
        <w:t>(c)</w:t>
      </w:r>
      <w:r>
        <w:tab/>
        <w:t>an assumed annual rate of tax identified in an item of that table</w:t>
      </w:r>
      <w:r w:rsidR="00525139">
        <w:t>.</w:t>
      </w:r>
    </w:p>
    <w:p w14:paraId="71E6AC3B" w14:textId="77777777" w:rsidR="00B15445" w:rsidRDefault="00B15445" w:rsidP="00B15445">
      <w:pPr>
        <w:pStyle w:val="subsection"/>
      </w:pPr>
      <w:r>
        <w:tab/>
        <w:t>(2)</w:t>
      </w:r>
      <w:r>
        <w:tab/>
        <w:t>To avoid doubt, the determination may:</w:t>
      </w:r>
    </w:p>
    <w:p w14:paraId="396A4EC4" w14:textId="77777777" w:rsidR="00B15445" w:rsidRDefault="00B15445" w:rsidP="00B15445">
      <w:pPr>
        <w:pStyle w:val="paragraph"/>
      </w:pPr>
      <w:r>
        <w:tab/>
        <w:t>(a)</w:t>
      </w:r>
      <w:r>
        <w:tab/>
        <w:t>specify an alternative assumption in relation to more than one specified quarter; or</w:t>
      </w:r>
    </w:p>
    <w:p w14:paraId="3E5C8E71" w14:textId="77777777" w:rsidR="00B15445" w:rsidRDefault="00B15445" w:rsidP="00B15445">
      <w:pPr>
        <w:pStyle w:val="paragraph"/>
      </w:pPr>
      <w:r>
        <w:tab/>
        <w:t>(b)</w:t>
      </w:r>
      <w:r>
        <w:tab/>
        <w:t xml:space="preserve">specify more than one alternative assumptions, each of which replaces one particular assumption mentioned in </w:t>
      </w:r>
      <w:r w:rsidR="00B86730">
        <w:t>paragraph (</w:t>
      </w:r>
      <w:r>
        <w:t>1)(a), (b) or (c), in relation to a specified quarter; or</w:t>
      </w:r>
    </w:p>
    <w:p w14:paraId="7FD16BB3" w14:textId="77777777" w:rsidR="00B15445" w:rsidRPr="009A2A66" w:rsidRDefault="00B15445" w:rsidP="00B15445">
      <w:pPr>
        <w:pStyle w:val="paragraph"/>
      </w:pPr>
      <w:r>
        <w:tab/>
        <w:t>(c)</w:t>
      </w:r>
      <w:r>
        <w:tab/>
        <w:t xml:space="preserve">specify more than one alternative assumption, each of which replaces one particular assumption mentioned in </w:t>
      </w:r>
      <w:r w:rsidR="00B86730">
        <w:t>paragraph (</w:t>
      </w:r>
      <w:r>
        <w:t>1)(a), (b) or (c), in relation to more than one specified quarter</w:t>
      </w:r>
      <w:r w:rsidR="00525139">
        <w:t>.</w:t>
      </w:r>
    </w:p>
    <w:p w14:paraId="201DAC63" w14:textId="77777777" w:rsidR="00B15445" w:rsidRDefault="00B15445" w:rsidP="00B15445">
      <w:pPr>
        <w:pStyle w:val="SubsectionHead"/>
      </w:pPr>
      <w:r>
        <w:t>Specified conditions for APRA</w:t>
      </w:r>
      <w:r w:rsidR="00C43BEE">
        <w:t>’</w:t>
      </w:r>
      <w:r>
        <w:t>s determination of alternative assumptions</w:t>
      </w:r>
    </w:p>
    <w:p w14:paraId="2D6B1D45" w14:textId="77777777" w:rsidR="00B15445" w:rsidRDefault="00B15445" w:rsidP="00B15445">
      <w:pPr>
        <w:pStyle w:val="subsection"/>
      </w:pPr>
      <w:r>
        <w:tab/>
        <w:t>(3)</w:t>
      </w:r>
      <w:r>
        <w:tab/>
        <w:t xml:space="preserve">For the purposes of </w:t>
      </w:r>
      <w:r w:rsidR="00B86730">
        <w:t>paragraph 6</w:t>
      </w:r>
      <w:r>
        <w:t xml:space="preserve">0D(7)(c) of the Act, subregulations (4), (5) and (6) specify conditions to be met </w:t>
      </w:r>
      <w:r w:rsidRPr="00360397">
        <w:t>before APRA can make a determination</w:t>
      </w:r>
      <w:r>
        <w:t xml:space="preserve"> under subregulation (1)</w:t>
      </w:r>
      <w:r w:rsidR="00525139">
        <w:t>.</w:t>
      </w:r>
    </w:p>
    <w:p w14:paraId="014EA89A" w14:textId="77777777" w:rsidR="00B15445" w:rsidRDefault="00B15445" w:rsidP="00B15445">
      <w:pPr>
        <w:pStyle w:val="subsection"/>
      </w:pPr>
      <w:r>
        <w:tab/>
        <w:t>(4)</w:t>
      </w:r>
      <w:r>
        <w:tab/>
        <w:t xml:space="preserve">Before making </w:t>
      </w:r>
      <w:r w:rsidRPr="00360397">
        <w:t>a determination</w:t>
      </w:r>
      <w:r>
        <w:t xml:space="preserve"> under subregulation (1), APRA must consult with the Treasurer</w:t>
      </w:r>
      <w:r w:rsidR="00525139">
        <w:t>.</w:t>
      </w:r>
    </w:p>
    <w:p w14:paraId="41A6C8D4" w14:textId="77777777" w:rsidR="00B15445" w:rsidRDefault="00B15445" w:rsidP="00B15445">
      <w:pPr>
        <w:pStyle w:val="subsection"/>
      </w:pPr>
      <w:r>
        <w:lastRenderedPageBreak/>
        <w:tab/>
        <w:t>(5)</w:t>
      </w:r>
      <w:r>
        <w:tab/>
        <w:t xml:space="preserve">Before making </w:t>
      </w:r>
      <w:r w:rsidRPr="00360397">
        <w:t>a determination</w:t>
      </w:r>
      <w:r>
        <w:t xml:space="preserve"> under subregulation (1) specifying an alternative assumption that replaces an assumption mentioned in </w:t>
      </w:r>
      <w:r w:rsidR="00B86730">
        <w:t>paragraph (</w:t>
      </w:r>
      <w:r>
        <w:t>1)(a) (assumed index) in relation to a specified quarter, APRA must be reasonably satisfied that:</w:t>
      </w:r>
    </w:p>
    <w:p w14:paraId="36733F4A" w14:textId="77777777" w:rsidR="000C142E" w:rsidRDefault="00B15445" w:rsidP="00302A1C">
      <w:pPr>
        <w:pStyle w:val="paragraph"/>
      </w:pPr>
      <w:r>
        <w:tab/>
        <w:t>(a)</w:t>
      </w:r>
      <w:r>
        <w:tab/>
        <w:t xml:space="preserve">the relevant assumed index identified in an item of the table in regulation </w:t>
      </w:r>
      <w:r w:rsidR="00525139">
        <w:t>9AB.17</w:t>
      </w:r>
      <w:r w:rsidR="00302A1C">
        <w:t xml:space="preserve"> </w:t>
      </w:r>
      <w:r>
        <w:t>does or did not exist in relation that quarter</w:t>
      </w:r>
      <w:r w:rsidR="00302A1C">
        <w:t>;</w:t>
      </w:r>
      <w:r w:rsidR="000C142E">
        <w:t xml:space="preserve"> and</w:t>
      </w:r>
    </w:p>
    <w:p w14:paraId="7E4FC9C1" w14:textId="77777777" w:rsidR="00845B0F" w:rsidRDefault="00B15445" w:rsidP="00845B0F">
      <w:pPr>
        <w:pStyle w:val="paragraph"/>
      </w:pPr>
      <w:r>
        <w:tab/>
        <w:t>(b)</w:t>
      </w:r>
      <w:r>
        <w:tab/>
        <w:t>the specified alternative assumption</w:t>
      </w:r>
      <w:r w:rsidR="00845B0F">
        <w:t xml:space="preserve"> </w:t>
      </w:r>
      <w:r>
        <w:t>is substantially analogous to the relevant assumed index</w:t>
      </w:r>
      <w:r w:rsidR="00525139">
        <w:t>.</w:t>
      </w:r>
    </w:p>
    <w:p w14:paraId="55FBE314" w14:textId="77777777" w:rsidR="00B15445" w:rsidRDefault="00B15445" w:rsidP="00B15445">
      <w:pPr>
        <w:pStyle w:val="subsection"/>
      </w:pPr>
      <w:r>
        <w:tab/>
        <w:t>(6)</w:t>
      </w:r>
      <w:r>
        <w:tab/>
        <w:t xml:space="preserve">Before making </w:t>
      </w:r>
      <w:r w:rsidRPr="00360397">
        <w:t>a determination</w:t>
      </w:r>
      <w:r>
        <w:t xml:space="preserve"> under subregulation (1) specifying an alternative assumption that replaces an assumption mentioned in </w:t>
      </w:r>
      <w:r w:rsidR="00B86730">
        <w:t>paragraph (</w:t>
      </w:r>
      <w:r>
        <w:t xml:space="preserve">1)(b) or (c) (assumed annual fee or assumed annual rate of tax) in relation to a specified quarter, APRA must be reasonably satisfied that, as a result of </w:t>
      </w:r>
      <w:r w:rsidRPr="00C237B8">
        <w:t>material changes in the investment environment</w:t>
      </w:r>
      <w:r>
        <w:t xml:space="preserve">, </w:t>
      </w:r>
      <w:r w:rsidRPr="00C237B8">
        <w:t xml:space="preserve">the </w:t>
      </w:r>
      <w:r>
        <w:t>assumed annual</w:t>
      </w:r>
      <w:r w:rsidRPr="00C237B8">
        <w:t xml:space="preserve"> fee or </w:t>
      </w:r>
      <w:r>
        <w:t xml:space="preserve">assumed rate of tax identified in an item of the table in regulation </w:t>
      </w:r>
      <w:r w:rsidR="00525139">
        <w:t>9AB.17</w:t>
      </w:r>
      <w:r>
        <w:t xml:space="preserve"> is </w:t>
      </w:r>
      <w:r w:rsidRPr="00C237B8">
        <w:t>no longer</w:t>
      </w:r>
      <w:r>
        <w:t xml:space="preserve"> </w:t>
      </w:r>
      <w:r w:rsidRPr="00C237B8">
        <w:t xml:space="preserve">suitable </w:t>
      </w:r>
      <w:r>
        <w:t xml:space="preserve">in relation to </w:t>
      </w:r>
      <w:r w:rsidRPr="00C237B8">
        <w:t>that quarter</w:t>
      </w:r>
      <w:r w:rsidR="00525139">
        <w:t>.</w:t>
      </w:r>
    </w:p>
    <w:p w14:paraId="3B435ABF" w14:textId="77777777" w:rsidR="001E7FD6" w:rsidRDefault="00525139" w:rsidP="001E7FD6">
      <w:pPr>
        <w:pStyle w:val="ActHead5"/>
      </w:pPr>
      <w:bookmarkStart w:id="41" w:name="_Toc78797723"/>
      <w:r w:rsidRPr="0048118D">
        <w:rPr>
          <w:rStyle w:val="CharSectno"/>
        </w:rPr>
        <w:t>9AB.19</w:t>
      </w:r>
      <w:r w:rsidR="001E7FD6">
        <w:t xml:space="preserve">  Requirements for notification of fail assessment—</w:t>
      </w:r>
      <w:r w:rsidR="00B86730">
        <w:t>subsection 6</w:t>
      </w:r>
      <w:r w:rsidR="001E7FD6">
        <w:t>0</w:t>
      </w:r>
      <w:r w:rsidR="00193C75">
        <w:t>E</w:t>
      </w:r>
      <w:r w:rsidR="001E7FD6">
        <w:t>(</w:t>
      </w:r>
      <w:r w:rsidR="00763869">
        <w:t>6</w:t>
      </w:r>
      <w:r w:rsidR="001E7FD6">
        <w:t>) of Act</w:t>
      </w:r>
      <w:bookmarkEnd w:id="41"/>
    </w:p>
    <w:p w14:paraId="21FD1B1E" w14:textId="77777777" w:rsidR="00763869" w:rsidRDefault="001E7FD6" w:rsidP="001E7FD6">
      <w:pPr>
        <w:pStyle w:val="subsection"/>
      </w:pPr>
      <w:r>
        <w:tab/>
        <w:t>(1)</w:t>
      </w:r>
      <w:r>
        <w:tab/>
        <w:t xml:space="preserve">For the purposes of </w:t>
      </w:r>
      <w:r w:rsidR="00B86730">
        <w:t>subsection 6</w:t>
      </w:r>
      <w:r w:rsidR="00763869">
        <w:t>0</w:t>
      </w:r>
      <w:r w:rsidR="00193C75">
        <w:t>E</w:t>
      </w:r>
      <w:r w:rsidR="00763869">
        <w:t>(6)</w:t>
      </w:r>
      <w:r>
        <w:t xml:space="preserve"> of the Act, this </w:t>
      </w:r>
      <w:r w:rsidR="00D45949">
        <w:t>regulation</w:t>
      </w:r>
      <w:r>
        <w:t xml:space="preserve"> specifies</w:t>
      </w:r>
      <w:r w:rsidR="00763869">
        <w:t>:</w:t>
      </w:r>
    </w:p>
    <w:p w14:paraId="06061D8D" w14:textId="77777777" w:rsidR="001E7FD6" w:rsidRDefault="00763869" w:rsidP="00763869">
      <w:pPr>
        <w:pStyle w:val="paragraph"/>
      </w:pPr>
      <w:r>
        <w:tab/>
        <w:t>(a)</w:t>
      </w:r>
      <w:r>
        <w:tab/>
      </w:r>
      <w:r w:rsidR="001E7FD6">
        <w:t>form</w:t>
      </w:r>
      <w:r>
        <w:t>s</w:t>
      </w:r>
      <w:r w:rsidR="001E7FD6">
        <w:t xml:space="preserve"> in which a notice mentioned in </w:t>
      </w:r>
      <w:r w:rsidR="00B86730">
        <w:t>subsection 6</w:t>
      </w:r>
      <w:r w:rsidR="001E7FD6">
        <w:t>0E(2) of the Act must be</w:t>
      </w:r>
      <w:r>
        <w:t>; and</w:t>
      </w:r>
    </w:p>
    <w:p w14:paraId="33A860EC" w14:textId="77777777" w:rsidR="00763869" w:rsidRDefault="00763869" w:rsidP="00763869">
      <w:pPr>
        <w:pStyle w:val="paragraph"/>
      </w:pPr>
      <w:r>
        <w:tab/>
        <w:t>(b)</w:t>
      </w:r>
      <w:r>
        <w:tab/>
        <w:t>kind</w:t>
      </w:r>
      <w:r w:rsidR="003E3F42">
        <w:t>s</w:t>
      </w:r>
      <w:r>
        <w:t xml:space="preserve"> of information that must be contained in </w:t>
      </w:r>
      <w:r w:rsidR="003E3F42">
        <w:t xml:space="preserve">such </w:t>
      </w:r>
      <w:r>
        <w:t>a notice</w:t>
      </w:r>
      <w:r w:rsidR="00525139">
        <w:t>.</w:t>
      </w:r>
    </w:p>
    <w:p w14:paraId="5D9B0823" w14:textId="77777777" w:rsidR="009A10A1" w:rsidRDefault="009A10A1" w:rsidP="009A10A1">
      <w:pPr>
        <w:pStyle w:val="subsection"/>
      </w:pPr>
      <w:r>
        <w:tab/>
        <w:t>(2)</w:t>
      </w:r>
      <w:r>
        <w:tab/>
      </w:r>
      <w:r w:rsidR="00763869">
        <w:t>T</w:t>
      </w:r>
      <w:r w:rsidR="001E7FD6">
        <w:t xml:space="preserve">he information set out in </w:t>
      </w:r>
      <w:r w:rsidR="00B27E57">
        <w:t>Schedule 2</w:t>
      </w:r>
      <w:r w:rsidR="00A3194B">
        <w:t>A</w:t>
      </w:r>
      <w:r w:rsidR="001E7FD6">
        <w:t xml:space="preserve"> is specified as a kind of </w:t>
      </w:r>
      <w:r>
        <w:t>information</w:t>
      </w:r>
    </w:p>
    <w:p w14:paraId="1F940EB8" w14:textId="77777777" w:rsidR="003E3F42" w:rsidRDefault="00763869" w:rsidP="00763869">
      <w:pPr>
        <w:pStyle w:val="subsection"/>
      </w:pPr>
      <w:r>
        <w:tab/>
        <w:t>(3)</w:t>
      </w:r>
      <w:r>
        <w:tab/>
        <w:t xml:space="preserve">If the notice includes an electronic communication as mentioned in </w:t>
      </w:r>
      <w:r w:rsidR="00B27E57">
        <w:t>sub</w:t>
      </w:r>
      <w:r w:rsidR="00B86730">
        <w:t>paragraph 6</w:t>
      </w:r>
      <w:r>
        <w:t>0E(5)(a)(ii) of the Act</w:t>
      </w:r>
      <w:r w:rsidR="003E3F42">
        <w:t>:</w:t>
      </w:r>
    </w:p>
    <w:p w14:paraId="0E0560D2" w14:textId="77777777" w:rsidR="003E3F42" w:rsidRDefault="003E3F42" w:rsidP="003E3F42">
      <w:pPr>
        <w:pStyle w:val="paragraph"/>
      </w:pPr>
      <w:r>
        <w:tab/>
        <w:t>(a)</w:t>
      </w:r>
      <w:r>
        <w:tab/>
        <w:t xml:space="preserve">the text </w:t>
      </w:r>
      <w:r w:rsidR="00C43BEE">
        <w:t>“</w:t>
      </w:r>
      <w:r w:rsidRPr="003E3F42">
        <w:t>Important notice about your super product</w:t>
      </w:r>
      <w:r w:rsidR="00C43BEE">
        <w:t>’</w:t>
      </w:r>
      <w:r w:rsidRPr="003E3F42">
        <w:t>s performance</w:t>
      </w:r>
      <w:r w:rsidR="00C43BEE">
        <w:t>”</w:t>
      </w:r>
      <w:r>
        <w:t xml:space="preserve"> is specified as a kind of information; and</w:t>
      </w:r>
    </w:p>
    <w:p w14:paraId="7F5FFFB3" w14:textId="77777777" w:rsidR="003E3F42" w:rsidRDefault="003E3F42" w:rsidP="003E3F42">
      <w:pPr>
        <w:pStyle w:val="paragraph"/>
      </w:pPr>
      <w:r>
        <w:tab/>
        <w:t>(b)</w:t>
      </w:r>
      <w:r>
        <w:tab/>
        <w:t>inclusion of that text in the subject line for the electronic communication is specified as a form</w:t>
      </w:r>
      <w:r w:rsidR="00525139">
        <w:t>.</w:t>
      </w:r>
    </w:p>
    <w:p w14:paraId="20E164B3" w14:textId="77777777" w:rsidR="009A10A1" w:rsidRDefault="00525139" w:rsidP="009A10A1">
      <w:pPr>
        <w:pStyle w:val="ActHead5"/>
      </w:pPr>
      <w:bookmarkStart w:id="42" w:name="_Toc78797724"/>
      <w:r w:rsidRPr="0048118D">
        <w:rPr>
          <w:rStyle w:val="CharSectno"/>
        </w:rPr>
        <w:t>9AB.20</w:t>
      </w:r>
      <w:r w:rsidR="009A10A1">
        <w:t xml:space="preserve">  Requirements for reopening determination—</w:t>
      </w:r>
      <w:r w:rsidR="00B86730">
        <w:t>subsection 6</w:t>
      </w:r>
      <w:r w:rsidR="009A10A1">
        <w:t>0F(4) of Act</w:t>
      </w:r>
      <w:bookmarkEnd w:id="42"/>
    </w:p>
    <w:p w14:paraId="01E0E572" w14:textId="77777777" w:rsidR="009A10A1" w:rsidRDefault="009A10A1" w:rsidP="009A10A1">
      <w:pPr>
        <w:pStyle w:val="subsection"/>
      </w:pPr>
      <w:r>
        <w:tab/>
        <w:t>(1)</w:t>
      </w:r>
      <w:r>
        <w:tab/>
        <w:t xml:space="preserve">For the purposes of </w:t>
      </w:r>
      <w:r w:rsidR="00B86730">
        <w:t>subsection 6</w:t>
      </w:r>
      <w:r>
        <w:t xml:space="preserve">0F(4) of the Act, this </w:t>
      </w:r>
      <w:r w:rsidR="00D45949">
        <w:t>regulation</w:t>
      </w:r>
      <w:r>
        <w:t xml:space="preserve"> specifies a requirement </w:t>
      </w:r>
      <w:r w:rsidRPr="00CA2EAA">
        <w:t xml:space="preserve">in relation to </w:t>
      </w:r>
      <w:r>
        <w:t xml:space="preserve">a </w:t>
      </w:r>
      <w:r w:rsidR="00B86730">
        <w:t>Part 6</w:t>
      </w:r>
      <w:r w:rsidRPr="00CA2EAA">
        <w:t xml:space="preserve">A product and </w:t>
      </w:r>
      <w:r>
        <w:t xml:space="preserve">an </w:t>
      </w:r>
      <w:r w:rsidRPr="00CA2EAA">
        <w:t>entity</w:t>
      </w:r>
      <w:r w:rsidR="00525139">
        <w:t>.</w:t>
      </w:r>
    </w:p>
    <w:p w14:paraId="2BCF05A8" w14:textId="77777777" w:rsidR="00CA2EAA" w:rsidRDefault="00CA2EAA" w:rsidP="00CA2EAA">
      <w:pPr>
        <w:pStyle w:val="notetext"/>
      </w:pPr>
      <w:r>
        <w:t>Note:</w:t>
      </w:r>
      <w:r>
        <w:tab/>
      </w:r>
      <w:r w:rsidR="00B27E57">
        <w:t>Subsections 6</w:t>
      </w:r>
      <w:r>
        <w:t xml:space="preserve">0F(3) and (4) of the Act provide that if </w:t>
      </w:r>
      <w:r w:rsidR="006F477B">
        <w:t xml:space="preserve">APRA is satisfied that </w:t>
      </w:r>
      <w:r>
        <w:t>this requirement is met,</w:t>
      </w:r>
      <w:r w:rsidR="009A10A1">
        <w:t xml:space="preserve"> it may make a determination that has the effect that</w:t>
      </w:r>
      <w:r>
        <w:t xml:space="preserve"> each trustee of the entity is released from the obligation in </w:t>
      </w:r>
      <w:r w:rsidR="00B86730">
        <w:t>subsection 6</w:t>
      </w:r>
      <w:r>
        <w:t xml:space="preserve">0F(2) of the Act </w:t>
      </w:r>
      <w:r w:rsidR="009A10A1">
        <w:t>(</w:t>
      </w:r>
      <w:r>
        <w:t>to ensure that there are n</w:t>
      </w:r>
      <w:r w:rsidRPr="00CA2EAA">
        <w:t xml:space="preserve">o new beneficiaries for the </w:t>
      </w:r>
      <w:r w:rsidR="00B86730">
        <w:t>Part 6</w:t>
      </w:r>
      <w:r w:rsidRPr="00CA2EAA">
        <w:t>A product</w:t>
      </w:r>
      <w:r w:rsidR="009A10A1">
        <w:t>)</w:t>
      </w:r>
      <w:r w:rsidR="00525139">
        <w:t>.</w:t>
      </w:r>
    </w:p>
    <w:p w14:paraId="4018BD33" w14:textId="77777777" w:rsidR="00D546BD" w:rsidRPr="00C92D14" w:rsidRDefault="00D546BD" w:rsidP="003F2A88">
      <w:pPr>
        <w:pStyle w:val="subsection"/>
      </w:pPr>
      <w:r>
        <w:tab/>
        <w:t>(2)</w:t>
      </w:r>
      <w:r>
        <w:tab/>
        <w:t>The requirement is that</w:t>
      </w:r>
      <w:r w:rsidR="003F2A88">
        <w:t xml:space="preserve"> the performance measure for </w:t>
      </w:r>
      <w:r>
        <w:t xml:space="preserve">the </w:t>
      </w:r>
      <w:r w:rsidR="00B86730">
        <w:t>Part 6</w:t>
      </w:r>
      <w:r>
        <w:t>A product for the most recently ended financial year</w:t>
      </w:r>
      <w:r w:rsidR="003F2A88">
        <w:t xml:space="preserve"> </w:t>
      </w:r>
      <w:r>
        <w:t xml:space="preserve">equals or exceeds </w:t>
      </w:r>
      <w:r w:rsidR="00525139">
        <w:noBreakHyphen/>
      </w:r>
      <w:r w:rsidRPr="007D57B1">
        <w:t>0</w:t>
      </w:r>
      <w:r w:rsidR="00525139">
        <w:t>.</w:t>
      </w:r>
      <w:r w:rsidRPr="007D57B1">
        <w:t>005</w:t>
      </w:r>
      <w:r w:rsidR="00525139">
        <w:t>.</w:t>
      </w:r>
    </w:p>
    <w:p w14:paraId="101F1CBB" w14:textId="77777777" w:rsidR="00213E38" w:rsidRPr="00213E38" w:rsidRDefault="00B27E57" w:rsidP="00213E38">
      <w:pPr>
        <w:pStyle w:val="ActHead3"/>
      </w:pPr>
      <w:bookmarkStart w:id="43" w:name="_Toc78797725"/>
      <w:r w:rsidRPr="0048118D">
        <w:rPr>
          <w:rStyle w:val="CharDivNo"/>
        </w:rPr>
        <w:t>Division 9</w:t>
      </w:r>
      <w:r w:rsidR="006847E2" w:rsidRPr="0048118D">
        <w:rPr>
          <w:rStyle w:val="CharDivNo"/>
        </w:rPr>
        <w:t>AB</w:t>
      </w:r>
      <w:r w:rsidR="00525139" w:rsidRPr="0048118D">
        <w:rPr>
          <w:rStyle w:val="CharDivNo"/>
        </w:rPr>
        <w:t>.</w:t>
      </w:r>
      <w:r w:rsidR="00213E38" w:rsidRPr="0048118D">
        <w:rPr>
          <w:rStyle w:val="CharDivNo"/>
        </w:rPr>
        <w:t>3</w:t>
      </w:r>
      <w:r w:rsidR="00213E38">
        <w:t>—</w:t>
      </w:r>
      <w:r w:rsidR="00213E38" w:rsidRPr="0048118D">
        <w:rPr>
          <w:rStyle w:val="CharDivText"/>
        </w:rPr>
        <w:t>Comparison rankings</w:t>
      </w:r>
      <w:bookmarkEnd w:id="43"/>
    </w:p>
    <w:p w14:paraId="149DE530" w14:textId="77777777" w:rsidR="00FF2749" w:rsidRDefault="00525139" w:rsidP="00FF2749">
      <w:pPr>
        <w:pStyle w:val="ActHead5"/>
      </w:pPr>
      <w:bookmarkStart w:id="44" w:name="_Toc78797726"/>
      <w:r w:rsidRPr="0048118D">
        <w:rPr>
          <w:rStyle w:val="CharSectno"/>
        </w:rPr>
        <w:t>9AB.21</w:t>
      </w:r>
      <w:r w:rsidR="00FF2749">
        <w:t xml:space="preserve">  Specified formula as basis for ranking </w:t>
      </w:r>
      <w:r w:rsidR="00B86730">
        <w:t>Part 6</w:t>
      </w:r>
      <w:r w:rsidR="00FF2749" w:rsidRPr="00C92D14">
        <w:t xml:space="preserve">A </w:t>
      </w:r>
      <w:r w:rsidR="00FF2749">
        <w:t>products—performance assessment met</w:t>
      </w:r>
      <w:bookmarkEnd w:id="44"/>
    </w:p>
    <w:p w14:paraId="086E1F35" w14:textId="77777777" w:rsidR="00FF2749" w:rsidRDefault="00FF2749" w:rsidP="00FF2749">
      <w:pPr>
        <w:pStyle w:val="subsection"/>
      </w:pPr>
      <w:r>
        <w:tab/>
        <w:t>(1)</w:t>
      </w:r>
      <w:r>
        <w:tab/>
        <w:t xml:space="preserve">This regulation applies in relation to a </w:t>
      </w:r>
      <w:r w:rsidR="00B86730">
        <w:t>Part 6</w:t>
      </w:r>
      <w:r>
        <w:t xml:space="preserve">A product for which the requirement in </w:t>
      </w:r>
      <w:r w:rsidR="00B86730">
        <w:t>subsection 6</w:t>
      </w:r>
      <w:r>
        <w:t>0D(1) of the Act is met in relation to a financial year</w:t>
      </w:r>
      <w:r w:rsidR="00525139">
        <w:t>.</w:t>
      </w:r>
    </w:p>
    <w:p w14:paraId="03AFF3A6" w14:textId="77777777" w:rsidR="00FF2749" w:rsidRDefault="00FF2749" w:rsidP="00FF2749">
      <w:pPr>
        <w:pStyle w:val="subsection"/>
      </w:pPr>
      <w:r>
        <w:lastRenderedPageBreak/>
        <w:tab/>
        <w:t>(2)</w:t>
      </w:r>
      <w:r>
        <w:tab/>
        <w:t xml:space="preserve">For the purposes of </w:t>
      </w:r>
      <w:r w:rsidR="00B86730">
        <w:t>paragraph 6</w:t>
      </w:r>
      <w:r>
        <w:t>0J(3)(a) of the Act:</w:t>
      </w:r>
    </w:p>
    <w:p w14:paraId="1022CE0C" w14:textId="77777777" w:rsidR="00FF2749" w:rsidRDefault="00FF2749" w:rsidP="00FF2749">
      <w:pPr>
        <w:pStyle w:val="paragraph"/>
      </w:pPr>
      <w:r>
        <w:tab/>
        <w:t>(a)</w:t>
      </w:r>
      <w:r>
        <w:tab/>
        <w:t xml:space="preserve">this paragraph specifies the formula set out in regulation </w:t>
      </w:r>
      <w:r w:rsidR="00525139">
        <w:t>9AB.23</w:t>
      </w:r>
      <w:r w:rsidRPr="001D490D">
        <w:t xml:space="preserve"> (net return ranking formula)</w:t>
      </w:r>
      <w:r>
        <w:t xml:space="preserve"> as a basis for ranking </w:t>
      </w:r>
      <w:r w:rsidR="00B86730">
        <w:t>Part 6</w:t>
      </w:r>
      <w:r w:rsidRPr="00C92D14">
        <w:t>A product</w:t>
      </w:r>
      <w:r>
        <w:t>s in relation to the financial year; and</w:t>
      </w:r>
    </w:p>
    <w:p w14:paraId="22475251" w14:textId="77777777" w:rsidR="00FF2749" w:rsidRDefault="00FF2749" w:rsidP="00FF2749">
      <w:pPr>
        <w:pStyle w:val="paragraph"/>
      </w:pPr>
      <w:r>
        <w:tab/>
        <w:t>(b)</w:t>
      </w:r>
      <w:r>
        <w:tab/>
        <w:t xml:space="preserve">this paragraph specifies the formula set out in regulation </w:t>
      </w:r>
      <w:r w:rsidR="00525139">
        <w:t>9AB.24</w:t>
      </w:r>
      <w:r w:rsidRPr="001D490D">
        <w:t xml:space="preserve"> (fee ranking formula)</w:t>
      </w:r>
      <w:r>
        <w:t xml:space="preserve"> as a basis for ranking that </w:t>
      </w:r>
      <w:r w:rsidR="00B86730">
        <w:t>Part 6</w:t>
      </w:r>
      <w:r w:rsidRPr="00C92D14">
        <w:t>A product</w:t>
      </w:r>
      <w:r>
        <w:t>s in relation to:</w:t>
      </w:r>
    </w:p>
    <w:p w14:paraId="252DAA7F" w14:textId="77777777" w:rsidR="00FF2749" w:rsidRDefault="00FF2749" w:rsidP="00FF2749">
      <w:pPr>
        <w:pStyle w:val="paragraphsub"/>
      </w:pPr>
      <w:r>
        <w:tab/>
        <w:t>(i)</w:t>
      </w:r>
      <w:r>
        <w:tab/>
        <w:t>a beneficiary who hold</w:t>
      </w:r>
      <w:r w:rsidR="00766202">
        <w:t>s</w:t>
      </w:r>
      <w:r>
        <w:t xml:space="preserve"> the </w:t>
      </w:r>
      <w:r w:rsidR="00B86730">
        <w:t>Part 6</w:t>
      </w:r>
      <w:r>
        <w:t>A product; and</w:t>
      </w:r>
    </w:p>
    <w:p w14:paraId="63F27F09" w14:textId="77777777" w:rsidR="00FF2749" w:rsidRPr="003504C5" w:rsidRDefault="00FF2749" w:rsidP="00FF2749">
      <w:pPr>
        <w:pStyle w:val="paragraphsub"/>
      </w:pPr>
      <w:r>
        <w:tab/>
        <w:t>(ii)</w:t>
      </w:r>
      <w:r>
        <w:tab/>
        <w:t xml:space="preserve">a year (the </w:t>
      </w:r>
      <w:r w:rsidRPr="002B485E">
        <w:rPr>
          <w:b/>
          <w:i/>
        </w:rPr>
        <w:t xml:space="preserve">relevant </w:t>
      </w:r>
      <w:r>
        <w:rPr>
          <w:b/>
          <w:i/>
        </w:rPr>
        <w:t>year</w:t>
      </w:r>
      <w:r>
        <w:t xml:space="preserve">) that is the financial year, or the year that is the period of 12 months ending on </w:t>
      </w:r>
      <w:r w:rsidR="00B27E57">
        <w:t>30 September</w:t>
      </w:r>
      <w:r>
        <w:t xml:space="preserve">, </w:t>
      </w:r>
      <w:r w:rsidR="00B27E57">
        <w:t>31 December</w:t>
      </w:r>
      <w:r>
        <w:t xml:space="preserve"> or </w:t>
      </w:r>
      <w:r w:rsidR="00B27E57">
        <w:t>31 March</w:t>
      </w:r>
      <w:r>
        <w:t xml:space="preserve"> in the next financial year</w:t>
      </w:r>
      <w:r w:rsidR="00525139">
        <w:t>.</w:t>
      </w:r>
    </w:p>
    <w:p w14:paraId="69005F3F" w14:textId="77777777" w:rsidR="00FF2749" w:rsidRDefault="00525139" w:rsidP="00FF2749">
      <w:pPr>
        <w:pStyle w:val="ActHead5"/>
      </w:pPr>
      <w:bookmarkStart w:id="45" w:name="_Toc78797727"/>
      <w:r w:rsidRPr="0048118D">
        <w:rPr>
          <w:rStyle w:val="CharSectno"/>
        </w:rPr>
        <w:t>9AB.22</w:t>
      </w:r>
      <w:r w:rsidR="00FF2749">
        <w:t xml:space="preserve">  Specified formula as basis for ranking </w:t>
      </w:r>
      <w:r w:rsidR="00B86730">
        <w:t>Part 6</w:t>
      </w:r>
      <w:r w:rsidR="00FF2749" w:rsidRPr="00C92D14">
        <w:t xml:space="preserve">A </w:t>
      </w:r>
      <w:r w:rsidR="00FF2749">
        <w:t xml:space="preserve">products—performance assessment </w:t>
      </w:r>
      <w:r w:rsidR="00FF2749" w:rsidRPr="00FA31F7">
        <w:rPr>
          <w:i/>
        </w:rPr>
        <w:t>not</w:t>
      </w:r>
      <w:r w:rsidR="00FF2749">
        <w:t xml:space="preserve"> met</w:t>
      </w:r>
      <w:bookmarkEnd w:id="45"/>
    </w:p>
    <w:p w14:paraId="4E52F211" w14:textId="77777777" w:rsidR="00FF2749" w:rsidRDefault="00FF2749" w:rsidP="00FF2749">
      <w:pPr>
        <w:pStyle w:val="subsection"/>
      </w:pPr>
      <w:r>
        <w:tab/>
        <w:t>(1)</w:t>
      </w:r>
      <w:r>
        <w:tab/>
        <w:t xml:space="preserve">This regulation applies in relation to a </w:t>
      </w:r>
      <w:r w:rsidR="00B86730">
        <w:t>Part 6</w:t>
      </w:r>
      <w:r>
        <w:t xml:space="preserve">A product for which the requirement in </w:t>
      </w:r>
      <w:r w:rsidR="00B86730">
        <w:t>subsection 6</w:t>
      </w:r>
      <w:r>
        <w:t xml:space="preserve">0D(1) of the Act is </w:t>
      </w:r>
      <w:r w:rsidRPr="002B485E">
        <w:rPr>
          <w:i/>
        </w:rPr>
        <w:t>not</w:t>
      </w:r>
      <w:r>
        <w:t xml:space="preserve"> met in relation to a financial year</w:t>
      </w:r>
      <w:r w:rsidR="00525139">
        <w:t>.</w:t>
      </w:r>
    </w:p>
    <w:p w14:paraId="5F1D4B84" w14:textId="77777777" w:rsidR="00FF2749" w:rsidRDefault="00FF2749" w:rsidP="00FF2749">
      <w:pPr>
        <w:pStyle w:val="subsection"/>
      </w:pPr>
      <w:r>
        <w:tab/>
        <w:t>(2)</w:t>
      </w:r>
      <w:r>
        <w:tab/>
        <w:t xml:space="preserve">For the purposes of </w:t>
      </w:r>
      <w:r w:rsidR="00B86730">
        <w:t>paragraph 6</w:t>
      </w:r>
      <w:r>
        <w:t>0J(3)(a) of the Act:</w:t>
      </w:r>
    </w:p>
    <w:p w14:paraId="01E702E3" w14:textId="77777777" w:rsidR="00FF2749" w:rsidRDefault="00FF2749" w:rsidP="00FF2749">
      <w:pPr>
        <w:pStyle w:val="paragraph"/>
      </w:pPr>
      <w:r>
        <w:tab/>
        <w:t>(a)</w:t>
      </w:r>
      <w:r>
        <w:tab/>
        <w:t xml:space="preserve">this paragraph specifies the formula set out in regulation </w:t>
      </w:r>
      <w:r w:rsidR="00525139">
        <w:t>9AB.23</w:t>
      </w:r>
      <w:r w:rsidRPr="001D490D">
        <w:t xml:space="preserve"> (net return ranking formula)</w:t>
      </w:r>
      <w:r>
        <w:t xml:space="preserve"> as a basis for ranking </w:t>
      </w:r>
      <w:r w:rsidR="00B86730">
        <w:t>Part 6</w:t>
      </w:r>
      <w:r w:rsidRPr="00C92D14">
        <w:t>A product</w:t>
      </w:r>
      <w:r>
        <w:t>s in relation to the financial year; and</w:t>
      </w:r>
    </w:p>
    <w:p w14:paraId="16668294" w14:textId="77777777" w:rsidR="00FF2749" w:rsidRDefault="00FF2749" w:rsidP="00FF2749">
      <w:pPr>
        <w:pStyle w:val="paragraph"/>
      </w:pPr>
      <w:r>
        <w:tab/>
        <w:t>(b)</w:t>
      </w:r>
      <w:r>
        <w:tab/>
        <w:t xml:space="preserve">this paragraph specifies the formula set out in regulation </w:t>
      </w:r>
      <w:r w:rsidR="00525139">
        <w:t>9AB.24</w:t>
      </w:r>
      <w:r w:rsidRPr="001D490D">
        <w:t xml:space="preserve"> (fee ranking formula)</w:t>
      </w:r>
      <w:r>
        <w:t xml:space="preserve"> as a basis for ranking </w:t>
      </w:r>
      <w:r w:rsidR="00B86730">
        <w:t>Part 6</w:t>
      </w:r>
      <w:r w:rsidRPr="00C92D14">
        <w:t>A product</w:t>
      </w:r>
      <w:r>
        <w:t>s in relation to:</w:t>
      </w:r>
    </w:p>
    <w:p w14:paraId="75AC1F83" w14:textId="77777777" w:rsidR="00FF2749" w:rsidRDefault="00FF2749" w:rsidP="00FF2749">
      <w:pPr>
        <w:pStyle w:val="paragraphsub"/>
      </w:pPr>
      <w:r>
        <w:tab/>
        <w:t>(i)</w:t>
      </w:r>
      <w:r>
        <w:tab/>
        <w:t xml:space="preserve">a </w:t>
      </w:r>
      <w:r w:rsidR="00766202">
        <w:t xml:space="preserve">beneficiary who holds </w:t>
      </w:r>
      <w:r>
        <w:t xml:space="preserve">the </w:t>
      </w:r>
      <w:r w:rsidR="00B86730">
        <w:t>Part 6</w:t>
      </w:r>
      <w:r>
        <w:t>A product; and</w:t>
      </w:r>
    </w:p>
    <w:p w14:paraId="6741DAD3" w14:textId="77777777" w:rsidR="00FF2749" w:rsidRPr="003504C5" w:rsidRDefault="00FF2749" w:rsidP="00FF2749">
      <w:pPr>
        <w:pStyle w:val="paragraphsub"/>
      </w:pPr>
      <w:r>
        <w:tab/>
        <w:t>(ii)</w:t>
      </w:r>
      <w:r>
        <w:tab/>
        <w:t xml:space="preserve">a year (the </w:t>
      </w:r>
      <w:r w:rsidRPr="002B485E">
        <w:rPr>
          <w:b/>
          <w:i/>
        </w:rPr>
        <w:t xml:space="preserve">relevant </w:t>
      </w:r>
      <w:r>
        <w:rPr>
          <w:b/>
          <w:i/>
        </w:rPr>
        <w:t>year</w:t>
      </w:r>
      <w:r>
        <w:t xml:space="preserve">) that is the financial year, or the year that is the period of 12 months ending on </w:t>
      </w:r>
      <w:r w:rsidR="00B27E57">
        <w:t>30 September</w:t>
      </w:r>
      <w:r>
        <w:t xml:space="preserve">, </w:t>
      </w:r>
      <w:r w:rsidR="00B27E57">
        <w:t>31 December</w:t>
      </w:r>
      <w:r>
        <w:t xml:space="preserve"> or </w:t>
      </w:r>
      <w:r w:rsidR="00B27E57">
        <w:t>31 March</w:t>
      </w:r>
      <w:r>
        <w:t xml:space="preserve"> in the next financial year</w:t>
      </w:r>
      <w:r w:rsidR="00525139">
        <w:t>.</w:t>
      </w:r>
    </w:p>
    <w:p w14:paraId="6474C2C4" w14:textId="77777777" w:rsidR="00FF2749" w:rsidRDefault="00525139" w:rsidP="00FF2749">
      <w:pPr>
        <w:pStyle w:val="ActHead5"/>
      </w:pPr>
      <w:bookmarkStart w:id="46" w:name="_Toc78797728"/>
      <w:r w:rsidRPr="0048118D">
        <w:rPr>
          <w:rStyle w:val="CharSectno"/>
        </w:rPr>
        <w:t>9AB.23</w:t>
      </w:r>
      <w:r w:rsidR="00FF2749">
        <w:t xml:space="preserve">  Net return ranking formula</w:t>
      </w:r>
      <w:bookmarkEnd w:id="46"/>
    </w:p>
    <w:p w14:paraId="6E60CB8B" w14:textId="77777777" w:rsidR="009F56FE" w:rsidRPr="00D75F0C" w:rsidRDefault="00FF2749" w:rsidP="00D75F0C">
      <w:pPr>
        <w:pStyle w:val="subsection"/>
      </w:pPr>
      <w:r w:rsidRPr="00D75F0C">
        <w:tab/>
      </w:r>
      <w:r w:rsidRPr="00D75F0C">
        <w:tab/>
        <w:t xml:space="preserve">For the purposes of paragraphs </w:t>
      </w:r>
      <w:r w:rsidR="00525139">
        <w:t>9AB.21</w:t>
      </w:r>
      <w:r w:rsidRPr="00D75F0C">
        <w:t xml:space="preserve">(2)(a) and </w:t>
      </w:r>
      <w:r w:rsidR="00525139">
        <w:t>9AB.22</w:t>
      </w:r>
      <w:r w:rsidRPr="00D75F0C">
        <w:t>(2)(a), the formula is:</w:t>
      </w:r>
    </w:p>
    <w:p w14:paraId="126D7462" w14:textId="77777777" w:rsidR="009F56FE" w:rsidRPr="007F5D14" w:rsidRDefault="004E4087" w:rsidP="00FE11B6">
      <w:pPr>
        <w:pStyle w:val="subsection2"/>
      </w:pPr>
      <w:r w:rsidRPr="00FE11B6">
        <w:object w:dxaOrig="2040" w:dyaOrig="1120" w14:anchorId="42C83C5B">
          <v:shape id="_x0000_i1034" type="#_x0000_t75" alt="This is the net return ranking formula." style="width:103.5pt;height:55.5pt" o:ole="">
            <v:imagedata r:id="rId36" o:title=""/>
          </v:shape>
          <o:OLEObject Type="Embed" ProgID="Equation.DSMT4" ShapeID="_x0000_i1034" DrawAspect="Content" ObjectID="_1689678733" r:id="rId37"/>
        </w:object>
      </w:r>
    </w:p>
    <w:p w14:paraId="0C1681D6" w14:textId="77777777" w:rsidR="00FF2749" w:rsidRPr="00CF6B43" w:rsidRDefault="00FF2749" w:rsidP="00FF2749">
      <w:pPr>
        <w:pStyle w:val="subsection2"/>
      </w:pPr>
      <w:r>
        <w:t>where:</w:t>
      </w:r>
    </w:p>
    <w:p w14:paraId="567FA4FD" w14:textId="77777777" w:rsidR="00FF2749" w:rsidRDefault="00FF2749" w:rsidP="00FF2749">
      <w:pPr>
        <w:pStyle w:val="Definition"/>
      </w:pPr>
      <w:r w:rsidRPr="00CF6B43">
        <w:rPr>
          <w:b/>
          <w:i/>
        </w:rPr>
        <w:t>n</w:t>
      </w:r>
      <w:r>
        <w:t xml:space="preserve"> </w:t>
      </w:r>
      <w:r w:rsidRPr="00507164">
        <w:t xml:space="preserve">means the number of whole quarters in the </w:t>
      </w:r>
      <w:r w:rsidR="009A48C4">
        <w:t xml:space="preserve">test </w:t>
      </w:r>
      <w:r w:rsidRPr="00507164">
        <w:t>period</w:t>
      </w:r>
      <w:r w:rsidR="00F45EBA">
        <w:t>, divided by 4</w:t>
      </w:r>
      <w:r w:rsidR="00525139">
        <w:t>.</w:t>
      </w:r>
    </w:p>
    <w:p w14:paraId="79E96B3A" w14:textId="77777777" w:rsidR="00FF2749" w:rsidRDefault="00FF2749" w:rsidP="00FF2749">
      <w:pPr>
        <w:pStyle w:val="Definition"/>
      </w:pPr>
      <w:r w:rsidRPr="00670DF5">
        <w:rPr>
          <w:b/>
          <w:i/>
        </w:rPr>
        <w:t>NR</w:t>
      </w:r>
      <w:r>
        <w:t>, in relation to a q</w:t>
      </w:r>
      <w:r w:rsidRPr="005D48C5">
        <w:t xml:space="preserve">uarter, means the </w:t>
      </w:r>
      <w:r w:rsidR="00B86730">
        <w:t>Part 6</w:t>
      </w:r>
      <w:r>
        <w:t>A product</w:t>
      </w:r>
      <w:r w:rsidR="00C43BEE">
        <w:t>’</w:t>
      </w:r>
      <w:r>
        <w:t>s net return in relation to the quarter</w:t>
      </w:r>
      <w:r w:rsidR="00525139">
        <w:t>.</w:t>
      </w:r>
    </w:p>
    <w:p w14:paraId="0AC390CD" w14:textId="77777777" w:rsidR="009A48C4" w:rsidRDefault="009A48C4" w:rsidP="009A48C4">
      <w:pPr>
        <w:pStyle w:val="Definition"/>
      </w:pPr>
      <w:r w:rsidRPr="00CF6B43">
        <w:rPr>
          <w:b/>
          <w:i/>
        </w:rPr>
        <w:t>t</w:t>
      </w:r>
      <w:r>
        <w:t xml:space="preserve"> represents a quarter in a consecutive sequence of quarters, where if t=1, the quarter is the first quarter that starts in the test period</w:t>
      </w:r>
      <w:r w:rsidR="00525139">
        <w:t>.</w:t>
      </w:r>
    </w:p>
    <w:p w14:paraId="0B96BE5A" w14:textId="77777777" w:rsidR="009A48C4" w:rsidRDefault="009A48C4" w:rsidP="009A48C4">
      <w:pPr>
        <w:pStyle w:val="Definition"/>
      </w:pPr>
      <w:r>
        <w:rPr>
          <w:b/>
          <w:i/>
        </w:rPr>
        <w:t>test period</w:t>
      </w:r>
      <w:r>
        <w:t xml:space="preserve"> mean </w:t>
      </w:r>
      <w:r w:rsidR="004C0F9F">
        <w:t>the</w:t>
      </w:r>
      <w:r>
        <w:t xml:space="preserve"> period that:</w:t>
      </w:r>
    </w:p>
    <w:p w14:paraId="311126D0" w14:textId="77777777" w:rsidR="00C67F79" w:rsidRDefault="009A48C4" w:rsidP="008669A9">
      <w:pPr>
        <w:pStyle w:val="paragraph"/>
      </w:pPr>
      <w:r>
        <w:tab/>
        <w:t>(a)</w:t>
      </w:r>
      <w:r>
        <w:tab/>
        <w:t>starts</w:t>
      </w:r>
      <w:r w:rsidR="008669A9">
        <w:t xml:space="preserve"> </w:t>
      </w:r>
      <w:r w:rsidR="0072291A">
        <w:t>a</w:t>
      </w:r>
      <w:r w:rsidR="00C67F79">
        <w:t xml:space="preserve">t </w:t>
      </w:r>
      <w:r w:rsidR="00F77D49">
        <w:t>a</w:t>
      </w:r>
      <w:r w:rsidR="00C67F79">
        <w:t xml:space="preserve"> time that:</w:t>
      </w:r>
    </w:p>
    <w:p w14:paraId="7A0AC22A" w14:textId="77777777" w:rsidR="00C67F79" w:rsidRDefault="00C67F79" w:rsidP="00C67F79">
      <w:pPr>
        <w:pStyle w:val="paragraphsub"/>
      </w:pPr>
      <w:r>
        <w:tab/>
        <w:t>(i)</w:t>
      </w:r>
      <w:r>
        <w:tab/>
        <w:t>is no earlier than 8 years before the start of the financial year; and</w:t>
      </w:r>
    </w:p>
    <w:p w14:paraId="09C7C5D7" w14:textId="77777777" w:rsidR="00C67F79" w:rsidRDefault="00C67F79" w:rsidP="00C67F79">
      <w:pPr>
        <w:pStyle w:val="paragraphsub"/>
      </w:pPr>
      <w:r>
        <w:tab/>
        <w:t>(ii)</w:t>
      </w:r>
      <w:r>
        <w:tab/>
        <w:t xml:space="preserve">is the start of </w:t>
      </w:r>
      <w:r w:rsidR="006133A1">
        <w:t xml:space="preserve">a quarter in </w:t>
      </w:r>
      <w:r>
        <w:t>an earlier financial year; and</w:t>
      </w:r>
    </w:p>
    <w:p w14:paraId="4FFD70E4" w14:textId="77777777" w:rsidR="009A48C4" w:rsidRDefault="009A48C4" w:rsidP="009A48C4">
      <w:pPr>
        <w:pStyle w:val="paragraph"/>
      </w:pPr>
      <w:r>
        <w:tab/>
        <w:t>(b)</w:t>
      </w:r>
      <w:r>
        <w:tab/>
        <w:t>ends at the end of</w:t>
      </w:r>
      <w:r w:rsidR="001B78B9">
        <w:t xml:space="preserve"> a quarter in</w:t>
      </w:r>
      <w:r>
        <w:t xml:space="preserve"> the financial year</w:t>
      </w:r>
      <w:r w:rsidR="00525139">
        <w:t>.</w:t>
      </w:r>
    </w:p>
    <w:p w14:paraId="48E0C5FA" w14:textId="77777777" w:rsidR="00FF2749" w:rsidRDefault="00525139" w:rsidP="00FF2749">
      <w:pPr>
        <w:pStyle w:val="ActHead5"/>
      </w:pPr>
      <w:bookmarkStart w:id="47" w:name="_Toc78797729"/>
      <w:r w:rsidRPr="0048118D">
        <w:rPr>
          <w:rStyle w:val="CharSectno"/>
        </w:rPr>
        <w:lastRenderedPageBreak/>
        <w:t>9AB.24</w:t>
      </w:r>
      <w:r w:rsidR="00FF2749">
        <w:t xml:space="preserve">  </w:t>
      </w:r>
      <w:r w:rsidR="00FF2749" w:rsidRPr="001D490D">
        <w:t>Fee ranking formula</w:t>
      </w:r>
      <w:bookmarkEnd w:id="47"/>
    </w:p>
    <w:p w14:paraId="7217D7EA" w14:textId="77777777" w:rsidR="00A14DA2" w:rsidRDefault="00FF2749" w:rsidP="00C063AA">
      <w:pPr>
        <w:pStyle w:val="subsection"/>
      </w:pPr>
      <w:r>
        <w:tab/>
        <w:t>(1)</w:t>
      </w:r>
      <w:r>
        <w:tab/>
        <w:t xml:space="preserve">For the purposes of paragraphs </w:t>
      </w:r>
      <w:r w:rsidR="00525139">
        <w:t>9AB.21</w:t>
      </w:r>
      <w:r w:rsidRPr="001D490D">
        <w:t>(2)(</w:t>
      </w:r>
      <w:r w:rsidR="00D75F0C">
        <w:t>b</w:t>
      </w:r>
      <w:r w:rsidRPr="001D490D">
        <w:t>) and</w:t>
      </w:r>
      <w:r>
        <w:t xml:space="preserve"> </w:t>
      </w:r>
      <w:r w:rsidR="00525139">
        <w:t>9AB.22</w:t>
      </w:r>
      <w:r w:rsidRPr="001D490D">
        <w:t>(2)(</w:t>
      </w:r>
      <w:r w:rsidR="00D75F0C">
        <w:t>b</w:t>
      </w:r>
      <w:r w:rsidRPr="001D490D">
        <w:t>)</w:t>
      </w:r>
      <w:r>
        <w:t>, the formula is:</w:t>
      </w:r>
    </w:p>
    <w:p w14:paraId="17C332E2" w14:textId="77777777" w:rsidR="00A14DA2" w:rsidRPr="00636EAC" w:rsidRDefault="004E4087" w:rsidP="00FE11B6">
      <w:pPr>
        <w:pStyle w:val="subsection2"/>
      </w:pPr>
      <w:r w:rsidRPr="00FE11B6">
        <w:object w:dxaOrig="4700" w:dyaOrig="639" w14:anchorId="16C048C0">
          <v:shape id="_x0000_i1035" type="#_x0000_t75" alt="Start formula Applicable investment fee plus Applicable administration fee plus Applicable indirect cost ratio end formula." style="width:236.25pt;height:32.25pt;mso-position-vertical:absolute" o:ole="">
            <v:imagedata r:id="rId38" o:title=""/>
          </v:shape>
          <o:OLEObject Type="Embed" ProgID="Equation.DSMT4" ShapeID="_x0000_i1035" DrawAspect="Content" ObjectID="_1689678734" r:id="rId39"/>
        </w:object>
      </w:r>
    </w:p>
    <w:p w14:paraId="3683B9C8" w14:textId="77777777" w:rsidR="00FF2749" w:rsidRPr="00CF6B43" w:rsidRDefault="00FF2749" w:rsidP="00FF2749">
      <w:pPr>
        <w:pStyle w:val="subsection2"/>
      </w:pPr>
      <w:r>
        <w:t>where:</w:t>
      </w:r>
    </w:p>
    <w:p w14:paraId="767AF18A" w14:textId="77777777" w:rsidR="00FF2749" w:rsidRDefault="00FF2749" w:rsidP="00FF2749">
      <w:pPr>
        <w:pStyle w:val="Definition"/>
      </w:pPr>
      <w:r>
        <w:rPr>
          <w:b/>
          <w:i/>
        </w:rPr>
        <w:t>applicable administration fee</w:t>
      </w:r>
      <w:r>
        <w:t xml:space="preserve"> has the meaning given by subregulation (2)</w:t>
      </w:r>
      <w:r w:rsidR="00525139">
        <w:t>.</w:t>
      </w:r>
    </w:p>
    <w:p w14:paraId="65912AB3" w14:textId="77777777" w:rsidR="00FF2749" w:rsidRDefault="00FF2749" w:rsidP="00FF2749">
      <w:pPr>
        <w:pStyle w:val="Definition"/>
      </w:pPr>
      <w:r w:rsidRPr="007E6441">
        <w:rPr>
          <w:b/>
          <w:i/>
        </w:rPr>
        <w:t xml:space="preserve">applicable </w:t>
      </w:r>
      <w:r>
        <w:rPr>
          <w:b/>
          <w:i/>
        </w:rPr>
        <w:t>indirect cost ratio</w:t>
      </w:r>
      <w:r>
        <w:t xml:space="preserve"> means the product of the following:</w:t>
      </w:r>
    </w:p>
    <w:p w14:paraId="0D2000B4" w14:textId="77777777" w:rsidR="00FF2749" w:rsidRPr="00990EDF" w:rsidRDefault="00FF2749" w:rsidP="00FF2749">
      <w:pPr>
        <w:pStyle w:val="paragraph"/>
      </w:pPr>
      <w:r>
        <w:tab/>
        <w:t>(a)</w:t>
      </w:r>
      <w:r>
        <w:tab/>
        <w:t>th</w:t>
      </w:r>
      <w:r w:rsidRPr="00990EDF">
        <w:t xml:space="preserve">e </w:t>
      </w:r>
      <w:r>
        <w:t xml:space="preserve">relevant </w:t>
      </w:r>
      <w:r w:rsidRPr="00990EDF">
        <w:t>beneficiary</w:t>
      </w:r>
      <w:r w:rsidR="00C43BEE">
        <w:t>’</w:t>
      </w:r>
      <w:r w:rsidRPr="00990EDF">
        <w:t xml:space="preserve">s account balance in respect of the </w:t>
      </w:r>
      <w:r w:rsidR="00B86730">
        <w:t>Part 6</w:t>
      </w:r>
      <w:r w:rsidRPr="00990EDF">
        <w:t>A product</w:t>
      </w:r>
      <w:r>
        <w:t>;</w:t>
      </w:r>
    </w:p>
    <w:p w14:paraId="1FC7AD8B" w14:textId="77777777" w:rsidR="00FF2749" w:rsidRDefault="00FF2749" w:rsidP="00FF2749">
      <w:pPr>
        <w:pStyle w:val="paragraph"/>
      </w:pPr>
      <w:r>
        <w:tab/>
        <w:t>(b)</w:t>
      </w:r>
      <w:r>
        <w:tab/>
        <w:t xml:space="preserve">the </w:t>
      </w:r>
      <w:r w:rsidR="00B86730">
        <w:t>Part 6</w:t>
      </w:r>
      <w:r w:rsidRPr="00990EDF">
        <w:t>A product</w:t>
      </w:r>
      <w:r w:rsidR="00C43BEE">
        <w:t>’</w:t>
      </w:r>
      <w:r>
        <w:t>s indirect cost ratio in relation to the relevant year</w:t>
      </w:r>
      <w:r w:rsidR="00525139">
        <w:t>.</w:t>
      </w:r>
    </w:p>
    <w:p w14:paraId="4A597128" w14:textId="77777777" w:rsidR="00E03F7E" w:rsidRDefault="00E03F7E" w:rsidP="00E03F7E">
      <w:pPr>
        <w:pStyle w:val="Definition"/>
      </w:pPr>
      <w:r>
        <w:rPr>
          <w:b/>
          <w:i/>
        </w:rPr>
        <w:t>applicable investment fee</w:t>
      </w:r>
      <w:r>
        <w:t xml:space="preserve"> has the meaning given by subregulation (3)</w:t>
      </w:r>
      <w:r w:rsidR="00525139">
        <w:t>.</w:t>
      </w:r>
    </w:p>
    <w:p w14:paraId="6456E631" w14:textId="77777777" w:rsidR="00FF2749" w:rsidRDefault="00FF2749" w:rsidP="00FF2749">
      <w:pPr>
        <w:pStyle w:val="subsection"/>
      </w:pPr>
      <w:r>
        <w:tab/>
        <w:t>(2)</w:t>
      </w:r>
      <w:r>
        <w:tab/>
        <w:t xml:space="preserve">For the purposes of subregulation (1), work out the </w:t>
      </w:r>
      <w:r w:rsidRPr="00DF6BF7">
        <w:rPr>
          <w:b/>
          <w:i/>
        </w:rPr>
        <w:t>applicable administration fee</w:t>
      </w:r>
      <w:r>
        <w:t xml:space="preserve"> as follows:</w:t>
      </w:r>
    </w:p>
    <w:p w14:paraId="74C9DDC2" w14:textId="77777777" w:rsidR="00FF2749" w:rsidRDefault="00FF2749" w:rsidP="00FF2749">
      <w:pPr>
        <w:pStyle w:val="paragraph"/>
      </w:pPr>
      <w:r>
        <w:tab/>
        <w:t>(a)</w:t>
      </w:r>
      <w:r>
        <w:tab/>
        <w:t>first, work out the product of the following:</w:t>
      </w:r>
    </w:p>
    <w:p w14:paraId="7F4D5442" w14:textId="77777777" w:rsidR="00FF2749" w:rsidRDefault="00FF2749" w:rsidP="00FF2749">
      <w:pPr>
        <w:pStyle w:val="paragraphsub"/>
      </w:pPr>
      <w:r>
        <w:tab/>
        <w:t>(i)</w:t>
      </w:r>
      <w:r>
        <w:tab/>
        <w:t>an</w:t>
      </w:r>
      <w:r w:rsidRPr="00990EDF">
        <w:t xml:space="preserve"> account balance in respect of the </w:t>
      </w:r>
      <w:r w:rsidR="00B86730">
        <w:t>Part 6</w:t>
      </w:r>
      <w:r w:rsidRPr="00990EDF">
        <w:t>A product</w:t>
      </w:r>
      <w:r>
        <w:t>;</w:t>
      </w:r>
    </w:p>
    <w:p w14:paraId="54A660AF" w14:textId="77777777" w:rsidR="00FF2749" w:rsidRDefault="00FF2749" w:rsidP="00FF2749">
      <w:pPr>
        <w:pStyle w:val="paragraphsub"/>
      </w:pPr>
      <w:r>
        <w:tab/>
        <w:t>(ii)</w:t>
      </w:r>
      <w:r>
        <w:tab/>
        <w:t xml:space="preserve">the </w:t>
      </w:r>
      <w:r w:rsidR="00B86730">
        <w:t>Part 6</w:t>
      </w:r>
      <w:r w:rsidRPr="00990EDF">
        <w:t>A product</w:t>
      </w:r>
      <w:r w:rsidR="00C43BEE">
        <w:t>’</w:t>
      </w:r>
      <w:r>
        <w:t>s</w:t>
      </w:r>
      <w:r w:rsidRPr="00990EDF">
        <w:t xml:space="preserve"> </w:t>
      </w:r>
      <w:r>
        <w:t xml:space="preserve">administration fee </w:t>
      </w:r>
      <w:r w:rsidRPr="000332FF">
        <w:t xml:space="preserve">percentage </w:t>
      </w:r>
      <w:r>
        <w:t>in relation to the relevant year;</w:t>
      </w:r>
    </w:p>
    <w:p w14:paraId="0DD80B65" w14:textId="77777777" w:rsidR="00FF2749" w:rsidRDefault="00FF2749" w:rsidP="00FF2749">
      <w:pPr>
        <w:pStyle w:val="paragraph"/>
      </w:pPr>
      <w:r>
        <w:tab/>
        <w:t>(b)</w:t>
      </w:r>
      <w:r>
        <w:tab/>
        <w:t>work out the sum of the following:</w:t>
      </w:r>
    </w:p>
    <w:p w14:paraId="3439D1CC" w14:textId="77777777" w:rsidR="00FF2749" w:rsidRDefault="00FF2749" w:rsidP="00FF2749">
      <w:pPr>
        <w:pStyle w:val="paragraphsub"/>
      </w:pPr>
      <w:r>
        <w:tab/>
        <w:t>(i)</w:t>
      </w:r>
      <w:r>
        <w:tab/>
        <w:t xml:space="preserve">the result of </w:t>
      </w:r>
      <w:r w:rsidR="00B86730">
        <w:t>paragraph (</w:t>
      </w:r>
      <w:r>
        <w:t>a);</w:t>
      </w:r>
    </w:p>
    <w:p w14:paraId="29324A1D" w14:textId="77777777" w:rsidR="00FF2749" w:rsidRPr="008757BF" w:rsidRDefault="00FF2749" w:rsidP="00FF2749">
      <w:pPr>
        <w:pStyle w:val="paragraphsub"/>
      </w:pPr>
      <w:r>
        <w:tab/>
        <w:t>(ii)</w:t>
      </w:r>
      <w:r>
        <w:tab/>
        <w:t xml:space="preserve">the </w:t>
      </w:r>
      <w:r w:rsidR="00B86730">
        <w:t>Part 6</w:t>
      </w:r>
      <w:r w:rsidRPr="00990EDF">
        <w:t>A product</w:t>
      </w:r>
      <w:r w:rsidR="00C43BEE">
        <w:t>’</w:t>
      </w:r>
      <w:r>
        <w:t>s</w:t>
      </w:r>
      <w:r w:rsidRPr="00990EDF">
        <w:t xml:space="preserve"> </w:t>
      </w:r>
      <w:r>
        <w:t>administration fee flat amount in relation to the relevant year;</w:t>
      </w:r>
    </w:p>
    <w:p w14:paraId="09520D8F" w14:textId="77777777" w:rsidR="00FF2749" w:rsidRDefault="00FF2749" w:rsidP="00FF2749">
      <w:pPr>
        <w:pStyle w:val="paragraph"/>
      </w:pPr>
      <w:r>
        <w:tab/>
        <w:t>(c)</w:t>
      </w:r>
      <w:r>
        <w:tab/>
      </w:r>
      <w:r w:rsidRPr="00E13B0B">
        <w:t xml:space="preserve">if </w:t>
      </w:r>
      <w:r>
        <w:t xml:space="preserve">the </w:t>
      </w:r>
      <w:r w:rsidR="00B86730">
        <w:t>Part 6</w:t>
      </w:r>
      <w:r>
        <w:t xml:space="preserve">A product does </w:t>
      </w:r>
      <w:r w:rsidRPr="00DF6BF7">
        <w:rPr>
          <w:i/>
        </w:rPr>
        <w:t>not</w:t>
      </w:r>
      <w:r>
        <w:t xml:space="preserve"> have an </w:t>
      </w:r>
      <w:r w:rsidRPr="00E13B0B">
        <w:t>administration fee cap</w:t>
      </w:r>
      <w:r>
        <w:t xml:space="preserve"> in relation to the relevant year, the </w:t>
      </w:r>
      <w:r w:rsidRPr="00DF6BF7">
        <w:rPr>
          <w:b/>
          <w:i/>
        </w:rPr>
        <w:t>applicable</w:t>
      </w:r>
      <w:r>
        <w:t xml:space="preserve"> </w:t>
      </w:r>
      <w:r w:rsidRPr="00DF6BF7">
        <w:rPr>
          <w:b/>
          <w:i/>
        </w:rPr>
        <w:t xml:space="preserve">administration fee </w:t>
      </w:r>
      <w:r>
        <w:t xml:space="preserve">is the result of </w:t>
      </w:r>
      <w:r w:rsidR="00B86730">
        <w:t>paragraph (</w:t>
      </w:r>
      <w:r>
        <w:t>b);</w:t>
      </w:r>
    </w:p>
    <w:p w14:paraId="2BDEE451" w14:textId="77777777" w:rsidR="00FF2749" w:rsidRDefault="00FF2749" w:rsidP="00FF2749">
      <w:pPr>
        <w:pStyle w:val="paragraph"/>
      </w:pPr>
      <w:r>
        <w:tab/>
        <w:t>(d)</w:t>
      </w:r>
      <w:r>
        <w:tab/>
      </w:r>
      <w:r w:rsidRPr="00E13B0B">
        <w:t xml:space="preserve">if </w:t>
      </w:r>
      <w:r>
        <w:t xml:space="preserve">the </w:t>
      </w:r>
      <w:r w:rsidR="00B86730">
        <w:t>Part 6</w:t>
      </w:r>
      <w:r>
        <w:t xml:space="preserve">A product has an </w:t>
      </w:r>
      <w:r w:rsidRPr="00E13B0B">
        <w:t>administration fee cap</w:t>
      </w:r>
      <w:r>
        <w:t xml:space="preserve"> in relation to the relevant year, the </w:t>
      </w:r>
      <w:r w:rsidRPr="00DF6BF7">
        <w:rPr>
          <w:b/>
          <w:i/>
        </w:rPr>
        <w:t>applicable</w:t>
      </w:r>
      <w:r>
        <w:t xml:space="preserve"> </w:t>
      </w:r>
      <w:r w:rsidRPr="00DF6BF7">
        <w:rPr>
          <w:b/>
          <w:i/>
        </w:rPr>
        <w:t xml:space="preserve">administration fee </w:t>
      </w:r>
      <w:r>
        <w:t>is the lesser of the following:</w:t>
      </w:r>
    </w:p>
    <w:p w14:paraId="20E9C833" w14:textId="77777777" w:rsidR="00FF2749" w:rsidRDefault="00FF2749" w:rsidP="00FF2749">
      <w:pPr>
        <w:pStyle w:val="paragraphsub"/>
      </w:pPr>
      <w:r>
        <w:tab/>
        <w:t>(i)</w:t>
      </w:r>
      <w:r>
        <w:tab/>
      </w:r>
      <w:r w:rsidR="00E03F7E">
        <w:t xml:space="preserve">the </w:t>
      </w:r>
      <w:r>
        <w:t xml:space="preserve">result of </w:t>
      </w:r>
      <w:r w:rsidR="00B86730">
        <w:t>paragraph (</w:t>
      </w:r>
      <w:r>
        <w:t>b);</w:t>
      </w:r>
    </w:p>
    <w:p w14:paraId="43B21F06" w14:textId="77777777" w:rsidR="00FF2749" w:rsidRDefault="00FF2749" w:rsidP="00FF2749">
      <w:pPr>
        <w:pStyle w:val="paragraphsub"/>
      </w:pPr>
      <w:r>
        <w:tab/>
        <w:t>(ii)</w:t>
      </w:r>
      <w:r>
        <w:tab/>
        <w:t xml:space="preserve">that </w:t>
      </w:r>
      <w:r w:rsidRPr="00E13B0B">
        <w:t>administration fee cap</w:t>
      </w:r>
      <w:r w:rsidR="00525139">
        <w:t>.</w:t>
      </w:r>
    </w:p>
    <w:p w14:paraId="235D027F" w14:textId="77777777" w:rsidR="00FF2749" w:rsidRDefault="00FF2749" w:rsidP="00FF2749">
      <w:pPr>
        <w:pStyle w:val="subsection"/>
      </w:pPr>
      <w:r>
        <w:tab/>
        <w:t>(3)</w:t>
      </w:r>
      <w:r>
        <w:tab/>
        <w:t xml:space="preserve">For the purposes of subregulation (1), work out the </w:t>
      </w:r>
      <w:r w:rsidRPr="00DF6BF7">
        <w:rPr>
          <w:b/>
          <w:i/>
        </w:rPr>
        <w:t xml:space="preserve">applicable </w:t>
      </w:r>
      <w:r>
        <w:rPr>
          <w:b/>
          <w:i/>
        </w:rPr>
        <w:t>investment</w:t>
      </w:r>
      <w:r w:rsidRPr="00DF6BF7">
        <w:rPr>
          <w:b/>
          <w:i/>
        </w:rPr>
        <w:t xml:space="preserve"> fee</w:t>
      </w:r>
      <w:r>
        <w:t xml:space="preserve"> as follows:</w:t>
      </w:r>
    </w:p>
    <w:p w14:paraId="42358965" w14:textId="77777777" w:rsidR="00FF2749" w:rsidRDefault="00FF2749" w:rsidP="00FF2749">
      <w:pPr>
        <w:pStyle w:val="paragraph"/>
      </w:pPr>
      <w:r>
        <w:tab/>
        <w:t>(a)</w:t>
      </w:r>
      <w:r>
        <w:tab/>
        <w:t>first, work out the product of the following:</w:t>
      </w:r>
    </w:p>
    <w:p w14:paraId="1AE4B791" w14:textId="77777777" w:rsidR="00FF2749" w:rsidRDefault="00FF2749" w:rsidP="00FF2749">
      <w:pPr>
        <w:pStyle w:val="paragraphsub"/>
      </w:pPr>
      <w:r>
        <w:tab/>
        <w:t>(i)</w:t>
      </w:r>
      <w:r>
        <w:tab/>
        <w:t>an</w:t>
      </w:r>
      <w:r w:rsidRPr="00990EDF">
        <w:t xml:space="preserve"> account balance in respect of the </w:t>
      </w:r>
      <w:r w:rsidR="00B86730">
        <w:t>Part 6</w:t>
      </w:r>
      <w:r w:rsidRPr="00990EDF">
        <w:t>A product</w:t>
      </w:r>
      <w:r>
        <w:t>;</w:t>
      </w:r>
    </w:p>
    <w:p w14:paraId="53630147" w14:textId="77777777" w:rsidR="00FF2749" w:rsidRDefault="00FF2749" w:rsidP="00FF2749">
      <w:pPr>
        <w:pStyle w:val="paragraphsub"/>
      </w:pPr>
      <w:r>
        <w:tab/>
        <w:t>(ii)</w:t>
      </w:r>
      <w:r>
        <w:tab/>
        <w:t xml:space="preserve">the </w:t>
      </w:r>
      <w:r w:rsidR="00B86730">
        <w:t>Part 6</w:t>
      </w:r>
      <w:r w:rsidRPr="00990EDF">
        <w:t>A product</w:t>
      </w:r>
      <w:r w:rsidR="00C43BEE">
        <w:t>’</w:t>
      </w:r>
      <w:r>
        <w:t>s</w:t>
      </w:r>
      <w:r w:rsidRPr="00990EDF">
        <w:t xml:space="preserve"> </w:t>
      </w:r>
      <w:r>
        <w:t xml:space="preserve">investment fee </w:t>
      </w:r>
      <w:r w:rsidRPr="000332FF">
        <w:t xml:space="preserve">percentage </w:t>
      </w:r>
      <w:r>
        <w:t>in relation to the relevant year;</w:t>
      </w:r>
    </w:p>
    <w:p w14:paraId="1834E533" w14:textId="77777777" w:rsidR="00FF2749" w:rsidRDefault="00FF2749" w:rsidP="00FF2749">
      <w:pPr>
        <w:pStyle w:val="paragraph"/>
      </w:pPr>
      <w:r>
        <w:tab/>
        <w:t>(b)</w:t>
      </w:r>
      <w:r>
        <w:tab/>
        <w:t>work out the sum of the following:</w:t>
      </w:r>
    </w:p>
    <w:p w14:paraId="4049984A" w14:textId="77777777" w:rsidR="00FF2749" w:rsidRDefault="00FF2749" w:rsidP="00FF2749">
      <w:pPr>
        <w:pStyle w:val="paragraphsub"/>
      </w:pPr>
      <w:r>
        <w:tab/>
        <w:t>(i)</w:t>
      </w:r>
      <w:r>
        <w:tab/>
        <w:t xml:space="preserve">the result of </w:t>
      </w:r>
      <w:r w:rsidR="00B86730">
        <w:t>paragraph (</w:t>
      </w:r>
      <w:r>
        <w:t>a);</w:t>
      </w:r>
    </w:p>
    <w:p w14:paraId="626422A7" w14:textId="77777777" w:rsidR="00FF2749" w:rsidRPr="008757BF" w:rsidRDefault="00FF2749" w:rsidP="00FF2749">
      <w:pPr>
        <w:pStyle w:val="paragraphsub"/>
      </w:pPr>
      <w:r>
        <w:tab/>
        <w:t>(ii)</w:t>
      </w:r>
      <w:r>
        <w:tab/>
        <w:t xml:space="preserve">the </w:t>
      </w:r>
      <w:r w:rsidR="00B86730">
        <w:t>Part 6</w:t>
      </w:r>
      <w:r w:rsidRPr="00990EDF">
        <w:t>A product</w:t>
      </w:r>
      <w:r w:rsidR="00C43BEE">
        <w:t>’</w:t>
      </w:r>
      <w:r>
        <w:t>s</w:t>
      </w:r>
      <w:r w:rsidRPr="00990EDF">
        <w:t xml:space="preserve"> </w:t>
      </w:r>
      <w:r>
        <w:t>investment fee flat amount in relation to the relevant year;</w:t>
      </w:r>
    </w:p>
    <w:p w14:paraId="36923D5B" w14:textId="77777777" w:rsidR="00FF2749" w:rsidRDefault="00FF2749" w:rsidP="00FF2749">
      <w:pPr>
        <w:pStyle w:val="paragraph"/>
      </w:pPr>
      <w:r>
        <w:tab/>
        <w:t>(c)</w:t>
      </w:r>
      <w:r>
        <w:tab/>
      </w:r>
      <w:r w:rsidRPr="00E13B0B">
        <w:t xml:space="preserve">if </w:t>
      </w:r>
      <w:r>
        <w:t xml:space="preserve">the </w:t>
      </w:r>
      <w:r w:rsidR="00B86730">
        <w:t>Part 6</w:t>
      </w:r>
      <w:r>
        <w:t xml:space="preserve">A product does </w:t>
      </w:r>
      <w:r w:rsidRPr="00DF6BF7">
        <w:rPr>
          <w:i/>
        </w:rPr>
        <w:t>not</w:t>
      </w:r>
      <w:r>
        <w:t xml:space="preserve"> have an investment</w:t>
      </w:r>
      <w:r w:rsidRPr="00E13B0B">
        <w:t xml:space="preserve"> fee cap</w:t>
      </w:r>
      <w:r>
        <w:t xml:space="preserve"> in relation to the relevant year, the </w:t>
      </w:r>
      <w:r w:rsidRPr="00DF6BF7">
        <w:rPr>
          <w:b/>
          <w:i/>
        </w:rPr>
        <w:t>applicable</w:t>
      </w:r>
      <w:r>
        <w:t xml:space="preserve"> </w:t>
      </w:r>
      <w:r>
        <w:rPr>
          <w:b/>
          <w:i/>
        </w:rPr>
        <w:t>investment</w:t>
      </w:r>
      <w:r w:rsidRPr="00DF6BF7">
        <w:rPr>
          <w:b/>
          <w:i/>
        </w:rPr>
        <w:t xml:space="preserve"> fee </w:t>
      </w:r>
      <w:r>
        <w:t xml:space="preserve">is the result of </w:t>
      </w:r>
      <w:r w:rsidR="00B86730">
        <w:t>paragraph (</w:t>
      </w:r>
      <w:r>
        <w:t>b);</w:t>
      </w:r>
    </w:p>
    <w:p w14:paraId="234899FC" w14:textId="77777777" w:rsidR="00FF2749" w:rsidRDefault="00FF2749" w:rsidP="00FF2749">
      <w:pPr>
        <w:pStyle w:val="paragraph"/>
      </w:pPr>
      <w:r>
        <w:tab/>
        <w:t>(d)</w:t>
      </w:r>
      <w:r>
        <w:tab/>
      </w:r>
      <w:r w:rsidRPr="00E13B0B">
        <w:t xml:space="preserve">if </w:t>
      </w:r>
      <w:r>
        <w:t xml:space="preserve">the </w:t>
      </w:r>
      <w:r w:rsidR="00B86730">
        <w:t>Part 6</w:t>
      </w:r>
      <w:r>
        <w:t>A product has an investment</w:t>
      </w:r>
      <w:r w:rsidRPr="00E13B0B">
        <w:t xml:space="preserve"> fee cap</w:t>
      </w:r>
      <w:r>
        <w:t xml:space="preserve"> in relation to the relevant year, the </w:t>
      </w:r>
      <w:r w:rsidRPr="00DF6BF7">
        <w:rPr>
          <w:b/>
          <w:i/>
        </w:rPr>
        <w:t>applicable</w:t>
      </w:r>
      <w:r>
        <w:t xml:space="preserve"> </w:t>
      </w:r>
      <w:r>
        <w:rPr>
          <w:b/>
          <w:i/>
        </w:rPr>
        <w:t>investment</w:t>
      </w:r>
      <w:r w:rsidRPr="00DF6BF7">
        <w:rPr>
          <w:b/>
          <w:i/>
        </w:rPr>
        <w:t xml:space="preserve"> fee </w:t>
      </w:r>
      <w:r>
        <w:t>is the lesser of the following:</w:t>
      </w:r>
    </w:p>
    <w:p w14:paraId="33482ECA" w14:textId="77777777" w:rsidR="00FF2749" w:rsidRDefault="00FF2749" w:rsidP="00FF2749">
      <w:pPr>
        <w:pStyle w:val="paragraphsub"/>
      </w:pPr>
      <w:r>
        <w:tab/>
        <w:t>(i)</w:t>
      </w:r>
      <w:r>
        <w:tab/>
        <w:t xml:space="preserve">result of </w:t>
      </w:r>
      <w:r w:rsidR="00B86730">
        <w:t>paragraph (</w:t>
      </w:r>
      <w:r>
        <w:t>b);</w:t>
      </w:r>
    </w:p>
    <w:p w14:paraId="7337D7D7" w14:textId="77777777" w:rsidR="00FF2749" w:rsidRDefault="00FF2749" w:rsidP="00FF2749">
      <w:pPr>
        <w:pStyle w:val="paragraphsub"/>
      </w:pPr>
      <w:r>
        <w:lastRenderedPageBreak/>
        <w:tab/>
        <w:t>(ii)</w:t>
      </w:r>
      <w:r>
        <w:tab/>
        <w:t>that investment</w:t>
      </w:r>
      <w:r w:rsidRPr="00E13B0B">
        <w:t xml:space="preserve"> fee cap</w:t>
      </w:r>
      <w:r w:rsidR="00525139">
        <w:t>.</w:t>
      </w:r>
    </w:p>
    <w:p w14:paraId="406058DA" w14:textId="77777777" w:rsidR="00FF2749" w:rsidRDefault="00525139" w:rsidP="00FF2749">
      <w:pPr>
        <w:pStyle w:val="ActHead5"/>
      </w:pPr>
      <w:bookmarkStart w:id="48" w:name="_Toc78797730"/>
      <w:r w:rsidRPr="0048118D">
        <w:rPr>
          <w:rStyle w:val="CharSectno"/>
        </w:rPr>
        <w:t>9AB.25</w:t>
      </w:r>
      <w:r w:rsidR="00FF2749">
        <w:t xml:space="preserve">  Specified methods for </w:t>
      </w:r>
      <w:r w:rsidR="00B86730">
        <w:t>Part 6</w:t>
      </w:r>
      <w:r w:rsidR="00FF2749" w:rsidRPr="00C92D14">
        <w:t xml:space="preserve">A </w:t>
      </w:r>
      <w:r w:rsidR="00FF2749">
        <w:t>ranking products—</w:t>
      </w:r>
      <w:r w:rsidR="00B86730">
        <w:t>paragraph 6</w:t>
      </w:r>
      <w:r w:rsidR="00FF2749">
        <w:t>0J(3)(b) of Act</w:t>
      </w:r>
      <w:bookmarkEnd w:id="48"/>
    </w:p>
    <w:p w14:paraId="4B3D85E0" w14:textId="77777777" w:rsidR="00FF2749" w:rsidRDefault="00FF2749" w:rsidP="00FF2749">
      <w:pPr>
        <w:pStyle w:val="subsection"/>
      </w:pPr>
      <w:r>
        <w:tab/>
        <w:t>(1)</w:t>
      </w:r>
      <w:r>
        <w:tab/>
        <w:t xml:space="preserve">For the purposes of </w:t>
      </w:r>
      <w:r w:rsidR="00B86730">
        <w:t>paragraph 6</w:t>
      </w:r>
      <w:r>
        <w:t xml:space="preserve">0J(3)(b) of the Act, the following subregulations specify methods for ranking </w:t>
      </w:r>
      <w:r w:rsidR="00B86730">
        <w:t>Part 6</w:t>
      </w:r>
      <w:r w:rsidRPr="00C92D14">
        <w:t>A product</w:t>
      </w:r>
      <w:r>
        <w:t xml:space="preserve">s according to the formulas specified in regulations </w:t>
      </w:r>
      <w:r w:rsidR="00525139">
        <w:t>9AB.21</w:t>
      </w:r>
      <w:r>
        <w:t xml:space="preserve"> and </w:t>
      </w:r>
      <w:r w:rsidR="00525139">
        <w:t>9AB.22.</w:t>
      </w:r>
    </w:p>
    <w:p w14:paraId="1245C4AF" w14:textId="77777777" w:rsidR="00FF2749" w:rsidRDefault="00FF2749" w:rsidP="00FF2749">
      <w:pPr>
        <w:pStyle w:val="subsection"/>
      </w:pPr>
      <w:r>
        <w:tab/>
        <w:t>(2)</w:t>
      </w:r>
      <w:r>
        <w:tab/>
        <w:t xml:space="preserve">This subregulation specifies the method of ranking </w:t>
      </w:r>
      <w:r w:rsidR="00B86730">
        <w:t>Part 6</w:t>
      </w:r>
      <w:r w:rsidRPr="00C92D14">
        <w:t>A product</w:t>
      </w:r>
      <w:r>
        <w:t>s from:</w:t>
      </w:r>
    </w:p>
    <w:p w14:paraId="19972D0B" w14:textId="77777777" w:rsidR="00FF2749" w:rsidRDefault="00FF2749" w:rsidP="00FF2749">
      <w:pPr>
        <w:pStyle w:val="paragraph"/>
      </w:pPr>
      <w:r>
        <w:tab/>
        <w:t>(a)</w:t>
      </w:r>
      <w:r>
        <w:tab/>
        <w:t xml:space="preserve">the highest result of applying the formula set out in regulation </w:t>
      </w:r>
      <w:r w:rsidR="00525139">
        <w:t>9AB.23</w:t>
      </w:r>
      <w:r w:rsidRPr="001D490D">
        <w:t xml:space="preserve"> (net return ranking formula)</w:t>
      </w:r>
      <w:r>
        <w:t xml:space="preserve"> in respect of a </w:t>
      </w:r>
      <w:r w:rsidR="00B86730">
        <w:t>Part 6</w:t>
      </w:r>
      <w:r>
        <w:t>A product in respect of a financial year;</w:t>
      </w:r>
    </w:p>
    <w:p w14:paraId="57A7ACB4" w14:textId="77777777" w:rsidR="00FF2749" w:rsidRDefault="00FF2749" w:rsidP="00FF2749">
      <w:pPr>
        <w:pStyle w:val="subsection2"/>
      </w:pPr>
      <w:r>
        <w:t>to:</w:t>
      </w:r>
    </w:p>
    <w:p w14:paraId="56994796" w14:textId="77777777" w:rsidR="00FF2749" w:rsidRDefault="00FF2749" w:rsidP="00FF2749">
      <w:pPr>
        <w:pStyle w:val="paragraph"/>
      </w:pPr>
      <w:r>
        <w:tab/>
        <w:t>(b)</w:t>
      </w:r>
      <w:r>
        <w:tab/>
        <w:t xml:space="preserve">the lowest result of applying that formula in respect of a </w:t>
      </w:r>
      <w:r w:rsidR="00B86730">
        <w:t>Part 6</w:t>
      </w:r>
      <w:r>
        <w:t>A product in respect of the financial year</w:t>
      </w:r>
      <w:r w:rsidR="00525139">
        <w:t>.</w:t>
      </w:r>
    </w:p>
    <w:p w14:paraId="515C294C" w14:textId="77777777" w:rsidR="00FF2749" w:rsidRDefault="00FF2749" w:rsidP="00FF2749">
      <w:pPr>
        <w:pStyle w:val="subsection"/>
      </w:pPr>
      <w:r>
        <w:tab/>
        <w:t>(3)</w:t>
      </w:r>
      <w:r>
        <w:tab/>
        <w:t xml:space="preserve">This subregulation specifies the method of ranking </w:t>
      </w:r>
      <w:r w:rsidR="00B86730">
        <w:t>Part 6</w:t>
      </w:r>
      <w:r w:rsidRPr="00C92D14">
        <w:t>A product</w:t>
      </w:r>
      <w:r>
        <w:t>s from:</w:t>
      </w:r>
    </w:p>
    <w:p w14:paraId="57A92059" w14:textId="77777777" w:rsidR="00FF2749" w:rsidRDefault="00FF2749" w:rsidP="00FF2749">
      <w:pPr>
        <w:pStyle w:val="paragraph"/>
      </w:pPr>
      <w:r>
        <w:tab/>
        <w:t>(a)</w:t>
      </w:r>
      <w:r>
        <w:tab/>
        <w:t xml:space="preserve">the lowest result of applying the formula set out in regulation </w:t>
      </w:r>
      <w:r w:rsidR="00525139">
        <w:t>9AB.24</w:t>
      </w:r>
      <w:r w:rsidRPr="001D490D">
        <w:t xml:space="preserve"> (fee ranking formula) </w:t>
      </w:r>
      <w:r>
        <w:t xml:space="preserve">in respect of a </w:t>
      </w:r>
      <w:r w:rsidR="00B86730">
        <w:t>Part 6</w:t>
      </w:r>
      <w:r>
        <w:t>A product in respect of a financial year;</w:t>
      </w:r>
    </w:p>
    <w:p w14:paraId="0E4AEB13" w14:textId="77777777" w:rsidR="00FF2749" w:rsidRDefault="00FF2749" w:rsidP="00FF2749">
      <w:pPr>
        <w:pStyle w:val="subsection2"/>
      </w:pPr>
      <w:r>
        <w:t>to:</w:t>
      </w:r>
    </w:p>
    <w:p w14:paraId="6B28EB3A" w14:textId="77777777" w:rsidR="00FF2749" w:rsidRDefault="00FF2749" w:rsidP="00FF2749">
      <w:pPr>
        <w:pStyle w:val="paragraph"/>
      </w:pPr>
      <w:r>
        <w:tab/>
        <w:t>(b)</w:t>
      </w:r>
      <w:r>
        <w:tab/>
        <w:t xml:space="preserve">the highest result of applying that formula in respect of a </w:t>
      </w:r>
      <w:r w:rsidR="00B86730">
        <w:t>Part 6</w:t>
      </w:r>
      <w:r>
        <w:t>A product in respect of the financial year</w:t>
      </w:r>
      <w:r w:rsidR="00525139">
        <w:t>.</w:t>
      </w:r>
    </w:p>
    <w:p w14:paraId="1BD4FA2C" w14:textId="77777777" w:rsidR="00B159E6" w:rsidRPr="004E5759" w:rsidRDefault="0053333D" w:rsidP="00B159E6">
      <w:pPr>
        <w:pStyle w:val="ItemHead"/>
      </w:pPr>
      <w:r>
        <w:t>5</w:t>
      </w:r>
      <w:r w:rsidR="00B159E6" w:rsidRPr="004E5759">
        <w:t xml:space="preserve">  In the appropriate position in Part 14</w:t>
      </w:r>
    </w:p>
    <w:p w14:paraId="548E2540" w14:textId="77777777" w:rsidR="00B159E6" w:rsidRPr="004E5759" w:rsidRDefault="00B159E6" w:rsidP="00B159E6">
      <w:pPr>
        <w:pStyle w:val="Item"/>
      </w:pPr>
      <w:r w:rsidRPr="004E5759">
        <w:t>Insert:</w:t>
      </w:r>
    </w:p>
    <w:p w14:paraId="6C37FC16" w14:textId="77777777" w:rsidR="00B159E6" w:rsidRPr="004E5759" w:rsidRDefault="00B159E6" w:rsidP="00B159E6">
      <w:pPr>
        <w:pStyle w:val="ActHead3"/>
      </w:pPr>
      <w:bookmarkStart w:id="49" w:name="_Toc78797731"/>
      <w:r w:rsidRPr="0048118D">
        <w:rPr>
          <w:rStyle w:val="CharDivNo"/>
        </w:rPr>
        <w:t>Division 14</w:t>
      </w:r>
      <w:r w:rsidR="00525139" w:rsidRPr="0048118D">
        <w:rPr>
          <w:rStyle w:val="CharDivNo"/>
        </w:rPr>
        <w:t>.</w:t>
      </w:r>
      <w:r w:rsidRPr="0048118D">
        <w:rPr>
          <w:rStyle w:val="CharDivNo"/>
        </w:rPr>
        <w:t>2</w:t>
      </w:r>
      <w:r w:rsidR="0033489F" w:rsidRPr="0048118D">
        <w:rPr>
          <w:rStyle w:val="CharDivNo"/>
        </w:rPr>
        <w:t>7</w:t>
      </w:r>
      <w:r w:rsidRPr="004E5759">
        <w:t>—</w:t>
      </w:r>
      <w:r w:rsidRPr="0048118D">
        <w:rPr>
          <w:rStyle w:val="CharDivText"/>
        </w:rPr>
        <w:t xml:space="preserve">Transitional arrangements arising out of the </w:t>
      </w:r>
      <w:r w:rsidR="004C0F9F" w:rsidRPr="0048118D">
        <w:rPr>
          <w:rStyle w:val="CharDivText"/>
        </w:rPr>
        <w:t>Treasury Laws Amendment (Your Future, Your Super—Addressing Underperformance in Superannuation)</w:t>
      </w:r>
      <w:r w:rsidR="00112A31" w:rsidRPr="0048118D">
        <w:rPr>
          <w:rStyle w:val="CharDivText"/>
        </w:rPr>
        <w:t xml:space="preserve"> </w:t>
      </w:r>
      <w:r w:rsidR="00BB1EDA" w:rsidRPr="0048118D">
        <w:rPr>
          <w:rStyle w:val="CharDivText"/>
        </w:rPr>
        <w:t>Regulations 2</w:t>
      </w:r>
      <w:r w:rsidR="00112A31" w:rsidRPr="0048118D">
        <w:rPr>
          <w:rStyle w:val="CharDivText"/>
        </w:rPr>
        <w:t>021</w:t>
      </w:r>
      <w:bookmarkEnd w:id="49"/>
    </w:p>
    <w:p w14:paraId="3ACED127" w14:textId="77777777" w:rsidR="00B159E6" w:rsidRPr="004E5759" w:rsidRDefault="00B159E6" w:rsidP="00B159E6">
      <w:pPr>
        <w:pStyle w:val="ActHead5"/>
      </w:pPr>
      <w:bookmarkStart w:id="50" w:name="_Toc78797732"/>
      <w:r w:rsidRPr="0048118D">
        <w:rPr>
          <w:rStyle w:val="CharSectno"/>
        </w:rPr>
        <w:t>14</w:t>
      </w:r>
      <w:r w:rsidR="00525139" w:rsidRPr="0048118D">
        <w:rPr>
          <w:rStyle w:val="CharSectno"/>
        </w:rPr>
        <w:t>.</w:t>
      </w:r>
      <w:r w:rsidRPr="0048118D">
        <w:rPr>
          <w:rStyle w:val="CharSectno"/>
        </w:rPr>
        <w:t>2</w:t>
      </w:r>
      <w:r w:rsidR="0033489F" w:rsidRPr="0048118D">
        <w:rPr>
          <w:rStyle w:val="CharSectno"/>
        </w:rPr>
        <w:t>8</w:t>
      </w:r>
      <w:r w:rsidRPr="004E5759">
        <w:t xml:space="preserve">  Arrangements</w:t>
      </w:r>
      <w:bookmarkEnd w:id="50"/>
    </w:p>
    <w:p w14:paraId="2B3A9412" w14:textId="77777777" w:rsidR="008867A1" w:rsidRDefault="00B159E6" w:rsidP="008867A1">
      <w:pPr>
        <w:pStyle w:val="subsection"/>
      </w:pPr>
      <w:r w:rsidRPr="004E5759">
        <w:tab/>
      </w:r>
      <w:r w:rsidR="00E44375">
        <w:t>(1)</w:t>
      </w:r>
      <w:r w:rsidRPr="004E5759">
        <w:tab/>
      </w:r>
      <w:r w:rsidR="008867A1">
        <w:t>The amendments made by this Schedule apply:</w:t>
      </w:r>
    </w:p>
    <w:p w14:paraId="014F3449" w14:textId="77777777" w:rsidR="008867A1" w:rsidRPr="008867A1" w:rsidRDefault="008867A1" w:rsidP="008867A1">
      <w:pPr>
        <w:pStyle w:val="paragraph"/>
      </w:pPr>
      <w:r w:rsidRPr="008867A1">
        <w:tab/>
        <w:t>(a)</w:t>
      </w:r>
      <w:r w:rsidRPr="008867A1">
        <w:tab/>
        <w:t xml:space="preserve">in relation to MySuper products—on and after </w:t>
      </w:r>
      <w:r w:rsidR="00B86730">
        <w:t>1 July</w:t>
      </w:r>
      <w:r w:rsidRPr="008867A1">
        <w:t xml:space="preserve"> 2021; and</w:t>
      </w:r>
    </w:p>
    <w:p w14:paraId="56957B68" w14:textId="77777777" w:rsidR="008867A1" w:rsidRPr="008867A1" w:rsidRDefault="008867A1" w:rsidP="008867A1">
      <w:pPr>
        <w:pStyle w:val="paragraph"/>
      </w:pPr>
      <w:r w:rsidRPr="008867A1">
        <w:tab/>
        <w:t>(b)</w:t>
      </w:r>
      <w:r w:rsidRPr="008867A1">
        <w:tab/>
        <w:t xml:space="preserve">in relation to other </w:t>
      </w:r>
      <w:r w:rsidR="00B86730">
        <w:t>Part 6</w:t>
      </w:r>
      <w:r w:rsidRPr="008867A1">
        <w:t xml:space="preserve">A products—on and after </w:t>
      </w:r>
      <w:r w:rsidR="00B86730">
        <w:t>1 July</w:t>
      </w:r>
      <w:r w:rsidRPr="008867A1">
        <w:t xml:space="preserve"> 2022</w:t>
      </w:r>
      <w:r w:rsidR="00525139">
        <w:t>.</w:t>
      </w:r>
    </w:p>
    <w:p w14:paraId="3FAC2909" w14:textId="77777777" w:rsidR="00B159E6" w:rsidRPr="001D490D" w:rsidRDefault="00E44375" w:rsidP="00E44375">
      <w:pPr>
        <w:pStyle w:val="subsection"/>
      </w:pPr>
      <w:r>
        <w:tab/>
        <w:t>(2)</w:t>
      </w:r>
      <w:r>
        <w:tab/>
        <w:t xml:space="preserve">If the financial year mentioned in subparagraph </w:t>
      </w:r>
      <w:r w:rsidR="00525139">
        <w:t>9AB.6</w:t>
      </w:r>
      <w:r w:rsidR="00A3194B" w:rsidRPr="001D490D">
        <w:t>(1)</w:t>
      </w:r>
      <w:r w:rsidRPr="001D490D">
        <w:t>(a)(ii) is the 202</w:t>
      </w:r>
      <w:r w:rsidR="00874CF1">
        <w:t>0</w:t>
      </w:r>
      <w:r w:rsidR="00525139">
        <w:noBreakHyphen/>
      </w:r>
      <w:r w:rsidRPr="001D490D">
        <w:t>2</w:t>
      </w:r>
      <w:r w:rsidR="00874CF1">
        <w:t>1</w:t>
      </w:r>
      <w:r w:rsidRPr="001D490D">
        <w:t xml:space="preserve"> financial year, treat the reference in that subparagraph to 7 years as instead being a reference to 6 years</w:t>
      </w:r>
      <w:r w:rsidR="00525139">
        <w:t>.</w:t>
      </w:r>
    </w:p>
    <w:p w14:paraId="4AAF24EC" w14:textId="77777777" w:rsidR="00E16006" w:rsidRPr="004E5759" w:rsidRDefault="0053333D" w:rsidP="00E16006">
      <w:pPr>
        <w:pStyle w:val="ItemHead"/>
      </w:pPr>
      <w:r>
        <w:t>6</w:t>
      </w:r>
      <w:r w:rsidR="00E16006" w:rsidRPr="004E5759">
        <w:t xml:space="preserve">  </w:t>
      </w:r>
      <w:r w:rsidR="00691EF7" w:rsidRPr="00691EF7">
        <w:t xml:space="preserve">After </w:t>
      </w:r>
      <w:r w:rsidR="00B27E57">
        <w:t>Schedule 2</w:t>
      </w:r>
    </w:p>
    <w:p w14:paraId="3C2845BB" w14:textId="77777777" w:rsidR="00E16006" w:rsidRPr="004E5759" w:rsidRDefault="00E16006" w:rsidP="00E16006">
      <w:pPr>
        <w:pStyle w:val="Item"/>
      </w:pPr>
      <w:r w:rsidRPr="004E5759">
        <w:t>Insert:</w:t>
      </w:r>
    </w:p>
    <w:p w14:paraId="7007E229" w14:textId="77777777" w:rsidR="00E16006" w:rsidRDefault="00B27E57" w:rsidP="00691EF7">
      <w:pPr>
        <w:pStyle w:val="ActHead1"/>
      </w:pPr>
      <w:bookmarkStart w:id="51" w:name="_Toc78797733"/>
      <w:r w:rsidRPr="0048118D">
        <w:rPr>
          <w:rStyle w:val="CharChapNo"/>
        </w:rPr>
        <w:t>Schedule 2</w:t>
      </w:r>
      <w:r w:rsidR="00691EF7" w:rsidRPr="0048118D">
        <w:rPr>
          <w:rStyle w:val="CharChapNo"/>
        </w:rPr>
        <w:t>A</w:t>
      </w:r>
      <w:r w:rsidR="00691EF7">
        <w:t>—</w:t>
      </w:r>
      <w:r w:rsidR="007333C7" w:rsidRPr="0048118D">
        <w:rPr>
          <w:rStyle w:val="CharChapText"/>
        </w:rPr>
        <w:t xml:space="preserve">Information in notice under </w:t>
      </w:r>
      <w:r w:rsidR="00B86730" w:rsidRPr="0048118D">
        <w:rPr>
          <w:rStyle w:val="CharChapText"/>
        </w:rPr>
        <w:t>subsection 6</w:t>
      </w:r>
      <w:r w:rsidR="007333C7" w:rsidRPr="0048118D">
        <w:rPr>
          <w:rStyle w:val="CharChapText"/>
        </w:rPr>
        <w:t>0E(2) of Act</w:t>
      </w:r>
      <w:bookmarkEnd w:id="51"/>
    </w:p>
    <w:p w14:paraId="797C26D1" w14:textId="77777777" w:rsidR="00FE5FA4" w:rsidRPr="00AD301E" w:rsidRDefault="008D04FD" w:rsidP="00FE5FA4">
      <w:pPr>
        <w:pStyle w:val="notemargin"/>
      </w:pPr>
      <w:r>
        <w:rPr>
          <w:color w:val="000000"/>
        </w:rPr>
        <w:t>Note:</w:t>
      </w:r>
      <w:r>
        <w:rPr>
          <w:color w:val="000000"/>
        </w:rPr>
        <w:tab/>
        <w:t xml:space="preserve">See </w:t>
      </w:r>
      <w:r w:rsidR="00FE5FA4">
        <w:rPr>
          <w:color w:val="000000"/>
        </w:rPr>
        <w:t>sub</w:t>
      </w:r>
      <w:r w:rsidR="00D45949">
        <w:rPr>
          <w:color w:val="000000"/>
        </w:rPr>
        <w:t>regulation</w:t>
      </w:r>
      <w:r w:rsidR="00FE5FA4">
        <w:rPr>
          <w:color w:val="000000"/>
        </w:rPr>
        <w:t xml:space="preserve"> </w:t>
      </w:r>
      <w:r w:rsidR="00525139">
        <w:t>9AB.19</w:t>
      </w:r>
      <w:r w:rsidR="00FE5FA4" w:rsidRPr="001D490D">
        <w:t>(2)</w:t>
      </w:r>
      <w:r w:rsidR="00525139">
        <w:rPr>
          <w:color w:val="000000"/>
        </w:rPr>
        <w:t>.</w:t>
      </w:r>
    </w:p>
    <w:p w14:paraId="2AEA1DBB" w14:textId="77777777" w:rsidR="007333C7" w:rsidRDefault="007333C7" w:rsidP="007333C7">
      <w:pPr>
        <w:rPr>
          <w:lang w:eastAsia="en-AU"/>
        </w:rPr>
      </w:pPr>
    </w:p>
    <w:p w14:paraId="728367DF" w14:textId="77777777" w:rsidR="00FE5FA4" w:rsidRPr="007F47EF" w:rsidRDefault="00FE5FA4" w:rsidP="006A5E3F">
      <w:pPr>
        <w:spacing w:before="120" w:after="120"/>
      </w:pPr>
      <w:r w:rsidRPr="007F47EF">
        <w:lastRenderedPageBreak/>
        <w:t xml:space="preserve">Hello </w:t>
      </w:r>
      <w:r w:rsidRPr="007F47EF">
        <w:rPr>
          <w:i/>
        </w:rPr>
        <w:t xml:space="preserve">[insert </w:t>
      </w:r>
      <w:r w:rsidR="000D7B76" w:rsidRPr="007F47EF">
        <w:rPr>
          <w:i/>
        </w:rPr>
        <w:t xml:space="preserve">the </w:t>
      </w:r>
      <w:r w:rsidRPr="007F47EF">
        <w:rPr>
          <w:i/>
        </w:rPr>
        <w:t>name</w:t>
      </w:r>
      <w:r w:rsidR="0033483D" w:rsidRPr="007F47EF">
        <w:rPr>
          <w:i/>
        </w:rPr>
        <w:t xml:space="preserve"> of </w:t>
      </w:r>
      <w:r w:rsidR="000D7B76" w:rsidRPr="007F47EF">
        <w:rPr>
          <w:i/>
        </w:rPr>
        <w:t xml:space="preserve">the </w:t>
      </w:r>
      <w:r w:rsidR="0033483D" w:rsidRPr="007F47EF">
        <w:rPr>
          <w:i/>
        </w:rPr>
        <w:t xml:space="preserve">beneficiary of </w:t>
      </w:r>
      <w:r w:rsidR="000D7B76" w:rsidRPr="007F47EF">
        <w:rPr>
          <w:i/>
        </w:rPr>
        <w:t xml:space="preserve">the </w:t>
      </w:r>
      <w:r w:rsidR="0033483D" w:rsidRPr="007F47EF">
        <w:rPr>
          <w:i/>
        </w:rPr>
        <w:t>superannuation entity</w:t>
      </w:r>
      <w:r w:rsidRPr="007F47EF">
        <w:rPr>
          <w:i/>
        </w:rPr>
        <w:t>]</w:t>
      </w:r>
      <w:r w:rsidRPr="007F47EF">
        <w:t>,</w:t>
      </w:r>
    </w:p>
    <w:p w14:paraId="3634C728" w14:textId="77777777" w:rsidR="00FE5FA4" w:rsidRPr="007F47EF" w:rsidRDefault="00FE5FA4" w:rsidP="006A5E3F">
      <w:pPr>
        <w:spacing w:before="120"/>
        <w:rPr>
          <w:b/>
        </w:rPr>
      </w:pPr>
      <w:r w:rsidRPr="007F47EF">
        <w:rPr>
          <w:b/>
        </w:rPr>
        <w:t>Your superannuation product</w:t>
      </w:r>
      <w:r w:rsidR="0033483D" w:rsidRPr="007F47EF">
        <w:rPr>
          <w:b/>
        </w:rPr>
        <w:t xml:space="preserve"> </w:t>
      </w:r>
      <w:r w:rsidR="0033483D" w:rsidRPr="007F47EF">
        <w:rPr>
          <w:i/>
        </w:rPr>
        <w:t xml:space="preserve">[insert </w:t>
      </w:r>
      <w:r w:rsidR="000D7B76" w:rsidRPr="007F47EF">
        <w:rPr>
          <w:i/>
        </w:rPr>
        <w:t xml:space="preserve">the </w:t>
      </w:r>
      <w:r w:rsidR="0033483D" w:rsidRPr="007F47EF">
        <w:rPr>
          <w:i/>
        </w:rPr>
        <w:t xml:space="preserve">name of </w:t>
      </w:r>
      <w:r w:rsidR="000D7B76" w:rsidRPr="007F47EF">
        <w:rPr>
          <w:i/>
        </w:rPr>
        <w:t xml:space="preserve">the </w:t>
      </w:r>
      <w:r w:rsidR="0033483D" w:rsidRPr="007F47EF">
        <w:rPr>
          <w:i/>
        </w:rPr>
        <w:t xml:space="preserve">superannuation entity and </w:t>
      </w:r>
      <w:r w:rsidR="000D7B76" w:rsidRPr="007F47EF">
        <w:rPr>
          <w:i/>
        </w:rPr>
        <w:t xml:space="preserve">the </w:t>
      </w:r>
      <w:r w:rsidR="0033483D" w:rsidRPr="007F47EF">
        <w:rPr>
          <w:i/>
        </w:rPr>
        <w:t xml:space="preserve">name of </w:t>
      </w:r>
      <w:r w:rsidR="000D7B76" w:rsidRPr="007F47EF">
        <w:rPr>
          <w:i/>
        </w:rPr>
        <w:t xml:space="preserve">the </w:t>
      </w:r>
      <w:r w:rsidR="00B86730" w:rsidRPr="007F47EF">
        <w:rPr>
          <w:i/>
        </w:rPr>
        <w:t>Part 6</w:t>
      </w:r>
      <w:r w:rsidR="0033483D" w:rsidRPr="007F47EF">
        <w:rPr>
          <w:i/>
        </w:rPr>
        <w:t>A product]</w:t>
      </w:r>
      <w:r w:rsidRPr="007F47EF">
        <w:rPr>
          <w:b/>
        </w:rPr>
        <w:t xml:space="preserve"> has performed poorly</w:t>
      </w:r>
      <w:r w:rsidR="004532FE" w:rsidRPr="007F47EF">
        <w:rPr>
          <w:b/>
        </w:rPr>
        <w:t xml:space="preserve"> under an annual performance test that was introduced </w:t>
      </w:r>
      <w:r w:rsidR="00424244" w:rsidRPr="007F47EF">
        <w:rPr>
          <w:b/>
        </w:rPr>
        <w:t>by the Australian Government to make sure Australians are getting the most out</w:t>
      </w:r>
      <w:r w:rsidR="008F0D6A" w:rsidRPr="007F47EF">
        <w:rPr>
          <w:b/>
        </w:rPr>
        <w:t xml:space="preserve"> of</w:t>
      </w:r>
      <w:r w:rsidR="00424244" w:rsidRPr="007F47EF">
        <w:rPr>
          <w:b/>
        </w:rPr>
        <w:t xml:space="preserve"> their super</w:t>
      </w:r>
      <w:r w:rsidR="00525139">
        <w:rPr>
          <w:b/>
        </w:rPr>
        <w:t>.</w:t>
      </w:r>
      <w:r w:rsidRPr="007F47EF">
        <w:rPr>
          <w:b/>
        </w:rPr>
        <w:t xml:space="preserve"> </w:t>
      </w:r>
      <w:r w:rsidR="008F0D6A" w:rsidRPr="007F47EF">
        <w:rPr>
          <w:b/>
        </w:rPr>
        <w:t xml:space="preserve">As a result, we are required to write to you and suggest that you </w:t>
      </w:r>
      <w:r w:rsidRPr="007F47EF">
        <w:rPr>
          <w:b/>
        </w:rPr>
        <w:t xml:space="preserve">consider moving your money into a different </w:t>
      </w:r>
      <w:r w:rsidR="00424244" w:rsidRPr="007F47EF">
        <w:rPr>
          <w:b/>
        </w:rPr>
        <w:t>superannuation product</w:t>
      </w:r>
      <w:r w:rsidR="00525139">
        <w:rPr>
          <w:b/>
        </w:rPr>
        <w:t>.</w:t>
      </w:r>
    </w:p>
    <w:p w14:paraId="21C907CD" w14:textId="77777777" w:rsidR="00FE5FA4" w:rsidRPr="007F47EF" w:rsidRDefault="00FE5FA4" w:rsidP="006A5E3F">
      <w:pPr>
        <w:spacing w:before="120"/>
      </w:pPr>
      <w:r w:rsidRPr="007F47EF">
        <w:t>You currently have $</w:t>
      </w:r>
      <w:r w:rsidR="00A67F90" w:rsidRPr="007F47EF">
        <w:rPr>
          <w:i/>
        </w:rPr>
        <w:t xml:space="preserve">[insert </w:t>
      </w:r>
      <w:r w:rsidR="000D7B76" w:rsidRPr="007F47EF">
        <w:rPr>
          <w:i/>
        </w:rPr>
        <w:t xml:space="preserve">the </w:t>
      </w:r>
      <w:r w:rsidR="0033483D" w:rsidRPr="007F47EF">
        <w:rPr>
          <w:i/>
        </w:rPr>
        <w:t>beneficiary</w:t>
      </w:r>
      <w:r w:rsidR="00C43BEE" w:rsidRPr="007F47EF">
        <w:rPr>
          <w:i/>
        </w:rPr>
        <w:t>’</w:t>
      </w:r>
      <w:r w:rsidR="0033483D" w:rsidRPr="007F47EF">
        <w:rPr>
          <w:i/>
        </w:rPr>
        <w:t>s account balance</w:t>
      </w:r>
      <w:r w:rsidR="001F40A1" w:rsidRPr="007F47EF">
        <w:rPr>
          <w:i/>
        </w:rPr>
        <w:t xml:space="preserve"> </w:t>
      </w:r>
      <w:r w:rsidR="0033483D" w:rsidRPr="007F47EF">
        <w:rPr>
          <w:i/>
        </w:rPr>
        <w:t>on the date of this letter</w:t>
      </w:r>
      <w:r w:rsidR="00A67F90" w:rsidRPr="007F47EF">
        <w:rPr>
          <w:i/>
        </w:rPr>
        <w:t>]</w:t>
      </w:r>
      <w:r w:rsidRPr="007F47EF">
        <w:t xml:space="preserve"> </w:t>
      </w:r>
      <w:r w:rsidR="005116A1" w:rsidRPr="007F47EF">
        <w:t xml:space="preserve">invested with </w:t>
      </w:r>
      <w:r w:rsidRPr="007F47EF">
        <w:rPr>
          <w:i/>
        </w:rPr>
        <w:t>[</w:t>
      </w:r>
      <w:r w:rsidR="00B4492F" w:rsidRPr="007F47EF">
        <w:rPr>
          <w:i/>
        </w:rPr>
        <w:t xml:space="preserve">insert </w:t>
      </w:r>
      <w:r w:rsidR="000D7B76" w:rsidRPr="007F47EF">
        <w:rPr>
          <w:i/>
        </w:rPr>
        <w:t xml:space="preserve">the </w:t>
      </w:r>
      <w:r w:rsidRPr="007F47EF">
        <w:rPr>
          <w:i/>
        </w:rPr>
        <w:t xml:space="preserve">name of </w:t>
      </w:r>
      <w:r w:rsidR="000D7B76" w:rsidRPr="007F47EF">
        <w:rPr>
          <w:i/>
        </w:rPr>
        <w:t xml:space="preserve">the </w:t>
      </w:r>
      <w:r w:rsidR="005116A1" w:rsidRPr="007F47EF">
        <w:rPr>
          <w:i/>
        </w:rPr>
        <w:t>superannuation entity</w:t>
      </w:r>
      <w:r w:rsidRPr="007F47EF">
        <w:rPr>
          <w:i/>
        </w:rPr>
        <w:t>]</w:t>
      </w:r>
      <w:r w:rsidR="00525139">
        <w:t>.</w:t>
      </w:r>
      <w:r w:rsidR="005116A1" w:rsidRPr="007F47EF">
        <w:t xml:space="preserve"> In the last year you paid $</w:t>
      </w:r>
      <w:r w:rsidR="005116A1" w:rsidRPr="007F47EF">
        <w:rPr>
          <w:i/>
        </w:rPr>
        <w:t>[insert total fees and costs charged to beneficiary in previous financial year]</w:t>
      </w:r>
      <w:r w:rsidR="005116A1" w:rsidRPr="007F47EF">
        <w:t xml:space="preserve"> in total fees and costs for your account with </w:t>
      </w:r>
      <w:r w:rsidR="005116A1" w:rsidRPr="007F47EF">
        <w:rPr>
          <w:i/>
        </w:rPr>
        <w:t xml:space="preserve">[insert </w:t>
      </w:r>
      <w:r w:rsidR="0064603A">
        <w:rPr>
          <w:i/>
        </w:rPr>
        <w:t xml:space="preserve">the </w:t>
      </w:r>
      <w:r w:rsidR="005116A1" w:rsidRPr="007F47EF">
        <w:rPr>
          <w:i/>
        </w:rPr>
        <w:t>name of the superannuation entity]</w:t>
      </w:r>
      <w:r w:rsidR="00525139">
        <w:t>.</w:t>
      </w:r>
    </w:p>
    <w:p w14:paraId="383CF4C7" w14:textId="77777777" w:rsidR="005116A1" w:rsidRPr="007F47EF" w:rsidRDefault="00FE5FA4" w:rsidP="006A5E3F">
      <w:pPr>
        <w:spacing w:before="120"/>
      </w:pPr>
      <w:r w:rsidRPr="007F47EF">
        <w:t>Switching to a different super product is easy, and there are no fees involved</w:t>
      </w:r>
      <w:r w:rsidR="00525139">
        <w:t>.</w:t>
      </w:r>
    </w:p>
    <w:p w14:paraId="15873DB4" w14:textId="77777777" w:rsidR="005116A1" w:rsidRPr="007F47EF" w:rsidRDefault="005116A1" w:rsidP="006A5E3F">
      <w:pPr>
        <w:spacing w:before="120"/>
      </w:pPr>
      <w:r w:rsidRPr="007F47EF">
        <w:t>By switching into a better performing product, you can potentially save thousands of dollars more for retirement</w:t>
      </w:r>
      <w:r w:rsidR="00525139">
        <w:t>.</w:t>
      </w:r>
      <w:r w:rsidRPr="007F47EF">
        <w:t xml:space="preserve"> For example, by earning 1% higher net return over a 30</w:t>
      </w:r>
      <w:r w:rsidR="00525139">
        <w:noBreakHyphen/>
      </w:r>
      <w:r w:rsidRPr="007F47EF">
        <w:t>year period, you could be 20% better off at retirement</w:t>
      </w:r>
      <w:r w:rsidR="00525139">
        <w:t>.</w:t>
      </w:r>
    </w:p>
    <w:p w14:paraId="0056D9D7" w14:textId="77777777" w:rsidR="00FE5FA4" w:rsidRPr="007F47EF" w:rsidRDefault="005116A1" w:rsidP="006A5E3F">
      <w:pPr>
        <w:spacing w:before="120"/>
      </w:pPr>
      <w:r w:rsidRPr="007F47EF">
        <w:t>Using the Australian Government</w:t>
      </w:r>
      <w:r w:rsidR="00C43BEE" w:rsidRPr="007F47EF">
        <w:t>’</w:t>
      </w:r>
      <w:r w:rsidRPr="007F47EF">
        <w:t>s</w:t>
      </w:r>
      <w:r w:rsidR="00FE5FA4" w:rsidRPr="007F47EF">
        <w:t xml:space="preserve"> YourSuper comparison tool</w:t>
      </w:r>
      <w:r w:rsidRPr="007F47EF">
        <w:t xml:space="preserve"> you will be able to compare the fees and returns of all MySuper products</w:t>
      </w:r>
      <w:r w:rsidR="00525139">
        <w:t>.</w:t>
      </w:r>
      <w:r w:rsidRPr="007F47EF">
        <w:t xml:space="preserve"> </w:t>
      </w:r>
      <w:r w:rsidR="00FE5FA4" w:rsidRPr="007F47EF">
        <w:t xml:space="preserve">Go to </w:t>
      </w:r>
      <w:r w:rsidR="005A1DAF" w:rsidRPr="007F47EF">
        <w:rPr>
          <w:i/>
        </w:rPr>
        <w:t>ato</w:t>
      </w:r>
      <w:r w:rsidR="00525139">
        <w:rPr>
          <w:i/>
        </w:rPr>
        <w:t>.</w:t>
      </w:r>
      <w:r w:rsidR="005A1DAF" w:rsidRPr="007F47EF">
        <w:rPr>
          <w:i/>
        </w:rPr>
        <w:t>gov</w:t>
      </w:r>
      <w:r w:rsidR="00525139">
        <w:rPr>
          <w:i/>
        </w:rPr>
        <w:t>.</w:t>
      </w:r>
      <w:r w:rsidR="005A1DAF" w:rsidRPr="007F47EF">
        <w:rPr>
          <w:i/>
        </w:rPr>
        <w:t>au/yoursupe</w:t>
      </w:r>
      <w:r w:rsidR="005A1DAF" w:rsidRPr="007F47EF">
        <w:t>r</w:t>
      </w:r>
      <w:r w:rsidR="00FE5FA4" w:rsidRPr="007F47EF">
        <w:t xml:space="preserve"> or the QR code below:</w:t>
      </w:r>
    </w:p>
    <w:p w14:paraId="1EEFD078" w14:textId="77777777" w:rsidR="001C1405" w:rsidRPr="007F47EF" w:rsidRDefault="001C1405" w:rsidP="006A5E3F">
      <w:pPr>
        <w:spacing w:before="120"/>
        <w:rPr>
          <w:i/>
        </w:rPr>
      </w:pPr>
      <w:r w:rsidRPr="007F47EF">
        <w:rPr>
          <w:i/>
        </w:rPr>
        <w:t>[insert QR code for</w:t>
      </w:r>
      <w:r w:rsidR="005A1DAF" w:rsidRPr="007F47EF">
        <w:rPr>
          <w:i/>
        </w:rPr>
        <w:t xml:space="preserve"> </w:t>
      </w:r>
      <w:r w:rsidR="00BA3EEC">
        <w:rPr>
          <w:i/>
        </w:rPr>
        <w:t>ato</w:t>
      </w:r>
      <w:r w:rsidR="00525139">
        <w:rPr>
          <w:i/>
        </w:rPr>
        <w:t>.</w:t>
      </w:r>
      <w:r w:rsidR="00BA3EEC">
        <w:rPr>
          <w:i/>
        </w:rPr>
        <w:t>gov</w:t>
      </w:r>
      <w:r w:rsidR="00525139">
        <w:rPr>
          <w:i/>
        </w:rPr>
        <w:t>.</w:t>
      </w:r>
      <w:r w:rsidR="00BA3EEC">
        <w:rPr>
          <w:i/>
        </w:rPr>
        <w:t>au/</w:t>
      </w:r>
      <w:r w:rsidR="005A1DAF" w:rsidRPr="007F47EF">
        <w:rPr>
          <w:i/>
        </w:rPr>
        <w:t>yoursuper</w:t>
      </w:r>
      <w:r w:rsidRPr="007F47EF">
        <w:rPr>
          <w:i/>
        </w:rPr>
        <w:t>]</w:t>
      </w:r>
    </w:p>
    <w:p w14:paraId="711D4A62" w14:textId="77777777" w:rsidR="00FE5FA4" w:rsidRPr="007F47EF" w:rsidRDefault="00FE5FA4" w:rsidP="006A5E3F">
      <w:pPr>
        <w:spacing w:before="240"/>
        <w:rPr>
          <w:b/>
        </w:rPr>
      </w:pPr>
      <w:r w:rsidRPr="007F47EF">
        <w:rPr>
          <w:b/>
        </w:rPr>
        <w:t>Your questions answered</w:t>
      </w:r>
    </w:p>
    <w:p w14:paraId="0BBB8213" w14:textId="77777777" w:rsidR="00FE5FA4" w:rsidRPr="007F47EF" w:rsidRDefault="00FE5FA4" w:rsidP="006A5E3F">
      <w:pPr>
        <w:spacing w:before="120"/>
        <w:rPr>
          <w:b/>
        </w:rPr>
      </w:pPr>
      <w:r w:rsidRPr="007F47EF">
        <w:rPr>
          <w:b/>
        </w:rPr>
        <w:t>Why have I received this letter?</w:t>
      </w:r>
    </w:p>
    <w:p w14:paraId="3379B8BE" w14:textId="77777777" w:rsidR="00FE5FA4" w:rsidRPr="007F47EF" w:rsidRDefault="00FE5FA4" w:rsidP="006A5E3F">
      <w:pPr>
        <w:spacing w:before="120"/>
      </w:pPr>
      <w:r w:rsidRPr="007F47EF">
        <w:t xml:space="preserve">The Australian Government </w:t>
      </w:r>
      <w:r w:rsidR="005116A1" w:rsidRPr="007F47EF">
        <w:t xml:space="preserve">has </w:t>
      </w:r>
      <w:r w:rsidRPr="007F47EF">
        <w:t xml:space="preserve">introduced an annual performance </w:t>
      </w:r>
      <w:r w:rsidR="005116A1" w:rsidRPr="007F47EF">
        <w:t xml:space="preserve">test of superannuation products to make sure Australians are getting the most out of their </w:t>
      </w:r>
      <w:r w:rsidRPr="007F47EF">
        <w:t>super</w:t>
      </w:r>
      <w:r w:rsidR="00525139">
        <w:t>.</w:t>
      </w:r>
    </w:p>
    <w:p w14:paraId="5FB12072" w14:textId="77777777" w:rsidR="005116A1" w:rsidRPr="007F47EF" w:rsidRDefault="00FE5FA4" w:rsidP="006A5E3F">
      <w:pPr>
        <w:spacing w:before="120"/>
      </w:pPr>
      <w:r w:rsidRPr="007F47EF">
        <w:t xml:space="preserve">The purpose of this letter is to </w:t>
      </w:r>
      <w:r w:rsidR="005116A1" w:rsidRPr="007F47EF">
        <w:t xml:space="preserve">notify you of the poor performance of your superannuation product and to </w:t>
      </w:r>
      <w:r w:rsidRPr="007F47EF">
        <w:t xml:space="preserve">provide you with information to help you decide whether you want to stay with your current </w:t>
      </w:r>
      <w:r w:rsidR="005116A1" w:rsidRPr="007F47EF">
        <w:t>product or choose a better p</w:t>
      </w:r>
      <w:r w:rsidR="0000589E" w:rsidRPr="007F47EF">
        <w:t>er</w:t>
      </w:r>
      <w:r w:rsidR="005116A1" w:rsidRPr="007F47EF">
        <w:t>forming product</w:t>
      </w:r>
      <w:r w:rsidR="00525139">
        <w:t>.</w:t>
      </w:r>
    </w:p>
    <w:p w14:paraId="2936A3EF" w14:textId="77777777" w:rsidR="00FE5FA4" w:rsidRPr="007F47EF" w:rsidRDefault="005116A1" w:rsidP="006A5E3F">
      <w:pPr>
        <w:spacing w:before="120"/>
      </w:pPr>
      <w:r w:rsidRPr="007F47EF">
        <w:t>Even a small difference in performance can make a big difference at retirement</w:t>
      </w:r>
      <w:r w:rsidR="00525139">
        <w:t>.</w:t>
      </w:r>
    </w:p>
    <w:p w14:paraId="303BDE98" w14:textId="77777777" w:rsidR="00FE5FA4" w:rsidRPr="007F47EF" w:rsidRDefault="00FE5FA4" w:rsidP="006A5E3F">
      <w:pPr>
        <w:spacing w:before="120"/>
        <w:rPr>
          <w:b/>
        </w:rPr>
      </w:pPr>
      <w:r w:rsidRPr="007F47EF">
        <w:rPr>
          <w:b/>
        </w:rPr>
        <w:t xml:space="preserve">What is the annual performance </w:t>
      </w:r>
      <w:r w:rsidR="005116A1" w:rsidRPr="007F47EF">
        <w:rPr>
          <w:b/>
        </w:rPr>
        <w:t>test</w:t>
      </w:r>
      <w:r w:rsidRPr="007F47EF">
        <w:rPr>
          <w:b/>
        </w:rPr>
        <w:t>?</w:t>
      </w:r>
    </w:p>
    <w:p w14:paraId="03D72DBC" w14:textId="77777777" w:rsidR="005116A1" w:rsidRPr="007F47EF" w:rsidRDefault="00FE5FA4" w:rsidP="006A5E3F">
      <w:pPr>
        <w:spacing w:before="120"/>
      </w:pPr>
      <w:r w:rsidRPr="007F47EF">
        <w:t xml:space="preserve">The annual performance </w:t>
      </w:r>
      <w:r w:rsidR="005116A1" w:rsidRPr="007F47EF">
        <w:t xml:space="preserve">test assesses the returns of your product </w:t>
      </w:r>
      <w:r w:rsidRPr="007F47EF">
        <w:t>(after your super fund deducts fees) over</w:t>
      </w:r>
      <w:r w:rsidR="005116A1" w:rsidRPr="007F47EF">
        <w:t xml:space="preserve"> the last</w:t>
      </w:r>
      <w:r w:rsidRPr="007F47EF">
        <w:t xml:space="preserve"> </w:t>
      </w:r>
      <w:r w:rsidR="00F92556" w:rsidRPr="007F47EF">
        <w:rPr>
          <w:i/>
        </w:rPr>
        <w:t xml:space="preserve">[insert </w:t>
      </w:r>
      <w:r w:rsidR="000D7B76" w:rsidRPr="007F47EF">
        <w:rPr>
          <w:i/>
        </w:rPr>
        <w:t xml:space="preserve">the </w:t>
      </w:r>
      <w:r w:rsidR="00F92556" w:rsidRPr="007F47EF">
        <w:rPr>
          <w:i/>
        </w:rPr>
        <w:t xml:space="preserve">number of financial years in </w:t>
      </w:r>
      <w:r w:rsidR="000D7B76" w:rsidRPr="007F47EF">
        <w:rPr>
          <w:i/>
        </w:rPr>
        <w:t xml:space="preserve">the </w:t>
      </w:r>
      <w:r w:rsidR="00F92556" w:rsidRPr="007F47EF">
        <w:rPr>
          <w:i/>
        </w:rPr>
        <w:t xml:space="preserve">lookback period for </w:t>
      </w:r>
      <w:r w:rsidR="000D7B76" w:rsidRPr="007F47EF">
        <w:rPr>
          <w:i/>
        </w:rPr>
        <w:t xml:space="preserve">the </w:t>
      </w:r>
      <w:r w:rsidR="00B86730" w:rsidRPr="007F47EF">
        <w:rPr>
          <w:i/>
        </w:rPr>
        <w:t>Part 6</w:t>
      </w:r>
      <w:r w:rsidR="00F92556" w:rsidRPr="007F47EF">
        <w:rPr>
          <w:i/>
        </w:rPr>
        <w:t>A product]</w:t>
      </w:r>
      <w:r w:rsidRPr="007F47EF">
        <w:t xml:space="preserve"> years</w:t>
      </w:r>
      <w:r w:rsidR="00525139">
        <w:t>.</w:t>
      </w:r>
      <w:r w:rsidR="005116A1" w:rsidRPr="007F47EF">
        <w:t xml:space="preserve"> The test compares the returns your product delivered with the returns that a comparable product would have delivered over the same period</w:t>
      </w:r>
      <w:r w:rsidR="00525139">
        <w:t>.</w:t>
      </w:r>
    </w:p>
    <w:p w14:paraId="710247D5" w14:textId="77777777" w:rsidR="005116A1" w:rsidRPr="007F47EF" w:rsidRDefault="005116A1" w:rsidP="006A5E3F">
      <w:pPr>
        <w:spacing w:before="120"/>
      </w:pPr>
      <w:r w:rsidRPr="007F47EF">
        <w:t>Products that fail this test are required to notify their members</w:t>
      </w:r>
      <w:r w:rsidR="00525139">
        <w:t>.</w:t>
      </w:r>
    </w:p>
    <w:p w14:paraId="7F8A9B9A" w14:textId="77777777" w:rsidR="00FE5FA4" w:rsidRPr="007F47EF" w:rsidRDefault="005116A1" w:rsidP="006A5E3F">
      <w:pPr>
        <w:spacing w:before="120"/>
      </w:pPr>
      <w:r w:rsidRPr="007F47EF">
        <w:t xml:space="preserve">You can find out more about superannuation at </w:t>
      </w:r>
      <w:r w:rsidRPr="007F47EF">
        <w:rPr>
          <w:i/>
        </w:rPr>
        <w:t>moneysmart</w:t>
      </w:r>
      <w:r w:rsidR="00525139">
        <w:rPr>
          <w:i/>
        </w:rPr>
        <w:t>.</w:t>
      </w:r>
      <w:r w:rsidRPr="007F47EF">
        <w:rPr>
          <w:i/>
        </w:rPr>
        <w:t>gov</w:t>
      </w:r>
      <w:r w:rsidR="00525139">
        <w:rPr>
          <w:i/>
        </w:rPr>
        <w:t>.</w:t>
      </w:r>
      <w:r w:rsidRPr="007F47EF">
        <w:rPr>
          <w:i/>
        </w:rPr>
        <w:t>au</w:t>
      </w:r>
      <w:r w:rsidR="00525139">
        <w:t>.</w:t>
      </w:r>
    </w:p>
    <w:sectPr w:rsidR="00FE5FA4" w:rsidRPr="007F47EF" w:rsidSect="00C00CC1">
      <w:headerReference w:type="even" r:id="rId40"/>
      <w:headerReference w:type="default" r:id="rId41"/>
      <w:footerReference w:type="even" r:id="rId42"/>
      <w:footerReference w:type="default" r:id="rId43"/>
      <w:headerReference w:type="first" r:id="rId44"/>
      <w:footerReference w:type="first" r:id="rId4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1B833" w14:textId="77777777" w:rsidR="001E2FA3" w:rsidRDefault="001E2FA3" w:rsidP="0048364F">
      <w:pPr>
        <w:spacing w:line="240" w:lineRule="auto"/>
      </w:pPr>
      <w:r>
        <w:separator/>
      </w:r>
    </w:p>
  </w:endnote>
  <w:endnote w:type="continuationSeparator" w:id="0">
    <w:p w14:paraId="62D7CA9B" w14:textId="77777777" w:rsidR="001E2FA3" w:rsidRDefault="001E2FA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F3E9" w14:textId="77777777" w:rsidR="001E2FA3" w:rsidRPr="00C00CC1" w:rsidRDefault="00C00CC1" w:rsidP="00C00CC1">
    <w:pPr>
      <w:pStyle w:val="Footer"/>
      <w:tabs>
        <w:tab w:val="clear" w:pos="4153"/>
        <w:tab w:val="clear" w:pos="8306"/>
        <w:tab w:val="center" w:pos="4150"/>
        <w:tab w:val="right" w:pos="8307"/>
      </w:tabs>
      <w:spacing w:before="120"/>
      <w:rPr>
        <w:i/>
        <w:sz w:val="18"/>
      </w:rPr>
    </w:pPr>
    <w:r w:rsidRPr="00C00CC1">
      <w:rPr>
        <w:i/>
        <w:sz w:val="18"/>
      </w:rPr>
      <w:t>OPC65091 -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1B0E" w14:textId="77777777" w:rsidR="001E2FA3" w:rsidRDefault="001E2FA3" w:rsidP="00E97334"/>
  <w:p w14:paraId="35B5DD5A" w14:textId="77777777" w:rsidR="001E2FA3" w:rsidRPr="00C00CC1" w:rsidRDefault="00C00CC1" w:rsidP="00C00CC1">
    <w:pPr>
      <w:rPr>
        <w:rFonts w:cs="Times New Roman"/>
        <w:i/>
        <w:sz w:val="18"/>
      </w:rPr>
    </w:pPr>
    <w:r w:rsidRPr="00C00CC1">
      <w:rPr>
        <w:rFonts w:cs="Times New Roman"/>
        <w:i/>
        <w:sz w:val="18"/>
      </w:rPr>
      <w:t>OPC65091 -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3572" w14:textId="77777777" w:rsidR="001E2FA3" w:rsidRPr="00C00CC1" w:rsidRDefault="00C00CC1" w:rsidP="00C00CC1">
    <w:pPr>
      <w:pStyle w:val="Footer"/>
      <w:tabs>
        <w:tab w:val="clear" w:pos="4153"/>
        <w:tab w:val="clear" w:pos="8306"/>
        <w:tab w:val="center" w:pos="4150"/>
        <w:tab w:val="right" w:pos="8307"/>
      </w:tabs>
      <w:spacing w:before="120"/>
      <w:rPr>
        <w:i/>
        <w:sz w:val="18"/>
      </w:rPr>
    </w:pPr>
    <w:r w:rsidRPr="00C00CC1">
      <w:rPr>
        <w:i/>
        <w:sz w:val="18"/>
      </w:rPr>
      <w:t>OPC65091 -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A858" w14:textId="77777777" w:rsidR="001E2FA3" w:rsidRPr="00E33C1C" w:rsidRDefault="001E2FA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E2FA3" w14:paraId="06338434" w14:textId="77777777" w:rsidTr="0048118D">
      <w:tc>
        <w:tcPr>
          <w:tcW w:w="709" w:type="dxa"/>
          <w:tcBorders>
            <w:top w:val="nil"/>
            <w:left w:val="nil"/>
            <w:bottom w:val="nil"/>
            <w:right w:val="nil"/>
          </w:tcBorders>
        </w:tcPr>
        <w:p w14:paraId="7C84F721" w14:textId="77777777" w:rsidR="001E2FA3" w:rsidRDefault="001E2FA3" w:rsidP="009D04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409B1EA" w14:textId="4DBF6273" w:rsidR="001E2FA3" w:rsidRDefault="001E2FA3" w:rsidP="009D04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D0E">
            <w:rPr>
              <w:i/>
              <w:sz w:val="18"/>
            </w:rPr>
            <w:t>Treasury Laws Amendment (Your Future, Your Super—Addressing Underperformance in Superannuation) Regulations 2021</w:t>
          </w:r>
          <w:r w:rsidRPr="007A1328">
            <w:rPr>
              <w:i/>
              <w:sz w:val="18"/>
            </w:rPr>
            <w:fldChar w:fldCharType="end"/>
          </w:r>
        </w:p>
      </w:tc>
      <w:tc>
        <w:tcPr>
          <w:tcW w:w="1384" w:type="dxa"/>
          <w:tcBorders>
            <w:top w:val="nil"/>
            <w:left w:val="nil"/>
            <w:bottom w:val="nil"/>
            <w:right w:val="nil"/>
          </w:tcBorders>
        </w:tcPr>
        <w:p w14:paraId="52FB1A79" w14:textId="77777777" w:rsidR="001E2FA3" w:rsidRDefault="001E2FA3" w:rsidP="009D04AC">
          <w:pPr>
            <w:spacing w:line="0" w:lineRule="atLeast"/>
            <w:jc w:val="right"/>
            <w:rPr>
              <w:sz w:val="18"/>
            </w:rPr>
          </w:pPr>
        </w:p>
      </w:tc>
    </w:tr>
  </w:tbl>
  <w:p w14:paraId="0163761E" w14:textId="77777777" w:rsidR="001E2FA3" w:rsidRPr="00C00CC1" w:rsidRDefault="00C00CC1" w:rsidP="00C00CC1">
    <w:pPr>
      <w:rPr>
        <w:rFonts w:cs="Times New Roman"/>
        <w:i/>
        <w:sz w:val="18"/>
      </w:rPr>
    </w:pPr>
    <w:r w:rsidRPr="00C00CC1">
      <w:rPr>
        <w:rFonts w:cs="Times New Roman"/>
        <w:i/>
        <w:sz w:val="18"/>
      </w:rPr>
      <w:t>OPC65091 -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6D37" w14:textId="77777777" w:rsidR="001E2FA3" w:rsidRPr="00E33C1C" w:rsidRDefault="001E2FA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E2FA3" w14:paraId="70F50A2B" w14:textId="77777777" w:rsidTr="0048118D">
      <w:tc>
        <w:tcPr>
          <w:tcW w:w="1383" w:type="dxa"/>
          <w:tcBorders>
            <w:top w:val="nil"/>
            <w:left w:val="nil"/>
            <w:bottom w:val="nil"/>
            <w:right w:val="nil"/>
          </w:tcBorders>
        </w:tcPr>
        <w:p w14:paraId="5ED99D09" w14:textId="77777777" w:rsidR="001E2FA3" w:rsidRDefault="001E2FA3" w:rsidP="009D04AC">
          <w:pPr>
            <w:spacing w:line="0" w:lineRule="atLeast"/>
            <w:rPr>
              <w:sz w:val="18"/>
            </w:rPr>
          </w:pPr>
        </w:p>
      </w:tc>
      <w:tc>
        <w:tcPr>
          <w:tcW w:w="6379" w:type="dxa"/>
          <w:tcBorders>
            <w:top w:val="nil"/>
            <w:left w:val="nil"/>
            <w:bottom w:val="nil"/>
            <w:right w:val="nil"/>
          </w:tcBorders>
        </w:tcPr>
        <w:p w14:paraId="5D6A5C1A" w14:textId="7BED3F58" w:rsidR="001E2FA3" w:rsidRDefault="001E2FA3" w:rsidP="009D04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D0E">
            <w:rPr>
              <w:i/>
              <w:sz w:val="18"/>
            </w:rPr>
            <w:t>Treasury Laws Amendment (Your Future, Your Super—Addressing Underperformance in Superannuation) Regulations 2021</w:t>
          </w:r>
          <w:r w:rsidRPr="007A1328">
            <w:rPr>
              <w:i/>
              <w:sz w:val="18"/>
            </w:rPr>
            <w:fldChar w:fldCharType="end"/>
          </w:r>
        </w:p>
      </w:tc>
      <w:tc>
        <w:tcPr>
          <w:tcW w:w="710" w:type="dxa"/>
          <w:tcBorders>
            <w:top w:val="nil"/>
            <w:left w:val="nil"/>
            <w:bottom w:val="nil"/>
            <w:right w:val="nil"/>
          </w:tcBorders>
        </w:tcPr>
        <w:p w14:paraId="545C389F" w14:textId="77777777" w:rsidR="001E2FA3" w:rsidRDefault="001E2FA3" w:rsidP="009D04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3940EBB" w14:textId="77777777" w:rsidR="001E2FA3" w:rsidRPr="00C00CC1" w:rsidRDefault="00C00CC1" w:rsidP="00C00CC1">
    <w:pPr>
      <w:rPr>
        <w:rFonts w:cs="Times New Roman"/>
        <w:i/>
        <w:sz w:val="18"/>
      </w:rPr>
    </w:pPr>
    <w:r w:rsidRPr="00C00CC1">
      <w:rPr>
        <w:rFonts w:cs="Times New Roman"/>
        <w:i/>
        <w:sz w:val="18"/>
      </w:rPr>
      <w:t>OPC65091 -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2F99" w14:textId="77777777" w:rsidR="001E2FA3" w:rsidRPr="00E33C1C" w:rsidRDefault="001E2FA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E2FA3" w14:paraId="72C24DCA" w14:textId="77777777" w:rsidTr="0048118D">
      <w:tc>
        <w:tcPr>
          <w:tcW w:w="709" w:type="dxa"/>
          <w:tcBorders>
            <w:top w:val="nil"/>
            <w:left w:val="nil"/>
            <w:bottom w:val="nil"/>
            <w:right w:val="nil"/>
          </w:tcBorders>
        </w:tcPr>
        <w:p w14:paraId="64ABBC26" w14:textId="77777777" w:rsidR="001E2FA3" w:rsidRDefault="001E2FA3" w:rsidP="009D04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c>
        <w:tcPr>
          <w:tcW w:w="6379" w:type="dxa"/>
          <w:tcBorders>
            <w:top w:val="nil"/>
            <w:left w:val="nil"/>
            <w:bottom w:val="nil"/>
            <w:right w:val="nil"/>
          </w:tcBorders>
        </w:tcPr>
        <w:p w14:paraId="2B5DE728" w14:textId="066972D3" w:rsidR="001E2FA3" w:rsidRDefault="001E2FA3" w:rsidP="009D04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D0E">
            <w:rPr>
              <w:i/>
              <w:sz w:val="18"/>
            </w:rPr>
            <w:t>Treasury Laws Amendment (Your Future, Your Super—Addressing Underperformance in Superannuation) Regulations 2021</w:t>
          </w:r>
          <w:r w:rsidRPr="007A1328">
            <w:rPr>
              <w:i/>
              <w:sz w:val="18"/>
            </w:rPr>
            <w:fldChar w:fldCharType="end"/>
          </w:r>
        </w:p>
      </w:tc>
      <w:tc>
        <w:tcPr>
          <w:tcW w:w="1384" w:type="dxa"/>
          <w:tcBorders>
            <w:top w:val="nil"/>
            <w:left w:val="nil"/>
            <w:bottom w:val="nil"/>
            <w:right w:val="nil"/>
          </w:tcBorders>
        </w:tcPr>
        <w:p w14:paraId="4C79ABD8" w14:textId="77777777" w:rsidR="001E2FA3" w:rsidRDefault="001E2FA3" w:rsidP="009D04AC">
          <w:pPr>
            <w:spacing w:line="0" w:lineRule="atLeast"/>
            <w:jc w:val="right"/>
            <w:rPr>
              <w:sz w:val="18"/>
            </w:rPr>
          </w:pPr>
        </w:p>
      </w:tc>
    </w:tr>
  </w:tbl>
  <w:p w14:paraId="232F33CC" w14:textId="77777777" w:rsidR="001E2FA3" w:rsidRPr="00C00CC1" w:rsidRDefault="00C00CC1" w:rsidP="00C00CC1">
    <w:pPr>
      <w:rPr>
        <w:rFonts w:cs="Times New Roman"/>
        <w:i/>
        <w:sz w:val="18"/>
      </w:rPr>
    </w:pPr>
    <w:r w:rsidRPr="00C00CC1">
      <w:rPr>
        <w:rFonts w:cs="Times New Roman"/>
        <w:i/>
        <w:sz w:val="18"/>
      </w:rPr>
      <w:t>OPC65091 -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BE43" w14:textId="77777777" w:rsidR="001E2FA3" w:rsidRPr="00E33C1C" w:rsidRDefault="001E2FA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E2FA3" w14:paraId="05389B74" w14:textId="77777777" w:rsidTr="009D04AC">
      <w:tc>
        <w:tcPr>
          <w:tcW w:w="1384" w:type="dxa"/>
          <w:tcBorders>
            <w:top w:val="nil"/>
            <w:left w:val="nil"/>
            <w:bottom w:val="nil"/>
            <w:right w:val="nil"/>
          </w:tcBorders>
        </w:tcPr>
        <w:p w14:paraId="1FF9F139" w14:textId="77777777" w:rsidR="001E2FA3" w:rsidRDefault="001E2FA3" w:rsidP="009D04AC">
          <w:pPr>
            <w:spacing w:line="0" w:lineRule="atLeast"/>
            <w:rPr>
              <w:sz w:val="18"/>
            </w:rPr>
          </w:pPr>
        </w:p>
      </w:tc>
      <w:tc>
        <w:tcPr>
          <w:tcW w:w="6379" w:type="dxa"/>
          <w:tcBorders>
            <w:top w:val="nil"/>
            <w:left w:val="nil"/>
            <w:bottom w:val="nil"/>
            <w:right w:val="nil"/>
          </w:tcBorders>
        </w:tcPr>
        <w:p w14:paraId="52A7EC4D" w14:textId="68461166" w:rsidR="001E2FA3" w:rsidRDefault="001E2FA3" w:rsidP="009D04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D0E">
            <w:rPr>
              <w:i/>
              <w:sz w:val="18"/>
            </w:rPr>
            <w:t>Treasury Laws Amendment (Your Future, Your Super—Addressing Underperformance in Superannuation) Regulations 2021</w:t>
          </w:r>
          <w:r w:rsidRPr="007A1328">
            <w:rPr>
              <w:i/>
              <w:sz w:val="18"/>
            </w:rPr>
            <w:fldChar w:fldCharType="end"/>
          </w:r>
        </w:p>
      </w:tc>
      <w:tc>
        <w:tcPr>
          <w:tcW w:w="709" w:type="dxa"/>
          <w:tcBorders>
            <w:top w:val="nil"/>
            <w:left w:val="nil"/>
            <w:bottom w:val="nil"/>
            <w:right w:val="nil"/>
          </w:tcBorders>
        </w:tcPr>
        <w:p w14:paraId="0F212296" w14:textId="77777777" w:rsidR="001E2FA3" w:rsidRDefault="001E2FA3" w:rsidP="009D04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w:t>
          </w:r>
          <w:r w:rsidRPr="00ED79B6">
            <w:rPr>
              <w:i/>
              <w:sz w:val="18"/>
            </w:rPr>
            <w:fldChar w:fldCharType="end"/>
          </w:r>
        </w:p>
      </w:tc>
    </w:tr>
  </w:tbl>
  <w:p w14:paraId="67B06524" w14:textId="77777777" w:rsidR="001E2FA3" w:rsidRPr="00C00CC1" w:rsidRDefault="00C00CC1" w:rsidP="00C00CC1">
    <w:pPr>
      <w:rPr>
        <w:rFonts w:cs="Times New Roman"/>
        <w:i/>
        <w:sz w:val="18"/>
      </w:rPr>
    </w:pPr>
    <w:r w:rsidRPr="00C00CC1">
      <w:rPr>
        <w:rFonts w:cs="Times New Roman"/>
        <w:i/>
        <w:sz w:val="18"/>
      </w:rPr>
      <w:t>OPC65091 -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E946" w14:textId="77777777" w:rsidR="001E2FA3" w:rsidRPr="00E33C1C" w:rsidRDefault="001E2FA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E2FA3" w14:paraId="4057A460" w14:textId="77777777" w:rsidTr="007A6863">
      <w:tc>
        <w:tcPr>
          <w:tcW w:w="1384" w:type="dxa"/>
          <w:tcBorders>
            <w:top w:val="nil"/>
            <w:left w:val="nil"/>
            <w:bottom w:val="nil"/>
            <w:right w:val="nil"/>
          </w:tcBorders>
        </w:tcPr>
        <w:p w14:paraId="61BCF79F" w14:textId="77777777" w:rsidR="001E2FA3" w:rsidRDefault="001E2FA3" w:rsidP="009D04AC">
          <w:pPr>
            <w:spacing w:line="0" w:lineRule="atLeast"/>
            <w:rPr>
              <w:sz w:val="18"/>
            </w:rPr>
          </w:pPr>
        </w:p>
      </w:tc>
      <w:tc>
        <w:tcPr>
          <w:tcW w:w="6379" w:type="dxa"/>
          <w:tcBorders>
            <w:top w:val="nil"/>
            <w:left w:val="nil"/>
            <w:bottom w:val="nil"/>
            <w:right w:val="nil"/>
          </w:tcBorders>
        </w:tcPr>
        <w:p w14:paraId="29747CC2" w14:textId="05CBB284" w:rsidR="001E2FA3" w:rsidRDefault="001E2FA3" w:rsidP="009D04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D0E">
            <w:rPr>
              <w:i/>
              <w:sz w:val="18"/>
            </w:rPr>
            <w:t>Treasury Laws Amendment (Your Future, Your Super—Addressing Underperformance in Superannuation) Regulations 2021</w:t>
          </w:r>
          <w:r w:rsidRPr="007A1328">
            <w:rPr>
              <w:i/>
              <w:sz w:val="18"/>
            </w:rPr>
            <w:fldChar w:fldCharType="end"/>
          </w:r>
        </w:p>
      </w:tc>
      <w:tc>
        <w:tcPr>
          <w:tcW w:w="709" w:type="dxa"/>
          <w:tcBorders>
            <w:top w:val="nil"/>
            <w:left w:val="nil"/>
            <w:bottom w:val="nil"/>
            <w:right w:val="nil"/>
          </w:tcBorders>
        </w:tcPr>
        <w:p w14:paraId="74E2EAD3" w14:textId="77777777" w:rsidR="001E2FA3" w:rsidRDefault="001E2FA3" w:rsidP="009D04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D49DD4C" w14:textId="77777777" w:rsidR="001E2FA3" w:rsidRPr="00C00CC1" w:rsidRDefault="00C00CC1" w:rsidP="00C00CC1">
    <w:pPr>
      <w:rPr>
        <w:rFonts w:cs="Times New Roman"/>
        <w:i/>
        <w:sz w:val="18"/>
      </w:rPr>
    </w:pPr>
    <w:r w:rsidRPr="00C00CC1">
      <w:rPr>
        <w:rFonts w:cs="Times New Roman"/>
        <w:i/>
        <w:sz w:val="18"/>
      </w:rPr>
      <w:t>OPC65091 -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DA6F9" w14:textId="77777777" w:rsidR="001E2FA3" w:rsidRDefault="001E2FA3" w:rsidP="0048364F">
      <w:pPr>
        <w:spacing w:line="240" w:lineRule="auto"/>
      </w:pPr>
      <w:r>
        <w:separator/>
      </w:r>
    </w:p>
  </w:footnote>
  <w:footnote w:type="continuationSeparator" w:id="0">
    <w:p w14:paraId="0C6B32BC" w14:textId="77777777" w:rsidR="001E2FA3" w:rsidRDefault="001E2FA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A3CD" w14:textId="77777777" w:rsidR="001E2FA3" w:rsidRPr="005F1388" w:rsidRDefault="001E2FA3"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96C4" w14:textId="77777777" w:rsidR="001E2FA3" w:rsidRPr="005F1388" w:rsidRDefault="001E2FA3"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70CD0" w14:textId="77777777" w:rsidR="001E2FA3" w:rsidRPr="005F1388" w:rsidRDefault="001E2FA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4391" w14:textId="77777777" w:rsidR="001E2FA3" w:rsidRPr="00ED79B6" w:rsidRDefault="001E2FA3"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89E2" w14:textId="77777777" w:rsidR="001E2FA3" w:rsidRPr="00ED79B6" w:rsidRDefault="001E2FA3"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3DA" w14:textId="77777777" w:rsidR="001E2FA3" w:rsidRPr="00ED79B6" w:rsidRDefault="001E2FA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57E13" w14:textId="49610347" w:rsidR="001E2FA3" w:rsidRPr="00A961C4" w:rsidRDefault="001E2FA3" w:rsidP="0048364F">
    <w:pPr>
      <w:rPr>
        <w:b/>
        <w:sz w:val="20"/>
      </w:rPr>
    </w:pPr>
    <w:r>
      <w:rPr>
        <w:b/>
        <w:sz w:val="20"/>
      </w:rPr>
      <w:fldChar w:fldCharType="begin"/>
    </w:r>
    <w:r>
      <w:rPr>
        <w:b/>
        <w:sz w:val="20"/>
      </w:rPr>
      <w:instrText xml:space="preserve"> STYLEREF CharAmSchNo </w:instrText>
    </w:r>
    <w:r>
      <w:rPr>
        <w:b/>
        <w:sz w:val="20"/>
      </w:rPr>
      <w:fldChar w:fldCharType="separate"/>
    </w:r>
    <w:r w:rsidR="00401A6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01A60">
      <w:rPr>
        <w:noProof/>
        <w:sz w:val="20"/>
      </w:rPr>
      <w:t>Amendments</w:t>
    </w:r>
    <w:r>
      <w:rPr>
        <w:sz w:val="20"/>
      </w:rPr>
      <w:fldChar w:fldCharType="end"/>
    </w:r>
  </w:p>
  <w:p w14:paraId="43E25513" w14:textId="302F3BA2" w:rsidR="001E2FA3" w:rsidRPr="00A961C4" w:rsidRDefault="001E2FA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CE6A041" w14:textId="77777777" w:rsidR="001E2FA3" w:rsidRPr="00A961C4" w:rsidRDefault="001E2FA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E6CB" w14:textId="2079596D" w:rsidR="001E2FA3" w:rsidRPr="00A961C4" w:rsidRDefault="001E2FA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1E7CE02D" w14:textId="305B362D" w:rsidR="001E2FA3" w:rsidRPr="00A961C4" w:rsidRDefault="001E2FA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7B0DD70" w14:textId="77777777" w:rsidR="001E2FA3" w:rsidRPr="00A961C4" w:rsidRDefault="001E2FA3"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182A" w14:textId="77777777" w:rsidR="001E2FA3" w:rsidRPr="00A961C4" w:rsidRDefault="001E2FA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EB104C2"/>
    <w:multiLevelType w:val="multilevel"/>
    <w:tmpl w:val="227E8C2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836E0D"/>
    <w:multiLevelType w:val="multilevel"/>
    <w:tmpl w:val="5D364E06"/>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401246F"/>
    <w:multiLevelType w:val="multilevel"/>
    <w:tmpl w:val="182A4B2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AA7894"/>
    <w:multiLevelType w:val="hybridMultilevel"/>
    <w:tmpl w:val="340C13E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2" w15:restartNumberingAfterBreak="0">
    <w:nsid w:val="5FBC7E8D"/>
    <w:multiLevelType w:val="singleLevel"/>
    <w:tmpl w:val="FFFCF7D0"/>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23" w15:restartNumberingAfterBreak="0">
    <w:nsid w:val="66B7426A"/>
    <w:multiLevelType w:val="multilevel"/>
    <w:tmpl w:val="1F8EF0A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4"/>
  </w:num>
  <w:num w:numId="15">
    <w:abstractNumId w:val="13"/>
  </w:num>
  <w:num w:numId="16">
    <w:abstractNumId w:val="10"/>
  </w:num>
  <w:num w:numId="17">
    <w:abstractNumId w:val="19"/>
  </w:num>
  <w:num w:numId="18">
    <w:abstractNumId w:val="18"/>
  </w:num>
  <w:num w:numId="19">
    <w:abstractNumId w:val="22"/>
  </w:num>
  <w:num w:numId="20">
    <w:abstractNumId w:val="23"/>
  </w:num>
  <w:num w:numId="21">
    <w:abstractNumId w:val="21"/>
  </w:num>
  <w:num w:numId="22">
    <w:abstractNumId w:val="16"/>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7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5B"/>
    <w:rsid w:val="00000263"/>
    <w:rsid w:val="000003B4"/>
    <w:rsid w:val="00000D4D"/>
    <w:rsid w:val="000018AE"/>
    <w:rsid w:val="000022EE"/>
    <w:rsid w:val="00002C41"/>
    <w:rsid w:val="00002DC8"/>
    <w:rsid w:val="0000589E"/>
    <w:rsid w:val="00006A90"/>
    <w:rsid w:val="000113BC"/>
    <w:rsid w:val="000116C8"/>
    <w:rsid w:val="000129A4"/>
    <w:rsid w:val="00013049"/>
    <w:rsid w:val="000136AF"/>
    <w:rsid w:val="00014EDE"/>
    <w:rsid w:val="00020F5F"/>
    <w:rsid w:val="000219C9"/>
    <w:rsid w:val="00022985"/>
    <w:rsid w:val="00022F6D"/>
    <w:rsid w:val="000240C4"/>
    <w:rsid w:val="00031DEA"/>
    <w:rsid w:val="00032AE5"/>
    <w:rsid w:val="0003454E"/>
    <w:rsid w:val="00036A9A"/>
    <w:rsid w:val="0004044E"/>
    <w:rsid w:val="00040556"/>
    <w:rsid w:val="00040E39"/>
    <w:rsid w:val="00041520"/>
    <w:rsid w:val="00042459"/>
    <w:rsid w:val="000425D6"/>
    <w:rsid w:val="00046F47"/>
    <w:rsid w:val="000474D6"/>
    <w:rsid w:val="000478A9"/>
    <w:rsid w:val="000501FD"/>
    <w:rsid w:val="000506AB"/>
    <w:rsid w:val="0005120E"/>
    <w:rsid w:val="0005276A"/>
    <w:rsid w:val="00053068"/>
    <w:rsid w:val="00053CF1"/>
    <w:rsid w:val="00054577"/>
    <w:rsid w:val="000558C5"/>
    <w:rsid w:val="0005692E"/>
    <w:rsid w:val="000571C1"/>
    <w:rsid w:val="000614BF"/>
    <w:rsid w:val="00064EAB"/>
    <w:rsid w:val="00064F64"/>
    <w:rsid w:val="0006524E"/>
    <w:rsid w:val="00065B0E"/>
    <w:rsid w:val="00066AF8"/>
    <w:rsid w:val="000670F4"/>
    <w:rsid w:val="0007169C"/>
    <w:rsid w:val="0007255F"/>
    <w:rsid w:val="0007313D"/>
    <w:rsid w:val="00074798"/>
    <w:rsid w:val="000750FA"/>
    <w:rsid w:val="00077593"/>
    <w:rsid w:val="000802E2"/>
    <w:rsid w:val="000803B6"/>
    <w:rsid w:val="00083F48"/>
    <w:rsid w:val="00085195"/>
    <w:rsid w:val="000860B3"/>
    <w:rsid w:val="000932FA"/>
    <w:rsid w:val="000962F5"/>
    <w:rsid w:val="000A04A2"/>
    <w:rsid w:val="000A264E"/>
    <w:rsid w:val="000A7DF9"/>
    <w:rsid w:val="000B2D7B"/>
    <w:rsid w:val="000B340B"/>
    <w:rsid w:val="000C047C"/>
    <w:rsid w:val="000C142E"/>
    <w:rsid w:val="000C4B86"/>
    <w:rsid w:val="000C4D55"/>
    <w:rsid w:val="000C4F64"/>
    <w:rsid w:val="000C518C"/>
    <w:rsid w:val="000C6500"/>
    <w:rsid w:val="000D05EF"/>
    <w:rsid w:val="000D09F4"/>
    <w:rsid w:val="000D5244"/>
    <w:rsid w:val="000D5485"/>
    <w:rsid w:val="000D627F"/>
    <w:rsid w:val="000D7B76"/>
    <w:rsid w:val="000E1AB2"/>
    <w:rsid w:val="000E22C5"/>
    <w:rsid w:val="000E2EE2"/>
    <w:rsid w:val="000E4E48"/>
    <w:rsid w:val="000F1C53"/>
    <w:rsid w:val="000F21C1"/>
    <w:rsid w:val="000F243C"/>
    <w:rsid w:val="0010068A"/>
    <w:rsid w:val="00102827"/>
    <w:rsid w:val="00102D0E"/>
    <w:rsid w:val="00104B89"/>
    <w:rsid w:val="00105D72"/>
    <w:rsid w:val="0010745C"/>
    <w:rsid w:val="0011055D"/>
    <w:rsid w:val="00110E48"/>
    <w:rsid w:val="00112A31"/>
    <w:rsid w:val="00113D95"/>
    <w:rsid w:val="00114238"/>
    <w:rsid w:val="00116B7A"/>
    <w:rsid w:val="00117277"/>
    <w:rsid w:val="00122438"/>
    <w:rsid w:val="00125F4C"/>
    <w:rsid w:val="001273F7"/>
    <w:rsid w:val="001277F2"/>
    <w:rsid w:val="00130904"/>
    <w:rsid w:val="00130E84"/>
    <w:rsid w:val="001439B9"/>
    <w:rsid w:val="00143EEB"/>
    <w:rsid w:val="0014509D"/>
    <w:rsid w:val="00145CE8"/>
    <w:rsid w:val="00146442"/>
    <w:rsid w:val="00150007"/>
    <w:rsid w:val="00150F7A"/>
    <w:rsid w:val="00152267"/>
    <w:rsid w:val="0015364E"/>
    <w:rsid w:val="0015399B"/>
    <w:rsid w:val="00153C16"/>
    <w:rsid w:val="00153D0E"/>
    <w:rsid w:val="0015448D"/>
    <w:rsid w:val="00155DDC"/>
    <w:rsid w:val="001569E8"/>
    <w:rsid w:val="00160882"/>
    <w:rsid w:val="00160BD7"/>
    <w:rsid w:val="00160E39"/>
    <w:rsid w:val="001625D6"/>
    <w:rsid w:val="00162824"/>
    <w:rsid w:val="00163F8D"/>
    <w:rsid w:val="001643C9"/>
    <w:rsid w:val="00164B72"/>
    <w:rsid w:val="00165568"/>
    <w:rsid w:val="00166082"/>
    <w:rsid w:val="00166C2F"/>
    <w:rsid w:val="00167B92"/>
    <w:rsid w:val="0017048D"/>
    <w:rsid w:val="00171395"/>
    <w:rsid w:val="001716C9"/>
    <w:rsid w:val="00176163"/>
    <w:rsid w:val="00176EBD"/>
    <w:rsid w:val="00177F22"/>
    <w:rsid w:val="001804C5"/>
    <w:rsid w:val="00184261"/>
    <w:rsid w:val="00185248"/>
    <w:rsid w:val="00190BA1"/>
    <w:rsid w:val="00190DF5"/>
    <w:rsid w:val="00191E58"/>
    <w:rsid w:val="00193461"/>
    <w:rsid w:val="0019386E"/>
    <w:rsid w:val="001939E1"/>
    <w:rsid w:val="00193C75"/>
    <w:rsid w:val="00194997"/>
    <w:rsid w:val="00194B6F"/>
    <w:rsid w:val="00195382"/>
    <w:rsid w:val="0019680B"/>
    <w:rsid w:val="001A02CD"/>
    <w:rsid w:val="001A398B"/>
    <w:rsid w:val="001A3B9F"/>
    <w:rsid w:val="001A3EEA"/>
    <w:rsid w:val="001A65C0"/>
    <w:rsid w:val="001A76BA"/>
    <w:rsid w:val="001B009A"/>
    <w:rsid w:val="001B11FA"/>
    <w:rsid w:val="001B1876"/>
    <w:rsid w:val="001B2E97"/>
    <w:rsid w:val="001B5395"/>
    <w:rsid w:val="001B6456"/>
    <w:rsid w:val="001B78B9"/>
    <w:rsid w:val="001B7A5D"/>
    <w:rsid w:val="001C1405"/>
    <w:rsid w:val="001C226F"/>
    <w:rsid w:val="001C36B1"/>
    <w:rsid w:val="001C3F43"/>
    <w:rsid w:val="001C69C4"/>
    <w:rsid w:val="001D1290"/>
    <w:rsid w:val="001D490D"/>
    <w:rsid w:val="001E038A"/>
    <w:rsid w:val="001E0A8D"/>
    <w:rsid w:val="001E2FA3"/>
    <w:rsid w:val="001E3590"/>
    <w:rsid w:val="001E3BC8"/>
    <w:rsid w:val="001E45DB"/>
    <w:rsid w:val="001E6C1D"/>
    <w:rsid w:val="001E7257"/>
    <w:rsid w:val="001E7407"/>
    <w:rsid w:val="001E7FD6"/>
    <w:rsid w:val="001F011E"/>
    <w:rsid w:val="001F110D"/>
    <w:rsid w:val="001F40A1"/>
    <w:rsid w:val="001F7A98"/>
    <w:rsid w:val="00201D27"/>
    <w:rsid w:val="002026DD"/>
    <w:rsid w:val="0020300C"/>
    <w:rsid w:val="002074BB"/>
    <w:rsid w:val="00213E38"/>
    <w:rsid w:val="0021573A"/>
    <w:rsid w:val="00220A0C"/>
    <w:rsid w:val="0022225A"/>
    <w:rsid w:val="00223E4A"/>
    <w:rsid w:val="002302EA"/>
    <w:rsid w:val="00230574"/>
    <w:rsid w:val="00231BEB"/>
    <w:rsid w:val="002328E9"/>
    <w:rsid w:val="0023453E"/>
    <w:rsid w:val="00240749"/>
    <w:rsid w:val="00240F4E"/>
    <w:rsid w:val="00241D7E"/>
    <w:rsid w:val="002448CB"/>
    <w:rsid w:val="0024672B"/>
    <w:rsid w:val="002468D7"/>
    <w:rsid w:val="002475BB"/>
    <w:rsid w:val="002476BE"/>
    <w:rsid w:val="002526C4"/>
    <w:rsid w:val="00253812"/>
    <w:rsid w:val="00254A61"/>
    <w:rsid w:val="00257547"/>
    <w:rsid w:val="002623B6"/>
    <w:rsid w:val="00263650"/>
    <w:rsid w:val="00263886"/>
    <w:rsid w:val="002656BD"/>
    <w:rsid w:val="00265E5C"/>
    <w:rsid w:val="002664AD"/>
    <w:rsid w:val="00266FD4"/>
    <w:rsid w:val="00267484"/>
    <w:rsid w:val="00272A08"/>
    <w:rsid w:val="00273C5D"/>
    <w:rsid w:val="002740BB"/>
    <w:rsid w:val="002772BC"/>
    <w:rsid w:val="00284ECF"/>
    <w:rsid w:val="00285CDD"/>
    <w:rsid w:val="00291167"/>
    <w:rsid w:val="00291878"/>
    <w:rsid w:val="00292879"/>
    <w:rsid w:val="00294BF1"/>
    <w:rsid w:val="00295491"/>
    <w:rsid w:val="002964DB"/>
    <w:rsid w:val="00296615"/>
    <w:rsid w:val="00297ECB"/>
    <w:rsid w:val="002A0C05"/>
    <w:rsid w:val="002A0E50"/>
    <w:rsid w:val="002A36C4"/>
    <w:rsid w:val="002A3C41"/>
    <w:rsid w:val="002A3F59"/>
    <w:rsid w:val="002A4445"/>
    <w:rsid w:val="002A49DA"/>
    <w:rsid w:val="002A67B5"/>
    <w:rsid w:val="002B1750"/>
    <w:rsid w:val="002B6635"/>
    <w:rsid w:val="002C02C3"/>
    <w:rsid w:val="002C091B"/>
    <w:rsid w:val="002C152A"/>
    <w:rsid w:val="002C1EE4"/>
    <w:rsid w:val="002D043A"/>
    <w:rsid w:val="002D0C72"/>
    <w:rsid w:val="002D117E"/>
    <w:rsid w:val="002D1A1A"/>
    <w:rsid w:val="002D43CB"/>
    <w:rsid w:val="002D7F9E"/>
    <w:rsid w:val="002E37FD"/>
    <w:rsid w:val="002E3A26"/>
    <w:rsid w:val="002E4260"/>
    <w:rsid w:val="002E4F5E"/>
    <w:rsid w:val="002E6990"/>
    <w:rsid w:val="002E7811"/>
    <w:rsid w:val="002E7A03"/>
    <w:rsid w:val="002E7E70"/>
    <w:rsid w:val="002F04A2"/>
    <w:rsid w:val="002F274A"/>
    <w:rsid w:val="002F2777"/>
    <w:rsid w:val="002F436F"/>
    <w:rsid w:val="002F6CDF"/>
    <w:rsid w:val="002F73F9"/>
    <w:rsid w:val="00302A1C"/>
    <w:rsid w:val="0030366E"/>
    <w:rsid w:val="00305D98"/>
    <w:rsid w:val="00306F63"/>
    <w:rsid w:val="00310C0F"/>
    <w:rsid w:val="00313B1D"/>
    <w:rsid w:val="00316F08"/>
    <w:rsid w:val="0031713F"/>
    <w:rsid w:val="00321913"/>
    <w:rsid w:val="0032296A"/>
    <w:rsid w:val="00324EE6"/>
    <w:rsid w:val="00325328"/>
    <w:rsid w:val="00330EA0"/>
    <w:rsid w:val="003315BC"/>
    <w:rsid w:val="003316DC"/>
    <w:rsid w:val="00332E0D"/>
    <w:rsid w:val="00333237"/>
    <w:rsid w:val="0033483D"/>
    <w:rsid w:val="0033489F"/>
    <w:rsid w:val="00335EF0"/>
    <w:rsid w:val="00337260"/>
    <w:rsid w:val="003415D3"/>
    <w:rsid w:val="00343DB2"/>
    <w:rsid w:val="00346335"/>
    <w:rsid w:val="00352B0F"/>
    <w:rsid w:val="003545F1"/>
    <w:rsid w:val="00354C8E"/>
    <w:rsid w:val="003561B0"/>
    <w:rsid w:val="0035655C"/>
    <w:rsid w:val="00356BF0"/>
    <w:rsid w:val="00357E71"/>
    <w:rsid w:val="00360397"/>
    <w:rsid w:val="00361B6C"/>
    <w:rsid w:val="00362E52"/>
    <w:rsid w:val="0036425C"/>
    <w:rsid w:val="00365B00"/>
    <w:rsid w:val="003678EE"/>
    <w:rsid w:val="00367960"/>
    <w:rsid w:val="00370667"/>
    <w:rsid w:val="0037096C"/>
    <w:rsid w:val="00373710"/>
    <w:rsid w:val="00373898"/>
    <w:rsid w:val="0037474F"/>
    <w:rsid w:val="00376995"/>
    <w:rsid w:val="00376A77"/>
    <w:rsid w:val="0038283F"/>
    <w:rsid w:val="003833F0"/>
    <w:rsid w:val="003850E7"/>
    <w:rsid w:val="00391C1E"/>
    <w:rsid w:val="003934E1"/>
    <w:rsid w:val="0039403D"/>
    <w:rsid w:val="003A0193"/>
    <w:rsid w:val="003A15AC"/>
    <w:rsid w:val="003A24E4"/>
    <w:rsid w:val="003A56EB"/>
    <w:rsid w:val="003A78B4"/>
    <w:rsid w:val="003B0627"/>
    <w:rsid w:val="003B40F8"/>
    <w:rsid w:val="003B682F"/>
    <w:rsid w:val="003B6E7D"/>
    <w:rsid w:val="003C0B63"/>
    <w:rsid w:val="003C1F84"/>
    <w:rsid w:val="003C2FC2"/>
    <w:rsid w:val="003C40E8"/>
    <w:rsid w:val="003C5DF3"/>
    <w:rsid w:val="003C5F2B"/>
    <w:rsid w:val="003C6E85"/>
    <w:rsid w:val="003C7896"/>
    <w:rsid w:val="003D0BFE"/>
    <w:rsid w:val="003D1C30"/>
    <w:rsid w:val="003D1ED5"/>
    <w:rsid w:val="003D228B"/>
    <w:rsid w:val="003D5700"/>
    <w:rsid w:val="003D5C6E"/>
    <w:rsid w:val="003D6580"/>
    <w:rsid w:val="003E1C37"/>
    <w:rsid w:val="003E3B9E"/>
    <w:rsid w:val="003E3F42"/>
    <w:rsid w:val="003E494E"/>
    <w:rsid w:val="003F0457"/>
    <w:rsid w:val="003F0F5A"/>
    <w:rsid w:val="003F2A88"/>
    <w:rsid w:val="003F3834"/>
    <w:rsid w:val="003F46E7"/>
    <w:rsid w:val="003F4B25"/>
    <w:rsid w:val="003F7C7C"/>
    <w:rsid w:val="00400A30"/>
    <w:rsid w:val="00401640"/>
    <w:rsid w:val="00401A60"/>
    <w:rsid w:val="004022CA"/>
    <w:rsid w:val="0040235E"/>
    <w:rsid w:val="00403252"/>
    <w:rsid w:val="0040368A"/>
    <w:rsid w:val="00403DA0"/>
    <w:rsid w:val="00406C1A"/>
    <w:rsid w:val="004116CD"/>
    <w:rsid w:val="004117F4"/>
    <w:rsid w:val="00412D72"/>
    <w:rsid w:val="0041433F"/>
    <w:rsid w:val="00414ADE"/>
    <w:rsid w:val="0041501C"/>
    <w:rsid w:val="00415D0A"/>
    <w:rsid w:val="004207A2"/>
    <w:rsid w:val="004223CF"/>
    <w:rsid w:val="004224C8"/>
    <w:rsid w:val="00424244"/>
    <w:rsid w:val="00424CA9"/>
    <w:rsid w:val="004251FA"/>
    <w:rsid w:val="004257BB"/>
    <w:rsid w:val="004258C7"/>
    <w:rsid w:val="004261D9"/>
    <w:rsid w:val="00426228"/>
    <w:rsid w:val="004301D9"/>
    <w:rsid w:val="00430B3F"/>
    <w:rsid w:val="004353C8"/>
    <w:rsid w:val="004373F9"/>
    <w:rsid w:val="004376E4"/>
    <w:rsid w:val="0044185C"/>
    <w:rsid w:val="00441F78"/>
    <w:rsid w:val="0044291A"/>
    <w:rsid w:val="00443B10"/>
    <w:rsid w:val="00443D23"/>
    <w:rsid w:val="00444CC6"/>
    <w:rsid w:val="00444FEE"/>
    <w:rsid w:val="004532FE"/>
    <w:rsid w:val="004549F0"/>
    <w:rsid w:val="004553C8"/>
    <w:rsid w:val="00456875"/>
    <w:rsid w:val="00456B80"/>
    <w:rsid w:val="00460499"/>
    <w:rsid w:val="00460542"/>
    <w:rsid w:val="00463889"/>
    <w:rsid w:val="004670CC"/>
    <w:rsid w:val="00467409"/>
    <w:rsid w:val="00467BA2"/>
    <w:rsid w:val="00467F94"/>
    <w:rsid w:val="00471969"/>
    <w:rsid w:val="00472B24"/>
    <w:rsid w:val="00472E9D"/>
    <w:rsid w:val="00472F2C"/>
    <w:rsid w:val="00474835"/>
    <w:rsid w:val="00474CAB"/>
    <w:rsid w:val="0047556B"/>
    <w:rsid w:val="00476106"/>
    <w:rsid w:val="004801A3"/>
    <w:rsid w:val="004805C2"/>
    <w:rsid w:val="0048118D"/>
    <w:rsid w:val="004819C7"/>
    <w:rsid w:val="0048364F"/>
    <w:rsid w:val="00483A59"/>
    <w:rsid w:val="00485215"/>
    <w:rsid w:val="00485A64"/>
    <w:rsid w:val="00486867"/>
    <w:rsid w:val="00490F2E"/>
    <w:rsid w:val="004952AE"/>
    <w:rsid w:val="004961F8"/>
    <w:rsid w:val="004968DC"/>
    <w:rsid w:val="00496DB3"/>
    <w:rsid w:val="00496F97"/>
    <w:rsid w:val="00497BA7"/>
    <w:rsid w:val="00497BB3"/>
    <w:rsid w:val="004A096D"/>
    <w:rsid w:val="004A3AE1"/>
    <w:rsid w:val="004A45DB"/>
    <w:rsid w:val="004A53EA"/>
    <w:rsid w:val="004A6AA4"/>
    <w:rsid w:val="004A78AF"/>
    <w:rsid w:val="004B0936"/>
    <w:rsid w:val="004B161B"/>
    <w:rsid w:val="004B198B"/>
    <w:rsid w:val="004B31D7"/>
    <w:rsid w:val="004B57D8"/>
    <w:rsid w:val="004C0F9F"/>
    <w:rsid w:val="004C1C57"/>
    <w:rsid w:val="004C2F0D"/>
    <w:rsid w:val="004C3F00"/>
    <w:rsid w:val="004C4FE5"/>
    <w:rsid w:val="004C5D40"/>
    <w:rsid w:val="004D2B68"/>
    <w:rsid w:val="004D2CB9"/>
    <w:rsid w:val="004D46AE"/>
    <w:rsid w:val="004D5F8E"/>
    <w:rsid w:val="004D6BAA"/>
    <w:rsid w:val="004D776D"/>
    <w:rsid w:val="004D7B8E"/>
    <w:rsid w:val="004E3A04"/>
    <w:rsid w:val="004E4087"/>
    <w:rsid w:val="004E677A"/>
    <w:rsid w:val="004E7135"/>
    <w:rsid w:val="004F0B46"/>
    <w:rsid w:val="004F1FAC"/>
    <w:rsid w:val="004F23A8"/>
    <w:rsid w:val="004F23CD"/>
    <w:rsid w:val="004F3836"/>
    <w:rsid w:val="004F4BA5"/>
    <w:rsid w:val="004F5CF6"/>
    <w:rsid w:val="004F6232"/>
    <w:rsid w:val="004F676E"/>
    <w:rsid w:val="004F6BC4"/>
    <w:rsid w:val="004F6C10"/>
    <w:rsid w:val="004F74D2"/>
    <w:rsid w:val="004F7DB0"/>
    <w:rsid w:val="0050158E"/>
    <w:rsid w:val="005054F5"/>
    <w:rsid w:val="005055AB"/>
    <w:rsid w:val="00507164"/>
    <w:rsid w:val="005078E4"/>
    <w:rsid w:val="005116A1"/>
    <w:rsid w:val="00511D97"/>
    <w:rsid w:val="00512A0F"/>
    <w:rsid w:val="005162C8"/>
    <w:rsid w:val="00516B8D"/>
    <w:rsid w:val="0051713E"/>
    <w:rsid w:val="005210A5"/>
    <w:rsid w:val="0052512F"/>
    <w:rsid w:val="00525139"/>
    <w:rsid w:val="00526381"/>
    <w:rsid w:val="005266DF"/>
    <w:rsid w:val="0052686F"/>
    <w:rsid w:val="0052756C"/>
    <w:rsid w:val="00530230"/>
    <w:rsid w:val="005305A5"/>
    <w:rsid w:val="00530CC9"/>
    <w:rsid w:val="00530E60"/>
    <w:rsid w:val="005312E4"/>
    <w:rsid w:val="00531DEC"/>
    <w:rsid w:val="005328D1"/>
    <w:rsid w:val="0053333D"/>
    <w:rsid w:val="00533432"/>
    <w:rsid w:val="00535996"/>
    <w:rsid w:val="00536F4A"/>
    <w:rsid w:val="00537FBC"/>
    <w:rsid w:val="00541D73"/>
    <w:rsid w:val="00542A5B"/>
    <w:rsid w:val="00542C50"/>
    <w:rsid w:val="005430CD"/>
    <w:rsid w:val="00543469"/>
    <w:rsid w:val="005452CC"/>
    <w:rsid w:val="00546FA3"/>
    <w:rsid w:val="00550A4C"/>
    <w:rsid w:val="00550DAE"/>
    <w:rsid w:val="00553DAA"/>
    <w:rsid w:val="00553E0E"/>
    <w:rsid w:val="00554243"/>
    <w:rsid w:val="00554F39"/>
    <w:rsid w:val="005573BF"/>
    <w:rsid w:val="00557C7A"/>
    <w:rsid w:val="00561ACB"/>
    <w:rsid w:val="00561B0F"/>
    <w:rsid w:val="00561BF0"/>
    <w:rsid w:val="00562A58"/>
    <w:rsid w:val="00563105"/>
    <w:rsid w:val="005637F1"/>
    <w:rsid w:val="00564925"/>
    <w:rsid w:val="00564D02"/>
    <w:rsid w:val="005655D9"/>
    <w:rsid w:val="00570FFE"/>
    <w:rsid w:val="0057154F"/>
    <w:rsid w:val="005748C7"/>
    <w:rsid w:val="00574A57"/>
    <w:rsid w:val="00575FCB"/>
    <w:rsid w:val="00576CC1"/>
    <w:rsid w:val="00577F4D"/>
    <w:rsid w:val="00580D48"/>
    <w:rsid w:val="00581211"/>
    <w:rsid w:val="00583843"/>
    <w:rsid w:val="00584811"/>
    <w:rsid w:val="00585BA0"/>
    <w:rsid w:val="00587094"/>
    <w:rsid w:val="00587440"/>
    <w:rsid w:val="00590101"/>
    <w:rsid w:val="005905F3"/>
    <w:rsid w:val="00591AD0"/>
    <w:rsid w:val="00592BF3"/>
    <w:rsid w:val="0059319D"/>
    <w:rsid w:val="00593AA6"/>
    <w:rsid w:val="00594161"/>
    <w:rsid w:val="00594749"/>
    <w:rsid w:val="00595847"/>
    <w:rsid w:val="005A0693"/>
    <w:rsid w:val="005A12F9"/>
    <w:rsid w:val="005A1DAF"/>
    <w:rsid w:val="005A20D4"/>
    <w:rsid w:val="005A482B"/>
    <w:rsid w:val="005A4EE3"/>
    <w:rsid w:val="005A5BF9"/>
    <w:rsid w:val="005B0D98"/>
    <w:rsid w:val="005B0E5E"/>
    <w:rsid w:val="005B3830"/>
    <w:rsid w:val="005B4067"/>
    <w:rsid w:val="005B554C"/>
    <w:rsid w:val="005B565A"/>
    <w:rsid w:val="005B5869"/>
    <w:rsid w:val="005C2B53"/>
    <w:rsid w:val="005C36E0"/>
    <w:rsid w:val="005C3F41"/>
    <w:rsid w:val="005C53F1"/>
    <w:rsid w:val="005C63CD"/>
    <w:rsid w:val="005C7E90"/>
    <w:rsid w:val="005D168D"/>
    <w:rsid w:val="005D1FA1"/>
    <w:rsid w:val="005D3BFF"/>
    <w:rsid w:val="005D3E63"/>
    <w:rsid w:val="005D48C5"/>
    <w:rsid w:val="005D5A80"/>
    <w:rsid w:val="005D5EA1"/>
    <w:rsid w:val="005E1B42"/>
    <w:rsid w:val="005E2DAA"/>
    <w:rsid w:val="005E61D3"/>
    <w:rsid w:val="005E69C2"/>
    <w:rsid w:val="005F04E5"/>
    <w:rsid w:val="005F30F9"/>
    <w:rsid w:val="005F5B19"/>
    <w:rsid w:val="005F6CCA"/>
    <w:rsid w:val="005F7738"/>
    <w:rsid w:val="00600219"/>
    <w:rsid w:val="006011CF"/>
    <w:rsid w:val="006040C1"/>
    <w:rsid w:val="00604B49"/>
    <w:rsid w:val="00604B53"/>
    <w:rsid w:val="0060525B"/>
    <w:rsid w:val="00607068"/>
    <w:rsid w:val="0060770E"/>
    <w:rsid w:val="00607C6E"/>
    <w:rsid w:val="00611817"/>
    <w:rsid w:val="0061256F"/>
    <w:rsid w:val="006133A1"/>
    <w:rsid w:val="006137E6"/>
    <w:rsid w:val="00613EAD"/>
    <w:rsid w:val="006158AC"/>
    <w:rsid w:val="00615A37"/>
    <w:rsid w:val="0062003F"/>
    <w:rsid w:val="00620BAA"/>
    <w:rsid w:val="006232DA"/>
    <w:rsid w:val="00630879"/>
    <w:rsid w:val="00633158"/>
    <w:rsid w:val="0063375D"/>
    <w:rsid w:val="00633AE4"/>
    <w:rsid w:val="00633E0F"/>
    <w:rsid w:val="00635C33"/>
    <w:rsid w:val="006377D2"/>
    <w:rsid w:val="00640402"/>
    <w:rsid w:val="00640F78"/>
    <w:rsid w:val="00642A0E"/>
    <w:rsid w:val="00644B1C"/>
    <w:rsid w:val="00645415"/>
    <w:rsid w:val="0064603A"/>
    <w:rsid w:val="00646E7B"/>
    <w:rsid w:val="00650394"/>
    <w:rsid w:val="00652E49"/>
    <w:rsid w:val="00654055"/>
    <w:rsid w:val="00654395"/>
    <w:rsid w:val="00655D6A"/>
    <w:rsid w:val="00656A76"/>
    <w:rsid w:val="00656D77"/>
    <w:rsid w:val="00656DE9"/>
    <w:rsid w:val="006579D9"/>
    <w:rsid w:val="0066159A"/>
    <w:rsid w:val="00662F53"/>
    <w:rsid w:val="00664471"/>
    <w:rsid w:val="0066716C"/>
    <w:rsid w:val="00672514"/>
    <w:rsid w:val="00672724"/>
    <w:rsid w:val="00674C70"/>
    <w:rsid w:val="00675BA5"/>
    <w:rsid w:val="0067739D"/>
    <w:rsid w:val="00677CC2"/>
    <w:rsid w:val="0068108E"/>
    <w:rsid w:val="00682A5C"/>
    <w:rsid w:val="0068449A"/>
    <w:rsid w:val="006847E2"/>
    <w:rsid w:val="00685F42"/>
    <w:rsid w:val="006866A1"/>
    <w:rsid w:val="006868A3"/>
    <w:rsid w:val="00686A86"/>
    <w:rsid w:val="00686C34"/>
    <w:rsid w:val="006910FB"/>
    <w:rsid w:val="00691929"/>
    <w:rsid w:val="00691EF7"/>
    <w:rsid w:val="0069207B"/>
    <w:rsid w:val="006929EF"/>
    <w:rsid w:val="00697DE0"/>
    <w:rsid w:val="006A22B1"/>
    <w:rsid w:val="006A4309"/>
    <w:rsid w:val="006A5E3F"/>
    <w:rsid w:val="006B0E55"/>
    <w:rsid w:val="006B3AD8"/>
    <w:rsid w:val="006B7006"/>
    <w:rsid w:val="006C3069"/>
    <w:rsid w:val="006C3329"/>
    <w:rsid w:val="006C5A54"/>
    <w:rsid w:val="006C7F8C"/>
    <w:rsid w:val="006D155B"/>
    <w:rsid w:val="006D1DCD"/>
    <w:rsid w:val="006D2878"/>
    <w:rsid w:val="006D3A87"/>
    <w:rsid w:val="006D5866"/>
    <w:rsid w:val="006D586A"/>
    <w:rsid w:val="006D6054"/>
    <w:rsid w:val="006D6353"/>
    <w:rsid w:val="006D7AB9"/>
    <w:rsid w:val="006E38F0"/>
    <w:rsid w:val="006E45CA"/>
    <w:rsid w:val="006F0F33"/>
    <w:rsid w:val="006F3EAD"/>
    <w:rsid w:val="006F477B"/>
    <w:rsid w:val="006F4922"/>
    <w:rsid w:val="006F5614"/>
    <w:rsid w:val="006F5B72"/>
    <w:rsid w:val="00700B2C"/>
    <w:rsid w:val="007034F7"/>
    <w:rsid w:val="00710634"/>
    <w:rsid w:val="0071135E"/>
    <w:rsid w:val="00711921"/>
    <w:rsid w:val="00711A14"/>
    <w:rsid w:val="00712CB3"/>
    <w:rsid w:val="00713084"/>
    <w:rsid w:val="00713B80"/>
    <w:rsid w:val="0071473E"/>
    <w:rsid w:val="00715A66"/>
    <w:rsid w:val="00720B2C"/>
    <w:rsid w:val="00720FC2"/>
    <w:rsid w:val="0072291A"/>
    <w:rsid w:val="00722E87"/>
    <w:rsid w:val="0072345E"/>
    <w:rsid w:val="007302FB"/>
    <w:rsid w:val="00731E00"/>
    <w:rsid w:val="00732E9D"/>
    <w:rsid w:val="007333C7"/>
    <w:rsid w:val="00734601"/>
    <w:rsid w:val="0073491A"/>
    <w:rsid w:val="00736E26"/>
    <w:rsid w:val="0074347B"/>
    <w:rsid w:val="007434F8"/>
    <w:rsid w:val="00743979"/>
    <w:rsid w:val="007440B7"/>
    <w:rsid w:val="007446A8"/>
    <w:rsid w:val="00744EA2"/>
    <w:rsid w:val="007455F0"/>
    <w:rsid w:val="00746036"/>
    <w:rsid w:val="007475F1"/>
    <w:rsid w:val="00747993"/>
    <w:rsid w:val="007546A8"/>
    <w:rsid w:val="0075605F"/>
    <w:rsid w:val="00757821"/>
    <w:rsid w:val="00761156"/>
    <w:rsid w:val="007634AD"/>
    <w:rsid w:val="00763869"/>
    <w:rsid w:val="00763EE7"/>
    <w:rsid w:val="00763FF8"/>
    <w:rsid w:val="00765E6B"/>
    <w:rsid w:val="00766202"/>
    <w:rsid w:val="007715C9"/>
    <w:rsid w:val="007726E6"/>
    <w:rsid w:val="00773221"/>
    <w:rsid w:val="00773F7D"/>
    <w:rsid w:val="007746E9"/>
    <w:rsid w:val="00774EDD"/>
    <w:rsid w:val="007757EC"/>
    <w:rsid w:val="00776289"/>
    <w:rsid w:val="00784BFE"/>
    <w:rsid w:val="0079031B"/>
    <w:rsid w:val="00792211"/>
    <w:rsid w:val="007928B5"/>
    <w:rsid w:val="00792B48"/>
    <w:rsid w:val="0079348D"/>
    <w:rsid w:val="00793B2D"/>
    <w:rsid w:val="0079403E"/>
    <w:rsid w:val="0079586E"/>
    <w:rsid w:val="007976D6"/>
    <w:rsid w:val="00797CDA"/>
    <w:rsid w:val="007A115D"/>
    <w:rsid w:val="007A23D6"/>
    <w:rsid w:val="007A35E6"/>
    <w:rsid w:val="007A3ED7"/>
    <w:rsid w:val="007A55C7"/>
    <w:rsid w:val="007A6083"/>
    <w:rsid w:val="007A6863"/>
    <w:rsid w:val="007B1452"/>
    <w:rsid w:val="007B1A7A"/>
    <w:rsid w:val="007B2585"/>
    <w:rsid w:val="007C40F2"/>
    <w:rsid w:val="007C4E16"/>
    <w:rsid w:val="007C57DA"/>
    <w:rsid w:val="007C6CB2"/>
    <w:rsid w:val="007C713B"/>
    <w:rsid w:val="007C7C82"/>
    <w:rsid w:val="007D45C1"/>
    <w:rsid w:val="007D57B1"/>
    <w:rsid w:val="007D69DD"/>
    <w:rsid w:val="007D7DF7"/>
    <w:rsid w:val="007E1E6C"/>
    <w:rsid w:val="007E2985"/>
    <w:rsid w:val="007E2991"/>
    <w:rsid w:val="007E442C"/>
    <w:rsid w:val="007E73DF"/>
    <w:rsid w:val="007E7D4A"/>
    <w:rsid w:val="007E7EA8"/>
    <w:rsid w:val="007F47EF"/>
    <w:rsid w:val="007F48ED"/>
    <w:rsid w:val="007F4D69"/>
    <w:rsid w:val="007F5450"/>
    <w:rsid w:val="007F61E6"/>
    <w:rsid w:val="007F7947"/>
    <w:rsid w:val="007F7AA3"/>
    <w:rsid w:val="007F7E30"/>
    <w:rsid w:val="008049BA"/>
    <w:rsid w:val="00805511"/>
    <w:rsid w:val="008076E2"/>
    <w:rsid w:val="008120BC"/>
    <w:rsid w:val="00812F45"/>
    <w:rsid w:val="00816DB1"/>
    <w:rsid w:val="0082112F"/>
    <w:rsid w:val="00823B55"/>
    <w:rsid w:val="00824308"/>
    <w:rsid w:val="008261F7"/>
    <w:rsid w:val="00834E8A"/>
    <w:rsid w:val="008353E6"/>
    <w:rsid w:val="00835B73"/>
    <w:rsid w:val="0084172C"/>
    <w:rsid w:val="00845B0F"/>
    <w:rsid w:val="00846787"/>
    <w:rsid w:val="00846F9B"/>
    <w:rsid w:val="008477D3"/>
    <w:rsid w:val="0085086B"/>
    <w:rsid w:val="008519FF"/>
    <w:rsid w:val="00853929"/>
    <w:rsid w:val="00856A31"/>
    <w:rsid w:val="0086002C"/>
    <w:rsid w:val="00860EDF"/>
    <w:rsid w:val="00861841"/>
    <w:rsid w:val="00864688"/>
    <w:rsid w:val="0086676F"/>
    <w:rsid w:val="008669A9"/>
    <w:rsid w:val="00873D46"/>
    <w:rsid w:val="00874CF1"/>
    <w:rsid w:val="008754D0"/>
    <w:rsid w:val="00876948"/>
    <w:rsid w:val="0087735B"/>
    <w:rsid w:val="00877D48"/>
    <w:rsid w:val="008816F0"/>
    <w:rsid w:val="00881C90"/>
    <w:rsid w:val="00882884"/>
    <w:rsid w:val="0088345B"/>
    <w:rsid w:val="00884F67"/>
    <w:rsid w:val="008867A1"/>
    <w:rsid w:val="008871B4"/>
    <w:rsid w:val="00893280"/>
    <w:rsid w:val="00893C7E"/>
    <w:rsid w:val="008A16A5"/>
    <w:rsid w:val="008A77EE"/>
    <w:rsid w:val="008B4728"/>
    <w:rsid w:val="008B5D42"/>
    <w:rsid w:val="008C2B5D"/>
    <w:rsid w:val="008C32A1"/>
    <w:rsid w:val="008C4AA9"/>
    <w:rsid w:val="008C4CF6"/>
    <w:rsid w:val="008C7877"/>
    <w:rsid w:val="008C78EC"/>
    <w:rsid w:val="008D04FD"/>
    <w:rsid w:val="008D0EE0"/>
    <w:rsid w:val="008D40DA"/>
    <w:rsid w:val="008D58F0"/>
    <w:rsid w:val="008D5B99"/>
    <w:rsid w:val="008D7A27"/>
    <w:rsid w:val="008E0639"/>
    <w:rsid w:val="008E1ECC"/>
    <w:rsid w:val="008E4226"/>
    <w:rsid w:val="008E44DA"/>
    <w:rsid w:val="008E44FB"/>
    <w:rsid w:val="008E4702"/>
    <w:rsid w:val="008E4B76"/>
    <w:rsid w:val="008E69AA"/>
    <w:rsid w:val="008E7155"/>
    <w:rsid w:val="008E7D5B"/>
    <w:rsid w:val="008F0D6A"/>
    <w:rsid w:val="008F4F1C"/>
    <w:rsid w:val="008F7267"/>
    <w:rsid w:val="008F7FC7"/>
    <w:rsid w:val="009032C1"/>
    <w:rsid w:val="0090336F"/>
    <w:rsid w:val="00905502"/>
    <w:rsid w:val="00906457"/>
    <w:rsid w:val="009065B4"/>
    <w:rsid w:val="00906F5A"/>
    <w:rsid w:val="00910E1F"/>
    <w:rsid w:val="009122C9"/>
    <w:rsid w:val="00912FC6"/>
    <w:rsid w:val="00917B68"/>
    <w:rsid w:val="00921148"/>
    <w:rsid w:val="00922764"/>
    <w:rsid w:val="00925494"/>
    <w:rsid w:val="00925783"/>
    <w:rsid w:val="00927F72"/>
    <w:rsid w:val="00930BAD"/>
    <w:rsid w:val="00932377"/>
    <w:rsid w:val="00932424"/>
    <w:rsid w:val="00934526"/>
    <w:rsid w:val="009349F6"/>
    <w:rsid w:val="00936597"/>
    <w:rsid w:val="00937218"/>
    <w:rsid w:val="009408EA"/>
    <w:rsid w:val="00943102"/>
    <w:rsid w:val="00944EE1"/>
    <w:rsid w:val="0094523D"/>
    <w:rsid w:val="009452A9"/>
    <w:rsid w:val="00945BCB"/>
    <w:rsid w:val="00945C4D"/>
    <w:rsid w:val="009462D9"/>
    <w:rsid w:val="009469C9"/>
    <w:rsid w:val="0095080D"/>
    <w:rsid w:val="009521A7"/>
    <w:rsid w:val="00955508"/>
    <w:rsid w:val="009559E6"/>
    <w:rsid w:val="00956925"/>
    <w:rsid w:val="00957209"/>
    <w:rsid w:val="009574EB"/>
    <w:rsid w:val="00960AD7"/>
    <w:rsid w:val="009613E2"/>
    <w:rsid w:val="00962DCF"/>
    <w:rsid w:val="0096555F"/>
    <w:rsid w:val="00965B11"/>
    <w:rsid w:val="00967C17"/>
    <w:rsid w:val="00975BE6"/>
    <w:rsid w:val="00976A63"/>
    <w:rsid w:val="00981847"/>
    <w:rsid w:val="00983419"/>
    <w:rsid w:val="009855D9"/>
    <w:rsid w:val="0098560D"/>
    <w:rsid w:val="00986264"/>
    <w:rsid w:val="00986896"/>
    <w:rsid w:val="009919AD"/>
    <w:rsid w:val="00994821"/>
    <w:rsid w:val="00997A24"/>
    <w:rsid w:val="009A10A1"/>
    <w:rsid w:val="009A2A66"/>
    <w:rsid w:val="009A48C4"/>
    <w:rsid w:val="009B6E7B"/>
    <w:rsid w:val="009B770E"/>
    <w:rsid w:val="009B7B55"/>
    <w:rsid w:val="009B7DB5"/>
    <w:rsid w:val="009C1BC1"/>
    <w:rsid w:val="009C3431"/>
    <w:rsid w:val="009C36A1"/>
    <w:rsid w:val="009C3A18"/>
    <w:rsid w:val="009C5989"/>
    <w:rsid w:val="009D04AC"/>
    <w:rsid w:val="009D08DA"/>
    <w:rsid w:val="009D1DA2"/>
    <w:rsid w:val="009D2919"/>
    <w:rsid w:val="009D7D1F"/>
    <w:rsid w:val="009E0C55"/>
    <w:rsid w:val="009E276B"/>
    <w:rsid w:val="009E302E"/>
    <w:rsid w:val="009E5876"/>
    <w:rsid w:val="009E6638"/>
    <w:rsid w:val="009E6FCF"/>
    <w:rsid w:val="009F1828"/>
    <w:rsid w:val="009F56FE"/>
    <w:rsid w:val="009F654D"/>
    <w:rsid w:val="00A02F8C"/>
    <w:rsid w:val="00A05D8A"/>
    <w:rsid w:val="00A06860"/>
    <w:rsid w:val="00A06AEA"/>
    <w:rsid w:val="00A124AC"/>
    <w:rsid w:val="00A12C73"/>
    <w:rsid w:val="00A13007"/>
    <w:rsid w:val="00A136F5"/>
    <w:rsid w:val="00A13BEA"/>
    <w:rsid w:val="00A14DA2"/>
    <w:rsid w:val="00A16538"/>
    <w:rsid w:val="00A20CD9"/>
    <w:rsid w:val="00A22781"/>
    <w:rsid w:val="00A2310B"/>
    <w:rsid w:val="00A231E2"/>
    <w:rsid w:val="00A2550D"/>
    <w:rsid w:val="00A262BA"/>
    <w:rsid w:val="00A30AD5"/>
    <w:rsid w:val="00A3194B"/>
    <w:rsid w:val="00A32B34"/>
    <w:rsid w:val="00A33EFE"/>
    <w:rsid w:val="00A36C29"/>
    <w:rsid w:val="00A3713A"/>
    <w:rsid w:val="00A37867"/>
    <w:rsid w:val="00A40FBB"/>
    <w:rsid w:val="00A4169B"/>
    <w:rsid w:val="00A43A96"/>
    <w:rsid w:val="00A445F2"/>
    <w:rsid w:val="00A462BC"/>
    <w:rsid w:val="00A464D7"/>
    <w:rsid w:val="00A50D55"/>
    <w:rsid w:val="00A5165B"/>
    <w:rsid w:val="00A52FDA"/>
    <w:rsid w:val="00A532A7"/>
    <w:rsid w:val="00A5370A"/>
    <w:rsid w:val="00A5416C"/>
    <w:rsid w:val="00A54C49"/>
    <w:rsid w:val="00A56095"/>
    <w:rsid w:val="00A57B86"/>
    <w:rsid w:val="00A62033"/>
    <w:rsid w:val="00A63572"/>
    <w:rsid w:val="00A63C66"/>
    <w:rsid w:val="00A64912"/>
    <w:rsid w:val="00A67D52"/>
    <w:rsid w:val="00A67F90"/>
    <w:rsid w:val="00A702CC"/>
    <w:rsid w:val="00A70A74"/>
    <w:rsid w:val="00A71E3A"/>
    <w:rsid w:val="00A7225B"/>
    <w:rsid w:val="00A72895"/>
    <w:rsid w:val="00A73DA7"/>
    <w:rsid w:val="00A74C1C"/>
    <w:rsid w:val="00A768FA"/>
    <w:rsid w:val="00A819AE"/>
    <w:rsid w:val="00A81A05"/>
    <w:rsid w:val="00A8368E"/>
    <w:rsid w:val="00A84C29"/>
    <w:rsid w:val="00A85E21"/>
    <w:rsid w:val="00A87522"/>
    <w:rsid w:val="00A90EA8"/>
    <w:rsid w:val="00A9156E"/>
    <w:rsid w:val="00A92F43"/>
    <w:rsid w:val="00A93697"/>
    <w:rsid w:val="00A93B79"/>
    <w:rsid w:val="00A95107"/>
    <w:rsid w:val="00A9582E"/>
    <w:rsid w:val="00A95E26"/>
    <w:rsid w:val="00AA0343"/>
    <w:rsid w:val="00AA0BA5"/>
    <w:rsid w:val="00AA0C5E"/>
    <w:rsid w:val="00AA2A5C"/>
    <w:rsid w:val="00AA321E"/>
    <w:rsid w:val="00AA561E"/>
    <w:rsid w:val="00AA69FB"/>
    <w:rsid w:val="00AA7FBA"/>
    <w:rsid w:val="00AB0A49"/>
    <w:rsid w:val="00AB2439"/>
    <w:rsid w:val="00AB648B"/>
    <w:rsid w:val="00AB6C69"/>
    <w:rsid w:val="00AB78E9"/>
    <w:rsid w:val="00AC57A2"/>
    <w:rsid w:val="00AC6426"/>
    <w:rsid w:val="00AC7630"/>
    <w:rsid w:val="00AC7CFD"/>
    <w:rsid w:val="00AD196A"/>
    <w:rsid w:val="00AD1B6C"/>
    <w:rsid w:val="00AD1DDB"/>
    <w:rsid w:val="00AD3467"/>
    <w:rsid w:val="00AD5641"/>
    <w:rsid w:val="00AD673A"/>
    <w:rsid w:val="00AD6CD7"/>
    <w:rsid w:val="00AD7252"/>
    <w:rsid w:val="00AE0F9B"/>
    <w:rsid w:val="00AE242F"/>
    <w:rsid w:val="00AE25C8"/>
    <w:rsid w:val="00AE30C4"/>
    <w:rsid w:val="00AE6AB9"/>
    <w:rsid w:val="00AE6BA0"/>
    <w:rsid w:val="00AF3732"/>
    <w:rsid w:val="00AF41D0"/>
    <w:rsid w:val="00AF55FF"/>
    <w:rsid w:val="00B032D8"/>
    <w:rsid w:val="00B0408E"/>
    <w:rsid w:val="00B05CF6"/>
    <w:rsid w:val="00B07593"/>
    <w:rsid w:val="00B076FD"/>
    <w:rsid w:val="00B07BC2"/>
    <w:rsid w:val="00B10011"/>
    <w:rsid w:val="00B103EE"/>
    <w:rsid w:val="00B11B1D"/>
    <w:rsid w:val="00B11F49"/>
    <w:rsid w:val="00B12A51"/>
    <w:rsid w:val="00B14D9C"/>
    <w:rsid w:val="00B15445"/>
    <w:rsid w:val="00B1554A"/>
    <w:rsid w:val="00B159E6"/>
    <w:rsid w:val="00B15E48"/>
    <w:rsid w:val="00B165CD"/>
    <w:rsid w:val="00B1738B"/>
    <w:rsid w:val="00B200B3"/>
    <w:rsid w:val="00B23A57"/>
    <w:rsid w:val="00B25F93"/>
    <w:rsid w:val="00B26056"/>
    <w:rsid w:val="00B27E57"/>
    <w:rsid w:val="00B3090A"/>
    <w:rsid w:val="00B31DEE"/>
    <w:rsid w:val="00B33B3C"/>
    <w:rsid w:val="00B34D40"/>
    <w:rsid w:val="00B36383"/>
    <w:rsid w:val="00B369AE"/>
    <w:rsid w:val="00B4055D"/>
    <w:rsid w:val="00B405DA"/>
    <w:rsid w:val="00B40C59"/>
    <w:rsid w:val="00B40D74"/>
    <w:rsid w:val="00B42A32"/>
    <w:rsid w:val="00B4492F"/>
    <w:rsid w:val="00B46DBC"/>
    <w:rsid w:val="00B516C3"/>
    <w:rsid w:val="00B52663"/>
    <w:rsid w:val="00B52A94"/>
    <w:rsid w:val="00B537EA"/>
    <w:rsid w:val="00B54FFB"/>
    <w:rsid w:val="00B56DCB"/>
    <w:rsid w:val="00B60680"/>
    <w:rsid w:val="00B62752"/>
    <w:rsid w:val="00B63E93"/>
    <w:rsid w:val="00B70677"/>
    <w:rsid w:val="00B70DB5"/>
    <w:rsid w:val="00B7189A"/>
    <w:rsid w:val="00B76CF1"/>
    <w:rsid w:val="00B770D2"/>
    <w:rsid w:val="00B806C0"/>
    <w:rsid w:val="00B86730"/>
    <w:rsid w:val="00B90287"/>
    <w:rsid w:val="00B93644"/>
    <w:rsid w:val="00B94F68"/>
    <w:rsid w:val="00B96143"/>
    <w:rsid w:val="00B97562"/>
    <w:rsid w:val="00BA0C1E"/>
    <w:rsid w:val="00BA3EEC"/>
    <w:rsid w:val="00BA47A3"/>
    <w:rsid w:val="00BA5026"/>
    <w:rsid w:val="00BB0C5B"/>
    <w:rsid w:val="00BB1EDA"/>
    <w:rsid w:val="00BB29C9"/>
    <w:rsid w:val="00BB6E3B"/>
    <w:rsid w:val="00BB6E79"/>
    <w:rsid w:val="00BB700C"/>
    <w:rsid w:val="00BB7F5E"/>
    <w:rsid w:val="00BC2606"/>
    <w:rsid w:val="00BC47BE"/>
    <w:rsid w:val="00BC6B0C"/>
    <w:rsid w:val="00BC78CD"/>
    <w:rsid w:val="00BC79DB"/>
    <w:rsid w:val="00BD08A0"/>
    <w:rsid w:val="00BD163D"/>
    <w:rsid w:val="00BD44D8"/>
    <w:rsid w:val="00BD49C4"/>
    <w:rsid w:val="00BD63F4"/>
    <w:rsid w:val="00BD6ECE"/>
    <w:rsid w:val="00BD7A5A"/>
    <w:rsid w:val="00BE3B31"/>
    <w:rsid w:val="00BE45C6"/>
    <w:rsid w:val="00BE556A"/>
    <w:rsid w:val="00BE57B8"/>
    <w:rsid w:val="00BE719A"/>
    <w:rsid w:val="00BE720A"/>
    <w:rsid w:val="00BF3372"/>
    <w:rsid w:val="00BF3748"/>
    <w:rsid w:val="00BF4AD8"/>
    <w:rsid w:val="00BF6650"/>
    <w:rsid w:val="00C00CC1"/>
    <w:rsid w:val="00C01292"/>
    <w:rsid w:val="00C02132"/>
    <w:rsid w:val="00C02C04"/>
    <w:rsid w:val="00C02E43"/>
    <w:rsid w:val="00C0341C"/>
    <w:rsid w:val="00C03A10"/>
    <w:rsid w:val="00C03B3B"/>
    <w:rsid w:val="00C04FB0"/>
    <w:rsid w:val="00C063AA"/>
    <w:rsid w:val="00C067E5"/>
    <w:rsid w:val="00C07279"/>
    <w:rsid w:val="00C12CAC"/>
    <w:rsid w:val="00C13C2D"/>
    <w:rsid w:val="00C15A17"/>
    <w:rsid w:val="00C164CA"/>
    <w:rsid w:val="00C17D5E"/>
    <w:rsid w:val="00C2151E"/>
    <w:rsid w:val="00C24FC4"/>
    <w:rsid w:val="00C2519F"/>
    <w:rsid w:val="00C257C7"/>
    <w:rsid w:val="00C25F3E"/>
    <w:rsid w:val="00C26CFA"/>
    <w:rsid w:val="00C300D2"/>
    <w:rsid w:val="00C33C07"/>
    <w:rsid w:val="00C35394"/>
    <w:rsid w:val="00C356F2"/>
    <w:rsid w:val="00C36BF9"/>
    <w:rsid w:val="00C3758B"/>
    <w:rsid w:val="00C40B44"/>
    <w:rsid w:val="00C40F83"/>
    <w:rsid w:val="00C41411"/>
    <w:rsid w:val="00C42BF8"/>
    <w:rsid w:val="00C43BEE"/>
    <w:rsid w:val="00C441FC"/>
    <w:rsid w:val="00C4446F"/>
    <w:rsid w:val="00C44511"/>
    <w:rsid w:val="00C459D5"/>
    <w:rsid w:val="00C460AE"/>
    <w:rsid w:val="00C46372"/>
    <w:rsid w:val="00C4732D"/>
    <w:rsid w:val="00C50043"/>
    <w:rsid w:val="00C503B8"/>
    <w:rsid w:val="00C50A0F"/>
    <w:rsid w:val="00C52119"/>
    <w:rsid w:val="00C555D7"/>
    <w:rsid w:val="00C60FFE"/>
    <w:rsid w:val="00C63C1C"/>
    <w:rsid w:val="00C641BA"/>
    <w:rsid w:val="00C65D2A"/>
    <w:rsid w:val="00C67B1D"/>
    <w:rsid w:val="00C67F79"/>
    <w:rsid w:val="00C72550"/>
    <w:rsid w:val="00C7502F"/>
    <w:rsid w:val="00C7573B"/>
    <w:rsid w:val="00C76CF3"/>
    <w:rsid w:val="00C76F09"/>
    <w:rsid w:val="00C770A7"/>
    <w:rsid w:val="00C77C44"/>
    <w:rsid w:val="00C8044D"/>
    <w:rsid w:val="00C81AD2"/>
    <w:rsid w:val="00C86E27"/>
    <w:rsid w:val="00C922EB"/>
    <w:rsid w:val="00C926DF"/>
    <w:rsid w:val="00C92D14"/>
    <w:rsid w:val="00C92D95"/>
    <w:rsid w:val="00C95175"/>
    <w:rsid w:val="00C96829"/>
    <w:rsid w:val="00CA17A9"/>
    <w:rsid w:val="00CA2EAA"/>
    <w:rsid w:val="00CA318E"/>
    <w:rsid w:val="00CA3436"/>
    <w:rsid w:val="00CA7844"/>
    <w:rsid w:val="00CB16FC"/>
    <w:rsid w:val="00CB3AF9"/>
    <w:rsid w:val="00CB516F"/>
    <w:rsid w:val="00CB5822"/>
    <w:rsid w:val="00CB58EF"/>
    <w:rsid w:val="00CB7B92"/>
    <w:rsid w:val="00CC35BC"/>
    <w:rsid w:val="00CD03B7"/>
    <w:rsid w:val="00CD1747"/>
    <w:rsid w:val="00CD45EF"/>
    <w:rsid w:val="00CD49E6"/>
    <w:rsid w:val="00CD50CC"/>
    <w:rsid w:val="00CE04D9"/>
    <w:rsid w:val="00CE0563"/>
    <w:rsid w:val="00CE0CB6"/>
    <w:rsid w:val="00CE61C3"/>
    <w:rsid w:val="00CE7D64"/>
    <w:rsid w:val="00CF074E"/>
    <w:rsid w:val="00CF0BB2"/>
    <w:rsid w:val="00CF1CC5"/>
    <w:rsid w:val="00CF2243"/>
    <w:rsid w:val="00CF3BF0"/>
    <w:rsid w:val="00CF44F8"/>
    <w:rsid w:val="00CF69F9"/>
    <w:rsid w:val="00CF6B43"/>
    <w:rsid w:val="00D0009A"/>
    <w:rsid w:val="00D01B7E"/>
    <w:rsid w:val="00D05FDF"/>
    <w:rsid w:val="00D0648C"/>
    <w:rsid w:val="00D10479"/>
    <w:rsid w:val="00D13441"/>
    <w:rsid w:val="00D142D6"/>
    <w:rsid w:val="00D15DA7"/>
    <w:rsid w:val="00D20665"/>
    <w:rsid w:val="00D20E4B"/>
    <w:rsid w:val="00D243A3"/>
    <w:rsid w:val="00D246C4"/>
    <w:rsid w:val="00D2639F"/>
    <w:rsid w:val="00D3183C"/>
    <w:rsid w:val="00D3200B"/>
    <w:rsid w:val="00D333D1"/>
    <w:rsid w:val="00D33440"/>
    <w:rsid w:val="00D347E3"/>
    <w:rsid w:val="00D36CAA"/>
    <w:rsid w:val="00D41319"/>
    <w:rsid w:val="00D45949"/>
    <w:rsid w:val="00D46F1B"/>
    <w:rsid w:val="00D521B9"/>
    <w:rsid w:val="00D52EFE"/>
    <w:rsid w:val="00D546BD"/>
    <w:rsid w:val="00D55F4E"/>
    <w:rsid w:val="00D56A0D"/>
    <w:rsid w:val="00D5767F"/>
    <w:rsid w:val="00D62B01"/>
    <w:rsid w:val="00D63EF6"/>
    <w:rsid w:val="00D66518"/>
    <w:rsid w:val="00D66A24"/>
    <w:rsid w:val="00D70A8F"/>
    <w:rsid w:val="00D70DFB"/>
    <w:rsid w:val="00D71EEA"/>
    <w:rsid w:val="00D735CD"/>
    <w:rsid w:val="00D73C4B"/>
    <w:rsid w:val="00D7509C"/>
    <w:rsid w:val="00D756E5"/>
    <w:rsid w:val="00D75F0C"/>
    <w:rsid w:val="00D766DF"/>
    <w:rsid w:val="00D7680F"/>
    <w:rsid w:val="00D81C59"/>
    <w:rsid w:val="00D82CFC"/>
    <w:rsid w:val="00D82F57"/>
    <w:rsid w:val="00D838BD"/>
    <w:rsid w:val="00D84374"/>
    <w:rsid w:val="00D844EF"/>
    <w:rsid w:val="00D90D68"/>
    <w:rsid w:val="00D90F5C"/>
    <w:rsid w:val="00D91426"/>
    <w:rsid w:val="00D951B5"/>
    <w:rsid w:val="00D95891"/>
    <w:rsid w:val="00DA4048"/>
    <w:rsid w:val="00DB070B"/>
    <w:rsid w:val="00DB08EC"/>
    <w:rsid w:val="00DB11F2"/>
    <w:rsid w:val="00DB19E7"/>
    <w:rsid w:val="00DB20A1"/>
    <w:rsid w:val="00DB367C"/>
    <w:rsid w:val="00DB417C"/>
    <w:rsid w:val="00DB5CB4"/>
    <w:rsid w:val="00DB6FB6"/>
    <w:rsid w:val="00DC0312"/>
    <w:rsid w:val="00DC044A"/>
    <w:rsid w:val="00DD1986"/>
    <w:rsid w:val="00DD200C"/>
    <w:rsid w:val="00DD27EB"/>
    <w:rsid w:val="00DD2814"/>
    <w:rsid w:val="00DD4C6F"/>
    <w:rsid w:val="00DD5E58"/>
    <w:rsid w:val="00DD6A02"/>
    <w:rsid w:val="00DD7AF2"/>
    <w:rsid w:val="00DE0287"/>
    <w:rsid w:val="00DE04C6"/>
    <w:rsid w:val="00DE0B7A"/>
    <w:rsid w:val="00DE0F16"/>
    <w:rsid w:val="00DE149E"/>
    <w:rsid w:val="00DE17C1"/>
    <w:rsid w:val="00DE1BA8"/>
    <w:rsid w:val="00DE394E"/>
    <w:rsid w:val="00DE5040"/>
    <w:rsid w:val="00DE5A18"/>
    <w:rsid w:val="00DE6D4B"/>
    <w:rsid w:val="00DF36E5"/>
    <w:rsid w:val="00E00072"/>
    <w:rsid w:val="00E0207D"/>
    <w:rsid w:val="00E021D9"/>
    <w:rsid w:val="00E03049"/>
    <w:rsid w:val="00E03F7E"/>
    <w:rsid w:val="00E05071"/>
    <w:rsid w:val="00E05704"/>
    <w:rsid w:val="00E0617F"/>
    <w:rsid w:val="00E06A28"/>
    <w:rsid w:val="00E10453"/>
    <w:rsid w:val="00E10DC0"/>
    <w:rsid w:val="00E12212"/>
    <w:rsid w:val="00E12F1A"/>
    <w:rsid w:val="00E14B66"/>
    <w:rsid w:val="00E15561"/>
    <w:rsid w:val="00E16006"/>
    <w:rsid w:val="00E21CFB"/>
    <w:rsid w:val="00E22037"/>
    <w:rsid w:val="00E2237D"/>
    <w:rsid w:val="00E22935"/>
    <w:rsid w:val="00E238D0"/>
    <w:rsid w:val="00E2408C"/>
    <w:rsid w:val="00E31107"/>
    <w:rsid w:val="00E332CA"/>
    <w:rsid w:val="00E35EEA"/>
    <w:rsid w:val="00E369D4"/>
    <w:rsid w:val="00E373C4"/>
    <w:rsid w:val="00E427A1"/>
    <w:rsid w:val="00E44375"/>
    <w:rsid w:val="00E46313"/>
    <w:rsid w:val="00E46E19"/>
    <w:rsid w:val="00E47C45"/>
    <w:rsid w:val="00E52061"/>
    <w:rsid w:val="00E54292"/>
    <w:rsid w:val="00E56AEA"/>
    <w:rsid w:val="00E600E3"/>
    <w:rsid w:val="00E60191"/>
    <w:rsid w:val="00E608BF"/>
    <w:rsid w:val="00E65BE4"/>
    <w:rsid w:val="00E65FF7"/>
    <w:rsid w:val="00E6600E"/>
    <w:rsid w:val="00E6601F"/>
    <w:rsid w:val="00E669A8"/>
    <w:rsid w:val="00E67B83"/>
    <w:rsid w:val="00E740EE"/>
    <w:rsid w:val="00E7467F"/>
    <w:rsid w:val="00E74DC7"/>
    <w:rsid w:val="00E75FDB"/>
    <w:rsid w:val="00E76A41"/>
    <w:rsid w:val="00E77F81"/>
    <w:rsid w:val="00E8176A"/>
    <w:rsid w:val="00E81B1B"/>
    <w:rsid w:val="00E832C7"/>
    <w:rsid w:val="00E84136"/>
    <w:rsid w:val="00E85F43"/>
    <w:rsid w:val="00E87699"/>
    <w:rsid w:val="00E91633"/>
    <w:rsid w:val="00E92E27"/>
    <w:rsid w:val="00E955C3"/>
    <w:rsid w:val="00E9586B"/>
    <w:rsid w:val="00E97334"/>
    <w:rsid w:val="00EA0680"/>
    <w:rsid w:val="00EA0D36"/>
    <w:rsid w:val="00EA2EF7"/>
    <w:rsid w:val="00EA4294"/>
    <w:rsid w:val="00EA58DB"/>
    <w:rsid w:val="00EB2D10"/>
    <w:rsid w:val="00EB52D1"/>
    <w:rsid w:val="00EB733C"/>
    <w:rsid w:val="00EB74C6"/>
    <w:rsid w:val="00EC1216"/>
    <w:rsid w:val="00EC194F"/>
    <w:rsid w:val="00EC22ED"/>
    <w:rsid w:val="00EC5079"/>
    <w:rsid w:val="00EC686D"/>
    <w:rsid w:val="00EC6FFF"/>
    <w:rsid w:val="00ED4095"/>
    <w:rsid w:val="00ED4928"/>
    <w:rsid w:val="00ED59C6"/>
    <w:rsid w:val="00ED5C26"/>
    <w:rsid w:val="00ED63D2"/>
    <w:rsid w:val="00ED6F01"/>
    <w:rsid w:val="00ED740B"/>
    <w:rsid w:val="00ED779C"/>
    <w:rsid w:val="00EE3749"/>
    <w:rsid w:val="00EE3F4E"/>
    <w:rsid w:val="00EE5026"/>
    <w:rsid w:val="00EE6190"/>
    <w:rsid w:val="00EE6990"/>
    <w:rsid w:val="00EF094D"/>
    <w:rsid w:val="00EF2E3A"/>
    <w:rsid w:val="00EF6402"/>
    <w:rsid w:val="00EF751D"/>
    <w:rsid w:val="00F00595"/>
    <w:rsid w:val="00F01F12"/>
    <w:rsid w:val="00F025DF"/>
    <w:rsid w:val="00F035BC"/>
    <w:rsid w:val="00F047E2"/>
    <w:rsid w:val="00F04D57"/>
    <w:rsid w:val="00F078DC"/>
    <w:rsid w:val="00F13E86"/>
    <w:rsid w:val="00F17DB0"/>
    <w:rsid w:val="00F22FA6"/>
    <w:rsid w:val="00F23BC8"/>
    <w:rsid w:val="00F25F4E"/>
    <w:rsid w:val="00F2718A"/>
    <w:rsid w:val="00F32FCB"/>
    <w:rsid w:val="00F34DE2"/>
    <w:rsid w:val="00F36EC7"/>
    <w:rsid w:val="00F401CD"/>
    <w:rsid w:val="00F409BC"/>
    <w:rsid w:val="00F425B2"/>
    <w:rsid w:val="00F45EBA"/>
    <w:rsid w:val="00F479A4"/>
    <w:rsid w:val="00F51C3C"/>
    <w:rsid w:val="00F52A9D"/>
    <w:rsid w:val="00F55C91"/>
    <w:rsid w:val="00F57DC6"/>
    <w:rsid w:val="00F60589"/>
    <w:rsid w:val="00F61978"/>
    <w:rsid w:val="00F6709F"/>
    <w:rsid w:val="00F677A9"/>
    <w:rsid w:val="00F7071F"/>
    <w:rsid w:val="00F71646"/>
    <w:rsid w:val="00F723BD"/>
    <w:rsid w:val="00F732EA"/>
    <w:rsid w:val="00F74A28"/>
    <w:rsid w:val="00F74C6E"/>
    <w:rsid w:val="00F77151"/>
    <w:rsid w:val="00F7784B"/>
    <w:rsid w:val="00F77D49"/>
    <w:rsid w:val="00F819CD"/>
    <w:rsid w:val="00F84CF5"/>
    <w:rsid w:val="00F8612E"/>
    <w:rsid w:val="00F86842"/>
    <w:rsid w:val="00F87B92"/>
    <w:rsid w:val="00F915C0"/>
    <w:rsid w:val="00F92531"/>
    <w:rsid w:val="00F92556"/>
    <w:rsid w:val="00F92952"/>
    <w:rsid w:val="00F94945"/>
    <w:rsid w:val="00F94A57"/>
    <w:rsid w:val="00F958A5"/>
    <w:rsid w:val="00FA09EE"/>
    <w:rsid w:val="00FA420B"/>
    <w:rsid w:val="00FA4563"/>
    <w:rsid w:val="00FA5F42"/>
    <w:rsid w:val="00FA7A25"/>
    <w:rsid w:val="00FB4C9A"/>
    <w:rsid w:val="00FB5E7B"/>
    <w:rsid w:val="00FB6DF6"/>
    <w:rsid w:val="00FC25D3"/>
    <w:rsid w:val="00FC6BE3"/>
    <w:rsid w:val="00FD4096"/>
    <w:rsid w:val="00FD5374"/>
    <w:rsid w:val="00FE0781"/>
    <w:rsid w:val="00FE11B6"/>
    <w:rsid w:val="00FE2B2B"/>
    <w:rsid w:val="00FE325E"/>
    <w:rsid w:val="00FE54D4"/>
    <w:rsid w:val="00FE5FA4"/>
    <w:rsid w:val="00FF2749"/>
    <w:rsid w:val="00FF3844"/>
    <w:rsid w:val="00FF39DE"/>
    <w:rsid w:val="00FF5D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7985"/>
    <o:shapelayout v:ext="edit">
      <o:idmap v:ext="edit" data="1"/>
    </o:shapelayout>
  </w:shapeDefaults>
  <w:decimalSymbol w:val="."/>
  <w:listSeparator w:val=","/>
  <w14:docId w14:val="0EA2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B1EDA"/>
    <w:pPr>
      <w:spacing w:line="260" w:lineRule="atLeast"/>
    </w:pPr>
    <w:rPr>
      <w:sz w:val="22"/>
    </w:rPr>
  </w:style>
  <w:style w:type="paragraph" w:styleId="Heading1">
    <w:name w:val="heading 1"/>
    <w:basedOn w:val="Normal"/>
    <w:next w:val="Normal"/>
    <w:link w:val="Heading1Char"/>
    <w:uiPriority w:val="9"/>
    <w:qFormat/>
    <w:rsid w:val="00BB1ED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1ED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1ED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1ED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B1ED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B1ED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B1ED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B1ED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B1ED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B1EDA"/>
  </w:style>
  <w:style w:type="paragraph" w:customStyle="1" w:styleId="OPCParaBase">
    <w:name w:val="OPCParaBase"/>
    <w:qFormat/>
    <w:rsid w:val="00BB1EDA"/>
    <w:pPr>
      <w:spacing w:line="260" w:lineRule="atLeast"/>
    </w:pPr>
    <w:rPr>
      <w:rFonts w:eastAsia="Times New Roman" w:cs="Times New Roman"/>
      <w:sz w:val="22"/>
      <w:lang w:eastAsia="en-AU"/>
    </w:rPr>
  </w:style>
  <w:style w:type="paragraph" w:customStyle="1" w:styleId="ShortT">
    <w:name w:val="ShortT"/>
    <w:basedOn w:val="OPCParaBase"/>
    <w:next w:val="Normal"/>
    <w:qFormat/>
    <w:rsid w:val="00BB1EDA"/>
    <w:pPr>
      <w:spacing w:line="240" w:lineRule="auto"/>
    </w:pPr>
    <w:rPr>
      <w:b/>
      <w:sz w:val="40"/>
    </w:rPr>
  </w:style>
  <w:style w:type="paragraph" w:customStyle="1" w:styleId="ActHead1">
    <w:name w:val="ActHead 1"/>
    <w:aliases w:val="c"/>
    <w:basedOn w:val="OPCParaBase"/>
    <w:next w:val="Normal"/>
    <w:qFormat/>
    <w:rsid w:val="00BB1E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B1E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B1E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B1E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B1E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B1E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B1E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B1E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B1E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B1EDA"/>
  </w:style>
  <w:style w:type="paragraph" w:customStyle="1" w:styleId="Blocks">
    <w:name w:val="Blocks"/>
    <w:aliases w:val="bb"/>
    <w:basedOn w:val="OPCParaBase"/>
    <w:qFormat/>
    <w:rsid w:val="00BB1EDA"/>
    <w:pPr>
      <w:spacing w:line="240" w:lineRule="auto"/>
    </w:pPr>
    <w:rPr>
      <w:sz w:val="24"/>
    </w:rPr>
  </w:style>
  <w:style w:type="paragraph" w:customStyle="1" w:styleId="BoxText">
    <w:name w:val="BoxText"/>
    <w:aliases w:val="bt"/>
    <w:basedOn w:val="OPCParaBase"/>
    <w:qFormat/>
    <w:rsid w:val="00BB1E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B1EDA"/>
    <w:rPr>
      <w:b/>
    </w:rPr>
  </w:style>
  <w:style w:type="paragraph" w:customStyle="1" w:styleId="BoxHeadItalic">
    <w:name w:val="BoxHeadItalic"/>
    <w:aliases w:val="bhi"/>
    <w:basedOn w:val="BoxText"/>
    <w:next w:val="BoxStep"/>
    <w:qFormat/>
    <w:rsid w:val="00BB1EDA"/>
    <w:rPr>
      <w:i/>
    </w:rPr>
  </w:style>
  <w:style w:type="paragraph" w:customStyle="1" w:styleId="BoxList">
    <w:name w:val="BoxList"/>
    <w:aliases w:val="bl"/>
    <w:basedOn w:val="BoxText"/>
    <w:qFormat/>
    <w:rsid w:val="00BB1EDA"/>
    <w:pPr>
      <w:ind w:left="1559" w:hanging="425"/>
    </w:pPr>
  </w:style>
  <w:style w:type="paragraph" w:customStyle="1" w:styleId="BoxNote">
    <w:name w:val="BoxNote"/>
    <w:aliases w:val="bn"/>
    <w:basedOn w:val="BoxText"/>
    <w:qFormat/>
    <w:rsid w:val="00BB1EDA"/>
    <w:pPr>
      <w:tabs>
        <w:tab w:val="left" w:pos="1985"/>
      </w:tabs>
      <w:spacing w:before="122" w:line="198" w:lineRule="exact"/>
      <w:ind w:left="2948" w:hanging="1814"/>
    </w:pPr>
    <w:rPr>
      <w:sz w:val="18"/>
    </w:rPr>
  </w:style>
  <w:style w:type="paragraph" w:customStyle="1" w:styleId="BoxPara">
    <w:name w:val="BoxPara"/>
    <w:aliases w:val="bp"/>
    <w:basedOn w:val="BoxText"/>
    <w:qFormat/>
    <w:rsid w:val="00BB1EDA"/>
    <w:pPr>
      <w:tabs>
        <w:tab w:val="right" w:pos="2268"/>
      </w:tabs>
      <w:ind w:left="2552" w:hanging="1418"/>
    </w:pPr>
  </w:style>
  <w:style w:type="paragraph" w:customStyle="1" w:styleId="BoxStep">
    <w:name w:val="BoxStep"/>
    <w:aliases w:val="bs"/>
    <w:basedOn w:val="BoxText"/>
    <w:qFormat/>
    <w:rsid w:val="00BB1EDA"/>
    <w:pPr>
      <w:ind w:left="1985" w:hanging="851"/>
    </w:pPr>
  </w:style>
  <w:style w:type="character" w:customStyle="1" w:styleId="CharAmPartNo">
    <w:name w:val="CharAmPartNo"/>
    <w:basedOn w:val="OPCCharBase"/>
    <w:qFormat/>
    <w:rsid w:val="00BB1EDA"/>
  </w:style>
  <w:style w:type="character" w:customStyle="1" w:styleId="CharAmPartText">
    <w:name w:val="CharAmPartText"/>
    <w:basedOn w:val="OPCCharBase"/>
    <w:qFormat/>
    <w:rsid w:val="00BB1EDA"/>
  </w:style>
  <w:style w:type="character" w:customStyle="1" w:styleId="CharAmSchNo">
    <w:name w:val="CharAmSchNo"/>
    <w:basedOn w:val="OPCCharBase"/>
    <w:qFormat/>
    <w:rsid w:val="00BB1EDA"/>
  </w:style>
  <w:style w:type="character" w:customStyle="1" w:styleId="CharAmSchText">
    <w:name w:val="CharAmSchText"/>
    <w:basedOn w:val="OPCCharBase"/>
    <w:qFormat/>
    <w:rsid w:val="00BB1EDA"/>
  </w:style>
  <w:style w:type="character" w:customStyle="1" w:styleId="CharBoldItalic">
    <w:name w:val="CharBoldItalic"/>
    <w:basedOn w:val="OPCCharBase"/>
    <w:uiPriority w:val="1"/>
    <w:qFormat/>
    <w:rsid w:val="00BB1EDA"/>
    <w:rPr>
      <w:b/>
      <w:i/>
    </w:rPr>
  </w:style>
  <w:style w:type="character" w:customStyle="1" w:styleId="CharChapNo">
    <w:name w:val="CharChapNo"/>
    <w:basedOn w:val="OPCCharBase"/>
    <w:uiPriority w:val="1"/>
    <w:qFormat/>
    <w:rsid w:val="00BB1EDA"/>
  </w:style>
  <w:style w:type="character" w:customStyle="1" w:styleId="CharChapText">
    <w:name w:val="CharChapText"/>
    <w:basedOn w:val="OPCCharBase"/>
    <w:uiPriority w:val="1"/>
    <w:qFormat/>
    <w:rsid w:val="00BB1EDA"/>
  </w:style>
  <w:style w:type="character" w:customStyle="1" w:styleId="CharDivNo">
    <w:name w:val="CharDivNo"/>
    <w:basedOn w:val="OPCCharBase"/>
    <w:uiPriority w:val="1"/>
    <w:qFormat/>
    <w:rsid w:val="00BB1EDA"/>
  </w:style>
  <w:style w:type="character" w:customStyle="1" w:styleId="CharDivText">
    <w:name w:val="CharDivText"/>
    <w:basedOn w:val="OPCCharBase"/>
    <w:uiPriority w:val="1"/>
    <w:qFormat/>
    <w:rsid w:val="00BB1EDA"/>
  </w:style>
  <w:style w:type="character" w:customStyle="1" w:styleId="CharItalic">
    <w:name w:val="CharItalic"/>
    <w:basedOn w:val="OPCCharBase"/>
    <w:uiPriority w:val="1"/>
    <w:qFormat/>
    <w:rsid w:val="00BB1EDA"/>
    <w:rPr>
      <w:i/>
    </w:rPr>
  </w:style>
  <w:style w:type="character" w:customStyle="1" w:styleId="CharPartNo">
    <w:name w:val="CharPartNo"/>
    <w:basedOn w:val="OPCCharBase"/>
    <w:uiPriority w:val="1"/>
    <w:qFormat/>
    <w:rsid w:val="00BB1EDA"/>
  </w:style>
  <w:style w:type="character" w:customStyle="1" w:styleId="CharPartText">
    <w:name w:val="CharPartText"/>
    <w:basedOn w:val="OPCCharBase"/>
    <w:uiPriority w:val="1"/>
    <w:qFormat/>
    <w:rsid w:val="00BB1EDA"/>
  </w:style>
  <w:style w:type="character" w:customStyle="1" w:styleId="CharSectno">
    <w:name w:val="CharSectno"/>
    <w:basedOn w:val="OPCCharBase"/>
    <w:qFormat/>
    <w:rsid w:val="00BB1EDA"/>
  </w:style>
  <w:style w:type="character" w:customStyle="1" w:styleId="CharSubdNo">
    <w:name w:val="CharSubdNo"/>
    <w:basedOn w:val="OPCCharBase"/>
    <w:uiPriority w:val="1"/>
    <w:qFormat/>
    <w:rsid w:val="00BB1EDA"/>
  </w:style>
  <w:style w:type="character" w:customStyle="1" w:styleId="CharSubdText">
    <w:name w:val="CharSubdText"/>
    <w:basedOn w:val="OPCCharBase"/>
    <w:uiPriority w:val="1"/>
    <w:qFormat/>
    <w:rsid w:val="00BB1EDA"/>
  </w:style>
  <w:style w:type="paragraph" w:customStyle="1" w:styleId="CTA--">
    <w:name w:val="CTA --"/>
    <w:basedOn w:val="OPCParaBase"/>
    <w:next w:val="Normal"/>
    <w:rsid w:val="00BB1EDA"/>
    <w:pPr>
      <w:spacing w:before="60" w:line="240" w:lineRule="atLeast"/>
      <w:ind w:left="142" w:hanging="142"/>
    </w:pPr>
    <w:rPr>
      <w:sz w:val="20"/>
    </w:rPr>
  </w:style>
  <w:style w:type="paragraph" w:customStyle="1" w:styleId="CTA-">
    <w:name w:val="CTA -"/>
    <w:basedOn w:val="OPCParaBase"/>
    <w:rsid w:val="00BB1EDA"/>
    <w:pPr>
      <w:spacing w:before="60" w:line="240" w:lineRule="atLeast"/>
      <w:ind w:left="85" w:hanging="85"/>
    </w:pPr>
    <w:rPr>
      <w:sz w:val="20"/>
    </w:rPr>
  </w:style>
  <w:style w:type="paragraph" w:customStyle="1" w:styleId="CTA---">
    <w:name w:val="CTA ---"/>
    <w:basedOn w:val="OPCParaBase"/>
    <w:next w:val="Normal"/>
    <w:rsid w:val="00BB1EDA"/>
    <w:pPr>
      <w:spacing w:before="60" w:line="240" w:lineRule="atLeast"/>
      <w:ind w:left="198" w:hanging="198"/>
    </w:pPr>
    <w:rPr>
      <w:sz w:val="20"/>
    </w:rPr>
  </w:style>
  <w:style w:type="paragraph" w:customStyle="1" w:styleId="CTA----">
    <w:name w:val="CTA ----"/>
    <w:basedOn w:val="OPCParaBase"/>
    <w:next w:val="Normal"/>
    <w:rsid w:val="00BB1EDA"/>
    <w:pPr>
      <w:spacing w:before="60" w:line="240" w:lineRule="atLeast"/>
      <w:ind w:left="255" w:hanging="255"/>
    </w:pPr>
    <w:rPr>
      <w:sz w:val="20"/>
    </w:rPr>
  </w:style>
  <w:style w:type="paragraph" w:customStyle="1" w:styleId="CTA1a">
    <w:name w:val="CTA 1(a)"/>
    <w:basedOn w:val="OPCParaBase"/>
    <w:rsid w:val="00BB1EDA"/>
    <w:pPr>
      <w:tabs>
        <w:tab w:val="right" w:pos="414"/>
      </w:tabs>
      <w:spacing w:before="40" w:line="240" w:lineRule="atLeast"/>
      <w:ind w:left="675" w:hanging="675"/>
    </w:pPr>
    <w:rPr>
      <w:sz w:val="20"/>
    </w:rPr>
  </w:style>
  <w:style w:type="paragraph" w:customStyle="1" w:styleId="CTA1ai">
    <w:name w:val="CTA 1(a)(i)"/>
    <w:basedOn w:val="OPCParaBase"/>
    <w:rsid w:val="00BB1EDA"/>
    <w:pPr>
      <w:tabs>
        <w:tab w:val="right" w:pos="1004"/>
      </w:tabs>
      <w:spacing w:before="40" w:line="240" w:lineRule="atLeast"/>
      <w:ind w:left="1253" w:hanging="1253"/>
    </w:pPr>
    <w:rPr>
      <w:sz w:val="20"/>
    </w:rPr>
  </w:style>
  <w:style w:type="paragraph" w:customStyle="1" w:styleId="CTA2a">
    <w:name w:val="CTA 2(a)"/>
    <w:basedOn w:val="OPCParaBase"/>
    <w:rsid w:val="00BB1EDA"/>
    <w:pPr>
      <w:tabs>
        <w:tab w:val="right" w:pos="482"/>
      </w:tabs>
      <w:spacing w:before="40" w:line="240" w:lineRule="atLeast"/>
      <w:ind w:left="748" w:hanging="748"/>
    </w:pPr>
    <w:rPr>
      <w:sz w:val="20"/>
    </w:rPr>
  </w:style>
  <w:style w:type="paragraph" w:customStyle="1" w:styleId="CTA2ai">
    <w:name w:val="CTA 2(a)(i)"/>
    <w:basedOn w:val="OPCParaBase"/>
    <w:rsid w:val="00BB1EDA"/>
    <w:pPr>
      <w:tabs>
        <w:tab w:val="right" w:pos="1089"/>
      </w:tabs>
      <w:spacing w:before="40" w:line="240" w:lineRule="atLeast"/>
      <w:ind w:left="1327" w:hanging="1327"/>
    </w:pPr>
    <w:rPr>
      <w:sz w:val="20"/>
    </w:rPr>
  </w:style>
  <w:style w:type="paragraph" w:customStyle="1" w:styleId="CTA3a">
    <w:name w:val="CTA 3(a)"/>
    <w:basedOn w:val="OPCParaBase"/>
    <w:rsid w:val="00BB1EDA"/>
    <w:pPr>
      <w:tabs>
        <w:tab w:val="right" w:pos="556"/>
      </w:tabs>
      <w:spacing w:before="40" w:line="240" w:lineRule="atLeast"/>
      <w:ind w:left="805" w:hanging="805"/>
    </w:pPr>
    <w:rPr>
      <w:sz w:val="20"/>
    </w:rPr>
  </w:style>
  <w:style w:type="paragraph" w:customStyle="1" w:styleId="CTA3ai">
    <w:name w:val="CTA 3(a)(i)"/>
    <w:basedOn w:val="OPCParaBase"/>
    <w:rsid w:val="00BB1EDA"/>
    <w:pPr>
      <w:tabs>
        <w:tab w:val="right" w:pos="1140"/>
      </w:tabs>
      <w:spacing w:before="40" w:line="240" w:lineRule="atLeast"/>
      <w:ind w:left="1361" w:hanging="1361"/>
    </w:pPr>
    <w:rPr>
      <w:sz w:val="20"/>
    </w:rPr>
  </w:style>
  <w:style w:type="paragraph" w:customStyle="1" w:styleId="CTA4a">
    <w:name w:val="CTA 4(a)"/>
    <w:basedOn w:val="OPCParaBase"/>
    <w:rsid w:val="00BB1EDA"/>
    <w:pPr>
      <w:tabs>
        <w:tab w:val="right" w:pos="624"/>
      </w:tabs>
      <w:spacing w:before="40" w:line="240" w:lineRule="atLeast"/>
      <w:ind w:left="873" w:hanging="873"/>
    </w:pPr>
    <w:rPr>
      <w:sz w:val="20"/>
    </w:rPr>
  </w:style>
  <w:style w:type="paragraph" w:customStyle="1" w:styleId="CTA4ai">
    <w:name w:val="CTA 4(a)(i)"/>
    <w:basedOn w:val="OPCParaBase"/>
    <w:rsid w:val="00BB1EDA"/>
    <w:pPr>
      <w:tabs>
        <w:tab w:val="right" w:pos="1213"/>
      </w:tabs>
      <w:spacing w:before="40" w:line="240" w:lineRule="atLeast"/>
      <w:ind w:left="1452" w:hanging="1452"/>
    </w:pPr>
    <w:rPr>
      <w:sz w:val="20"/>
    </w:rPr>
  </w:style>
  <w:style w:type="paragraph" w:customStyle="1" w:styleId="CTACAPS">
    <w:name w:val="CTA CAPS"/>
    <w:basedOn w:val="OPCParaBase"/>
    <w:rsid w:val="00BB1EDA"/>
    <w:pPr>
      <w:spacing w:before="60" w:line="240" w:lineRule="atLeast"/>
    </w:pPr>
    <w:rPr>
      <w:sz w:val="20"/>
    </w:rPr>
  </w:style>
  <w:style w:type="paragraph" w:customStyle="1" w:styleId="CTAright">
    <w:name w:val="CTA right"/>
    <w:basedOn w:val="OPCParaBase"/>
    <w:rsid w:val="00BB1EDA"/>
    <w:pPr>
      <w:spacing w:before="60" w:line="240" w:lineRule="auto"/>
      <w:jc w:val="right"/>
    </w:pPr>
    <w:rPr>
      <w:sz w:val="20"/>
    </w:rPr>
  </w:style>
  <w:style w:type="paragraph" w:customStyle="1" w:styleId="subsection">
    <w:name w:val="subsection"/>
    <w:aliases w:val="ss,Subsection"/>
    <w:basedOn w:val="OPCParaBase"/>
    <w:link w:val="subsectionChar"/>
    <w:rsid w:val="00BB1EDA"/>
    <w:pPr>
      <w:tabs>
        <w:tab w:val="right" w:pos="1021"/>
      </w:tabs>
      <w:spacing w:before="180" w:line="240" w:lineRule="auto"/>
      <w:ind w:left="1134" w:hanging="1134"/>
    </w:pPr>
  </w:style>
  <w:style w:type="paragraph" w:customStyle="1" w:styleId="Definition">
    <w:name w:val="Definition"/>
    <w:aliases w:val="dd"/>
    <w:basedOn w:val="OPCParaBase"/>
    <w:rsid w:val="00BB1EDA"/>
    <w:pPr>
      <w:spacing w:before="180" w:line="240" w:lineRule="auto"/>
      <w:ind w:left="1134"/>
    </w:pPr>
  </w:style>
  <w:style w:type="paragraph" w:customStyle="1" w:styleId="ETAsubitem">
    <w:name w:val="ETA(subitem)"/>
    <w:basedOn w:val="OPCParaBase"/>
    <w:rsid w:val="00BB1EDA"/>
    <w:pPr>
      <w:tabs>
        <w:tab w:val="right" w:pos="340"/>
      </w:tabs>
      <w:spacing w:before="60" w:line="240" w:lineRule="auto"/>
      <w:ind w:left="454" w:hanging="454"/>
    </w:pPr>
    <w:rPr>
      <w:sz w:val="20"/>
    </w:rPr>
  </w:style>
  <w:style w:type="paragraph" w:customStyle="1" w:styleId="ETApara">
    <w:name w:val="ETA(para)"/>
    <w:basedOn w:val="OPCParaBase"/>
    <w:rsid w:val="00BB1EDA"/>
    <w:pPr>
      <w:tabs>
        <w:tab w:val="right" w:pos="754"/>
      </w:tabs>
      <w:spacing w:before="60" w:line="240" w:lineRule="auto"/>
      <w:ind w:left="828" w:hanging="828"/>
    </w:pPr>
    <w:rPr>
      <w:sz w:val="20"/>
    </w:rPr>
  </w:style>
  <w:style w:type="paragraph" w:customStyle="1" w:styleId="ETAsubpara">
    <w:name w:val="ETA(subpara)"/>
    <w:basedOn w:val="OPCParaBase"/>
    <w:rsid w:val="00BB1EDA"/>
    <w:pPr>
      <w:tabs>
        <w:tab w:val="right" w:pos="1083"/>
      </w:tabs>
      <w:spacing w:before="60" w:line="240" w:lineRule="auto"/>
      <w:ind w:left="1191" w:hanging="1191"/>
    </w:pPr>
    <w:rPr>
      <w:sz w:val="20"/>
    </w:rPr>
  </w:style>
  <w:style w:type="paragraph" w:customStyle="1" w:styleId="ETAsub-subpara">
    <w:name w:val="ETA(sub-subpara)"/>
    <w:basedOn w:val="OPCParaBase"/>
    <w:rsid w:val="00BB1EDA"/>
    <w:pPr>
      <w:tabs>
        <w:tab w:val="right" w:pos="1412"/>
      </w:tabs>
      <w:spacing w:before="60" w:line="240" w:lineRule="auto"/>
      <w:ind w:left="1525" w:hanging="1525"/>
    </w:pPr>
    <w:rPr>
      <w:sz w:val="20"/>
    </w:rPr>
  </w:style>
  <w:style w:type="paragraph" w:customStyle="1" w:styleId="Formula">
    <w:name w:val="Formula"/>
    <w:basedOn w:val="OPCParaBase"/>
    <w:rsid w:val="00BB1EDA"/>
    <w:pPr>
      <w:spacing w:line="240" w:lineRule="auto"/>
      <w:ind w:left="1134"/>
    </w:pPr>
    <w:rPr>
      <w:sz w:val="20"/>
    </w:rPr>
  </w:style>
  <w:style w:type="paragraph" w:styleId="Header">
    <w:name w:val="header"/>
    <w:basedOn w:val="OPCParaBase"/>
    <w:link w:val="HeaderChar"/>
    <w:unhideWhenUsed/>
    <w:rsid w:val="00BB1E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B1EDA"/>
    <w:rPr>
      <w:rFonts w:eastAsia="Times New Roman" w:cs="Times New Roman"/>
      <w:sz w:val="16"/>
      <w:lang w:eastAsia="en-AU"/>
    </w:rPr>
  </w:style>
  <w:style w:type="paragraph" w:customStyle="1" w:styleId="House">
    <w:name w:val="House"/>
    <w:basedOn w:val="OPCParaBase"/>
    <w:rsid w:val="00BB1EDA"/>
    <w:pPr>
      <w:spacing w:line="240" w:lineRule="auto"/>
    </w:pPr>
    <w:rPr>
      <w:sz w:val="28"/>
    </w:rPr>
  </w:style>
  <w:style w:type="paragraph" w:customStyle="1" w:styleId="Item">
    <w:name w:val="Item"/>
    <w:aliases w:val="i"/>
    <w:basedOn w:val="OPCParaBase"/>
    <w:next w:val="ItemHead"/>
    <w:link w:val="ItemChar"/>
    <w:rsid w:val="00BB1EDA"/>
    <w:pPr>
      <w:keepLines/>
      <w:spacing w:before="80" w:line="240" w:lineRule="auto"/>
      <w:ind w:left="709"/>
    </w:pPr>
  </w:style>
  <w:style w:type="paragraph" w:customStyle="1" w:styleId="ItemHead">
    <w:name w:val="ItemHead"/>
    <w:aliases w:val="ih"/>
    <w:basedOn w:val="OPCParaBase"/>
    <w:next w:val="Item"/>
    <w:link w:val="ItemHeadChar"/>
    <w:rsid w:val="00BB1E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B1EDA"/>
    <w:pPr>
      <w:spacing w:line="240" w:lineRule="auto"/>
    </w:pPr>
    <w:rPr>
      <w:b/>
      <w:sz w:val="32"/>
    </w:rPr>
  </w:style>
  <w:style w:type="paragraph" w:customStyle="1" w:styleId="notedraft">
    <w:name w:val="note(draft)"/>
    <w:aliases w:val="nd"/>
    <w:basedOn w:val="OPCParaBase"/>
    <w:rsid w:val="00BB1EDA"/>
    <w:pPr>
      <w:spacing w:before="240" w:line="240" w:lineRule="auto"/>
      <w:ind w:left="284" w:hanging="284"/>
    </w:pPr>
    <w:rPr>
      <w:i/>
      <w:sz w:val="24"/>
    </w:rPr>
  </w:style>
  <w:style w:type="paragraph" w:customStyle="1" w:styleId="notemargin">
    <w:name w:val="note(margin)"/>
    <w:aliases w:val="nm"/>
    <w:basedOn w:val="OPCParaBase"/>
    <w:rsid w:val="00BB1EDA"/>
    <w:pPr>
      <w:tabs>
        <w:tab w:val="left" w:pos="709"/>
      </w:tabs>
      <w:spacing w:before="122" w:line="198" w:lineRule="exact"/>
      <w:ind w:left="709" w:hanging="709"/>
    </w:pPr>
    <w:rPr>
      <w:sz w:val="18"/>
    </w:rPr>
  </w:style>
  <w:style w:type="paragraph" w:customStyle="1" w:styleId="noteToPara">
    <w:name w:val="noteToPara"/>
    <w:aliases w:val="ntp"/>
    <w:basedOn w:val="OPCParaBase"/>
    <w:rsid w:val="00BB1EDA"/>
    <w:pPr>
      <w:spacing w:before="122" w:line="198" w:lineRule="exact"/>
      <w:ind w:left="2353" w:hanging="709"/>
    </w:pPr>
    <w:rPr>
      <w:sz w:val="18"/>
    </w:rPr>
  </w:style>
  <w:style w:type="paragraph" w:customStyle="1" w:styleId="noteParlAmend">
    <w:name w:val="note(ParlAmend)"/>
    <w:aliases w:val="npp"/>
    <w:basedOn w:val="OPCParaBase"/>
    <w:next w:val="ParlAmend"/>
    <w:rsid w:val="00BB1EDA"/>
    <w:pPr>
      <w:spacing w:line="240" w:lineRule="auto"/>
      <w:jc w:val="right"/>
    </w:pPr>
    <w:rPr>
      <w:rFonts w:ascii="Arial" w:hAnsi="Arial"/>
      <w:b/>
      <w:i/>
    </w:rPr>
  </w:style>
  <w:style w:type="paragraph" w:customStyle="1" w:styleId="Page1">
    <w:name w:val="Page1"/>
    <w:basedOn w:val="OPCParaBase"/>
    <w:rsid w:val="00BB1EDA"/>
    <w:pPr>
      <w:spacing w:before="5600" w:line="240" w:lineRule="auto"/>
    </w:pPr>
    <w:rPr>
      <w:b/>
      <w:sz w:val="32"/>
    </w:rPr>
  </w:style>
  <w:style w:type="paragraph" w:customStyle="1" w:styleId="PageBreak">
    <w:name w:val="PageBreak"/>
    <w:aliases w:val="pb"/>
    <w:basedOn w:val="OPCParaBase"/>
    <w:rsid w:val="00BB1EDA"/>
    <w:pPr>
      <w:spacing w:line="240" w:lineRule="auto"/>
    </w:pPr>
    <w:rPr>
      <w:sz w:val="20"/>
    </w:rPr>
  </w:style>
  <w:style w:type="paragraph" w:customStyle="1" w:styleId="paragraphsub">
    <w:name w:val="paragraph(sub)"/>
    <w:aliases w:val="aa"/>
    <w:basedOn w:val="OPCParaBase"/>
    <w:rsid w:val="00BB1EDA"/>
    <w:pPr>
      <w:tabs>
        <w:tab w:val="right" w:pos="1985"/>
      </w:tabs>
      <w:spacing w:before="40" w:line="240" w:lineRule="auto"/>
      <w:ind w:left="2098" w:hanging="2098"/>
    </w:pPr>
  </w:style>
  <w:style w:type="paragraph" w:customStyle="1" w:styleId="paragraphsub-sub">
    <w:name w:val="paragraph(sub-sub)"/>
    <w:aliases w:val="aaa"/>
    <w:basedOn w:val="OPCParaBase"/>
    <w:rsid w:val="00BB1EDA"/>
    <w:pPr>
      <w:tabs>
        <w:tab w:val="right" w:pos="2722"/>
      </w:tabs>
      <w:spacing w:before="40" w:line="240" w:lineRule="auto"/>
      <w:ind w:left="2835" w:hanging="2835"/>
    </w:pPr>
  </w:style>
  <w:style w:type="paragraph" w:customStyle="1" w:styleId="paragraph">
    <w:name w:val="paragraph"/>
    <w:aliases w:val="a"/>
    <w:basedOn w:val="OPCParaBase"/>
    <w:rsid w:val="00BB1EDA"/>
    <w:pPr>
      <w:tabs>
        <w:tab w:val="right" w:pos="1531"/>
      </w:tabs>
      <w:spacing w:before="40" w:line="240" w:lineRule="auto"/>
      <w:ind w:left="1644" w:hanging="1644"/>
    </w:pPr>
  </w:style>
  <w:style w:type="paragraph" w:customStyle="1" w:styleId="ParlAmend">
    <w:name w:val="ParlAmend"/>
    <w:aliases w:val="pp"/>
    <w:basedOn w:val="OPCParaBase"/>
    <w:rsid w:val="00BB1EDA"/>
    <w:pPr>
      <w:spacing w:before="240" w:line="240" w:lineRule="atLeast"/>
      <w:ind w:hanging="567"/>
    </w:pPr>
    <w:rPr>
      <w:sz w:val="24"/>
    </w:rPr>
  </w:style>
  <w:style w:type="paragraph" w:customStyle="1" w:styleId="Penalty">
    <w:name w:val="Penalty"/>
    <w:basedOn w:val="OPCParaBase"/>
    <w:rsid w:val="00BB1EDA"/>
    <w:pPr>
      <w:tabs>
        <w:tab w:val="left" w:pos="2977"/>
      </w:tabs>
      <w:spacing w:before="180" w:line="240" w:lineRule="auto"/>
      <w:ind w:left="1985" w:hanging="851"/>
    </w:pPr>
  </w:style>
  <w:style w:type="paragraph" w:customStyle="1" w:styleId="Portfolio">
    <w:name w:val="Portfolio"/>
    <w:basedOn w:val="OPCParaBase"/>
    <w:rsid w:val="00BB1EDA"/>
    <w:pPr>
      <w:spacing w:line="240" w:lineRule="auto"/>
    </w:pPr>
    <w:rPr>
      <w:i/>
      <w:sz w:val="20"/>
    </w:rPr>
  </w:style>
  <w:style w:type="paragraph" w:customStyle="1" w:styleId="Preamble">
    <w:name w:val="Preamble"/>
    <w:basedOn w:val="OPCParaBase"/>
    <w:next w:val="Normal"/>
    <w:rsid w:val="00BB1E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B1EDA"/>
    <w:pPr>
      <w:spacing w:line="240" w:lineRule="auto"/>
    </w:pPr>
    <w:rPr>
      <w:i/>
      <w:sz w:val="20"/>
    </w:rPr>
  </w:style>
  <w:style w:type="paragraph" w:customStyle="1" w:styleId="Session">
    <w:name w:val="Session"/>
    <w:basedOn w:val="OPCParaBase"/>
    <w:rsid w:val="00BB1EDA"/>
    <w:pPr>
      <w:spacing w:line="240" w:lineRule="auto"/>
    </w:pPr>
    <w:rPr>
      <w:sz w:val="28"/>
    </w:rPr>
  </w:style>
  <w:style w:type="paragraph" w:customStyle="1" w:styleId="Sponsor">
    <w:name w:val="Sponsor"/>
    <w:basedOn w:val="OPCParaBase"/>
    <w:rsid w:val="00BB1EDA"/>
    <w:pPr>
      <w:spacing w:line="240" w:lineRule="auto"/>
    </w:pPr>
    <w:rPr>
      <w:i/>
    </w:rPr>
  </w:style>
  <w:style w:type="paragraph" w:customStyle="1" w:styleId="Subitem">
    <w:name w:val="Subitem"/>
    <w:aliases w:val="iss"/>
    <w:basedOn w:val="OPCParaBase"/>
    <w:rsid w:val="00BB1EDA"/>
    <w:pPr>
      <w:spacing w:before="180" w:line="240" w:lineRule="auto"/>
      <w:ind w:left="709" w:hanging="709"/>
    </w:pPr>
  </w:style>
  <w:style w:type="paragraph" w:customStyle="1" w:styleId="SubitemHead">
    <w:name w:val="SubitemHead"/>
    <w:aliases w:val="issh"/>
    <w:basedOn w:val="OPCParaBase"/>
    <w:rsid w:val="00BB1E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B1EDA"/>
    <w:pPr>
      <w:spacing w:before="40" w:line="240" w:lineRule="auto"/>
      <w:ind w:left="1134"/>
    </w:pPr>
  </w:style>
  <w:style w:type="paragraph" w:customStyle="1" w:styleId="SubsectionHead">
    <w:name w:val="SubsectionHead"/>
    <w:aliases w:val="ssh"/>
    <w:basedOn w:val="OPCParaBase"/>
    <w:next w:val="subsection"/>
    <w:rsid w:val="00BB1EDA"/>
    <w:pPr>
      <w:keepNext/>
      <w:keepLines/>
      <w:spacing w:before="240" w:line="240" w:lineRule="auto"/>
      <w:ind w:left="1134"/>
    </w:pPr>
    <w:rPr>
      <w:i/>
    </w:rPr>
  </w:style>
  <w:style w:type="paragraph" w:customStyle="1" w:styleId="Tablea">
    <w:name w:val="Table(a)"/>
    <w:aliases w:val="ta"/>
    <w:basedOn w:val="OPCParaBase"/>
    <w:rsid w:val="00BB1EDA"/>
    <w:pPr>
      <w:spacing w:before="60" w:line="240" w:lineRule="auto"/>
      <w:ind w:left="284" w:hanging="284"/>
    </w:pPr>
    <w:rPr>
      <w:sz w:val="20"/>
    </w:rPr>
  </w:style>
  <w:style w:type="paragraph" w:customStyle="1" w:styleId="TableAA">
    <w:name w:val="Table(AA)"/>
    <w:aliases w:val="taaa"/>
    <w:basedOn w:val="OPCParaBase"/>
    <w:rsid w:val="00BB1E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B1E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B1EDA"/>
    <w:pPr>
      <w:spacing w:before="60" w:line="240" w:lineRule="atLeast"/>
    </w:pPr>
    <w:rPr>
      <w:sz w:val="20"/>
    </w:rPr>
  </w:style>
  <w:style w:type="paragraph" w:customStyle="1" w:styleId="TLPBoxTextnote">
    <w:name w:val="TLPBoxText(note"/>
    <w:aliases w:val="right)"/>
    <w:basedOn w:val="OPCParaBase"/>
    <w:rsid w:val="00BB1E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B1E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B1EDA"/>
    <w:pPr>
      <w:spacing w:before="122" w:line="198" w:lineRule="exact"/>
      <w:ind w:left="1985" w:hanging="851"/>
      <w:jc w:val="right"/>
    </w:pPr>
    <w:rPr>
      <w:sz w:val="18"/>
    </w:rPr>
  </w:style>
  <w:style w:type="paragraph" w:customStyle="1" w:styleId="TLPTableBullet">
    <w:name w:val="TLPTableBullet"/>
    <w:aliases w:val="ttb"/>
    <w:basedOn w:val="OPCParaBase"/>
    <w:rsid w:val="00BB1EDA"/>
    <w:pPr>
      <w:spacing w:line="240" w:lineRule="exact"/>
      <w:ind w:left="284" w:hanging="284"/>
    </w:pPr>
    <w:rPr>
      <w:sz w:val="20"/>
    </w:rPr>
  </w:style>
  <w:style w:type="paragraph" w:styleId="TOC1">
    <w:name w:val="toc 1"/>
    <w:basedOn w:val="Normal"/>
    <w:next w:val="Normal"/>
    <w:uiPriority w:val="39"/>
    <w:unhideWhenUsed/>
    <w:rsid w:val="00BB1ED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B1ED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B1ED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B1ED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B1ED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B1ED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B1ED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B1ED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B1ED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B1EDA"/>
    <w:pPr>
      <w:keepLines/>
      <w:spacing w:before="240" w:after="120" w:line="240" w:lineRule="auto"/>
      <w:ind w:left="794"/>
    </w:pPr>
    <w:rPr>
      <w:b/>
      <w:kern w:val="28"/>
      <w:sz w:val="20"/>
    </w:rPr>
  </w:style>
  <w:style w:type="paragraph" w:customStyle="1" w:styleId="TofSectsHeading">
    <w:name w:val="TofSects(Heading)"/>
    <w:basedOn w:val="OPCParaBase"/>
    <w:rsid w:val="00BB1EDA"/>
    <w:pPr>
      <w:spacing w:before="240" w:after="120" w:line="240" w:lineRule="auto"/>
    </w:pPr>
    <w:rPr>
      <w:b/>
      <w:sz w:val="24"/>
    </w:rPr>
  </w:style>
  <w:style w:type="paragraph" w:customStyle="1" w:styleId="TofSectsSection">
    <w:name w:val="TofSects(Section)"/>
    <w:basedOn w:val="OPCParaBase"/>
    <w:rsid w:val="00BB1EDA"/>
    <w:pPr>
      <w:keepLines/>
      <w:spacing w:before="40" w:line="240" w:lineRule="auto"/>
      <w:ind w:left="1588" w:hanging="794"/>
    </w:pPr>
    <w:rPr>
      <w:kern w:val="28"/>
      <w:sz w:val="18"/>
    </w:rPr>
  </w:style>
  <w:style w:type="paragraph" w:customStyle="1" w:styleId="TofSectsSubdiv">
    <w:name w:val="TofSects(Subdiv)"/>
    <w:basedOn w:val="OPCParaBase"/>
    <w:rsid w:val="00BB1EDA"/>
    <w:pPr>
      <w:keepLines/>
      <w:spacing w:before="80" w:line="240" w:lineRule="auto"/>
      <w:ind w:left="1588" w:hanging="794"/>
    </w:pPr>
    <w:rPr>
      <w:kern w:val="28"/>
    </w:rPr>
  </w:style>
  <w:style w:type="paragraph" w:customStyle="1" w:styleId="WRStyle">
    <w:name w:val="WR Style"/>
    <w:aliases w:val="WR"/>
    <w:basedOn w:val="OPCParaBase"/>
    <w:rsid w:val="00BB1EDA"/>
    <w:pPr>
      <w:spacing w:before="240" w:line="240" w:lineRule="auto"/>
      <w:ind w:left="284" w:hanging="284"/>
    </w:pPr>
    <w:rPr>
      <w:b/>
      <w:i/>
      <w:kern w:val="28"/>
      <w:sz w:val="24"/>
    </w:rPr>
  </w:style>
  <w:style w:type="paragraph" w:customStyle="1" w:styleId="notepara">
    <w:name w:val="note(para)"/>
    <w:aliases w:val="na"/>
    <w:basedOn w:val="OPCParaBase"/>
    <w:rsid w:val="00BB1EDA"/>
    <w:pPr>
      <w:spacing w:before="40" w:line="198" w:lineRule="exact"/>
      <w:ind w:left="2354" w:hanging="369"/>
    </w:pPr>
    <w:rPr>
      <w:sz w:val="18"/>
    </w:rPr>
  </w:style>
  <w:style w:type="paragraph" w:styleId="Footer">
    <w:name w:val="footer"/>
    <w:link w:val="FooterChar"/>
    <w:rsid w:val="00BB1E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B1EDA"/>
    <w:rPr>
      <w:rFonts w:eastAsia="Times New Roman" w:cs="Times New Roman"/>
      <w:sz w:val="22"/>
      <w:szCs w:val="24"/>
      <w:lang w:eastAsia="en-AU"/>
    </w:rPr>
  </w:style>
  <w:style w:type="character" w:styleId="LineNumber">
    <w:name w:val="line number"/>
    <w:basedOn w:val="OPCCharBase"/>
    <w:uiPriority w:val="99"/>
    <w:unhideWhenUsed/>
    <w:rsid w:val="00BB1EDA"/>
    <w:rPr>
      <w:sz w:val="16"/>
    </w:rPr>
  </w:style>
  <w:style w:type="table" w:customStyle="1" w:styleId="CFlag">
    <w:name w:val="CFlag"/>
    <w:basedOn w:val="TableNormal"/>
    <w:uiPriority w:val="99"/>
    <w:rsid w:val="00BB1EDA"/>
    <w:rPr>
      <w:rFonts w:eastAsia="Times New Roman" w:cs="Times New Roman"/>
      <w:lang w:eastAsia="en-AU"/>
    </w:rPr>
    <w:tblPr/>
  </w:style>
  <w:style w:type="paragraph" w:styleId="BalloonText">
    <w:name w:val="Balloon Text"/>
    <w:basedOn w:val="Normal"/>
    <w:link w:val="BalloonTextChar"/>
    <w:uiPriority w:val="99"/>
    <w:unhideWhenUsed/>
    <w:rsid w:val="00BB1E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B1EDA"/>
    <w:rPr>
      <w:rFonts w:ascii="Tahoma" w:hAnsi="Tahoma" w:cs="Tahoma"/>
      <w:sz w:val="16"/>
      <w:szCs w:val="16"/>
    </w:rPr>
  </w:style>
  <w:style w:type="table" w:styleId="TableGrid">
    <w:name w:val="Table Grid"/>
    <w:basedOn w:val="TableNormal"/>
    <w:uiPriority w:val="59"/>
    <w:rsid w:val="00BB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B1EDA"/>
    <w:rPr>
      <w:b/>
      <w:sz w:val="28"/>
      <w:szCs w:val="32"/>
    </w:rPr>
  </w:style>
  <w:style w:type="paragraph" w:customStyle="1" w:styleId="LegislationMadeUnder">
    <w:name w:val="LegislationMadeUnder"/>
    <w:basedOn w:val="OPCParaBase"/>
    <w:next w:val="Normal"/>
    <w:rsid w:val="00BB1EDA"/>
    <w:rPr>
      <w:i/>
      <w:sz w:val="32"/>
      <w:szCs w:val="32"/>
    </w:rPr>
  </w:style>
  <w:style w:type="paragraph" w:customStyle="1" w:styleId="SignCoverPageEnd">
    <w:name w:val="SignCoverPageEnd"/>
    <w:basedOn w:val="OPCParaBase"/>
    <w:next w:val="Normal"/>
    <w:rsid w:val="00BB1E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B1EDA"/>
    <w:pPr>
      <w:pBdr>
        <w:top w:val="single" w:sz="4" w:space="1" w:color="auto"/>
      </w:pBdr>
      <w:spacing w:before="360"/>
      <w:ind w:right="397"/>
      <w:jc w:val="both"/>
    </w:pPr>
  </w:style>
  <w:style w:type="paragraph" w:customStyle="1" w:styleId="NotesHeading1">
    <w:name w:val="NotesHeading 1"/>
    <w:basedOn w:val="OPCParaBase"/>
    <w:next w:val="Normal"/>
    <w:rsid w:val="00BB1EDA"/>
    <w:rPr>
      <w:b/>
      <w:sz w:val="28"/>
      <w:szCs w:val="28"/>
    </w:rPr>
  </w:style>
  <w:style w:type="paragraph" w:customStyle="1" w:styleId="NotesHeading2">
    <w:name w:val="NotesHeading 2"/>
    <w:basedOn w:val="OPCParaBase"/>
    <w:next w:val="Normal"/>
    <w:rsid w:val="00BB1EDA"/>
    <w:rPr>
      <w:b/>
      <w:sz w:val="28"/>
      <w:szCs w:val="28"/>
    </w:rPr>
  </w:style>
  <w:style w:type="paragraph" w:customStyle="1" w:styleId="ENotesText">
    <w:name w:val="ENotesText"/>
    <w:aliases w:val="Ent"/>
    <w:basedOn w:val="OPCParaBase"/>
    <w:next w:val="Normal"/>
    <w:rsid w:val="00BB1EDA"/>
    <w:pPr>
      <w:spacing w:before="120"/>
    </w:pPr>
  </w:style>
  <w:style w:type="paragraph" w:customStyle="1" w:styleId="CompiledActNo">
    <w:name w:val="CompiledActNo"/>
    <w:basedOn w:val="OPCParaBase"/>
    <w:next w:val="Normal"/>
    <w:rsid w:val="00BB1EDA"/>
    <w:rPr>
      <w:b/>
      <w:sz w:val="24"/>
      <w:szCs w:val="24"/>
    </w:rPr>
  </w:style>
  <w:style w:type="paragraph" w:customStyle="1" w:styleId="CompiledMadeUnder">
    <w:name w:val="CompiledMadeUnder"/>
    <w:basedOn w:val="OPCParaBase"/>
    <w:next w:val="Normal"/>
    <w:rsid w:val="00BB1EDA"/>
    <w:rPr>
      <w:i/>
      <w:sz w:val="24"/>
      <w:szCs w:val="24"/>
    </w:rPr>
  </w:style>
  <w:style w:type="paragraph" w:customStyle="1" w:styleId="Paragraphsub-sub-sub">
    <w:name w:val="Paragraph(sub-sub-sub)"/>
    <w:aliases w:val="aaaa"/>
    <w:basedOn w:val="OPCParaBase"/>
    <w:rsid w:val="00BB1ED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B1E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B1E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B1E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B1ED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B1EDA"/>
    <w:pPr>
      <w:spacing w:before="60" w:line="240" w:lineRule="auto"/>
    </w:pPr>
    <w:rPr>
      <w:rFonts w:cs="Arial"/>
      <w:sz w:val="20"/>
      <w:szCs w:val="22"/>
    </w:rPr>
  </w:style>
  <w:style w:type="paragraph" w:customStyle="1" w:styleId="NoteToSubpara">
    <w:name w:val="NoteToSubpara"/>
    <w:aliases w:val="nts"/>
    <w:basedOn w:val="OPCParaBase"/>
    <w:rsid w:val="00BB1EDA"/>
    <w:pPr>
      <w:spacing w:before="40" w:line="198" w:lineRule="exact"/>
      <w:ind w:left="2835" w:hanging="709"/>
    </w:pPr>
    <w:rPr>
      <w:sz w:val="18"/>
    </w:rPr>
  </w:style>
  <w:style w:type="paragraph" w:customStyle="1" w:styleId="ENoteTableHeading">
    <w:name w:val="ENoteTableHeading"/>
    <w:aliases w:val="enth"/>
    <w:basedOn w:val="OPCParaBase"/>
    <w:rsid w:val="00BB1EDA"/>
    <w:pPr>
      <w:keepNext/>
      <w:spacing w:before="60" w:line="240" w:lineRule="atLeast"/>
    </w:pPr>
    <w:rPr>
      <w:rFonts w:ascii="Arial" w:hAnsi="Arial"/>
      <w:b/>
      <w:sz w:val="16"/>
    </w:rPr>
  </w:style>
  <w:style w:type="paragraph" w:customStyle="1" w:styleId="ENoteTTi">
    <w:name w:val="ENoteTTi"/>
    <w:aliases w:val="entti"/>
    <w:basedOn w:val="OPCParaBase"/>
    <w:rsid w:val="00BB1EDA"/>
    <w:pPr>
      <w:keepNext/>
      <w:spacing w:before="60" w:line="240" w:lineRule="atLeast"/>
      <w:ind w:left="170"/>
    </w:pPr>
    <w:rPr>
      <w:sz w:val="16"/>
    </w:rPr>
  </w:style>
  <w:style w:type="paragraph" w:customStyle="1" w:styleId="ENotesHeading1">
    <w:name w:val="ENotesHeading 1"/>
    <w:aliases w:val="Enh1"/>
    <w:basedOn w:val="OPCParaBase"/>
    <w:next w:val="Normal"/>
    <w:rsid w:val="00BB1EDA"/>
    <w:pPr>
      <w:spacing w:before="120"/>
      <w:outlineLvl w:val="1"/>
    </w:pPr>
    <w:rPr>
      <w:b/>
      <w:sz w:val="28"/>
      <w:szCs w:val="28"/>
    </w:rPr>
  </w:style>
  <w:style w:type="paragraph" w:customStyle="1" w:styleId="ENotesHeading2">
    <w:name w:val="ENotesHeading 2"/>
    <w:aliases w:val="Enh2"/>
    <w:basedOn w:val="OPCParaBase"/>
    <w:next w:val="Normal"/>
    <w:rsid w:val="00BB1EDA"/>
    <w:pPr>
      <w:spacing w:before="120" w:after="120"/>
      <w:outlineLvl w:val="2"/>
    </w:pPr>
    <w:rPr>
      <w:b/>
      <w:sz w:val="24"/>
      <w:szCs w:val="28"/>
    </w:rPr>
  </w:style>
  <w:style w:type="paragraph" w:customStyle="1" w:styleId="ENoteTTIndentHeading">
    <w:name w:val="ENoteTTIndentHeading"/>
    <w:aliases w:val="enTTHi"/>
    <w:basedOn w:val="OPCParaBase"/>
    <w:rsid w:val="00BB1E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B1EDA"/>
    <w:pPr>
      <w:spacing w:before="60" w:line="240" w:lineRule="atLeast"/>
    </w:pPr>
    <w:rPr>
      <w:sz w:val="16"/>
    </w:rPr>
  </w:style>
  <w:style w:type="paragraph" w:customStyle="1" w:styleId="MadeunderText">
    <w:name w:val="MadeunderText"/>
    <w:basedOn w:val="OPCParaBase"/>
    <w:next w:val="Normal"/>
    <w:rsid w:val="00BB1EDA"/>
    <w:pPr>
      <w:spacing w:before="240"/>
    </w:pPr>
    <w:rPr>
      <w:sz w:val="24"/>
      <w:szCs w:val="24"/>
    </w:rPr>
  </w:style>
  <w:style w:type="paragraph" w:customStyle="1" w:styleId="ENotesHeading3">
    <w:name w:val="ENotesHeading 3"/>
    <w:aliases w:val="Enh3"/>
    <w:basedOn w:val="OPCParaBase"/>
    <w:next w:val="Normal"/>
    <w:rsid w:val="00BB1EDA"/>
    <w:pPr>
      <w:keepNext/>
      <w:spacing w:before="120" w:line="240" w:lineRule="auto"/>
      <w:outlineLvl w:val="4"/>
    </w:pPr>
    <w:rPr>
      <w:b/>
      <w:szCs w:val="24"/>
    </w:rPr>
  </w:style>
  <w:style w:type="character" w:customStyle="1" w:styleId="CharSubPartTextCASA">
    <w:name w:val="CharSubPartText(CASA)"/>
    <w:basedOn w:val="OPCCharBase"/>
    <w:uiPriority w:val="1"/>
    <w:rsid w:val="00BB1EDA"/>
  </w:style>
  <w:style w:type="character" w:customStyle="1" w:styleId="CharSubPartNoCASA">
    <w:name w:val="CharSubPartNo(CASA)"/>
    <w:basedOn w:val="OPCCharBase"/>
    <w:uiPriority w:val="1"/>
    <w:rsid w:val="00BB1EDA"/>
  </w:style>
  <w:style w:type="paragraph" w:customStyle="1" w:styleId="ENoteTTIndentHeadingSub">
    <w:name w:val="ENoteTTIndentHeadingSub"/>
    <w:aliases w:val="enTTHis"/>
    <w:basedOn w:val="OPCParaBase"/>
    <w:rsid w:val="00BB1EDA"/>
    <w:pPr>
      <w:keepNext/>
      <w:spacing w:before="60" w:line="240" w:lineRule="atLeast"/>
      <w:ind w:left="340"/>
    </w:pPr>
    <w:rPr>
      <w:b/>
      <w:sz w:val="16"/>
    </w:rPr>
  </w:style>
  <w:style w:type="paragraph" w:customStyle="1" w:styleId="ENoteTTiSub">
    <w:name w:val="ENoteTTiSub"/>
    <w:aliases w:val="enttis"/>
    <w:basedOn w:val="OPCParaBase"/>
    <w:rsid w:val="00BB1EDA"/>
    <w:pPr>
      <w:keepNext/>
      <w:spacing w:before="60" w:line="240" w:lineRule="atLeast"/>
      <w:ind w:left="340"/>
    </w:pPr>
    <w:rPr>
      <w:sz w:val="16"/>
    </w:rPr>
  </w:style>
  <w:style w:type="paragraph" w:customStyle="1" w:styleId="SubDivisionMigration">
    <w:name w:val="SubDivisionMigration"/>
    <w:aliases w:val="sdm"/>
    <w:basedOn w:val="OPCParaBase"/>
    <w:rsid w:val="00BB1E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B1E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B1EDA"/>
    <w:pPr>
      <w:spacing w:before="122" w:line="240" w:lineRule="auto"/>
      <w:ind w:left="1985" w:hanging="851"/>
    </w:pPr>
    <w:rPr>
      <w:sz w:val="18"/>
    </w:rPr>
  </w:style>
  <w:style w:type="paragraph" w:customStyle="1" w:styleId="FreeForm">
    <w:name w:val="FreeForm"/>
    <w:rsid w:val="00BB1EDA"/>
    <w:rPr>
      <w:rFonts w:ascii="Arial" w:hAnsi="Arial"/>
      <w:sz w:val="22"/>
    </w:rPr>
  </w:style>
  <w:style w:type="paragraph" w:customStyle="1" w:styleId="SOText">
    <w:name w:val="SO Text"/>
    <w:aliases w:val="sot"/>
    <w:link w:val="SOTextChar"/>
    <w:rsid w:val="00BB1E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B1EDA"/>
    <w:rPr>
      <w:sz w:val="22"/>
    </w:rPr>
  </w:style>
  <w:style w:type="paragraph" w:customStyle="1" w:styleId="SOTextNote">
    <w:name w:val="SO TextNote"/>
    <w:aliases w:val="sont"/>
    <w:basedOn w:val="SOText"/>
    <w:qFormat/>
    <w:rsid w:val="00BB1EDA"/>
    <w:pPr>
      <w:spacing w:before="122" w:line="198" w:lineRule="exact"/>
      <w:ind w:left="1843" w:hanging="709"/>
    </w:pPr>
    <w:rPr>
      <w:sz w:val="18"/>
    </w:rPr>
  </w:style>
  <w:style w:type="paragraph" w:customStyle="1" w:styleId="SOPara">
    <w:name w:val="SO Para"/>
    <w:aliases w:val="soa"/>
    <w:basedOn w:val="SOText"/>
    <w:link w:val="SOParaChar"/>
    <w:qFormat/>
    <w:rsid w:val="00BB1EDA"/>
    <w:pPr>
      <w:tabs>
        <w:tab w:val="right" w:pos="1786"/>
      </w:tabs>
      <w:spacing w:before="40"/>
      <w:ind w:left="2070" w:hanging="936"/>
    </w:pPr>
  </w:style>
  <w:style w:type="character" w:customStyle="1" w:styleId="SOParaChar">
    <w:name w:val="SO Para Char"/>
    <w:aliases w:val="soa Char"/>
    <w:basedOn w:val="DefaultParagraphFont"/>
    <w:link w:val="SOPara"/>
    <w:rsid w:val="00BB1EDA"/>
    <w:rPr>
      <w:sz w:val="22"/>
    </w:rPr>
  </w:style>
  <w:style w:type="paragraph" w:customStyle="1" w:styleId="FileName">
    <w:name w:val="FileName"/>
    <w:basedOn w:val="Normal"/>
    <w:rsid w:val="00BB1EDA"/>
  </w:style>
  <w:style w:type="paragraph" w:customStyle="1" w:styleId="TableHeading">
    <w:name w:val="TableHeading"/>
    <w:aliases w:val="th"/>
    <w:basedOn w:val="OPCParaBase"/>
    <w:next w:val="Tabletext"/>
    <w:rsid w:val="00BB1EDA"/>
    <w:pPr>
      <w:keepNext/>
      <w:spacing w:before="60" w:line="240" w:lineRule="atLeast"/>
    </w:pPr>
    <w:rPr>
      <w:b/>
      <w:sz w:val="20"/>
    </w:rPr>
  </w:style>
  <w:style w:type="paragraph" w:customStyle="1" w:styleId="SOHeadBold">
    <w:name w:val="SO HeadBold"/>
    <w:aliases w:val="sohb"/>
    <w:basedOn w:val="SOText"/>
    <w:next w:val="SOText"/>
    <w:link w:val="SOHeadBoldChar"/>
    <w:qFormat/>
    <w:rsid w:val="00BB1EDA"/>
    <w:rPr>
      <w:b/>
    </w:rPr>
  </w:style>
  <w:style w:type="character" w:customStyle="1" w:styleId="SOHeadBoldChar">
    <w:name w:val="SO HeadBold Char"/>
    <w:aliases w:val="sohb Char"/>
    <w:basedOn w:val="DefaultParagraphFont"/>
    <w:link w:val="SOHeadBold"/>
    <w:rsid w:val="00BB1EDA"/>
    <w:rPr>
      <w:b/>
      <w:sz w:val="22"/>
    </w:rPr>
  </w:style>
  <w:style w:type="paragraph" w:customStyle="1" w:styleId="SOHeadItalic">
    <w:name w:val="SO HeadItalic"/>
    <w:aliases w:val="sohi"/>
    <w:basedOn w:val="SOText"/>
    <w:next w:val="SOText"/>
    <w:link w:val="SOHeadItalicChar"/>
    <w:qFormat/>
    <w:rsid w:val="00BB1EDA"/>
    <w:rPr>
      <w:i/>
    </w:rPr>
  </w:style>
  <w:style w:type="character" w:customStyle="1" w:styleId="SOHeadItalicChar">
    <w:name w:val="SO HeadItalic Char"/>
    <w:aliases w:val="sohi Char"/>
    <w:basedOn w:val="DefaultParagraphFont"/>
    <w:link w:val="SOHeadItalic"/>
    <w:rsid w:val="00BB1EDA"/>
    <w:rPr>
      <w:i/>
      <w:sz w:val="22"/>
    </w:rPr>
  </w:style>
  <w:style w:type="paragraph" w:customStyle="1" w:styleId="SOBullet">
    <w:name w:val="SO Bullet"/>
    <w:aliases w:val="sotb"/>
    <w:basedOn w:val="SOText"/>
    <w:link w:val="SOBulletChar"/>
    <w:qFormat/>
    <w:rsid w:val="00BB1EDA"/>
    <w:pPr>
      <w:ind w:left="1559" w:hanging="425"/>
    </w:pPr>
  </w:style>
  <w:style w:type="character" w:customStyle="1" w:styleId="SOBulletChar">
    <w:name w:val="SO Bullet Char"/>
    <w:aliases w:val="sotb Char"/>
    <w:basedOn w:val="DefaultParagraphFont"/>
    <w:link w:val="SOBullet"/>
    <w:rsid w:val="00BB1EDA"/>
    <w:rPr>
      <w:sz w:val="22"/>
    </w:rPr>
  </w:style>
  <w:style w:type="paragraph" w:customStyle="1" w:styleId="SOBulletNote">
    <w:name w:val="SO BulletNote"/>
    <w:aliases w:val="sonb"/>
    <w:basedOn w:val="SOTextNote"/>
    <w:link w:val="SOBulletNoteChar"/>
    <w:qFormat/>
    <w:rsid w:val="00BB1EDA"/>
    <w:pPr>
      <w:tabs>
        <w:tab w:val="left" w:pos="1560"/>
      </w:tabs>
      <w:ind w:left="2268" w:hanging="1134"/>
    </w:pPr>
  </w:style>
  <w:style w:type="character" w:customStyle="1" w:styleId="SOBulletNoteChar">
    <w:name w:val="SO BulletNote Char"/>
    <w:aliases w:val="sonb Char"/>
    <w:basedOn w:val="DefaultParagraphFont"/>
    <w:link w:val="SOBulletNote"/>
    <w:rsid w:val="00BB1EDA"/>
    <w:rPr>
      <w:sz w:val="18"/>
    </w:rPr>
  </w:style>
  <w:style w:type="paragraph" w:customStyle="1" w:styleId="SOText2">
    <w:name w:val="SO Text2"/>
    <w:aliases w:val="sot2"/>
    <w:basedOn w:val="Normal"/>
    <w:next w:val="SOText"/>
    <w:link w:val="SOText2Char"/>
    <w:rsid w:val="00BB1E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B1EDA"/>
    <w:rPr>
      <w:sz w:val="22"/>
    </w:rPr>
  </w:style>
  <w:style w:type="paragraph" w:customStyle="1" w:styleId="SubPartCASA">
    <w:name w:val="SubPart(CASA)"/>
    <w:aliases w:val="csp"/>
    <w:basedOn w:val="OPCParaBase"/>
    <w:next w:val="ActHead3"/>
    <w:rsid w:val="00BB1E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B1EDA"/>
    <w:rPr>
      <w:rFonts w:eastAsia="Times New Roman" w:cs="Times New Roman"/>
      <w:sz w:val="22"/>
      <w:lang w:eastAsia="en-AU"/>
    </w:rPr>
  </w:style>
  <w:style w:type="character" w:customStyle="1" w:styleId="notetextChar">
    <w:name w:val="note(text) Char"/>
    <w:aliases w:val="n Char"/>
    <w:basedOn w:val="DefaultParagraphFont"/>
    <w:link w:val="notetext"/>
    <w:rsid w:val="00BB1EDA"/>
    <w:rPr>
      <w:rFonts w:eastAsia="Times New Roman" w:cs="Times New Roman"/>
      <w:sz w:val="18"/>
      <w:lang w:eastAsia="en-AU"/>
    </w:rPr>
  </w:style>
  <w:style w:type="character" w:customStyle="1" w:styleId="Heading1Char">
    <w:name w:val="Heading 1 Char"/>
    <w:basedOn w:val="DefaultParagraphFont"/>
    <w:link w:val="Heading1"/>
    <w:uiPriority w:val="9"/>
    <w:rsid w:val="00BB1E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1E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1E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B1E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B1E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B1E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B1E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B1E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B1ED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B1EDA"/>
  </w:style>
  <w:style w:type="character" w:customStyle="1" w:styleId="charlegsubtitle1">
    <w:name w:val="charlegsubtitle1"/>
    <w:basedOn w:val="DefaultParagraphFont"/>
    <w:rsid w:val="00BB1EDA"/>
    <w:rPr>
      <w:rFonts w:ascii="Arial" w:hAnsi="Arial" w:cs="Arial" w:hint="default"/>
      <w:b/>
      <w:bCs/>
      <w:sz w:val="28"/>
      <w:szCs w:val="28"/>
    </w:rPr>
  </w:style>
  <w:style w:type="paragraph" w:styleId="Index1">
    <w:name w:val="index 1"/>
    <w:basedOn w:val="Normal"/>
    <w:next w:val="Normal"/>
    <w:autoRedefine/>
    <w:rsid w:val="00BB1EDA"/>
    <w:pPr>
      <w:ind w:left="240" w:hanging="240"/>
    </w:pPr>
  </w:style>
  <w:style w:type="paragraph" w:styleId="Index2">
    <w:name w:val="index 2"/>
    <w:basedOn w:val="Normal"/>
    <w:next w:val="Normal"/>
    <w:autoRedefine/>
    <w:rsid w:val="00BB1EDA"/>
    <w:pPr>
      <w:ind w:left="480" w:hanging="240"/>
    </w:pPr>
  </w:style>
  <w:style w:type="paragraph" w:styleId="Index3">
    <w:name w:val="index 3"/>
    <w:basedOn w:val="Normal"/>
    <w:next w:val="Normal"/>
    <w:autoRedefine/>
    <w:rsid w:val="00BB1EDA"/>
    <w:pPr>
      <w:ind w:left="720" w:hanging="240"/>
    </w:pPr>
  </w:style>
  <w:style w:type="paragraph" w:styleId="Index4">
    <w:name w:val="index 4"/>
    <w:basedOn w:val="Normal"/>
    <w:next w:val="Normal"/>
    <w:autoRedefine/>
    <w:rsid w:val="00BB1EDA"/>
    <w:pPr>
      <w:ind w:left="960" w:hanging="240"/>
    </w:pPr>
  </w:style>
  <w:style w:type="paragraph" w:styleId="Index5">
    <w:name w:val="index 5"/>
    <w:basedOn w:val="Normal"/>
    <w:next w:val="Normal"/>
    <w:autoRedefine/>
    <w:rsid w:val="00BB1EDA"/>
    <w:pPr>
      <w:ind w:left="1200" w:hanging="240"/>
    </w:pPr>
  </w:style>
  <w:style w:type="paragraph" w:styleId="Index6">
    <w:name w:val="index 6"/>
    <w:basedOn w:val="Normal"/>
    <w:next w:val="Normal"/>
    <w:autoRedefine/>
    <w:rsid w:val="00BB1EDA"/>
    <w:pPr>
      <w:ind w:left="1440" w:hanging="240"/>
    </w:pPr>
  </w:style>
  <w:style w:type="paragraph" w:styleId="Index7">
    <w:name w:val="index 7"/>
    <w:basedOn w:val="Normal"/>
    <w:next w:val="Normal"/>
    <w:autoRedefine/>
    <w:rsid w:val="00BB1EDA"/>
    <w:pPr>
      <w:ind w:left="1680" w:hanging="240"/>
    </w:pPr>
  </w:style>
  <w:style w:type="paragraph" w:styleId="Index8">
    <w:name w:val="index 8"/>
    <w:basedOn w:val="Normal"/>
    <w:next w:val="Normal"/>
    <w:autoRedefine/>
    <w:rsid w:val="00BB1EDA"/>
    <w:pPr>
      <w:ind w:left="1920" w:hanging="240"/>
    </w:pPr>
  </w:style>
  <w:style w:type="paragraph" w:styleId="Index9">
    <w:name w:val="index 9"/>
    <w:basedOn w:val="Normal"/>
    <w:next w:val="Normal"/>
    <w:autoRedefine/>
    <w:rsid w:val="00BB1EDA"/>
    <w:pPr>
      <w:ind w:left="2160" w:hanging="240"/>
    </w:pPr>
  </w:style>
  <w:style w:type="paragraph" w:styleId="NormalIndent">
    <w:name w:val="Normal Indent"/>
    <w:basedOn w:val="Normal"/>
    <w:rsid w:val="00BB1EDA"/>
    <w:pPr>
      <w:ind w:left="720"/>
    </w:pPr>
  </w:style>
  <w:style w:type="paragraph" w:styleId="FootnoteText">
    <w:name w:val="footnote text"/>
    <w:basedOn w:val="Normal"/>
    <w:link w:val="FootnoteTextChar"/>
    <w:rsid w:val="00BB1EDA"/>
    <w:rPr>
      <w:sz w:val="20"/>
    </w:rPr>
  </w:style>
  <w:style w:type="character" w:customStyle="1" w:styleId="FootnoteTextChar">
    <w:name w:val="Footnote Text Char"/>
    <w:basedOn w:val="DefaultParagraphFont"/>
    <w:link w:val="FootnoteText"/>
    <w:rsid w:val="00BB1EDA"/>
  </w:style>
  <w:style w:type="paragraph" w:styleId="CommentText">
    <w:name w:val="annotation text"/>
    <w:basedOn w:val="Normal"/>
    <w:link w:val="CommentTextChar"/>
    <w:rsid w:val="00BB1EDA"/>
    <w:rPr>
      <w:sz w:val="20"/>
    </w:rPr>
  </w:style>
  <w:style w:type="character" w:customStyle="1" w:styleId="CommentTextChar">
    <w:name w:val="Comment Text Char"/>
    <w:basedOn w:val="DefaultParagraphFont"/>
    <w:link w:val="CommentText"/>
    <w:rsid w:val="00BB1EDA"/>
  </w:style>
  <w:style w:type="paragraph" w:styleId="IndexHeading">
    <w:name w:val="index heading"/>
    <w:basedOn w:val="Normal"/>
    <w:next w:val="Index1"/>
    <w:rsid w:val="00BB1EDA"/>
    <w:rPr>
      <w:rFonts w:ascii="Arial" w:hAnsi="Arial" w:cs="Arial"/>
      <w:b/>
      <w:bCs/>
    </w:rPr>
  </w:style>
  <w:style w:type="paragraph" w:styleId="Caption">
    <w:name w:val="caption"/>
    <w:basedOn w:val="Normal"/>
    <w:next w:val="Normal"/>
    <w:qFormat/>
    <w:rsid w:val="00BB1EDA"/>
    <w:pPr>
      <w:spacing w:before="120" w:after="120"/>
    </w:pPr>
    <w:rPr>
      <w:b/>
      <w:bCs/>
      <w:sz w:val="20"/>
    </w:rPr>
  </w:style>
  <w:style w:type="paragraph" w:styleId="TableofFigures">
    <w:name w:val="table of figures"/>
    <w:basedOn w:val="Normal"/>
    <w:next w:val="Normal"/>
    <w:rsid w:val="00BB1EDA"/>
    <w:pPr>
      <w:ind w:left="480" w:hanging="480"/>
    </w:pPr>
  </w:style>
  <w:style w:type="paragraph" w:styleId="EnvelopeAddress">
    <w:name w:val="envelope address"/>
    <w:basedOn w:val="Normal"/>
    <w:rsid w:val="00BB1ED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B1EDA"/>
    <w:rPr>
      <w:rFonts w:ascii="Arial" w:hAnsi="Arial" w:cs="Arial"/>
      <w:sz w:val="20"/>
    </w:rPr>
  </w:style>
  <w:style w:type="character" w:styleId="FootnoteReference">
    <w:name w:val="footnote reference"/>
    <w:basedOn w:val="DefaultParagraphFont"/>
    <w:rsid w:val="00BB1EDA"/>
    <w:rPr>
      <w:rFonts w:ascii="Times New Roman" w:hAnsi="Times New Roman"/>
      <w:sz w:val="20"/>
      <w:vertAlign w:val="superscript"/>
    </w:rPr>
  </w:style>
  <w:style w:type="character" w:styleId="CommentReference">
    <w:name w:val="annotation reference"/>
    <w:basedOn w:val="DefaultParagraphFont"/>
    <w:rsid w:val="00BB1EDA"/>
    <w:rPr>
      <w:sz w:val="16"/>
      <w:szCs w:val="16"/>
    </w:rPr>
  </w:style>
  <w:style w:type="character" w:styleId="PageNumber">
    <w:name w:val="page number"/>
    <w:basedOn w:val="DefaultParagraphFont"/>
    <w:rsid w:val="00BB1EDA"/>
  </w:style>
  <w:style w:type="character" w:styleId="EndnoteReference">
    <w:name w:val="endnote reference"/>
    <w:basedOn w:val="DefaultParagraphFont"/>
    <w:rsid w:val="00BB1EDA"/>
    <w:rPr>
      <w:vertAlign w:val="superscript"/>
    </w:rPr>
  </w:style>
  <w:style w:type="paragraph" w:styleId="EndnoteText">
    <w:name w:val="endnote text"/>
    <w:basedOn w:val="Normal"/>
    <w:link w:val="EndnoteTextChar"/>
    <w:rsid w:val="00BB1EDA"/>
    <w:rPr>
      <w:sz w:val="20"/>
    </w:rPr>
  </w:style>
  <w:style w:type="character" w:customStyle="1" w:styleId="EndnoteTextChar">
    <w:name w:val="Endnote Text Char"/>
    <w:basedOn w:val="DefaultParagraphFont"/>
    <w:link w:val="EndnoteText"/>
    <w:rsid w:val="00BB1EDA"/>
  </w:style>
  <w:style w:type="paragraph" w:styleId="TableofAuthorities">
    <w:name w:val="table of authorities"/>
    <w:basedOn w:val="Normal"/>
    <w:next w:val="Normal"/>
    <w:rsid w:val="00BB1EDA"/>
    <w:pPr>
      <w:ind w:left="240" w:hanging="240"/>
    </w:pPr>
  </w:style>
  <w:style w:type="paragraph" w:styleId="MacroText">
    <w:name w:val="macro"/>
    <w:link w:val="MacroTextChar"/>
    <w:rsid w:val="00BB1ED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B1EDA"/>
    <w:rPr>
      <w:rFonts w:ascii="Courier New" w:eastAsia="Times New Roman" w:hAnsi="Courier New" w:cs="Courier New"/>
      <w:lang w:eastAsia="en-AU"/>
    </w:rPr>
  </w:style>
  <w:style w:type="paragraph" w:styleId="TOAHeading">
    <w:name w:val="toa heading"/>
    <w:basedOn w:val="Normal"/>
    <w:next w:val="Normal"/>
    <w:rsid w:val="00BB1EDA"/>
    <w:pPr>
      <w:spacing w:before="120"/>
    </w:pPr>
    <w:rPr>
      <w:rFonts w:ascii="Arial" w:hAnsi="Arial" w:cs="Arial"/>
      <w:b/>
      <w:bCs/>
    </w:rPr>
  </w:style>
  <w:style w:type="paragraph" w:styleId="List">
    <w:name w:val="List"/>
    <w:basedOn w:val="Normal"/>
    <w:rsid w:val="00BB1EDA"/>
    <w:pPr>
      <w:ind w:left="283" w:hanging="283"/>
    </w:pPr>
  </w:style>
  <w:style w:type="paragraph" w:styleId="ListBullet">
    <w:name w:val="List Bullet"/>
    <w:basedOn w:val="Normal"/>
    <w:autoRedefine/>
    <w:rsid w:val="00BB1EDA"/>
    <w:pPr>
      <w:tabs>
        <w:tab w:val="num" w:pos="360"/>
      </w:tabs>
      <w:ind w:left="360" w:hanging="360"/>
    </w:pPr>
  </w:style>
  <w:style w:type="paragraph" w:styleId="ListNumber">
    <w:name w:val="List Number"/>
    <w:basedOn w:val="Normal"/>
    <w:rsid w:val="00BB1EDA"/>
    <w:pPr>
      <w:tabs>
        <w:tab w:val="num" w:pos="360"/>
      </w:tabs>
      <w:ind w:left="360" w:hanging="360"/>
    </w:pPr>
  </w:style>
  <w:style w:type="paragraph" w:styleId="List2">
    <w:name w:val="List 2"/>
    <w:basedOn w:val="Normal"/>
    <w:rsid w:val="00BB1EDA"/>
    <w:pPr>
      <w:ind w:left="566" w:hanging="283"/>
    </w:pPr>
  </w:style>
  <w:style w:type="paragraph" w:styleId="List3">
    <w:name w:val="List 3"/>
    <w:basedOn w:val="Normal"/>
    <w:rsid w:val="00BB1EDA"/>
    <w:pPr>
      <w:ind w:left="849" w:hanging="283"/>
    </w:pPr>
  </w:style>
  <w:style w:type="paragraph" w:styleId="List4">
    <w:name w:val="List 4"/>
    <w:basedOn w:val="Normal"/>
    <w:rsid w:val="00BB1EDA"/>
    <w:pPr>
      <w:ind w:left="1132" w:hanging="283"/>
    </w:pPr>
  </w:style>
  <w:style w:type="paragraph" w:styleId="List5">
    <w:name w:val="List 5"/>
    <w:basedOn w:val="Normal"/>
    <w:rsid w:val="00BB1EDA"/>
    <w:pPr>
      <w:ind w:left="1415" w:hanging="283"/>
    </w:pPr>
  </w:style>
  <w:style w:type="paragraph" w:styleId="ListBullet2">
    <w:name w:val="List Bullet 2"/>
    <w:basedOn w:val="Normal"/>
    <w:autoRedefine/>
    <w:rsid w:val="00BB1EDA"/>
    <w:pPr>
      <w:tabs>
        <w:tab w:val="num" w:pos="360"/>
      </w:tabs>
    </w:pPr>
  </w:style>
  <w:style w:type="paragraph" w:styleId="ListBullet3">
    <w:name w:val="List Bullet 3"/>
    <w:basedOn w:val="Normal"/>
    <w:autoRedefine/>
    <w:rsid w:val="00BB1EDA"/>
    <w:pPr>
      <w:tabs>
        <w:tab w:val="num" w:pos="926"/>
      </w:tabs>
      <w:ind w:left="926" w:hanging="360"/>
    </w:pPr>
  </w:style>
  <w:style w:type="paragraph" w:styleId="ListBullet4">
    <w:name w:val="List Bullet 4"/>
    <w:basedOn w:val="Normal"/>
    <w:autoRedefine/>
    <w:rsid w:val="00BB1EDA"/>
    <w:pPr>
      <w:tabs>
        <w:tab w:val="num" w:pos="1209"/>
      </w:tabs>
      <w:ind w:left="1209" w:hanging="360"/>
    </w:pPr>
  </w:style>
  <w:style w:type="paragraph" w:styleId="ListBullet5">
    <w:name w:val="List Bullet 5"/>
    <w:basedOn w:val="Normal"/>
    <w:autoRedefine/>
    <w:rsid w:val="00BB1EDA"/>
    <w:pPr>
      <w:tabs>
        <w:tab w:val="num" w:pos="1492"/>
      </w:tabs>
      <w:ind w:left="1492" w:hanging="360"/>
    </w:pPr>
  </w:style>
  <w:style w:type="paragraph" w:styleId="ListNumber2">
    <w:name w:val="List Number 2"/>
    <w:basedOn w:val="Normal"/>
    <w:rsid w:val="00BB1EDA"/>
    <w:pPr>
      <w:tabs>
        <w:tab w:val="num" w:pos="643"/>
      </w:tabs>
      <w:ind w:left="643" w:hanging="360"/>
    </w:pPr>
  </w:style>
  <w:style w:type="paragraph" w:styleId="ListNumber3">
    <w:name w:val="List Number 3"/>
    <w:basedOn w:val="Normal"/>
    <w:rsid w:val="00BB1EDA"/>
    <w:pPr>
      <w:tabs>
        <w:tab w:val="num" w:pos="926"/>
      </w:tabs>
      <w:ind w:left="926" w:hanging="360"/>
    </w:pPr>
  </w:style>
  <w:style w:type="paragraph" w:styleId="ListNumber4">
    <w:name w:val="List Number 4"/>
    <w:basedOn w:val="Normal"/>
    <w:rsid w:val="00BB1EDA"/>
    <w:pPr>
      <w:tabs>
        <w:tab w:val="num" w:pos="1209"/>
      </w:tabs>
      <w:ind w:left="1209" w:hanging="360"/>
    </w:pPr>
  </w:style>
  <w:style w:type="paragraph" w:styleId="ListNumber5">
    <w:name w:val="List Number 5"/>
    <w:basedOn w:val="Normal"/>
    <w:rsid w:val="00BB1EDA"/>
    <w:pPr>
      <w:tabs>
        <w:tab w:val="num" w:pos="1492"/>
      </w:tabs>
      <w:ind w:left="1492" w:hanging="360"/>
    </w:pPr>
  </w:style>
  <w:style w:type="paragraph" w:styleId="Title">
    <w:name w:val="Title"/>
    <w:basedOn w:val="Normal"/>
    <w:link w:val="TitleChar"/>
    <w:qFormat/>
    <w:rsid w:val="00BB1EDA"/>
    <w:pPr>
      <w:spacing w:before="240" w:after="60"/>
    </w:pPr>
    <w:rPr>
      <w:rFonts w:ascii="Arial" w:hAnsi="Arial" w:cs="Arial"/>
      <w:b/>
      <w:bCs/>
      <w:sz w:val="40"/>
      <w:szCs w:val="40"/>
    </w:rPr>
  </w:style>
  <w:style w:type="character" w:customStyle="1" w:styleId="TitleChar">
    <w:name w:val="Title Char"/>
    <w:basedOn w:val="DefaultParagraphFont"/>
    <w:link w:val="Title"/>
    <w:rsid w:val="00BB1EDA"/>
    <w:rPr>
      <w:rFonts w:ascii="Arial" w:hAnsi="Arial" w:cs="Arial"/>
      <w:b/>
      <w:bCs/>
      <w:sz w:val="40"/>
      <w:szCs w:val="40"/>
    </w:rPr>
  </w:style>
  <w:style w:type="paragraph" w:styleId="Closing">
    <w:name w:val="Closing"/>
    <w:basedOn w:val="Normal"/>
    <w:link w:val="ClosingChar"/>
    <w:rsid w:val="00BB1EDA"/>
    <w:pPr>
      <w:ind w:left="4252"/>
    </w:pPr>
  </w:style>
  <w:style w:type="character" w:customStyle="1" w:styleId="ClosingChar">
    <w:name w:val="Closing Char"/>
    <w:basedOn w:val="DefaultParagraphFont"/>
    <w:link w:val="Closing"/>
    <w:rsid w:val="00BB1EDA"/>
    <w:rPr>
      <w:sz w:val="22"/>
    </w:rPr>
  </w:style>
  <w:style w:type="paragraph" w:styleId="Signature">
    <w:name w:val="Signature"/>
    <w:basedOn w:val="Normal"/>
    <w:link w:val="SignatureChar"/>
    <w:rsid w:val="00BB1EDA"/>
    <w:pPr>
      <w:ind w:left="4252"/>
    </w:pPr>
  </w:style>
  <w:style w:type="character" w:customStyle="1" w:styleId="SignatureChar">
    <w:name w:val="Signature Char"/>
    <w:basedOn w:val="DefaultParagraphFont"/>
    <w:link w:val="Signature"/>
    <w:rsid w:val="00BB1EDA"/>
    <w:rPr>
      <w:sz w:val="22"/>
    </w:rPr>
  </w:style>
  <w:style w:type="paragraph" w:styleId="BodyText">
    <w:name w:val="Body Text"/>
    <w:basedOn w:val="Normal"/>
    <w:link w:val="BodyTextChar"/>
    <w:rsid w:val="00BB1EDA"/>
    <w:pPr>
      <w:spacing w:after="120"/>
    </w:pPr>
  </w:style>
  <w:style w:type="character" w:customStyle="1" w:styleId="BodyTextChar">
    <w:name w:val="Body Text Char"/>
    <w:basedOn w:val="DefaultParagraphFont"/>
    <w:link w:val="BodyText"/>
    <w:rsid w:val="00BB1EDA"/>
    <w:rPr>
      <w:sz w:val="22"/>
    </w:rPr>
  </w:style>
  <w:style w:type="paragraph" w:styleId="BodyTextIndent">
    <w:name w:val="Body Text Indent"/>
    <w:basedOn w:val="Normal"/>
    <w:link w:val="BodyTextIndentChar"/>
    <w:rsid w:val="00BB1EDA"/>
    <w:pPr>
      <w:spacing w:after="120"/>
      <w:ind w:left="283"/>
    </w:pPr>
  </w:style>
  <w:style w:type="character" w:customStyle="1" w:styleId="BodyTextIndentChar">
    <w:name w:val="Body Text Indent Char"/>
    <w:basedOn w:val="DefaultParagraphFont"/>
    <w:link w:val="BodyTextIndent"/>
    <w:rsid w:val="00BB1EDA"/>
    <w:rPr>
      <w:sz w:val="22"/>
    </w:rPr>
  </w:style>
  <w:style w:type="paragraph" w:styleId="ListContinue">
    <w:name w:val="List Continue"/>
    <w:basedOn w:val="Normal"/>
    <w:rsid w:val="00BB1EDA"/>
    <w:pPr>
      <w:spacing w:after="120"/>
      <w:ind w:left="283"/>
    </w:pPr>
  </w:style>
  <w:style w:type="paragraph" w:styleId="ListContinue2">
    <w:name w:val="List Continue 2"/>
    <w:basedOn w:val="Normal"/>
    <w:rsid w:val="00BB1EDA"/>
    <w:pPr>
      <w:spacing w:after="120"/>
      <w:ind w:left="566"/>
    </w:pPr>
  </w:style>
  <w:style w:type="paragraph" w:styleId="ListContinue3">
    <w:name w:val="List Continue 3"/>
    <w:basedOn w:val="Normal"/>
    <w:rsid w:val="00BB1EDA"/>
    <w:pPr>
      <w:spacing w:after="120"/>
      <w:ind w:left="849"/>
    </w:pPr>
  </w:style>
  <w:style w:type="paragraph" w:styleId="ListContinue4">
    <w:name w:val="List Continue 4"/>
    <w:basedOn w:val="Normal"/>
    <w:rsid w:val="00BB1EDA"/>
    <w:pPr>
      <w:spacing w:after="120"/>
      <w:ind w:left="1132"/>
    </w:pPr>
  </w:style>
  <w:style w:type="paragraph" w:styleId="ListContinue5">
    <w:name w:val="List Continue 5"/>
    <w:basedOn w:val="Normal"/>
    <w:rsid w:val="00BB1EDA"/>
    <w:pPr>
      <w:spacing w:after="120"/>
      <w:ind w:left="1415"/>
    </w:pPr>
  </w:style>
  <w:style w:type="paragraph" w:styleId="MessageHeader">
    <w:name w:val="Message Header"/>
    <w:basedOn w:val="Normal"/>
    <w:link w:val="MessageHeaderChar"/>
    <w:rsid w:val="00BB1ED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B1EDA"/>
    <w:rPr>
      <w:rFonts w:ascii="Arial" w:hAnsi="Arial" w:cs="Arial"/>
      <w:sz w:val="22"/>
      <w:shd w:val="pct20" w:color="auto" w:fill="auto"/>
    </w:rPr>
  </w:style>
  <w:style w:type="paragraph" w:styleId="Subtitle">
    <w:name w:val="Subtitle"/>
    <w:basedOn w:val="Normal"/>
    <w:link w:val="SubtitleChar"/>
    <w:qFormat/>
    <w:rsid w:val="00BB1EDA"/>
    <w:pPr>
      <w:spacing w:after="60"/>
      <w:jc w:val="center"/>
      <w:outlineLvl w:val="1"/>
    </w:pPr>
    <w:rPr>
      <w:rFonts w:ascii="Arial" w:hAnsi="Arial" w:cs="Arial"/>
    </w:rPr>
  </w:style>
  <w:style w:type="character" w:customStyle="1" w:styleId="SubtitleChar">
    <w:name w:val="Subtitle Char"/>
    <w:basedOn w:val="DefaultParagraphFont"/>
    <w:link w:val="Subtitle"/>
    <w:rsid w:val="00BB1EDA"/>
    <w:rPr>
      <w:rFonts w:ascii="Arial" w:hAnsi="Arial" w:cs="Arial"/>
      <w:sz w:val="22"/>
    </w:rPr>
  </w:style>
  <w:style w:type="paragraph" w:styleId="Salutation">
    <w:name w:val="Salutation"/>
    <w:basedOn w:val="Normal"/>
    <w:next w:val="Normal"/>
    <w:link w:val="SalutationChar"/>
    <w:rsid w:val="00BB1EDA"/>
  </w:style>
  <w:style w:type="character" w:customStyle="1" w:styleId="SalutationChar">
    <w:name w:val="Salutation Char"/>
    <w:basedOn w:val="DefaultParagraphFont"/>
    <w:link w:val="Salutation"/>
    <w:rsid w:val="00BB1EDA"/>
    <w:rPr>
      <w:sz w:val="22"/>
    </w:rPr>
  </w:style>
  <w:style w:type="paragraph" w:styleId="Date">
    <w:name w:val="Date"/>
    <w:basedOn w:val="Normal"/>
    <w:next w:val="Normal"/>
    <w:link w:val="DateChar"/>
    <w:rsid w:val="00BB1EDA"/>
  </w:style>
  <w:style w:type="character" w:customStyle="1" w:styleId="DateChar">
    <w:name w:val="Date Char"/>
    <w:basedOn w:val="DefaultParagraphFont"/>
    <w:link w:val="Date"/>
    <w:rsid w:val="00BB1EDA"/>
    <w:rPr>
      <w:sz w:val="22"/>
    </w:rPr>
  </w:style>
  <w:style w:type="paragraph" w:styleId="BodyTextFirstIndent">
    <w:name w:val="Body Text First Indent"/>
    <w:basedOn w:val="BodyText"/>
    <w:link w:val="BodyTextFirstIndentChar"/>
    <w:rsid w:val="00BB1EDA"/>
    <w:pPr>
      <w:ind w:firstLine="210"/>
    </w:pPr>
  </w:style>
  <w:style w:type="character" w:customStyle="1" w:styleId="BodyTextFirstIndentChar">
    <w:name w:val="Body Text First Indent Char"/>
    <w:basedOn w:val="BodyTextChar"/>
    <w:link w:val="BodyTextFirstIndent"/>
    <w:rsid w:val="00BB1EDA"/>
    <w:rPr>
      <w:sz w:val="22"/>
    </w:rPr>
  </w:style>
  <w:style w:type="paragraph" w:styleId="BodyTextFirstIndent2">
    <w:name w:val="Body Text First Indent 2"/>
    <w:basedOn w:val="BodyTextIndent"/>
    <w:link w:val="BodyTextFirstIndent2Char"/>
    <w:rsid w:val="00BB1EDA"/>
    <w:pPr>
      <w:ind w:firstLine="210"/>
    </w:pPr>
  </w:style>
  <w:style w:type="character" w:customStyle="1" w:styleId="BodyTextFirstIndent2Char">
    <w:name w:val="Body Text First Indent 2 Char"/>
    <w:basedOn w:val="BodyTextIndentChar"/>
    <w:link w:val="BodyTextFirstIndent2"/>
    <w:rsid w:val="00BB1EDA"/>
    <w:rPr>
      <w:sz w:val="22"/>
    </w:rPr>
  </w:style>
  <w:style w:type="paragraph" w:styleId="BodyText2">
    <w:name w:val="Body Text 2"/>
    <w:basedOn w:val="Normal"/>
    <w:link w:val="BodyText2Char"/>
    <w:rsid w:val="00BB1EDA"/>
    <w:pPr>
      <w:spacing w:after="120" w:line="480" w:lineRule="auto"/>
    </w:pPr>
  </w:style>
  <w:style w:type="character" w:customStyle="1" w:styleId="BodyText2Char">
    <w:name w:val="Body Text 2 Char"/>
    <w:basedOn w:val="DefaultParagraphFont"/>
    <w:link w:val="BodyText2"/>
    <w:rsid w:val="00BB1EDA"/>
    <w:rPr>
      <w:sz w:val="22"/>
    </w:rPr>
  </w:style>
  <w:style w:type="paragraph" w:styleId="BodyText3">
    <w:name w:val="Body Text 3"/>
    <w:basedOn w:val="Normal"/>
    <w:link w:val="BodyText3Char"/>
    <w:rsid w:val="00BB1EDA"/>
    <w:pPr>
      <w:spacing w:after="120"/>
    </w:pPr>
    <w:rPr>
      <w:sz w:val="16"/>
      <w:szCs w:val="16"/>
    </w:rPr>
  </w:style>
  <w:style w:type="character" w:customStyle="1" w:styleId="BodyText3Char">
    <w:name w:val="Body Text 3 Char"/>
    <w:basedOn w:val="DefaultParagraphFont"/>
    <w:link w:val="BodyText3"/>
    <w:rsid w:val="00BB1EDA"/>
    <w:rPr>
      <w:sz w:val="16"/>
      <w:szCs w:val="16"/>
    </w:rPr>
  </w:style>
  <w:style w:type="paragraph" w:styleId="BodyTextIndent2">
    <w:name w:val="Body Text Indent 2"/>
    <w:basedOn w:val="Normal"/>
    <w:link w:val="BodyTextIndent2Char"/>
    <w:rsid w:val="00BB1EDA"/>
    <w:pPr>
      <w:spacing w:after="120" w:line="480" w:lineRule="auto"/>
      <w:ind w:left="283"/>
    </w:pPr>
  </w:style>
  <w:style w:type="character" w:customStyle="1" w:styleId="BodyTextIndent2Char">
    <w:name w:val="Body Text Indent 2 Char"/>
    <w:basedOn w:val="DefaultParagraphFont"/>
    <w:link w:val="BodyTextIndent2"/>
    <w:rsid w:val="00BB1EDA"/>
    <w:rPr>
      <w:sz w:val="22"/>
    </w:rPr>
  </w:style>
  <w:style w:type="paragraph" w:styleId="BodyTextIndent3">
    <w:name w:val="Body Text Indent 3"/>
    <w:basedOn w:val="Normal"/>
    <w:link w:val="BodyTextIndent3Char"/>
    <w:rsid w:val="00BB1EDA"/>
    <w:pPr>
      <w:spacing w:after="120"/>
      <w:ind w:left="283"/>
    </w:pPr>
    <w:rPr>
      <w:sz w:val="16"/>
      <w:szCs w:val="16"/>
    </w:rPr>
  </w:style>
  <w:style w:type="character" w:customStyle="1" w:styleId="BodyTextIndent3Char">
    <w:name w:val="Body Text Indent 3 Char"/>
    <w:basedOn w:val="DefaultParagraphFont"/>
    <w:link w:val="BodyTextIndent3"/>
    <w:rsid w:val="00BB1EDA"/>
    <w:rPr>
      <w:sz w:val="16"/>
      <w:szCs w:val="16"/>
    </w:rPr>
  </w:style>
  <w:style w:type="paragraph" w:styleId="BlockText">
    <w:name w:val="Block Text"/>
    <w:basedOn w:val="Normal"/>
    <w:rsid w:val="00BB1EDA"/>
    <w:pPr>
      <w:spacing w:after="120"/>
      <w:ind w:left="1440" w:right="1440"/>
    </w:pPr>
  </w:style>
  <w:style w:type="character" w:styleId="Hyperlink">
    <w:name w:val="Hyperlink"/>
    <w:basedOn w:val="DefaultParagraphFont"/>
    <w:rsid w:val="00BB1EDA"/>
    <w:rPr>
      <w:color w:val="0000FF"/>
      <w:u w:val="single"/>
    </w:rPr>
  </w:style>
  <w:style w:type="character" w:styleId="FollowedHyperlink">
    <w:name w:val="FollowedHyperlink"/>
    <w:basedOn w:val="DefaultParagraphFont"/>
    <w:rsid w:val="00BB1EDA"/>
    <w:rPr>
      <w:color w:val="800080"/>
      <w:u w:val="single"/>
    </w:rPr>
  </w:style>
  <w:style w:type="character" w:styleId="Strong">
    <w:name w:val="Strong"/>
    <w:basedOn w:val="DefaultParagraphFont"/>
    <w:qFormat/>
    <w:rsid w:val="00BB1EDA"/>
    <w:rPr>
      <w:b/>
      <w:bCs/>
    </w:rPr>
  </w:style>
  <w:style w:type="character" w:styleId="Emphasis">
    <w:name w:val="Emphasis"/>
    <w:basedOn w:val="DefaultParagraphFont"/>
    <w:qFormat/>
    <w:rsid w:val="00BB1EDA"/>
    <w:rPr>
      <w:i/>
      <w:iCs/>
    </w:rPr>
  </w:style>
  <w:style w:type="paragraph" w:styleId="DocumentMap">
    <w:name w:val="Document Map"/>
    <w:basedOn w:val="Normal"/>
    <w:link w:val="DocumentMapChar"/>
    <w:rsid w:val="00BB1EDA"/>
    <w:pPr>
      <w:shd w:val="clear" w:color="auto" w:fill="000080"/>
    </w:pPr>
    <w:rPr>
      <w:rFonts w:ascii="Tahoma" w:hAnsi="Tahoma" w:cs="Tahoma"/>
    </w:rPr>
  </w:style>
  <w:style w:type="character" w:customStyle="1" w:styleId="DocumentMapChar">
    <w:name w:val="Document Map Char"/>
    <w:basedOn w:val="DefaultParagraphFont"/>
    <w:link w:val="DocumentMap"/>
    <w:rsid w:val="00BB1EDA"/>
    <w:rPr>
      <w:rFonts w:ascii="Tahoma" w:hAnsi="Tahoma" w:cs="Tahoma"/>
      <w:sz w:val="22"/>
      <w:shd w:val="clear" w:color="auto" w:fill="000080"/>
    </w:rPr>
  </w:style>
  <w:style w:type="paragraph" w:styleId="PlainText">
    <w:name w:val="Plain Text"/>
    <w:basedOn w:val="Normal"/>
    <w:link w:val="PlainTextChar"/>
    <w:rsid w:val="00BB1EDA"/>
    <w:rPr>
      <w:rFonts w:ascii="Courier New" w:hAnsi="Courier New" w:cs="Courier New"/>
      <w:sz w:val="20"/>
    </w:rPr>
  </w:style>
  <w:style w:type="character" w:customStyle="1" w:styleId="PlainTextChar">
    <w:name w:val="Plain Text Char"/>
    <w:basedOn w:val="DefaultParagraphFont"/>
    <w:link w:val="PlainText"/>
    <w:rsid w:val="00BB1EDA"/>
    <w:rPr>
      <w:rFonts w:ascii="Courier New" w:hAnsi="Courier New" w:cs="Courier New"/>
    </w:rPr>
  </w:style>
  <w:style w:type="paragraph" w:styleId="E-mailSignature">
    <w:name w:val="E-mail Signature"/>
    <w:basedOn w:val="Normal"/>
    <w:link w:val="E-mailSignatureChar"/>
    <w:rsid w:val="00BB1EDA"/>
  </w:style>
  <w:style w:type="character" w:customStyle="1" w:styleId="E-mailSignatureChar">
    <w:name w:val="E-mail Signature Char"/>
    <w:basedOn w:val="DefaultParagraphFont"/>
    <w:link w:val="E-mailSignature"/>
    <w:rsid w:val="00BB1EDA"/>
    <w:rPr>
      <w:sz w:val="22"/>
    </w:rPr>
  </w:style>
  <w:style w:type="paragraph" w:styleId="NormalWeb">
    <w:name w:val="Normal (Web)"/>
    <w:basedOn w:val="Normal"/>
    <w:rsid w:val="00BB1EDA"/>
  </w:style>
  <w:style w:type="character" w:styleId="HTMLAcronym">
    <w:name w:val="HTML Acronym"/>
    <w:basedOn w:val="DefaultParagraphFont"/>
    <w:rsid w:val="00BB1EDA"/>
  </w:style>
  <w:style w:type="paragraph" w:styleId="HTMLAddress">
    <w:name w:val="HTML Address"/>
    <w:basedOn w:val="Normal"/>
    <w:link w:val="HTMLAddressChar"/>
    <w:rsid w:val="00BB1EDA"/>
    <w:rPr>
      <w:i/>
      <w:iCs/>
    </w:rPr>
  </w:style>
  <w:style w:type="character" w:customStyle="1" w:styleId="HTMLAddressChar">
    <w:name w:val="HTML Address Char"/>
    <w:basedOn w:val="DefaultParagraphFont"/>
    <w:link w:val="HTMLAddress"/>
    <w:rsid w:val="00BB1EDA"/>
    <w:rPr>
      <w:i/>
      <w:iCs/>
      <w:sz w:val="22"/>
    </w:rPr>
  </w:style>
  <w:style w:type="character" w:styleId="HTMLCite">
    <w:name w:val="HTML Cite"/>
    <w:basedOn w:val="DefaultParagraphFont"/>
    <w:rsid w:val="00BB1EDA"/>
    <w:rPr>
      <w:i/>
      <w:iCs/>
    </w:rPr>
  </w:style>
  <w:style w:type="character" w:styleId="HTMLCode">
    <w:name w:val="HTML Code"/>
    <w:basedOn w:val="DefaultParagraphFont"/>
    <w:rsid w:val="00BB1EDA"/>
    <w:rPr>
      <w:rFonts w:ascii="Courier New" w:hAnsi="Courier New" w:cs="Courier New"/>
      <w:sz w:val="20"/>
      <w:szCs w:val="20"/>
    </w:rPr>
  </w:style>
  <w:style w:type="character" w:styleId="HTMLDefinition">
    <w:name w:val="HTML Definition"/>
    <w:basedOn w:val="DefaultParagraphFont"/>
    <w:rsid w:val="00BB1EDA"/>
    <w:rPr>
      <w:i/>
      <w:iCs/>
    </w:rPr>
  </w:style>
  <w:style w:type="character" w:styleId="HTMLKeyboard">
    <w:name w:val="HTML Keyboard"/>
    <w:basedOn w:val="DefaultParagraphFont"/>
    <w:rsid w:val="00BB1EDA"/>
    <w:rPr>
      <w:rFonts w:ascii="Courier New" w:hAnsi="Courier New" w:cs="Courier New"/>
      <w:sz w:val="20"/>
      <w:szCs w:val="20"/>
    </w:rPr>
  </w:style>
  <w:style w:type="paragraph" w:styleId="HTMLPreformatted">
    <w:name w:val="HTML Preformatted"/>
    <w:basedOn w:val="Normal"/>
    <w:link w:val="HTMLPreformattedChar"/>
    <w:rsid w:val="00BB1EDA"/>
    <w:rPr>
      <w:rFonts w:ascii="Courier New" w:hAnsi="Courier New" w:cs="Courier New"/>
      <w:sz w:val="20"/>
    </w:rPr>
  </w:style>
  <w:style w:type="character" w:customStyle="1" w:styleId="HTMLPreformattedChar">
    <w:name w:val="HTML Preformatted Char"/>
    <w:basedOn w:val="DefaultParagraphFont"/>
    <w:link w:val="HTMLPreformatted"/>
    <w:rsid w:val="00BB1EDA"/>
    <w:rPr>
      <w:rFonts w:ascii="Courier New" w:hAnsi="Courier New" w:cs="Courier New"/>
    </w:rPr>
  </w:style>
  <w:style w:type="character" w:styleId="HTMLSample">
    <w:name w:val="HTML Sample"/>
    <w:basedOn w:val="DefaultParagraphFont"/>
    <w:rsid w:val="00BB1EDA"/>
    <w:rPr>
      <w:rFonts w:ascii="Courier New" w:hAnsi="Courier New" w:cs="Courier New"/>
    </w:rPr>
  </w:style>
  <w:style w:type="character" w:styleId="HTMLTypewriter">
    <w:name w:val="HTML Typewriter"/>
    <w:basedOn w:val="DefaultParagraphFont"/>
    <w:rsid w:val="00BB1EDA"/>
    <w:rPr>
      <w:rFonts w:ascii="Courier New" w:hAnsi="Courier New" w:cs="Courier New"/>
      <w:sz w:val="20"/>
      <w:szCs w:val="20"/>
    </w:rPr>
  </w:style>
  <w:style w:type="character" w:styleId="HTMLVariable">
    <w:name w:val="HTML Variable"/>
    <w:basedOn w:val="DefaultParagraphFont"/>
    <w:rsid w:val="00BB1EDA"/>
    <w:rPr>
      <w:i/>
      <w:iCs/>
    </w:rPr>
  </w:style>
  <w:style w:type="paragraph" w:styleId="CommentSubject">
    <w:name w:val="annotation subject"/>
    <w:basedOn w:val="CommentText"/>
    <w:next w:val="CommentText"/>
    <w:link w:val="CommentSubjectChar"/>
    <w:rsid w:val="00BB1EDA"/>
    <w:rPr>
      <w:b/>
      <w:bCs/>
    </w:rPr>
  </w:style>
  <w:style w:type="character" w:customStyle="1" w:styleId="CommentSubjectChar">
    <w:name w:val="Comment Subject Char"/>
    <w:basedOn w:val="CommentTextChar"/>
    <w:link w:val="CommentSubject"/>
    <w:rsid w:val="00BB1EDA"/>
    <w:rPr>
      <w:b/>
      <w:bCs/>
    </w:rPr>
  </w:style>
  <w:style w:type="numbering" w:styleId="1ai">
    <w:name w:val="Outline List 1"/>
    <w:basedOn w:val="NoList"/>
    <w:rsid w:val="00BB1EDA"/>
    <w:pPr>
      <w:numPr>
        <w:numId w:val="14"/>
      </w:numPr>
    </w:pPr>
  </w:style>
  <w:style w:type="numbering" w:styleId="111111">
    <w:name w:val="Outline List 2"/>
    <w:basedOn w:val="NoList"/>
    <w:rsid w:val="00BB1EDA"/>
    <w:pPr>
      <w:numPr>
        <w:numId w:val="15"/>
      </w:numPr>
    </w:pPr>
  </w:style>
  <w:style w:type="numbering" w:styleId="ArticleSection">
    <w:name w:val="Outline List 3"/>
    <w:basedOn w:val="NoList"/>
    <w:rsid w:val="00BB1EDA"/>
    <w:pPr>
      <w:numPr>
        <w:numId w:val="17"/>
      </w:numPr>
    </w:pPr>
  </w:style>
  <w:style w:type="table" w:styleId="TableSimple1">
    <w:name w:val="Table Simple 1"/>
    <w:basedOn w:val="TableNormal"/>
    <w:rsid w:val="00BB1ED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B1ED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B1E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B1E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B1E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B1ED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B1ED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B1ED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B1ED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B1ED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B1ED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B1ED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B1ED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B1ED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B1ED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B1E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B1ED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B1ED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B1ED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B1E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B1E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B1ED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B1ED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B1ED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B1ED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B1ED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B1E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B1E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B1E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B1ED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B1E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B1ED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B1ED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B1ED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B1ED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B1ED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B1E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B1ED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1ED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B1ED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B1ED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B1ED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B1ED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B1EDA"/>
    <w:rPr>
      <w:rFonts w:eastAsia="Times New Roman" w:cs="Times New Roman"/>
      <w:b/>
      <w:kern w:val="28"/>
      <w:sz w:val="24"/>
      <w:lang w:eastAsia="en-AU"/>
    </w:rPr>
  </w:style>
  <w:style w:type="paragraph" w:customStyle="1" w:styleId="base-text-paragraph">
    <w:name w:val="base-text-paragraph"/>
    <w:rsid w:val="002A4445"/>
    <w:pPr>
      <w:numPr>
        <w:numId w:val="19"/>
      </w:numPr>
      <w:spacing w:before="120" w:after="120"/>
    </w:pPr>
    <w:rPr>
      <w:rFonts w:eastAsia="Times New Roman" w:cs="Times New Roman"/>
      <w:sz w:val="22"/>
      <w:lang w:eastAsia="en-AU"/>
    </w:rPr>
  </w:style>
  <w:style w:type="paragraph" w:customStyle="1" w:styleId="Bullet">
    <w:name w:val="Bullet"/>
    <w:basedOn w:val="Normal"/>
    <w:link w:val="BulletChar"/>
    <w:rsid w:val="00656D77"/>
    <w:pPr>
      <w:numPr>
        <w:numId w:val="20"/>
      </w:numPr>
      <w:spacing w:line="240" w:lineRule="auto"/>
    </w:pPr>
    <w:rPr>
      <w:rFonts w:ascii="Calibri" w:hAnsi="Calibri" w:cs="Calibri"/>
      <w:b/>
      <w:szCs w:val="22"/>
    </w:rPr>
  </w:style>
  <w:style w:type="character" w:customStyle="1" w:styleId="BulletChar">
    <w:name w:val="Bullet Char"/>
    <w:basedOn w:val="DefaultParagraphFont"/>
    <w:link w:val="Bullet"/>
    <w:rsid w:val="00656D77"/>
    <w:rPr>
      <w:rFonts w:ascii="Calibri" w:hAnsi="Calibri" w:cs="Calibri"/>
      <w:b/>
      <w:sz w:val="22"/>
      <w:szCs w:val="22"/>
    </w:rPr>
  </w:style>
  <w:style w:type="paragraph" w:customStyle="1" w:styleId="Dash">
    <w:name w:val="Dash"/>
    <w:basedOn w:val="Normal"/>
    <w:rsid w:val="00656D77"/>
    <w:pPr>
      <w:numPr>
        <w:ilvl w:val="1"/>
        <w:numId w:val="20"/>
      </w:numPr>
      <w:spacing w:line="240" w:lineRule="auto"/>
    </w:pPr>
    <w:rPr>
      <w:rFonts w:ascii="Calibri" w:hAnsi="Calibri" w:cs="Calibri"/>
      <w:b/>
      <w:szCs w:val="22"/>
    </w:rPr>
  </w:style>
  <w:style w:type="paragraph" w:customStyle="1" w:styleId="DoubleDot">
    <w:name w:val="Double Dot"/>
    <w:basedOn w:val="Normal"/>
    <w:rsid w:val="00656D77"/>
    <w:pPr>
      <w:numPr>
        <w:ilvl w:val="2"/>
        <w:numId w:val="20"/>
      </w:numPr>
      <w:spacing w:line="240" w:lineRule="auto"/>
    </w:pPr>
    <w:rPr>
      <w:rFonts w:ascii="Calibri" w:hAnsi="Calibri" w:cs="Calibri"/>
      <w:b/>
      <w:szCs w:val="22"/>
    </w:rPr>
  </w:style>
  <w:style w:type="character" w:styleId="PlaceholderText">
    <w:name w:val="Placeholder Text"/>
    <w:basedOn w:val="DefaultParagraphFont"/>
    <w:uiPriority w:val="99"/>
    <w:semiHidden/>
    <w:rsid w:val="007C40F2"/>
    <w:rPr>
      <w:color w:val="808080"/>
    </w:rPr>
  </w:style>
  <w:style w:type="character" w:customStyle="1" w:styleId="ItemChar">
    <w:name w:val="Item Char"/>
    <w:aliases w:val="i Char"/>
    <w:basedOn w:val="DefaultParagraphFont"/>
    <w:link w:val="Item"/>
    <w:locked/>
    <w:rsid w:val="00B159E6"/>
    <w:rPr>
      <w:rFonts w:eastAsia="Times New Roman" w:cs="Times New Roman"/>
      <w:sz w:val="22"/>
      <w:lang w:eastAsia="en-AU"/>
    </w:rPr>
  </w:style>
  <w:style w:type="character" w:customStyle="1" w:styleId="ItemHeadChar">
    <w:name w:val="ItemHead Char"/>
    <w:aliases w:val="ih Char"/>
    <w:basedOn w:val="DefaultParagraphFont"/>
    <w:link w:val="ItemHead"/>
    <w:locked/>
    <w:rsid w:val="00B159E6"/>
    <w:rPr>
      <w:rFonts w:ascii="Arial" w:eastAsia="Times New Roman" w:hAnsi="Arial" w:cs="Times New Roman"/>
      <w:b/>
      <w:kern w:val="28"/>
      <w:sz w:val="24"/>
      <w:lang w:eastAsia="en-AU"/>
    </w:rPr>
  </w:style>
  <w:style w:type="paragraph" w:customStyle="1" w:styleId="dotpoint">
    <w:name w:val="dot point"/>
    <w:basedOn w:val="Normal"/>
    <w:rsid w:val="00C77C44"/>
    <w:pPr>
      <w:numPr>
        <w:numId w:val="22"/>
      </w:numPr>
      <w:spacing w:before="120" w:after="120" w:line="240" w:lineRule="auto"/>
    </w:pPr>
    <w:rPr>
      <w:rFonts w:eastAsia="Times New Roman" w:cs="Times New Roman"/>
      <w:lang w:eastAsia="en-AU"/>
    </w:rPr>
  </w:style>
  <w:style w:type="paragraph" w:customStyle="1" w:styleId="dotpoint2">
    <w:name w:val="dot point 2"/>
    <w:basedOn w:val="Normal"/>
    <w:rsid w:val="00C77C44"/>
    <w:pPr>
      <w:numPr>
        <w:ilvl w:val="1"/>
        <w:numId w:val="22"/>
      </w:numPr>
      <w:spacing w:before="120" w:after="120" w:line="240" w:lineRule="auto"/>
    </w:pPr>
    <w:rPr>
      <w:rFonts w:eastAsia="Times New Roman" w:cs="Times New Roman"/>
      <w:lang w:eastAsia="en-AU"/>
    </w:rPr>
  </w:style>
  <w:style w:type="paragraph" w:customStyle="1" w:styleId="Body">
    <w:name w:val="Body"/>
    <w:aliases w:val="b"/>
    <w:basedOn w:val="OPCParaBase"/>
    <w:rsid w:val="00A84C29"/>
    <w:pPr>
      <w:spacing w:before="24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13213">
      <w:bodyDiv w:val="1"/>
      <w:marLeft w:val="0"/>
      <w:marRight w:val="0"/>
      <w:marTop w:val="0"/>
      <w:marBottom w:val="0"/>
      <w:divBdr>
        <w:top w:val="none" w:sz="0" w:space="0" w:color="auto"/>
        <w:left w:val="none" w:sz="0" w:space="0" w:color="auto"/>
        <w:bottom w:val="none" w:sz="0" w:space="0" w:color="auto"/>
        <w:right w:val="none" w:sz="0" w:space="0" w:color="auto"/>
      </w:divBdr>
    </w:div>
    <w:div w:id="698973506">
      <w:bodyDiv w:val="1"/>
      <w:marLeft w:val="0"/>
      <w:marRight w:val="0"/>
      <w:marTop w:val="0"/>
      <w:marBottom w:val="0"/>
      <w:divBdr>
        <w:top w:val="none" w:sz="0" w:space="0" w:color="auto"/>
        <w:left w:val="none" w:sz="0" w:space="0" w:color="auto"/>
        <w:bottom w:val="none" w:sz="0" w:space="0" w:color="auto"/>
        <w:right w:val="none" w:sz="0" w:space="0" w:color="auto"/>
      </w:divBdr>
    </w:div>
    <w:div w:id="1570379894">
      <w:bodyDiv w:val="1"/>
      <w:marLeft w:val="0"/>
      <w:marRight w:val="0"/>
      <w:marTop w:val="0"/>
      <w:marBottom w:val="0"/>
      <w:divBdr>
        <w:top w:val="none" w:sz="0" w:space="0" w:color="auto"/>
        <w:left w:val="none" w:sz="0" w:space="0" w:color="auto"/>
        <w:bottom w:val="none" w:sz="0" w:space="0" w:color="auto"/>
        <w:right w:val="none" w:sz="0" w:space="0" w:color="auto"/>
      </w:divBdr>
    </w:div>
    <w:div w:id="209620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oleObject" Target="embeddings/oleObject4.bin"/><Relationship Id="rId39"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image" Target="media/image7.wmf"/><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oleObject" Target="embeddings/oleObject7.bin"/><Relationship Id="rId44"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32</Pages>
  <Words>11044</Words>
  <Characters>53679</Characters>
  <Application>Microsoft Office Word</Application>
  <DocSecurity>0</DocSecurity>
  <PresentationFormat/>
  <Lines>1376</Lines>
  <Paragraphs>924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2021-07-26T00:20:00Z</cp:lastPrinted>
  <dcterms:created xsi:type="dcterms:W3CDTF">2021-08-05T04:24:00Z</dcterms:created>
  <dcterms:modified xsi:type="dcterms:W3CDTF">2021-08-05T04:24:00Z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Treasury Laws Amendment (Your Future, Your Super—Addressing Underperformance in Superannuation)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05 August 2021</vt:lpwstr>
  </property>
  <property fmtid="{D5CDD505-2E9C-101B-9397-08002B2CF9AE}" pid="10" name="ID">
    <vt:lpwstr>OPC65091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05 August 2021</vt:lpwstr>
  </property>
</Properties>
</file>