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59C5E" w14:textId="74459416" w:rsidR="00F11482" w:rsidRPr="00AF455E" w:rsidRDefault="00F11482" w:rsidP="00F11482">
      <w:pPr>
        <w:keepNext/>
        <w:widowControl w:val="0"/>
        <w:adjustRightInd w:val="0"/>
        <w:spacing w:before="240" w:after="360" w:line="360" w:lineRule="atLeast"/>
        <w:jc w:val="center"/>
        <w:textAlignment w:val="baseline"/>
        <w:outlineLvl w:val="0"/>
        <w:rPr>
          <w:rFonts w:ascii="Times New Roman" w:eastAsia="Times New Roman" w:hAnsi="Times New Roman" w:cs="Times New Roman"/>
          <w:b/>
          <w:kern w:val="28"/>
          <w:sz w:val="24"/>
          <w:szCs w:val="24"/>
          <w:u w:val="single"/>
          <w:lang w:eastAsia="en-AU"/>
        </w:rPr>
      </w:pPr>
      <w:r w:rsidRPr="00AF455E">
        <w:rPr>
          <w:rFonts w:ascii="Times New Roman" w:eastAsia="Times New Roman" w:hAnsi="Times New Roman" w:cs="Times New Roman"/>
          <w:b/>
          <w:kern w:val="28"/>
          <w:sz w:val="24"/>
          <w:szCs w:val="24"/>
          <w:u w:val="single"/>
          <w:lang w:eastAsia="en-AU"/>
        </w:rPr>
        <w:t>EXPLANATORY STATEMENT</w:t>
      </w:r>
    </w:p>
    <w:p w14:paraId="04DC7328" w14:textId="77777777" w:rsidR="00F11482" w:rsidRPr="00AF455E" w:rsidRDefault="00F11482" w:rsidP="00F11482">
      <w:pPr>
        <w:keepNext/>
        <w:widowControl w:val="0"/>
        <w:adjustRightInd w:val="0"/>
        <w:spacing w:before="240" w:after="60" w:line="360" w:lineRule="atLeast"/>
        <w:jc w:val="center"/>
        <w:textAlignment w:val="baseline"/>
        <w:outlineLvl w:val="1"/>
        <w:rPr>
          <w:rFonts w:ascii="Times New Roman" w:eastAsia="Times New Roman" w:hAnsi="Times New Roman" w:cs="Times New Roman"/>
          <w:b/>
          <w:sz w:val="24"/>
          <w:szCs w:val="24"/>
          <w:u w:val="single"/>
          <w:lang w:eastAsia="en-AU"/>
        </w:rPr>
      </w:pPr>
      <w:r w:rsidRPr="00AF455E">
        <w:rPr>
          <w:rFonts w:ascii="Times New Roman" w:eastAsia="Times New Roman" w:hAnsi="Times New Roman" w:cs="Times New Roman"/>
          <w:b/>
          <w:sz w:val="24"/>
          <w:szCs w:val="24"/>
          <w:u w:val="single"/>
          <w:lang w:eastAsia="en-AU"/>
        </w:rPr>
        <w:t xml:space="preserve">Issued by authority of the </w:t>
      </w:r>
      <w:sdt>
        <w:sdtPr>
          <w:rPr>
            <w:rFonts w:ascii="Times New Roman" w:eastAsia="Times New Roman" w:hAnsi="Times New Roman" w:cs="Times New Roman"/>
            <w:b/>
            <w:sz w:val="24"/>
            <w:szCs w:val="24"/>
            <w:u w:val="single"/>
            <w:lang w:eastAsia="en-AU"/>
          </w:rPr>
          <w:id w:val="435951383"/>
          <w:placeholder>
            <w:docPart w:val="50202960C1344E758B54BBF057742139"/>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Pr="00AF455E">
            <w:rPr>
              <w:rFonts w:ascii="Times New Roman" w:eastAsia="Times New Roman" w:hAnsi="Times New Roman" w:cs="Times New Roman"/>
              <w:b/>
              <w:sz w:val="24"/>
              <w:szCs w:val="24"/>
              <w:u w:val="single"/>
              <w:lang w:eastAsia="en-AU"/>
            </w:rPr>
            <w:t>Treasurer</w:t>
          </w:r>
        </w:sdtContent>
      </w:sdt>
    </w:p>
    <w:p w14:paraId="183A7111" w14:textId="77777777" w:rsidR="00F11482" w:rsidRPr="00AF455E" w:rsidRDefault="00F11482" w:rsidP="00F11482">
      <w:pPr>
        <w:widowControl w:val="0"/>
        <w:adjustRightInd w:val="0"/>
        <w:spacing w:before="240" w:after="240" w:line="360" w:lineRule="atLeast"/>
        <w:jc w:val="center"/>
        <w:textAlignment w:val="baseline"/>
        <w:rPr>
          <w:rFonts w:ascii="Times New Roman" w:eastAsia="Times New Roman" w:hAnsi="Times New Roman" w:cs="Times New Roman"/>
          <w:i/>
          <w:sz w:val="24"/>
          <w:szCs w:val="20"/>
          <w:lang w:eastAsia="en-AU"/>
        </w:rPr>
      </w:pPr>
      <w:r w:rsidRPr="00AF455E">
        <w:rPr>
          <w:rFonts w:ascii="Times New Roman" w:eastAsia="Times New Roman" w:hAnsi="Times New Roman" w:cs="Times New Roman"/>
          <w:i/>
          <w:sz w:val="24"/>
          <w:szCs w:val="20"/>
          <w:lang w:eastAsia="en-AU"/>
        </w:rPr>
        <w:t>Superannuation Industry (Supervision) Act 1993</w:t>
      </w:r>
    </w:p>
    <w:p w14:paraId="1510611C" w14:textId="142D1343" w:rsidR="00F11482" w:rsidRPr="00AF455E" w:rsidRDefault="001011C6" w:rsidP="00F11482">
      <w:pPr>
        <w:widowControl w:val="0"/>
        <w:tabs>
          <w:tab w:val="left" w:pos="1418"/>
        </w:tabs>
        <w:adjustRightInd w:val="0"/>
        <w:spacing w:after="240" w:line="360" w:lineRule="atLeast"/>
        <w:jc w:val="center"/>
        <w:textAlignment w:val="baseline"/>
        <w:rPr>
          <w:rFonts w:ascii="Times New Roman" w:eastAsia="Times New Roman" w:hAnsi="Times New Roman" w:cs="Times New Roman"/>
          <w:i/>
          <w:sz w:val="24"/>
          <w:szCs w:val="20"/>
          <w:lang w:eastAsia="en-AU"/>
        </w:rPr>
      </w:pPr>
      <w:r w:rsidRPr="00AF455E">
        <w:rPr>
          <w:rFonts w:ascii="Times New Roman" w:eastAsia="Times New Roman" w:hAnsi="Times New Roman" w:cs="Times New Roman"/>
          <w:i/>
          <w:sz w:val="24"/>
          <w:szCs w:val="20"/>
          <w:lang w:eastAsia="en-AU"/>
        </w:rPr>
        <w:t>Treasury Laws Amendment (Your Future, Your Super—Addressing Underperformance in Superannuation) Regulations 2021</w:t>
      </w:r>
    </w:p>
    <w:p w14:paraId="306A3109" w14:textId="205C8963" w:rsidR="00F11482" w:rsidRPr="00AF455E" w:rsidRDefault="00F11482" w:rsidP="00F11482">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 xml:space="preserve">Section </w:t>
      </w:r>
      <w:r w:rsidR="002320C7" w:rsidRPr="00AF455E">
        <w:rPr>
          <w:rFonts w:ascii="Times New Roman" w:eastAsia="Times New Roman" w:hAnsi="Times New Roman" w:cs="Times New Roman"/>
          <w:sz w:val="24"/>
          <w:szCs w:val="20"/>
          <w:lang w:eastAsia="en-AU"/>
        </w:rPr>
        <w:t xml:space="preserve">353 </w:t>
      </w:r>
      <w:r w:rsidRPr="00AF455E">
        <w:rPr>
          <w:rFonts w:ascii="Times New Roman" w:eastAsia="Times New Roman" w:hAnsi="Times New Roman" w:cs="Times New Roman"/>
          <w:sz w:val="24"/>
          <w:szCs w:val="20"/>
          <w:lang w:eastAsia="en-AU"/>
        </w:rPr>
        <w:t xml:space="preserve">of the </w:t>
      </w:r>
      <w:r w:rsidR="002320C7" w:rsidRPr="00AF455E">
        <w:rPr>
          <w:rFonts w:ascii="Times New Roman" w:eastAsia="Times New Roman" w:hAnsi="Times New Roman" w:cs="Times New Roman"/>
          <w:i/>
          <w:sz w:val="24"/>
          <w:szCs w:val="20"/>
          <w:lang w:eastAsia="en-AU"/>
        </w:rPr>
        <w:t>Superannuation Industry (Supervision) Act 1993</w:t>
      </w:r>
      <w:r w:rsidRPr="00AF455E">
        <w:rPr>
          <w:rFonts w:ascii="Times New Roman" w:eastAsia="Times New Roman" w:hAnsi="Times New Roman" w:cs="Times New Roman"/>
          <w:sz w:val="24"/>
          <w:szCs w:val="20"/>
          <w:lang w:eastAsia="en-AU"/>
        </w:rPr>
        <w:t xml:space="preserve"> (the </w:t>
      </w:r>
      <w:r w:rsidR="002320C7" w:rsidRPr="00AF455E">
        <w:rPr>
          <w:rFonts w:ascii="Times New Roman" w:eastAsia="Times New Roman" w:hAnsi="Times New Roman" w:cs="Times New Roman"/>
          <w:sz w:val="24"/>
          <w:szCs w:val="20"/>
          <w:lang w:eastAsia="en-AU"/>
        </w:rPr>
        <w:t xml:space="preserve">SIS </w:t>
      </w:r>
      <w:r w:rsidRPr="00AF455E">
        <w:rPr>
          <w:rFonts w:ascii="Times New Roman" w:eastAsia="Times New Roman" w:hAnsi="Times New Roman" w:cs="Times New Roman"/>
          <w:sz w:val="24"/>
          <w:szCs w:val="20"/>
          <w:lang w:eastAsia="en-AU"/>
        </w:rPr>
        <w:t>Act) provides that the Governor-General may make regulations prescribing matters required or permitted by the Act to be prescribed, or necessary or convenient to be prescribed for carrying out or giving effect to the Act.</w:t>
      </w:r>
    </w:p>
    <w:p w14:paraId="74E7F325" w14:textId="7EE6F5D1" w:rsidR="00F11482" w:rsidRPr="00AF455E" w:rsidRDefault="00F11482" w:rsidP="000C6BDD">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 xml:space="preserve">The purpose of the </w:t>
      </w:r>
      <w:bookmarkStart w:id="0" w:name="_Hlk71212392"/>
      <w:r w:rsidR="001011C6" w:rsidRPr="00AF455E">
        <w:rPr>
          <w:rFonts w:ascii="Times New Roman" w:eastAsia="Times New Roman" w:hAnsi="Times New Roman" w:cs="Times New Roman"/>
          <w:i/>
          <w:iCs/>
          <w:sz w:val="24"/>
          <w:szCs w:val="20"/>
          <w:lang w:eastAsia="en-AU"/>
        </w:rPr>
        <w:t xml:space="preserve">Treasury Laws Amendment (Your Future, Your Super—Addressing Underperformance in Superannuation) Regulations 2021 </w:t>
      </w:r>
      <w:bookmarkEnd w:id="0"/>
      <w:r w:rsidRPr="00AF455E">
        <w:rPr>
          <w:rFonts w:ascii="Times New Roman" w:eastAsia="Times New Roman" w:hAnsi="Times New Roman" w:cs="Times New Roman"/>
          <w:sz w:val="24"/>
          <w:szCs w:val="20"/>
          <w:lang w:eastAsia="en-AU"/>
        </w:rPr>
        <w:t xml:space="preserve">(the proposed Regulations) is to make amendments supporting the implementation of Schedule 2 to the </w:t>
      </w:r>
      <w:r w:rsidRPr="00AF455E">
        <w:rPr>
          <w:rFonts w:ascii="Times New Roman" w:eastAsia="Times New Roman" w:hAnsi="Times New Roman" w:cs="Times New Roman"/>
          <w:i/>
          <w:sz w:val="24"/>
          <w:szCs w:val="20"/>
          <w:lang w:val="en-US" w:eastAsia="en-AU"/>
        </w:rPr>
        <w:t xml:space="preserve">Treasury Laws Amendment (Your Future, Your Super) </w:t>
      </w:r>
      <w:r w:rsidR="00982431" w:rsidRPr="00AF455E">
        <w:rPr>
          <w:rFonts w:ascii="Times New Roman" w:eastAsia="Times New Roman" w:hAnsi="Times New Roman" w:cs="Times New Roman"/>
          <w:i/>
          <w:sz w:val="24"/>
          <w:szCs w:val="20"/>
          <w:lang w:val="en-US" w:eastAsia="en-AU"/>
        </w:rPr>
        <w:t>Act</w:t>
      </w:r>
      <w:r w:rsidRPr="00AF455E">
        <w:rPr>
          <w:rFonts w:ascii="Times New Roman" w:eastAsia="Times New Roman" w:hAnsi="Times New Roman" w:cs="Times New Roman"/>
          <w:i/>
          <w:sz w:val="24"/>
          <w:szCs w:val="20"/>
          <w:lang w:val="en-US" w:eastAsia="en-AU"/>
        </w:rPr>
        <w:t xml:space="preserve"> 2021</w:t>
      </w:r>
      <w:r w:rsidRPr="00AF455E">
        <w:rPr>
          <w:rFonts w:ascii="Times New Roman" w:eastAsia="Times New Roman" w:hAnsi="Times New Roman" w:cs="Times New Roman"/>
          <w:sz w:val="24"/>
          <w:szCs w:val="20"/>
          <w:lang w:eastAsia="en-AU"/>
        </w:rPr>
        <w:t xml:space="preserve"> (the </w:t>
      </w:r>
      <w:r w:rsidR="00982431" w:rsidRPr="00AF455E">
        <w:rPr>
          <w:rFonts w:ascii="Times New Roman" w:eastAsia="Times New Roman" w:hAnsi="Times New Roman" w:cs="Times New Roman"/>
          <w:sz w:val="24"/>
          <w:szCs w:val="20"/>
          <w:lang w:eastAsia="en-AU"/>
        </w:rPr>
        <w:t>YFYS Act</w:t>
      </w:r>
      <w:r w:rsidRPr="00AF455E">
        <w:rPr>
          <w:rFonts w:ascii="Times New Roman" w:eastAsia="Times New Roman" w:hAnsi="Times New Roman" w:cs="Times New Roman"/>
          <w:sz w:val="24"/>
          <w:szCs w:val="20"/>
          <w:lang w:eastAsia="en-AU"/>
        </w:rPr>
        <w:t xml:space="preserve">). </w:t>
      </w:r>
    </w:p>
    <w:p w14:paraId="035FBFDA" w14:textId="7D714F87" w:rsidR="00F11482" w:rsidRPr="00AF455E" w:rsidRDefault="00F11482" w:rsidP="00F11482">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 xml:space="preserve">Schedule 2 to the </w:t>
      </w:r>
      <w:r w:rsidR="00982431" w:rsidRPr="00AF455E">
        <w:rPr>
          <w:rFonts w:ascii="Times New Roman" w:eastAsia="Times New Roman" w:hAnsi="Times New Roman" w:cs="Times New Roman"/>
          <w:sz w:val="24"/>
          <w:szCs w:val="20"/>
          <w:lang w:eastAsia="en-AU"/>
        </w:rPr>
        <w:t>YFYS Act</w:t>
      </w:r>
      <w:r w:rsidRPr="00AF455E">
        <w:rPr>
          <w:rFonts w:ascii="Times New Roman" w:eastAsia="Times New Roman" w:hAnsi="Times New Roman" w:cs="Times New Roman"/>
          <w:sz w:val="24"/>
          <w:szCs w:val="20"/>
          <w:lang w:eastAsia="en-AU"/>
        </w:rPr>
        <w:t xml:space="preserve"> amends the SIS Act to require </w:t>
      </w:r>
      <w:r w:rsidR="00FE1906" w:rsidRPr="00AF455E">
        <w:rPr>
          <w:rFonts w:ascii="Times New Roman" w:eastAsia="Times New Roman" w:hAnsi="Times New Roman" w:cs="Times New Roman"/>
          <w:sz w:val="24"/>
          <w:szCs w:val="20"/>
          <w:lang w:eastAsia="en-AU"/>
        </w:rPr>
        <w:t>the Australian Prudential Regulation Authority (</w:t>
      </w:r>
      <w:r w:rsidRPr="00AF455E">
        <w:rPr>
          <w:rFonts w:ascii="Times New Roman" w:eastAsia="Times New Roman" w:hAnsi="Times New Roman" w:cs="Times New Roman"/>
          <w:sz w:val="24"/>
          <w:szCs w:val="20"/>
          <w:lang w:eastAsia="en-AU"/>
        </w:rPr>
        <w:t>APRA</w:t>
      </w:r>
      <w:r w:rsidR="00FE1906" w:rsidRPr="00AF455E">
        <w:rPr>
          <w:rFonts w:ascii="Times New Roman" w:eastAsia="Times New Roman" w:hAnsi="Times New Roman" w:cs="Times New Roman"/>
          <w:sz w:val="24"/>
          <w:szCs w:val="20"/>
          <w:lang w:eastAsia="en-AU"/>
        </w:rPr>
        <w:t>)</w:t>
      </w:r>
      <w:r w:rsidRPr="00AF455E">
        <w:rPr>
          <w:rFonts w:ascii="Times New Roman" w:eastAsia="Times New Roman" w:hAnsi="Times New Roman" w:cs="Times New Roman"/>
          <w:sz w:val="24"/>
          <w:szCs w:val="20"/>
          <w:lang w:eastAsia="en-AU"/>
        </w:rPr>
        <w:t xml:space="preserve"> to conduct an annual performance test for ‘Part 6A products’, which include </w:t>
      </w:r>
      <w:proofErr w:type="spellStart"/>
      <w:r w:rsidRPr="00AF455E">
        <w:rPr>
          <w:rFonts w:ascii="Times New Roman" w:eastAsia="Times New Roman" w:hAnsi="Times New Roman" w:cs="Times New Roman"/>
          <w:sz w:val="24"/>
          <w:szCs w:val="20"/>
          <w:lang w:eastAsia="en-AU"/>
        </w:rPr>
        <w:t>MySuper</w:t>
      </w:r>
      <w:proofErr w:type="spellEnd"/>
      <w:r w:rsidRPr="00AF455E">
        <w:rPr>
          <w:rFonts w:ascii="Times New Roman" w:eastAsia="Times New Roman" w:hAnsi="Times New Roman" w:cs="Times New Roman"/>
          <w:sz w:val="24"/>
          <w:szCs w:val="20"/>
          <w:lang w:eastAsia="en-AU"/>
        </w:rPr>
        <w:t xml:space="preserve"> products and other products if specified in regulations. A trustee providing such products will be required to give notice to its beneficiaries who hold a product that has failed the performance test. Where a product has failed the performance test in two consecutive years, the trustee is prohibited from accepting new beneficiaries into that product. APRA may lift the prohibition if circumstances specified in regulations are satisfied.</w:t>
      </w:r>
    </w:p>
    <w:p w14:paraId="0B4FC8F2" w14:textId="7F04F0F0" w:rsidR="00F11482" w:rsidRPr="00AF455E" w:rsidRDefault="00F11482" w:rsidP="00F11482">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 xml:space="preserve">The proposed Regulations include amendments that support implementation of Schedule 2 to the </w:t>
      </w:r>
      <w:r w:rsidR="00982431" w:rsidRPr="00AF455E">
        <w:rPr>
          <w:rFonts w:ascii="Times New Roman" w:eastAsia="Times New Roman" w:hAnsi="Times New Roman" w:cs="Times New Roman"/>
          <w:sz w:val="24"/>
          <w:szCs w:val="20"/>
          <w:lang w:eastAsia="en-AU"/>
        </w:rPr>
        <w:t>YFYS Act</w:t>
      </w:r>
      <w:r w:rsidRPr="00AF455E">
        <w:rPr>
          <w:rFonts w:ascii="Times New Roman" w:eastAsia="Times New Roman" w:hAnsi="Times New Roman" w:cs="Times New Roman"/>
          <w:sz w:val="24"/>
          <w:szCs w:val="20"/>
          <w:lang w:eastAsia="en-AU"/>
        </w:rPr>
        <w:t xml:space="preserve"> by specifying:</w:t>
      </w:r>
    </w:p>
    <w:p w14:paraId="0EDC941D" w14:textId="77777777" w:rsidR="00F11482" w:rsidRPr="00AF455E" w:rsidRDefault="00F11482" w:rsidP="0052086E">
      <w:pPr>
        <w:pStyle w:val="Dotpoint"/>
      </w:pPr>
      <w:r w:rsidRPr="00AF455E">
        <w:rPr>
          <w:szCs w:val="23"/>
        </w:rPr>
        <w:t xml:space="preserve">when APRA must conduct the annual performance test, </w:t>
      </w:r>
      <w:r w:rsidRPr="00AF455E">
        <w:t xml:space="preserve">which products are subject to the annual performance test and the requirements for the annual performance </w:t>
      </w:r>
      <w:proofErr w:type="gramStart"/>
      <w:r w:rsidRPr="00AF455E">
        <w:t>test;</w:t>
      </w:r>
      <w:proofErr w:type="gramEnd"/>
    </w:p>
    <w:p w14:paraId="3F2AC67A" w14:textId="7B9C33F9" w:rsidR="00F11482" w:rsidRPr="00AF455E" w:rsidRDefault="00F11482" w:rsidP="0052086E">
      <w:pPr>
        <w:pStyle w:val="Dotpoint"/>
      </w:pPr>
      <w:r w:rsidRPr="00AF455E">
        <w:t xml:space="preserve">the circumstances where products are to be treated as combined for the purposes of the amendments in the </w:t>
      </w:r>
      <w:r w:rsidR="00471BAD" w:rsidRPr="00AF455E">
        <w:t>YFYS Act</w:t>
      </w:r>
      <w:r w:rsidRPr="00AF455E">
        <w:t xml:space="preserve">, such as the performance test and triggering the prohibition on a trustee from accepting new beneficiaries into an underperforming </w:t>
      </w:r>
      <w:proofErr w:type="gramStart"/>
      <w:r w:rsidRPr="00AF455E">
        <w:t>product</w:t>
      </w:r>
      <w:r w:rsidRPr="00AF455E">
        <w:rPr>
          <w:szCs w:val="23"/>
        </w:rPr>
        <w:t>;</w:t>
      </w:r>
      <w:proofErr w:type="gramEnd"/>
    </w:p>
    <w:p w14:paraId="670D0D37" w14:textId="77777777" w:rsidR="00F11482" w:rsidRPr="00AF455E" w:rsidRDefault="00F11482" w:rsidP="0052086E">
      <w:pPr>
        <w:pStyle w:val="Dotpoint"/>
      </w:pPr>
      <w:r w:rsidRPr="00AF455E">
        <w:rPr>
          <w:szCs w:val="23"/>
        </w:rPr>
        <w:t xml:space="preserve">the form and content requirements for the notice a trustee is required to give to beneficiaries who hold a product that has failed the performance </w:t>
      </w:r>
      <w:proofErr w:type="gramStart"/>
      <w:r w:rsidRPr="00AF455E">
        <w:rPr>
          <w:szCs w:val="23"/>
        </w:rPr>
        <w:t>test;</w:t>
      </w:r>
      <w:proofErr w:type="gramEnd"/>
    </w:p>
    <w:p w14:paraId="7AC0F3A8" w14:textId="77777777" w:rsidR="00F11482" w:rsidRPr="00AF455E" w:rsidRDefault="00F11482" w:rsidP="0052086E">
      <w:pPr>
        <w:pStyle w:val="Dotpoint"/>
        <w:rPr>
          <w:szCs w:val="23"/>
        </w:rPr>
      </w:pPr>
      <w:r w:rsidRPr="00AF455E">
        <w:rPr>
          <w:szCs w:val="23"/>
        </w:rPr>
        <w:lastRenderedPageBreak/>
        <w:t xml:space="preserve">that an RSE licensee is required to make information about a failed annual performance test result in relation to a product it offers publicly available on its </w:t>
      </w:r>
      <w:proofErr w:type="gramStart"/>
      <w:r w:rsidRPr="00AF455E">
        <w:rPr>
          <w:szCs w:val="23"/>
        </w:rPr>
        <w:t>website;</w:t>
      </w:r>
      <w:proofErr w:type="gramEnd"/>
    </w:p>
    <w:p w14:paraId="57507DD3" w14:textId="77777777" w:rsidR="00F11482" w:rsidRPr="00AF455E" w:rsidRDefault="00F11482" w:rsidP="0052086E">
      <w:pPr>
        <w:pStyle w:val="Dotpoint"/>
        <w:rPr>
          <w:rFonts w:ascii="Calibri" w:eastAsia="Calibri" w:hAnsi="Calibri"/>
          <w:b/>
        </w:rPr>
      </w:pPr>
      <w:r w:rsidRPr="00AF455E">
        <w:t>the circumstances where APRA may lift a prohibition on a trustee from accepting new beneficiaries into an underperforming product;</w:t>
      </w:r>
      <w:r w:rsidRPr="00AF455E">
        <w:rPr>
          <w:szCs w:val="23"/>
        </w:rPr>
        <w:t xml:space="preserve"> and</w:t>
      </w:r>
    </w:p>
    <w:p w14:paraId="45F7E2FD" w14:textId="3282E359" w:rsidR="00F11482" w:rsidRPr="00AF455E" w:rsidRDefault="00F11482" w:rsidP="0052086E">
      <w:pPr>
        <w:pStyle w:val="Dotpoint"/>
      </w:pPr>
      <w:r w:rsidRPr="00AF455E">
        <w:t xml:space="preserve">formulas as a basis for, or methods for, ranking Part 6A products, which under the amendments in the </w:t>
      </w:r>
      <w:r w:rsidR="00982431" w:rsidRPr="00AF455E">
        <w:t>YFYS Act</w:t>
      </w:r>
      <w:r w:rsidRPr="00AF455E">
        <w:t xml:space="preserve">, APRA may give to the </w:t>
      </w:r>
      <w:r w:rsidR="001B7BF2" w:rsidRPr="00AF455E">
        <w:t>Australian Taxation Office (</w:t>
      </w:r>
      <w:r w:rsidRPr="00AF455E">
        <w:t>ATO</w:t>
      </w:r>
      <w:r w:rsidR="001B7BF2" w:rsidRPr="00AF455E">
        <w:t>)</w:t>
      </w:r>
      <w:r w:rsidRPr="00AF455E">
        <w:t xml:space="preserve"> to enable the implementation of the </w:t>
      </w:r>
      <w:proofErr w:type="spellStart"/>
      <w:r w:rsidRPr="00AF455E">
        <w:t>YourSuper</w:t>
      </w:r>
      <w:proofErr w:type="spellEnd"/>
      <w:r w:rsidRPr="00AF455E">
        <w:t xml:space="preserve"> comparison tool</w:t>
      </w:r>
      <w:r w:rsidRPr="00AF455E">
        <w:rPr>
          <w:szCs w:val="23"/>
        </w:rPr>
        <w:t xml:space="preserve"> announced by the Government as part of the Your Future, Your Super reforms</w:t>
      </w:r>
      <w:r w:rsidRPr="00AF455E">
        <w:t>.</w:t>
      </w:r>
    </w:p>
    <w:p w14:paraId="51CBEDDC" w14:textId="7AD66269" w:rsidR="00F11482" w:rsidRPr="00AF455E" w:rsidRDefault="00F11482" w:rsidP="00F11482">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 xml:space="preserve">The amendments relating to the new annual performance test </w:t>
      </w:r>
      <w:r w:rsidR="004E5485" w:rsidRPr="00AF455E">
        <w:rPr>
          <w:rFonts w:ascii="Times New Roman" w:eastAsia="Times New Roman" w:hAnsi="Times New Roman" w:cs="Times New Roman"/>
          <w:sz w:val="24"/>
          <w:szCs w:val="24"/>
          <w:lang w:eastAsia="en-AU"/>
        </w:rPr>
        <w:t xml:space="preserve">and supporting implementation of the comparison tool </w:t>
      </w:r>
      <w:r w:rsidRPr="00AF455E">
        <w:rPr>
          <w:rFonts w:ascii="Times New Roman" w:eastAsia="Times New Roman" w:hAnsi="Times New Roman" w:cs="Times New Roman"/>
          <w:sz w:val="24"/>
          <w:szCs w:val="20"/>
          <w:lang w:eastAsia="en-AU"/>
        </w:rPr>
        <w:t xml:space="preserve">apply in relation to </w:t>
      </w:r>
      <w:proofErr w:type="spellStart"/>
      <w:r w:rsidRPr="00AF455E">
        <w:rPr>
          <w:rFonts w:ascii="Times New Roman" w:eastAsia="Times New Roman" w:hAnsi="Times New Roman" w:cs="Times New Roman"/>
          <w:sz w:val="24"/>
          <w:szCs w:val="20"/>
          <w:lang w:eastAsia="en-AU"/>
        </w:rPr>
        <w:t>MySuper</w:t>
      </w:r>
      <w:proofErr w:type="spellEnd"/>
      <w:r w:rsidRPr="00AF455E">
        <w:rPr>
          <w:rFonts w:ascii="Times New Roman" w:eastAsia="Times New Roman" w:hAnsi="Times New Roman" w:cs="Times New Roman"/>
          <w:sz w:val="24"/>
          <w:szCs w:val="20"/>
          <w:lang w:eastAsia="en-AU"/>
        </w:rPr>
        <w:t xml:space="preserve"> products on and after 1 July 2021 and in relation to other classes of beneficial interest in a regulated superannuation fund specified in the regulations on and after 1 July 2022.</w:t>
      </w:r>
      <w:r w:rsidR="00E85021" w:rsidRPr="00AF455E">
        <w:rPr>
          <w:rFonts w:ascii="Times New Roman" w:eastAsia="Times New Roman" w:hAnsi="Times New Roman" w:cs="Times New Roman"/>
          <w:sz w:val="24"/>
          <w:szCs w:val="24"/>
          <w:lang w:eastAsia="en-AU"/>
        </w:rPr>
        <w:t xml:space="preserve"> </w:t>
      </w:r>
      <w:r w:rsidR="00E85021" w:rsidRPr="00AF455E">
        <w:rPr>
          <w:rFonts w:ascii="Times New Roman" w:eastAsia="Times New Roman" w:hAnsi="Times New Roman" w:cs="Times New Roman"/>
          <w:sz w:val="24"/>
          <w:szCs w:val="20"/>
          <w:lang w:eastAsia="en-AU"/>
        </w:rPr>
        <w:t xml:space="preserve">The comparison tool will cover </w:t>
      </w:r>
      <w:proofErr w:type="spellStart"/>
      <w:r w:rsidR="00E85021" w:rsidRPr="00AF455E">
        <w:rPr>
          <w:rFonts w:ascii="Times New Roman" w:eastAsia="Times New Roman" w:hAnsi="Times New Roman" w:cs="Times New Roman"/>
          <w:sz w:val="24"/>
          <w:szCs w:val="20"/>
          <w:lang w:eastAsia="en-AU"/>
        </w:rPr>
        <w:t>MySuper</w:t>
      </w:r>
      <w:proofErr w:type="spellEnd"/>
      <w:r w:rsidR="00E85021" w:rsidRPr="00AF455E">
        <w:rPr>
          <w:rFonts w:ascii="Times New Roman" w:eastAsia="Times New Roman" w:hAnsi="Times New Roman" w:cs="Times New Roman"/>
          <w:sz w:val="24"/>
          <w:szCs w:val="20"/>
          <w:lang w:eastAsia="en-AU"/>
        </w:rPr>
        <w:t xml:space="preserve"> products.</w:t>
      </w:r>
    </w:p>
    <w:p w14:paraId="6FD78B9B" w14:textId="77777777" w:rsidR="007C0E03" w:rsidRPr="00AF455E" w:rsidRDefault="007C0E03" w:rsidP="007C0E03">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 xml:space="preserve">The SIS Act specifies no conditions that need to be met before the power to make the proposed Regulations may be exercised. </w:t>
      </w:r>
    </w:p>
    <w:p w14:paraId="5E8BD110" w14:textId="6FD8AD94" w:rsidR="0058062C" w:rsidRPr="00AF455E" w:rsidRDefault="0058062C" w:rsidP="00F11482">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 xml:space="preserve">The </w:t>
      </w:r>
      <w:r w:rsidR="00F13EC0" w:rsidRPr="00AF455E">
        <w:rPr>
          <w:rFonts w:ascii="Times New Roman" w:eastAsia="Times New Roman" w:hAnsi="Times New Roman" w:cs="Times New Roman"/>
          <w:sz w:val="24"/>
          <w:szCs w:val="20"/>
          <w:lang w:eastAsia="en-AU"/>
        </w:rPr>
        <w:t>exposure draft</w:t>
      </w:r>
      <w:r w:rsidRPr="00AF455E">
        <w:rPr>
          <w:rFonts w:ascii="Times New Roman" w:eastAsia="Times New Roman" w:hAnsi="Times New Roman" w:cs="Times New Roman"/>
          <w:sz w:val="24"/>
          <w:szCs w:val="20"/>
          <w:lang w:eastAsia="en-AU"/>
        </w:rPr>
        <w:t xml:space="preserve"> </w:t>
      </w:r>
      <w:r w:rsidR="00560237" w:rsidRPr="00AF455E">
        <w:rPr>
          <w:rFonts w:ascii="Times New Roman" w:eastAsia="Times New Roman" w:hAnsi="Times New Roman" w:cs="Times New Roman"/>
          <w:sz w:val="24"/>
          <w:szCs w:val="20"/>
          <w:lang w:eastAsia="en-AU"/>
        </w:rPr>
        <w:t>R</w:t>
      </w:r>
      <w:r w:rsidRPr="00AF455E">
        <w:rPr>
          <w:rFonts w:ascii="Times New Roman" w:eastAsia="Times New Roman" w:hAnsi="Times New Roman" w:cs="Times New Roman"/>
          <w:sz w:val="24"/>
          <w:szCs w:val="20"/>
          <w:lang w:eastAsia="en-AU"/>
        </w:rPr>
        <w:t>egulations and explanatory material were released for a four-week public consultation between 28 April and 25 May 2021.</w:t>
      </w:r>
    </w:p>
    <w:p w14:paraId="302038B5" w14:textId="28D716A0" w:rsidR="00F11482" w:rsidRPr="00AF455E" w:rsidRDefault="00F11482" w:rsidP="00F11482">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 xml:space="preserve">Details of the </w:t>
      </w:r>
      <w:r w:rsidR="000A6D36" w:rsidRPr="00AF455E">
        <w:rPr>
          <w:rFonts w:ascii="Times New Roman" w:eastAsia="Times New Roman" w:hAnsi="Times New Roman" w:cs="Times New Roman"/>
          <w:sz w:val="24"/>
          <w:szCs w:val="20"/>
          <w:lang w:eastAsia="en-AU"/>
        </w:rPr>
        <w:t xml:space="preserve">proposed </w:t>
      </w:r>
      <w:r w:rsidRPr="00AF455E">
        <w:rPr>
          <w:rFonts w:ascii="Times New Roman" w:eastAsia="Times New Roman" w:hAnsi="Times New Roman" w:cs="Times New Roman"/>
          <w:sz w:val="24"/>
          <w:szCs w:val="20"/>
          <w:lang w:eastAsia="en-AU"/>
        </w:rPr>
        <w:t xml:space="preserve">Regulations are set out in </w:t>
      </w:r>
      <w:r w:rsidRPr="00AF455E">
        <w:rPr>
          <w:rFonts w:ascii="Times New Roman" w:eastAsia="Times New Roman" w:hAnsi="Times New Roman" w:cs="Times New Roman"/>
          <w:sz w:val="24"/>
          <w:szCs w:val="20"/>
          <w:u w:val="single"/>
          <w:lang w:eastAsia="en-AU"/>
        </w:rPr>
        <w:t xml:space="preserve">Attachment </w:t>
      </w:r>
      <w:r w:rsidR="00E232AE" w:rsidRPr="00AF455E">
        <w:rPr>
          <w:rFonts w:ascii="Times New Roman" w:eastAsia="Times New Roman" w:hAnsi="Times New Roman" w:cs="Times New Roman"/>
          <w:sz w:val="24"/>
          <w:szCs w:val="20"/>
          <w:u w:val="single"/>
          <w:lang w:eastAsia="en-AU"/>
        </w:rPr>
        <w:t>A</w:t>
      </w:r>
      <w:r w:rsidR="00AF0ACF" w:rsidRPr="00AF455E">
        <w:rPr>
          <w:rFonts w:ascii="Times New Roman" w:eastAsia="Times New Roman" w:hAnsi="Times New Roman" w:cs="Times New Roman"/>
          <w:color w:val="FF0000"/>
          <w:sz w:val="24"/>
          <w:szCs w:val="20"/>
          <w:lang w:eastAsia="en-AU"/>
        </w:rPr>
        <w:t>.</w:t>
      </w:r>
    </w:p>
    <w:p w14:paraId="5F2C55A3" w14:textId="629853E1" w:rsidR="00F11482" w:rsidRPr="00AF455E" w:rsidRDefault="00F11482" w:rsidP="00F11482">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 xml:space="preserve">The </w:t>
      </w:r>
      <w:r w:rsidR="000A6D36" w:rsidRPr="00AF455E">
        <w:rPr>
          <w:rFonts w:ascii="Times New Roman" w:eastAsia="Times New Roman" w:hAnsi="Times New Roman" w:cs="Times New Roman"/>
          <w:sz w:val="24"/>
          <w:szCs w:val="20"/>
          <w:lang w:eastAsia="en-AU"/>
        </w:rPr>
        <w:t xml:space="preserve">proposed </w:t>
      </w:r>
      <w:r w:rsidRPr="00AF455E">
        <w:rPr>
          <w:rFonts w:ascii="Times New Roman" w:eastAsia="Times New Roman" w:hAnsi="Times New Roman" w:cs="Times New Roman"/>
          <w:sz w:val="24"/>
          <w:szCs w:val="20"/>
          <w:lang w:eastAsia="en-AU"/>
        </w:rPr>
        <w:t xml:space="preserve">Regulations are a legislative instrument for the purposes of the </w:t>
      </w:r>
      <w:r w:rsidRPr="00AF455E">
        <w:rPr>
          <w:rFonts w:ascii="Times New Roman" w:eastAsia="Times New Roman" w:hAnsi="Times New Roman" w:cs="Times New Roman"/>
          <w:i/>
          <w:sz w:val="24"/>
          <w:szCs w:val="20"/>
          <w:lang w:eastAsia="en-AU"/>
        </w:rPr>
        <w:t>Legislation Act 2003</w:t>
      </w:r>
      <w:r w:rsidRPr="00AF455E">
        <w:rPr>
          <w:rFonts w:ascii="Times New Roman" w:eastAsia="Times New Roman" w:hAnsi="Times New Roman" w:cs="Times New Roman"/>
          <w:sz w:val="24"/>
          <w:szCs w:val="20"/>
          <w:lang w:eastAsia="en-AU"/>
        </w:rPr>
        <w:t>.</w:t>
      </w:r>
    </w:p>
    <w:p w14:paraId="42DE3EE8" w14:textId="345ABAE4" w:rsidR="00F11482" w:rsidRPr="00AF455E" w:rsidRDefault="00F11482" w:rsidP="00F11482">
      <w:pPr>
        <w:widowControl w:val="0"/>
        <w:adjustRightInd w:val="0"/>
        <w:spacing w:before="240" w:after="120" w:line="360" w:lineRule="atLeast"/>
        <w:jc w:val="both"/>
        <w:textAlignment w:val="baseline"/>
        <w:rPr>
          <w:rFonts w:ascii="Times New Roman" w:eastAsia="Times New Roman" w:hAnsi="Times New Roman" w:cs="Times New Roman"/>
          <w:i/>
          <w:sz w:val="24"/>
          <w:szCs w:val="20"/>
          <w:lang w:eastAsia="en-AU"/>
        </w:rPr>
      </w:pPr>
      <w:r w:rsidRPr="00AF455E">
        <w:rPr>
          <w:rFonts w:ascii="Times New Roman" w:eastAsia="Times New Roman" w:hAnsi="Times New Roman" w:cs="Times New Roman"/>
          <w:sz w:val="24"/>
          <w:szCs w:val="20"/>
          <w:lang w:eastAsia="en-AU"/>
        </w:rPr>
        <w:t xml:space="preserve">The </w:t>
      </w:r>
      <w:r w:rsidR="000A6D36" w:rsidRPr="00AF455E">
        <w:rPr>
          <w:rFonts w:ascii="Times New Roman" w:eastAsia="Times New Roman" w:hAnsi="Times New Roman" w:cs="Times New Roman"/>
          <w:sz w:val="24"/>
          <w:szCs w:val="20"/>
          <w:lang w:eastAsia="en-AU"/>
        </w:rPr>
        <w:t>proposed Regulations commence</w:t>
      </w:r>
      <w:r w:rsidRPr="00AF455E">
        <w:rPr>
          <w:rFonts w:ascii="Times New Roman" w:eastAsia="Times New Roman" w:hAnsi="Times New Roman" w:cs="Times New Roman"/>
          <w:sz w:val="24"/>
          <w:szCs w:val="20"/>
          <w:lang w:eastAsia="en-AU"/>
        </w:rPr>
        <w:t xml:space="preserve"> on</w:t>
      </w:r>
      <w:r w:rsidR="008B03B6" w:rsidRPr="00AF455E">
        <w:rPr>
          <w:rFonts w:ascii="Times New Roman" w:eastAsia="Times New Roman" w:hAnsi="Times New Roman" w:cs="Times New Roman"/>
          <w:sz w:val="24"/>
          <w:szCs w:val="20"/>
          <w:lang w:eastAsia="en-AU"/>
        </w:rPr>
        <w:t xml:space="preserve"> the day after </w:t>
      </w:r>
      <w:r w:rsidR="00682154" w:rsidRPr="00AF455E">
        <w:rPr>
          <w:rFonts w:ascii="Times New Roman" w:eastAsia="Times New Roman" w:hAnsi="Times New Roman" w:cs="Times New Roman"/>
          <w:sz w:val="24"/>
          <w:szCs w:val="20"/>
          <w:lang w:eastAsia="en-AU"/>
        </w:rPr>
        <w:t>registration.</w:t>
      </w:r>
      <w:r w:rsidRPr="00AF455E">
        <w:rPr>
          <w:rFonts w:ascii="Times New Roman" w:eastAsia="Times New Roman" w:hAnsi="Times New Roman" w:cs="Times New Roman"/>
          <w:sz w:val="24"/>
          <w:szCs w:val="20"/>
          <w:lang w:eastAsia="en-AU"/>
        </w:rPr>
        <w:t xml:space="preserve"> </w:t>
      </w:r>
    </w:p>
    <w:p w14:paraId="63202B50" w14:textId="77777777" w:rsidR="00F11482" w:rsidRPr="00AF455E" w:rsidRDefault="00F11482" w:rsidP="00F11482">
      <w:pPr>
        <w:keepNext/>
        <w:widowControl w:val="0"/>
        <w:adjustRightInd w:val="0"/>
        <w:spacing w:before="360" w:after="120" w:line="360" w:lineRule="atLeast"/>
        <w:jc w:val="both"/>
        <w:textAlignment w:val="baseline"/>
        <w:outlineLvl w:val="1"/>
        <w:rPr>
          <w:rFonts w:ascii="Times New Roman" w:eastAsia="Times New Roman" w:hAnsi="Times New Roman" w:cs="Times New Roman"/>
          <w:i/>
          <w:sz w:val="24"/>
          <w:szCs w:val="24"/>
          <w:lang w:eastAsia="en-AU"/>
        </w:rPr>
      </w:pPr>
      <w:r w:rsidRPr="00AF455E">
        <w:rPr>
          <w:rFonts w:ascii="Times New Roman" w:eastAsia="Times New Roman" w:hAnsi="Times New Roman" w:cs="Times New Roman"/>
          <w:b/>
          <w:sz w:val="24"/>
          <w:szCs w:val="24"/>
          <w:u w:val="single"/>
          <w:lang w:eastAsia="en-AU"/>
        </w:rPr>
        <w:t>Regulation Impact Statement</w:t>
      </w:r>
      <w:r w:rsidRPr="00AF455E">
        <w:rPr>
          <w:rFonts w:ascii="Times New Roman" w:eastAsia="Times New Roman" w:hAnsi="Times New Roman" w:cs="Times New Roman"/>
          <w:sz w:val="24"/>
          <w:szCs w:val="24"/>
          <w:lang w:eastAsia="en-AU"/>
        </w:rPr>
        <w:t xml:space="preserve"> </w:t>
      </w:r>
    </w:p>
    <w:p w14:paraId="4D4481B8" w14:textId="5F5DA52B" w:rsidR="00F11482" w:rsidRPr="00AF455E" w:rsidRDefault="00F11482" w:rsidP="00F11482">
      <w:pPr>
        <w:widowControl w:val="0"/>
        <w:adjustRightInd w:val="0"/>
        <w:spacing w:before="120" w:after="120" w:line="360" w:lineRule="atLeast"/>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The ‘Superannuation Reform—Your Future, Your Super’ measure announced in the 2020-21 Budget is estimated to have a total regulatory impact of $5.1 million per year on business</w:t>
      </w:r>
      <w:r w:rsidR="00D35A61" w:rsidRPr="00AF455E">
        <w:rPr>
          <w:rFonts w:ascii="Times New Roman" w:eastAsia="Times New Roman" w:hAnsi="Times New Roman" w:cs="Times New Roman"/>
          <w:sz w:val="24"/>
          <w:szCs w:val="20"/>
          <w:lang w:eastAsia="en-AU"/>
        </w:rPr>
        <w:t xml:space="preserve"> and </w:t>
      </w:r>
      <w:r w:rsidR="006B36D0" w:rsidRPr="00AF455E">
        <w:rPr>
          <w:rFonts w:ascii="Times New Roman" w:eastAsia="Times New Roman" w:hAnsi="Times New Roman" w:cs="Times New Roman"/>
          <w:sz w:val="24"/>
          <w:szCs w:val="20"/>
          <w:lang w:eastAsia="en-AU"/>
        </w:rPr>
        <w:t>individuals</w:t>
      </w:r>
      <w:r w:rsidRPr="00AF455E">
        <w:rPr>
          <w:rFonts w:ascii="Times New Roman" w:eastAsia="Times New Roman" w:hAnsi="Times New Roman" w:cs="Times New Roman"/>
          <w:sz w:val="24"/>
          <w:szCs w:val="20"/>
          <w:lang w:eastAsia="en-AU"/>
        </w:rPr>
        <w:t>.</w:t>
      </w:r>
    </w:p>
    <w:p w14:paraId="58313BAC" w14:textId="0C6404E1" w:rsidR="00F11482" w:rsidRPr="00AF455E" w:rsidRDefault="00F11482" w:rsidP="00F11482">
      <w:pPr>
        <w:widowControl w:val="0"/>
        <w:adjustRightInd w:val="0"/>
        <w:spacing w:before="120" w:after="120" w:line="360" w:lineRule="atLeast"/>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The Productivity Commission’s report, </w:t>
      </w:r>
      <w:r w:rsidRPr="00AF455E">
        <w:rPr>
          <w:rFonts w:ascii="Times New Roman" w:eastAsia="Times New Roman" w:hAnsi="Times New Roman" w:cs="Times New Roman"/>
          <w:i/>
          <w:iCs/>
          <w:sz w:val="24"/>
          <w:szCs w:val="20"/>
          <w:lang w:eastAsia="en-AU"/>
        </w:rPr>
        <w:t>Superannuation: Assessing Efficiency and Competitiveness</w:t>
      </w:r>
      <w:r w:rsidRPr="00AF455E">
        <w:rPr>
          <w:rFonts w:ascii="Times New Roman" w:eastAsia="Times New Roman" w:hAnsi="Times New Roman" w:cs="Times New Roman"/>
          <w:sz w:val="24"/>
          <w:szCs w:val="20"/>
          <w:lang w:eastAsia="en-AU"/>
        </w:rPr>
        <w:t>, has been certified as a process and analysis equivalent to a Regulation Impact Statement for the purposes of the Government decision to implement this measure. The report can be accessed through the Australian Parliament House website.</w:t>
      </w:r>
    </w:p>
    <w:p w14:paraId="741BD672" w14:textId="27A8F538" w:rsidR="00B559D7" w:rsidRPr="00AF455E" w:rsidRDefault="00B559D7" w:rsidP="00F11482">
      <w:pPr>
        <w:widowControl w:val="0"/>
        <w:adjustRightInd w:val="0"/>
        <w:spacing w:before="120" w:after="120" w:line="360" w:lineRule="atLeast"/>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 xml:space="preserve">A statement of Compatibility with Human Rights is at </w:t>
      </w:r>
      <w:r w:rsidRPr="00AF455E">
        <w:rPr>
          <w:rFonts w:ascii="Times New Roman" w:eastAsia="Times New Roman" w:hAnsi="Times New Roman" w:cs="Times New Roman"/>
          <w:sz w:val="24"/>
          <w:szCs w:val="20"/>
          <w:u w:val="single"/>
          <w:lang w:eastAsia="en-AU"/>
        </w:rPr>
        <w:t>Attachment</w:t>
      </w:r>
      <w:r w:rsidR="00BB3348" w:rsidRPr="00AF455E">
        <w:rPr>
          <w:rFonts w:ascii="Times New Roman" w:eastAsia="Times New Roman" w:hAnsi="Times New Roman" w:cs="Times New Roman"/>
          <w:sz w:val="24"/>
          <w:szCs w:val="20"/>
          <w:u w:val="single"/>
          <w:lang w:eastAsia="en-AU"/>
        </w:rPr>
        <w:t xml:space="preserve"> B</w:t>
      </w:r>
      <w:r w:rsidRPr="00AF455E">
        <w:rPr>
          <w:rFonts w:ascii="Times New Roman" w:eastAsia="Times New Roman" w:hAnsi="Times New Roman" w:cs="Times New Roman"/>
          <w:sz w:val="24"/>
          <w:szCs w:val="20"/>
          <w:lang w:eastAsia="en-AU"/>
        </w:rPr>
        <w:t xml:space="preserve">. </w:t>
      </w:r>
    </w:p>
    <w:p w14:paraId="05073617" w14:textId="7B3D666A" w:rsidR="00F11482" w:rsidRPr="00AF455E" w:rsidRDefault="00F11482" w:rsidP="00F11482">
      <w:pPr>
        <w:pageBreakBefore/>
        <w:widowControl w:val="0"/>
        <w:adjustRightInd w:val="0"/>
        <w:spacing w:before="240" w:after="120" w:line="360" w:lineRule="atLeast"/>
        <w:jc w:val="right"/>
        <w:textAlignment w:val="baseline"/>
        <w:rPr>
          <w:rFonts w:ascii="Times New Roman" w:eastAsia="Times New Roman" w:hAnsi="Times New Roman" w:cs="Times New Roman"/>
          <w:b/>
          <w:sz w:val="24"/>
          <w:szCs w:val="20"/>
          <w:u w:val="single"/>
          <w:lang w:eastAsia="en-AU"/>
        </w:rPr>
      </w:pPr>
      <w:r w:rsidRPr="00AF455E">
        <w:rPr>
          <w:rFonts w:ascii="Times New Roman" w:eastAsia="Times New Roman" w:hAnsi="Times New Roman" w:cs="Times New Roman"/>
          <w:b/>
          <w:sz w:val="24"/>
          <w:szCs w:val="20"/>
          <w:u w:val="single"/>
          <w:lang w:eastAsia="en-AU"/>
        </w:rPr>
        <w:lastRenderedPageBreak/>
        <w:t xml:space="preserve">ATTACHMENT </w:t>
      </w:r>
      <w:r w:rsidR="00E232AE" w:rsidRPr="00AF455E">
        <w:rPr>
          <w:rFonts w:ascii="Times New Roman" w:eastAsia="Times New Roman" w:hAnsi="Times New Roman" w:cs="Times New Roman"/>
          <w:b/>
          <w:sz w:val="24"/>
          <w:szCs w:val="20"/>
          <w:u w:val="single"/>
          <w:lang w:eastAsia="en-AU"/>
        </w:rPr>
        <w:t>A</w:t>
      </w:r>
    </w:p>
    <w:p w14:paraId="4779C684" w14:textId="2849C36D" w:rsidR="00515F0A" w:rsidRPr="00AF455E" w:rsidRDefault="00F11482" w:rsidP="00515F0A">
      <w:pPr>
        <w:widowControl w:val="0"/>
        <w:adjustRightInd w:val="0"/>
        <w:spacing w:before="240" w:after="120" w:line="360" w:lineRule="atLeast"/>
        <w:ind w:right="91"/>
        <w:jc w:val="both"/>
        <w:textAlignment w:val="baseline"/>
        <w:rPr>
          <w:rFonts w:ascii="Times New Roman" w:eastAsia="Times New Roman" w:hAnsi="Times New Roman" w:cs="Times New Roman"/>
          <w:b/>
          <w:i/>
          <w:sz w:val="24"/>
          <w:szCs w:val="20"/>
          <w:u w:val="single"/>
          <w:lang w:eastAsia="en-AU"/>
        </w:rPr>
      </w:pPr>
      <w:r w:rsidRPr="00AF455E">
        <w:rPr>
          <w:rFonts w:ascii="Times New Roman" w:eastAsia="Times New Roman" w:hAnsi="Times New Roman" w:cs="Times New Roman"/>
          <w:b/>
          <w:bCs/>
          <w:sz w:val="24"/>
          <w:szCs w:val="20"/>
          <w:u w:val="single"/>
          <w:lang w:eastAsia="en-AU"/>
        </w:rPr>
        <w:t>Details of the</w:t>
      </w:r>
      <w:r w:rsidR="0030237B" w:rsidRPr="00AF455E">
        <w:rPr>
          <w:rFonts w:ascii="Times New Roman" w:eastAsia="Times New Roman" w:hAnsi="Times New Roman" w:cs="Times New Roman"/>
          <w:b/>
          <w:bCs/>
          <w:sz w:val="24"/>
          <w:szCs w:val="20"/>
          <w:u w:val="single"/>
          <w:lang w:eastAsia="en-AU"/>
        </w:rPr>
        <w:t xml:space="preserve"> </w:t>
      </w:r>
      <w:r w:rsidR="0030237B" w:rsidRPr="00AF455E">
        <w:rPr>
          <w:rFonts w:ascii="Times New Roman" w:eastAsia="Times New Roman" w:hAnsi="Times New Roman" w:cs="Times New Roman"/>
          <w:b/>
          <w:bCs/>
          <w:i/>
          <w:iCs/>
          <w:sz w:val="24"/>
          <w:szCs w:val="20"/>
          <w:u w:val="single"/>
          <w:lang w:eastAsia="en-AU"/>
        </w:rPr>
        <w:t>Treasury Laws Amendment (Your Future, Your Super—Addressing Underperformance in Superannuation) Regulations 2021</w:t>
      </w:r>
    </w:p>
    <w:p w14:paraId="66ECBE95" w14:textId="7C672E0F" w:rsidR="00F11482" w:rsidRPr="00AF455E" w:rsidRDefault="00F11482" w:rsidP="000F6CB6">
      <w:pPr>
        <w:widowControl w:val="0"/>
        <w:adjustRightInd w:val="0"/>
        <w:spacing w:before="240" w:after="120" w:line="360" w:lineRule="atLeast"/>
        <w:ind w:right="91"/>
        <w:jc w:val="both"/>
        <w:textAlignment w:val="baseline"/>
        <w:rPr>
          <w:rFonts w:ascii="Calibri" w:eastAsia="Times New Roman" w:hAnsi="Calibri" w:cs="Times New Roman"/>
          <w:u w:val="single"/>
        </w:rPr>
      </w:pPr>
      <w:r w:rsidRPr="00AF455E">
        <w:rPr>
          <w:rFonts w:ascii="Times New Roman" w:eastAsia="Times New Roman" w:hAnsi="Times New Roman" w:cs="Times New Roman"/>
          <w:sz w:val="24"/>
          <w:szCs w:val="20"/>
          <w:u w:val="single"/>
          <w:lang w:eastAsia="en-AU"/>
        </w:rPr>
        <w:t xml:space="preserve">Section 1 – Name of the </w:t>
      </w:r>
      <w:r w:rsidR="00DA160C" w:rsidRPr="00AF455E">
        <w:rPr>
          <w:rFonts w:ascii="Times New Roman" w:eastAsia="Times New Roman" w:hAnsi="Times New Roman" w:cs="Times New Roman"/>
          <w:sz w:val="24"/>
          <w:szCs w:val="20"/>
          <w:u w:val="single"/>
          <w:lang w:eastAsia="en-AU"/>
        </w:rPr>
        <w:t xml:space="preserve">Proposed </w:t>
      </w:r>
      <w:r w:rsidRPr="00AF455E">
        <w:rPr>
          <w:rFonts w:ascii="Times New Roman" w:eastAsia="Times New Roman" w:hAnsi="Times New Roman" w:cs="Times New Roman"/>
          <w:sz w:val="24"/>
          <w:szCs w:val="20"/>
          <w:u w:val="single"/>
          <w:lang w:eastAsia="en-AU"/>
        </w:rPr>
        <w:t>Regulations</w:t>
      </w:r>
    </w:p>
    <w:p w14:paraId="235839F7" w14:textId="59B0351B" w:rsidR="00F11482" w:rsidRPr="00AF455E" w:rsidRDefault="00F11482" w:rsidP="00F11482">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This section provides that the name of the Regulations is the</w:t>
      </w:r>
      <w:r w:rsidR="0030237B" w:rsidRPr="00AF455E">
        <w:rPr>
          <w:rFonts w:ascii="Times New Roman" w:eastAsia="Times New Roman" w:hAnsi="Times New Roman" w:cs="Times New Roman"/>
          <w:sz w:val="24"/>
          <w:szCs w:val="20"/>
          <w:lang w:eastAsia="en-AU"/>
        </w:rPr>
        <w:t xml:space="preserve"> </w:t>
      </w:r>
      <w:r w:rsidR="0030237B" w:rsidRPr="00AF455E">
        <w:rPr>
          <w:rFonts w:ascii="Times New Roman" w:eastAsia="Times New Roman" w:hAnsi="Times New Roman" w:cs="Times New Roman"/>
          <w:i/>
          <w:iCs/>
          <w:sz w:val="24"/>
          <w:szCs w:val="20"/>
          <w:lang w:eastAsia="en-AU"/>
        </w:rPr>
        <w:t>Treasury Laws Amendment (Your Future, Your Super—Addressing Underperformance in Superannuation) Regulations 2021</w:t>
      </w:r>
      <w:r w:rsidRPr="00AF455E">
        <w:rPr>
          <w:rFonts w:ascii="Times New Roman" w:eastAsia="Times New Roman" w:hAnsi="Times New Roman" w:cs="Times New Roman"/>
          <w:i/>
          <w:iCs/>
          <w:sz w:val="24"/>
          <w:szCs w:val="20"/>
          <w:lang w:eastAsia="en-AU"/>
        </w:rPr>
        <w:t xml:space="preserve"> </w:t>
      </w:r>
      <w:r w:rsidRPr="00AF455E">
        <w:rPr>
          <w:rFonts w:ascii="Times New Roman" w:eastAsia="Times New Roman" w:hAnsi="Times New Roman" w:cs="Times New Roman"/>
          <w:sz w:val="24"/>
          <w:szCs w:val="20"/>
          <w:lang w:eastAsia="en-AU"/>
        </w:rPr>
        <w:t>(the </w:t>
      </w:r>
      <w:r w:rsidR="00DA160C" w:rsidRPr="00AF455E">
        <w:rPr>
          <w:rFonts w:ascii="Times New Roman" w:eastAsia="Times New Roman" w:hAnsi="Times New Roman" w:cs="Times New Roman"/>
          <w:sz w:val="24"/>
          <w:szCs w:val="20"/>
          <w:lang w:eastAsia="en-AU"/>
        </w:rPr>
        <w:t xml:space="preserve">proposed </w:t>
      </w:r>
      <w:r w:rsidRPr="00AF455E">
        <w:rPr>
          <w:rFonts w:ascii="Times New Roman" w:eastAsia="Times New Roman" w:hAnsi="Times New Roman" w:cs="Times New Roman"/>
          <w:sz w:val="24"/>
          <w:szCs w:val="20"/>
          <w:lang w:eastAsia="en-AU"/>
        </w:rPr>
        <w:t>Regulations).</w:t>
      </w:r>
    </w:p>
    <w:p w14:paraId="0AB483E3" w14:textId="77777777" w:rsidR="00F11482" w:rsidRPr="00AF455E" w:rsidRDefault="00F11482" w:rsidP="00F11482">
      <w:pPr>
        <w:widowControl w:val="0"/>
        <w:adjustRightInd w:val="0"/>
        <w:spacing w:before="240" w:after="120" w:line="360" w:lineRule="atLeast"/>
        <w:ind w:right="91"/>
        <w:jc w:val="both"/>
        <w:textAlignment w:val="baseline"/>
        <w:rPr>
          <w:rFonts w:ascii="Times New Roman" w:eastAsia="Times New Roman" w:hAnsi="Times New Roman" w:cs="Times New Roman"/>
          <w:sz w:val="24"/>
          <w:szCs w:val="20"/>
          <w:u w:val="single"/>
          <w:lang w:eastAsia="en-AU"/>
        </w:rPr>
      </w:pPr>
      <w:r w:rsidRPr="00AF455E">
        <w:rPr>
          <w:rFonts w:ascii="Times New Roman" w:eastAsia="Times New Roman" w:hAnsi="Times New Roman" w:cs="Times New Roman"/>
          <w:sz w:val="24"/>
          <w:szCs w:val="20"/>
          <w:u w:val="single"/>
          <w:lang w:eastAsia="en-AU"/>
        </w:rPr>
        <w:t>Section 2 – Commencement</w:t>
      </w:r>
    </w:p>
    <w:p w14:paraId="4A34560F" w14:textId="1F0F5561" w:rsidR="00F11482" w:rsidRPr="00AF455E" w:rsidRDefault="00F11482" w:rsidP="00F11482">
      <w:pPr>
        <w:widowControl w:val="0"/>
        <w:adjustRightInd w:val="0"/>
        <w:spacing w:before="240" w:after="120" w:line="360" w:lineRule="atLeast"/>
        <w:ind w:right="91"/>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 xml:space="preserve">Schedule 1 to the </w:t>
      </w:r>
      <w:r w:rsidR="00DA160C" w:rsidRPr="00AF455E">
        <w:rPr>
          <w:rFonts w:ascii="Times New Roman" w:eastAsia="Times New Roman" w:hAnsi="Times New Roman" w:cs="Times New Roman"/>
          <w:sz w:val="24"/>
          <w:szCs w:val="20"/>
          <w:lang w:eastAsia="en-AU"/>
        </w:rPr>
        <w:t xml:space="preserve">proposed </w:t>
      </w:r>
      <w:r w:rsidRPr="00AF455E">
        <w:rPr>
          <w:rFonts w:ascii="Times New Roman" w:eastAsia="Times New Roman" w:hAnsi="Times New Roman" w:cs="Times New Roman"/>
          <w:sz w:val="24"/>
          <w:szCs w:val="20"/>
          <w:lang w:eastAsia="en-AU"/>
        </w:rPr>
        <w:t xml:space="preserve">Regulations </w:t>
      </w:r>
      <w:r w:rsidR="00345AF0" w:rsidRPr="00AF455E">
        <w:rPr>
          <w:rFonts w:ascii="Times New Roman" w:eastAsia="Times New Roman" w:hAnsi="Times New Roman" w:cs="Times New Roman"/>
          <w:sz w:val="24"/>
          <w:szCs w:val="20"/>
          <w:lang w:eastAsia="en-AU"/>
        </w:rPr>
        <w:t xml:space="preserve">would </w:t>
      </w:r>
      <w:r w:rsidRPr="00AF455E">
        <w:rPr>
          <w:rFonts w:ascii="Times New Roman" w:eastAsia="Times New Roman" w:hAnsi="Times New Roman" w:cs="Times New Roman"/>
          <w:sz w:val="24"/>
          <w:szCs w:val="20"/>
          <w:lang w:eastAsia="en-AU"/>
        </w:rPr>
        <w:t>commence on the day after the instrument is registered on the Federal Register of Legislation.</w:t>
      </w:r>
    </w:p>
    <w:p w14:paraId="54D658F0" w14:textId="77777777" w:rsidR="00F11482" w:rsidRPr="00AF455E" w:rsidRDefault="00F11482" w:rsidP="00F11482">
      <w:pPr>
        <w:widowControl w:val="0"/>
        <w:adjustRightInd w:val="0"/>
        <w:spacing w:before="240" w:after="120" w:line="360" w:lineRule="atLeast"/>
        <w:ind w:right="91"/>
        <w:jc w:val="both"/>
        <w:textAlignment w:val="baseline"/>
        <w:rPr>
          <w:rFonts w:ascii="Times New Roman" w:eastAsia="Times New Roman" w:hAnsi="Times New Roman" w:cs="Times New Roman"/>
          <w:sz w:val="24"/>
          <w:szCs w:val="20"/>
          <w:u w:val="single"/>
          <w:lang w:eastAsia="en-AU"/>
        </w:rPr>
      </w:pPr>
      <w:r w:rsidRPr="00AF455E">
        <w:rPr>
          <w:rFonts w:ascii="Times New Roman" w:eastAsia="Times New Roman" w:hAnsi="Times New Roman" w:cs="Times New Roman"/>
          <w:sz w:val="24"/>
          <w:szCs w:val="20"/>
          <w:u w:val="single"/>
          <w:lang w:eastAsia="en-AU"/>
        </w:rPr>
        <w:t>Section 3 – Authority</w:t>
      </w:r>
    </w:p>
    <w:p w14:paraId="342F2E6D" w14:textId="40B8DB42" w:rsidR="001A145A" w:rsidRPr="00AF455E" w:rsidRDefault="001A145A" w:rsidP="00F11482">
      <w:pPr>
        <w:widowControl w:val="0"/>
        <w:adjustRightInd w:val="0"/>
        <w:spacing w:before="240" w:after="120" w:line="360" w:lineRule="atLeast"/>
        <w:ind w:right="91"/>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 xml:space="preserve">The proposed Regulations are made under the SIS Act. </w:t>
      </w:r>
    </w:p>
    <w:p w14:paraId="3CD3D192" w14:textId="1F55341A" w:rsidR="00F11482" w:rsidRPr="00AF455E" w:rsidRDefault="00F11482" w:rsidP="00F11482">
      <w:pPr>
        <w:widowControl w:val="0"/>
        <w:adjustRightInd w:val="0"/>
        <w:spacing w:before="240" w:after="120" w:line="360" w:lineRule="atLeast"/>
        <w:ind w:right="91"/>
        <w:jc w:val="both"/>
        <w:textAlignment w:val="baseline"/>
        <w:rPr>
          <w:rFonts w:ascii="Times New Roman" w:eastAsia="Times New Roman" w:hAnsi="Times New Roman" w:cs="Times New Roman"/>
          <w:sz w:val="24"/>
          <w:szCs w:val="20"/>
          <w:u w:val="single"/>
          <w:lang w:eastAsia="en-AU"/>
        </w:rPr>
      </w:pPr>
      <w:r w:rsidRPr="00AF455E">
        <w:rPr>
          <w:rFonts w:ascii="Times New Roman" w:eastAsia="Times New Roman" w:hAnsi="Times New Roman" w:cs="Times New Roman"/>
          <w:sz w:val="24"/>
          <w:szCs w:val="20"/>
          <w:u w:val="single"/>
          <w:lang w:eastAsia="en-AU"/>
        </w:rPr>
        <w:t>Section 4 – Schedule</w:t>
      </w:r>
    </w:p>
    <w:p w14:paraId="251BA482" w14:textId="665AB3CD" w:rsidR="00F11482" w:rsidRPr="00AF455E" w:rsidRDefault="00F11482" w:rsidP="00F11482">
      <w:pPr>
        <w:widowControl w:val="0"/>
        <w:adjustRightInd w:val="0"/>
        <w:spacing w:before="240" w:after="200" w:line="360" w:lineRule="atLeast"/>
        <w:ind w:right="91"/>
        <w:jc w:val="both"/>
        <w:textAlignment w:val="baseline"/>
        <w:rPr>
          <w:rFonts w:ascii="Times New Roman" w:eastAsia="Times New Roman" w:hAnsi="Times New Roman" w:cs="Times New Roman"/>
          <w:sz w:val="24"/>
          <w:szCs w:val="20"/>
          <w:u w:val="single"/>
          <w:lang w:eastAsia="en-AU"/>
        </w:rPr>
      </w:pPr>
      <w:r w:rsidRPr="00AF455E">
        <w:rPr>
          <w:rFonts w:ascii="Times New Roman" w:eastAsia="Times New Roman" w:hAnsi="Times New Roman" w:cs="Times New Roman"/>
          <w:sz w:val="24"/>
          <w:szCs w:val="20"/>
          <w:lang w:eastAsia="en-AU"/>
        </w:rPr>
        <w:t xml:space="preserve">This section provides that each instrument that is specified in the Schedule to </w:t>
      </w:r>
      <w:r w:rsidR="002A69EA" w:rsidRPr="00AF455E">
        <w:rPr>
          <w:rFonts w:ascii="Times New Roman" w:eastAsia="Times New Roman" w:hAnsi="Times New Roman" w:cs="Times New Roman"/>
          <w:sz w:val="24"/>
          <w:szCs w:val="20"/>
          <w:lang w:eastAsia="en-AU"/>
        </w:rPr>
        <w:t>the proposed Regulations</w:t>
      </w:r>
      <w:r w:rsidRPr="00AF455E">
        <w:rPr>
          <w:rFonts w:ascii="Times New Roman" w:eastAsia="Times New Roman" w:hAnsi="Times New Roman" w:cs="Times New Roman"/>
          <w:sz w:val="24"/>
          <w:szCs w:val="20"/>
          <w:lang w:eastAsia="en-AU"/>
        </w:rPr>
        <w:t xml:space="preserve"> will be amended or repealed as set out in the applicable items in the Schedule, and any other item in the Schedule to this </w:t>
      </w:r>
      <w:r w:rsidR="002A69EA" w:rsidRPr="00AF455E">
        <w:rPr>
          <w:rFonts w:ascii="Times New Roman" w:eastAsia="Times New Roman" w:hAnsi="Times New Roman" w:cs="Times New Roman"/>
          <w:sz w:val="24"/>
          <w:szCs w:val="20"/>
          <w:lang w:eastAsia="en-AU"/>
        </w:rPr>
        <w:t>proposed Regulations</w:t>
      </w:r>
      <w:r w:rsidRPr="00AF455E">
        <w:rPr>
          <w:rFonts w:ascii="Times New Roman" w:eastAsia="Times New Roman" w:hAnsi="Times New Roman" w:cs="Times New Roman"/>
          <w:sz w:val="24"/>
          <w:szCs w:val="20"/>
          <w:lang w:eastAsia="en-AU"/>
        </w:rPr>
        <w:t xml:space="preserve"> has effect according to its terms.</w:t>
      </w:r>
    </w:p>
    <w:p w14:paraId="5E4CB301" w14:textId="77777777" w:rsidR="00F87A18" w:rsidRPr="00AF455E" w:rsidRDefault="00F87A18" w:rsidP="00242BA3">
      <w:pPr>
        <w:widowControl w:val="0"/>
        <w:adjustRightInd w:val="0"/>
        <w:spacing w:before="120" w:after="0" w:line="360" w:lineRule="atLeast"/>
        <w:ind w:right="91"/>
        <w:jc w:val="both"/>
        <w:textAlignment w:val="baseline"/>
        <w:rPr>
          <w:rFonts w:ascii="Times New Roman" w:eastAsia="Times New Roman" w:hAnsi="Times New Roman" w:cs="Times New Roman"/>
          <w:sz w:val="24"/>
          <w:szCs w:val="20"/>
          <w:u w:val="single"/>
          <w:lang w:eastAsia="en-AU"/>
        </w:rPr>
      </w:pPr>
    </w:p>
    <w:p w14:paraId="12CA4D1F" w14:textId="2EB2CB1F" w:rsidR="00242BA3" w:rsidRPr="00AF455E" w:rsidRDefault="00F11482" w:rsidP="00242BA3">
      <w:pPr>
        <w:widowControl w:val="0"/>
        <w:adjustRightInd w:val="0"/>
        <w:spacing w:before="120" w:after="0" w:line="360" w:lineRule="atLeast"/>
        <w:ind w:right="91"/>
        <w:jc w:val="both"/>
        <w:textAlignment w:val="baseline"/>
        <w:rPr>
          <w:rFonts w:ascii="Times New Roman" w:eastAsia="Times New Roman" w:hAnsi="Times New Roman" w:cs="Times New Roman"/>
          <w:i/>
          <w:sz w:val="24"/>
          <w:szCs w:val="20"/>
          <w:u w:val="single"/>
          <w:lang w:eastAsia="en-AU"/>
        </w:rPr>
      </w:pPr>
      <w:r w:rsidRPr="00AF455E">
        <w:rPr>
          <w:rFonts w:ascii="Times New Roman" w:eastAsia="Times New Roman" w:hAnsi="Times New Roman" w:cs="Times New Roman"/>
          <w:sz w:val="24"/>
          <w:szCs w:val="20"/>
          <w:u w:val="single"/>
          <w:lang w:eastAsia="en-AU"/>
        </w:rPr>
        <w:t>Schedule 1 – Amendments</w:t>
      </w:r>
      <w:r w:rsidR="0030237B" w:rsidRPr="00AF455E">
        <w:rPr>
          <w:rFonts w:ascii="Times New Roman" w:eastAsia="Times New Roman" w:hAnsi="Times New Roman" w:cs="Times New Roman"/>
          <w:sz w:val="24"/>
          <w:szCs w:val="20"/>
          <w:u w:val="single"/>
          <w:lang w:eastAsia="en-AU"/>
        </w:rPr>
        <w:t xml:space="preserve"> </w:t>
      </w:r>
    </w:p>
    <w:p w14:paraId="66CE08C8" w14:textId="77777777" w:rsidR="00F11482" w:rsidRPr="00AF455E" w:rsidRDefault="00F11482" w:rsidP="00F11482">
      <w:pPr>
        <w:widowControl w:val="0"/>
        <w:tabs>
          <w:tab w:val="left" w:pos="2835"/>
        </w:tabs>
        <w:adjustRightInd w:val="0"/>
        <w:spacing w:before="240" w:after="120" w:line="360" w:lineRule="atLeast"/>
        <w:ind w:right="91"/>
        <w:jc w:val="both"/>
        <w:textAlignment w:val="baseline"/>
        <w:rPr>
          <w:rFonts w:ascii="Times New Roman" w:eastAsia="Times New Roman" w:hAnsi="Times New Roman" w:cs="Times New Roman"/>
          <w:sz w:val="24"/>
          <w:szCs w:val="20"/>
          <w:lang w:eastAsia="en-AU"/>
        </w:rPr>
      </w:pPr>
    </w:p>
    <w:p w14:paraId="0933D985" w14:textId="77777777" w:rsidR="00F11482" w:rsidRPr="00AF455E" w:rsidRDefault="00F11482" w:rsidP="00F11482">
      <w:pPr>
        <w:widowControl w:val="0"/>
        <w:adjustRightInd w:val="0"/>
        <w:jc w:val="both"/>
        <w:textAlignment w:val="baseline"/>
        <w:rPr>
          <w:rFonts w:ascii="Times New Roman" w:eastAsia="Calibri" w:hAnsi="Times New Roman" w:cs="Times New Roman"/>
          <w:b/>
          <w:sz w:val="24"/>
          <w:szCs w:val="24"/>
        </w:rPr>
      </w:pPr>
      <w:r w:rsidRPr="00AF455E">
        <w:rPr>
          <w:rFonts w:ascii="Times New Roman" w:eastAsia="Calibri" w:hAnsi="Times New Roman" w:cs="Times New Roman"/>
          <w:b/>
          <w:sz w:val="24"/>
          <w:szCs w:val="24"/>
        </w:rPr>
        <w:t>Background</w:t>
      </w:r>
    </w:p>
    <w:p w14:paraId="252C81BC" w14:textId="1A05E8F2"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purpose of the proposed Regulations is to make amendments supporting the implementation of Schedule 2 to the </w:t>
      </w:r>
      <w:r w:rsidRPr="00AF455E">
        <w:rPr>
          <w:rFonts w:ascii="Times New Roman" w:eastAsia="Calibri" w:hAnsi="Times New Roman" w:cs="Times New Roman"/>
          <w:i/>
          <w:sz w:val="24"/>
          <w:szCs w:val="24"/>
          <w:lang w:val="en-US"/>
        </w:rPr>
        <w:t xml:space="preserve">Treasury Laws Amendment (Your Future, Your Super) </w:t>
      </w:r>
      <w:r w:rsidR="00982431" w:rsidRPr="00AF455E">
        <w:rPr>
          <w:rFonts w:ascii="Times New Roman" w:eastAsia="Calibri" w:hAnsi="Times New Roman" w:cs="Times New Roman"/>
          <w:i/>
          <w:sz w:val="24"/>
          <w:szCs w:val="24"/>
          <w:lang w:val="en-US"/>
        </w:rPr>
        <w:t>Act</w:t>
      </w:r>
      <w:r w:rsidRPr="00AF455E">
        <w:rPr>
          <w:rFonts w:ascii="Times New Roman" w:eastAsia="Calibri" w:hAnsi="Times New Roman" w:cs="Times New Roman"/>
          <w:i/>
          <w:sz w:val="24"/>
          <w:szCs w:val="24"/>
          <w:lang w:val="en-US"/>
        </w:rPr>
        <w:t xml:space="preserve"> 2021</w:t>
      </w:r>
      <w:r w:rsidRPr="00AF455E">
        <w:rPr>
          <w:rFonts w:ascii="Times New Roman" w:eastAsia="Calibri" w:hAnsi="Times New Roman" w:cs="Times New Roman"/>
          <w:sz w:val="24"/>
          <w:szCs w:val="24"/>
        </w:rPr>
        <w:t xml:space="preserve"> (the </w:t>
      </w:r>
      <w:r w:rsidR="00982431" w:rsidRPr="00AF455E">
        <w:rPr>
          <w:rFonts w:ascii="Times New Roman" w:eastAsia="Calibri" w:hAnsi="Times New Roman" w:cs="Times New Roman"/>
          <w:sz w:val="24"/>
          <w:szCs w:val="24"/>
        </w:rPr>
        <w:t>YFYS Act</w:t>
      </w:r>
      <w:r w:rsidRPr="00AF455E">
        <w:rPr>
          <w:rFonts w:ascii="Times New Roman" w:eastAsia="Calibri" w:hAnsi="Times New Roman" w:cs="Times New Roman"/>
          <w:sz w:val="24"/>
          <w:szCs w:val="24"/>
        </w:rPr>
        <w:t xml:space="preserve">). </w:t>
      </w:r>
    </w:p>
    <w:p w14:paraId="3779C88A" w14:textId="6FC63DE3"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Schedule 2 to the </w:t>
      </w:r>
      <w:r w:rsidR="00982431" w:rsidRPr="00AF455E">
        <w:rPr>
          <w:rFonts w:ascii="Times New Roman" w:eastAsia="Calibri" w:hAnsi="Times New Roman" w:cs="Times New Roman"/>
          <w:sz w:val="24"/>
          <w:szCs w:val="24"/>
        </w:rPr>
        <w:t>YFYS Act</w:t>
      </w:r>
      <w:r w:rsidRPr="00AF455E">
        <w:rPr>
          <w:rFonts w:ascii="Times New Roman" w:eastAsia="Calibri" w:hAnsi="Times New Roman" w:cs="Times New Roman"/>
          <w:sz w:val="24"/>
          <w:szCs w:val="24"/>
        </w:rPr>
        <w:t xml:space="preserve"> amends the SIS Act to require APRA to conduct an annual performance test for ‘Part 6A products’, which include </w:t>
      </w:r>
      <w:proofErr w:type="spellStart"/>
      <w:r w:rsidRPr="00AF455E">
        <w:rPr>
          <w:rFonts w:ascii="Times New Roman" w:eastAsia="Calibri" w:hAnsi="Times New Roman" w:cs="Times New Roman"/>
          <w:sz w:val="24"/>
          <w:szCs w:val="24"/>
        </w:rPr>
        <w:t>MySuper</w:t>
      </w:r>
      <w:proofErr w:type="spellEnd"/>
      <w:r w:rsidRPr="00AF455E">
        <w:rPr>
          <w:rFonts w:ascii="Times New Roman" w:eastAsia="Calibri" w:hAnsi="Times New Roman" w:cs="Times New Roman"/>
          <w:sz w:val="24"/>
          <w:szCs w:val="24"/>
        </w:rPr>
        <w:t xml:space="preserve"> products and other products if specified in regulations. A trustee providing such products will be required to give notice to its beneficiaries who hold a product that has failed the performance test. Where a product has failed the performance test in two consecutive years, the trustee is prohibited from accepting new beneficiaries into that product. APRA may lift the prohibition if circumstances specified in the regulations are satisfied.</w:t>
      </w:r>
    </w:p>
    <w:p w14:paraId="560F154C" w14:textId="23413397"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lastRenderedPageBreak/>
        <w:t xml:space="preserve">The proposed Regulations include amendments that support implementation of Schedule 2 to the </w:t>
      </w:r>
      <w:r w:rsidR="00982431" w:rsidRPr="00AF455E">
        <w:rPr>
          <w:rFonts w:ascii="Times New Roman" w:eastAsia="Calibri" w:hAnsi="Times New Roman" w:cs="Times New Roman"/>
          <w:sz w:val="24"/>
          <w:szCs w:val="24"/>
        </w:rPr>
        <w:t>YFYS Act</w:t>
      </w:r>
      <w:r w:rsidRPr="00AF455E">
        <w:rPr>
          <w:rFonts w:ascii="Times New Roman" w:eastAsia="Calibri" w:hAnsi="Times New Roman" w:cs="Times New Roman"/>
          <w:sz w:val="24"/>
          <w:szCs w:val="24"/>
        </w:rPr>
        <w:t xml:space="preserve"> by specifying:</w:t>
      </w:r>
    </w:p>
    <w:p w14:paraId="1BB0E32C" w14:textId="77777777" w:rsidR="00F11482" w:rsidRPr="00AF455E" w:rsidRDefault="00F11482" w:rsidP="0052086E">
      <w:pPr>
        <w:pStyle w:val="Dotpoint"/>
        <w:rPr>
          <w:rFonts w:eastAsia="Calibri"/>
        </w:rPr>
      </w:pPr>
      <w:r w:rsidRPr="00AF455E">
        <w:rPr>
          <w:rFonts w:eastAsia="Calibri"/>
        </w:rPr>
        <w:t xml:space="preserve">when APRA must conduct the annual performance test, which products are subject to the annual performance test and the requirements for the annual performance </w:t>
      </w:r>
      <w:proofErr w:type="gramStart"/>
      <w:r w:rsidRPr="00AF455E">
        <w:rPr>
          <w:rFonts w:eastAsia="Calibri"/>
        </w:rPr>
        <w:t>test;</w:t>
      </w:r>
      <w:proofErr w:type="gramEnd"/>
    </w:p>
    <w:p w14:paraId="6C07CB4D" w14:textId="1764E0BB" w:rsidR="00F11482" w:rsidRPr="00AF455E" w:rsidRDefault="00F11482" w:rsidP="0052086E">
      <w:pPr>
        <w:pStyle w:val="Dotpoint"/>
        <w:rPr>
          <w:rFonts w:eastAsia="Calibri"/>
        </w:rPr>
      </w:pPr>
      <w:r w:rsidRPr="00AF455E">
        <w:rPr>
          <w:rFonts w:eastAsia="Calibri"/>
        </w:rPr>
        <w:t xml:space="preserve">the circumstances where products are to be treated as combined for the purposes of the amendments in the </w:t>
      </w:r>
      <w:r w:rsidR="00471BAD" w:rsidRPr="00AF455E">
        <w:rPr>
          <w:rFonts w:eastAsia="Calibri"/>
        </w:rPr>
        <w:t>YFYS Act</w:t>
      </w:r>
      <w:r w:rsidRPr="00AF455E">
        <w:rPr>
          <w:rFonts w:eastAsia="Calibri"/>
        </w:rPr>
        <w:t xml:space="preserve">, such as the performance test and triggering the prohibition on a trustee from accepting new beneficiaries into an underperforming </w:t>
      </w:r>
      <w:proofErr w:type="gramStart"/>
      <w:r w:rsidRPr="00AF455E">
        <w:rPr>
          <w:rFonts w:eastAsia="Calibri"/>
        </w:rPr>
        <w:t>product;</w:t>
      </w:r>
      <w:proofErr w:type="gramEnd"/>
    </w:p>
    <w:p w14:paraId="020F2B48" w14:textId="77777777" w:rsidR="00F11482" w:rsidRPr="00AF455E" w:rsidRDefault="00F11482" w:rsidP="0052086E">
      <w:pPr>
        <w:pStyle w:val="Dotpoint"/>
        <w:rPr>
          <w:rFonts w:eastAsia="Calibri"/>
        </w:rPr>
      </w:pPr>
      <w:r w:rsidRPr="00AF455E">
        <w:rPr>
          <w:rFonts w:eastAsia="Calibri"/>
        </w:rPr>
        <w:t xml:space="preserve">the form and content requirements for the notice a trustee is required to give to beneficiaries who hold a product that has failed the performance </w:t>
      </w:r>
      <w:proofErr w:type="gramStart"/>
      <w:r w:rsidRPr="00AF455E">
        <w:rPr>
          <w:rFonts w:eastAsia="Calibri"/>
        </w:rPr>
        <w:t>test;</w:t>
      </w:r>
      <w:proofErr w:type="gramEnd"/>
    </w:p>
    <w:p w14:paraId="1AFC28A0" w14:textId="77777777" w:rsidR="00F11482" w:rsidRPr="00AF455E" w:rsidRDefault="00F11482" w:rsidP="0052086E">
      <w:pPr>
        <w:pStyle w:val="Dotpoint"/>
        <w:rPr>
          <w:rFonts w:eastAsia="Calibri"/>
        </w:rPr>
      </w:pPr>
      <w:r w:rsidRPr="00AF455E">
        <w:rPr>
          <w:rFonts w:eastAsia="Calibri"/>
        </w:rPr>
        <w:t xml:space="preserve">that an RSE licensee is required to make information about a failed annual performance test result in relation to a product it offers publicly available on its </w:t>
      </w:r>
      <w:proofErr w:type="gramStart"/>
      <w:r w:rsidRPr="00AF455E">
        <w:rPr>
          <w:rFonts w:eastAsia="Calibri"/>
        </w:rPr>
        <w:t>website;</w:t>
      </w:r>
      <w:proofErr w:type="gramEnd"/>
    </w:p>
    <w:p w14:paraId="56AF2FD5" w14:textId="77777777" w:rsidR="00F11482" w:rsidRPr="00AF455E" w:rsidRDefault="00F11482" w:rsidP="0052086E">
      <w:pPr>
        <w:pStyle w:val="Dotpoint"/>
        <w:rPr>
          <w:rFonts w:eastAsia="Calibri"/>
          <w:b/>
        </w:rPr>
      </w:pPr>
      <w:r w:rsidRPr="00AF455E">
        <w:rPr>
          <w:rFonts w:eastAsia="Calibri"/>
        </w:rPr>
        <w:t>the circumstances where APRA may lift a prohibition on a trustee from accepting new beneficiaries into an underperforming product; and</w:t>
      </w:r>
    </w:p>
    <w:p w14:paraId="19CAE795" w14:textId="140E143E" w:rsidR="00F11482" w:rsidRPr="00AF455E" w:rsidRDefault="00F11482" w:rsidP="0052086E">
      <w:pPr>
        <w:pStyle w:val="Dotpoint"/>
        <w:rPr>
          <w:rFonts w:eastAsia="Calibri"/>
        </w:rPr>
      </w:pPr>
      <w:r w:rsidRPr="00AF455E">
        <w:rPr>
          <w:rFonts w:eastAsia="Calibri"/>
        </w:rPr>
        <w:t xml:space="preserve">formulas as a basis for, or methods for, ranking Part 6A products, which under the amendments in the </w:t>
      </w:r>
      <w:r w:rsidR="00982431" w:rsidRPr="00AF455E">
        <w:rPr>
          <w:rFonts w:eastAsia="Calibri"/>
        </w:rPr>
        <w:t>YFYS Act</w:t>
      </w:r>
      <w:r w:rsidRPr="00AF455E">
        <w:rPr>
          <w:rFonts w:eastAsia="Calibri"/>
        </w:rPr>
        <w:t xml:space="preserve">, APRA may give to the ATO to enable the implementation of the </w:t>
      </w:r>
      <w:proofErr w:type="spellStart"/>
      <w:r w:rsidRPr="00AF455E">
        <w:rPr>
          <w:rFonts w:eastAsia="Calibri"/>
        </w:rPr>
        <w:t>YourSuper</w:t>
      </w:r>
      <w:proofErr w:type="spellEnd"/>
      <w:r w:rsidRPr="00AF455E">
        <w:rPr>
          <w:rFonts w:eastAsia="Calibri"/>
        </w:rPr>
        <w:t xml:space="preserve"> comparison tool announced by the Government as part of the Your Future, Your Super reforms.</w:t>
      </w:r>
    </w:p>
    <w:p w14:paraId="1822F382" w14:textId="77777777" w:rsidR="00F11482" w:rsidRPr="00AF455E" w:rsidRDefault="00F11482" w:rsidP="00F11482">
      <w:pPr>
        <w:widowControl w:val="0"/>
        <w:adjustRightInd w:val="0"/>
        <w:jc w:val="both"/>
        <w:textAlignment w:val="baseline"/>
        <w:rPr>
          <w:rFonts w:ascii="Calibri" w:eastAsia="Calibri" w:hAnsi="Calibri" w:cs="Times New Roman"/>
        </w:rPr>
      </w:pPr>
    </w:p>
    <w:p w14:paraId="0FE4746F" w14:textId="7B5375DB" w:rsidR="00F11482" w:rsidRPr="00AF455E" w:rsidRDefault="00ED4DA8" w:rsidP="00F11482">
      <w:pPr>
        <w:widowControl w:val="0"/>
        <w:adjustRightInd w:val="0"/>
        <w:jc w:val="both"/>
        <w:textAlignment w:val="baseline"/>
        <w:rPr>
          <w:rFonts w:ascii="Times New Roman" w:eastAsia="Calibri" w:hAnsi="Times New Roman" w:cs="Times New Roman"/>
          <w:b/>
          <w:sz w:val="24"/>
          <w:szCs w:val="24"/>
        </w:rPr>
      </w:pPr>
      <w:r w:rsidRPr="00AF455E">
        <w:rPr>
          <w:rFonts w:ascii="Times New Roman" w:eastAsia="Calibri" w:hAnsi="Times New Roman" w:cs="Times New Roman"/>
          <w:b/>
          <w:sz w:val="24"/>
          <w:szCs w:val="24"/>
        </w:rPr>
        <w:t xml:space="preserve">Item </w:t>
      </w:r>
      <w:r w:rsidR="00B41F2D" w:rsidRPr="00AF455E">
        <w:rPr>
          <w:rFonts w:ascii="Times New Roman" w:eastAsia="Calibri" w:hAnsi="Times New Roman" w:cs="Times New Roman"/>
          <w:b/>
          <w:sz w:val="24"/>
          <w:szCs w:val="24"/>
        </w:rPr>
        <w:t>4</w:t>
      </w:r>
      <w:r w:rsidRPr="00AF455E">
        <w:rPr>
          <w:rFonts w:ascii="Times New Roman" w:eastAsia="Calibri" w:hAnsi="Times New Roman" w:cs="Times New Roman"/>
          <w:b/>
          <w:sz w:val="24"/>
          <w:szCs w:val="24"/>
        </w:rPr>
        <w:t xml:space="preserve"> (proposed </w:t>
      </w:r>
      <w:r w:rsidR="00621E93" w:rsidRPr="00AF455E">
        <w:rPr>
          <w:rFonts w:ascii="Times New Roman" w:eastAsia="Calibri" w:hAnsi="Times New Roman" w:cs="Times New Roman"/>
          <w:b/>
          <w:sz w:val="24"/>
          <w:szCs w:val="24"/>
        </w:rPr>
        <w:t>regulation</w:t>
      </w:r>
      <w:r w:rsidRPr="00AF455E">
        <w:rPr>
          <w:rFonts w:ascii="Times New Roman" w:eastAsia="Calibri" w:hAnsi="Times New Roman" w:cs="Times New Roman"/>
          <w:b/>
          <w:sz w:val="24"/>
          <w:szCs w:val="24"/>
        </w:rPr>
        <w:t xml:space="preserve"> </w:t>
      </w:r>
      <w:r w:rsidR="00621E93" w:rsidRPr="00AF455E">
        <w:rPr>
          <w:rFonts w:ascii="Times New Roman" w:eastAsia="Calibri" w:hAnsi="Times New Roman" w:cs="Times New Roman"/>
          <w:b/>
          <w:sz w:val="24"/>
          <w:szCs w:val="24"/>
        </w:rPr>
        <w:t>9AB.</w:t>
      </w:r>
      <w:r w:rsidR="00157983" w:rsidRPr="00AF455E">
        <w:rPr>
          <w:rFonts w:ascii="Times New Roman" w:eastAsia="Calibri" w:hAnsi="Times New Roman" w:cs="Times New Roman"/>
          <w:b/>
          <w:sz w:val="24"/>
          <w:szCs w:val="24"/>
        </w:rPr>
        <w:t>8</w:t>
      </w:r>
      <w:r w:rsidR="00E006EE" w:rsidRPr="00AF455E">
        <w:rPr>
          <w:rFonts w:ascii="Times New Roman" w:eastAsia="Calibri" w:hAnsi="Times New Roman" w:cs="Times New Roman"/>
          <w:b/>
          <w:sz w:val="24"/>
          <w:szCs w:val="24"/>
        </w:rPr>
        <w:t xml:space="preserve"> of the </w:t>
      </w:r>
      <w:r w:rsidR="00C337AE" w:rsidRPr="00AF455E">
        <w:rPr>
          <w:rFonts w:ascii="Times New Roman" w:eastAsia="Calibri" w:hAnsi="Times New Roman" w:cs="Times New Roman"/>
          <w:b/>
          <w:i/>
          <w:sz w:val="24"/>
          <w:szCs w:val="24"/>
        </w:rPr>
        <w:t xml:space="preserve">Superannuation Industry (Supervision) Regulations 1994 </w:t>
      </w:r>
      <w:r w:rsidR="00C337AE" w:rsidRPr="00AF455E">
        <w:rPr>
          <w:rFonts w:ascii="Times New Roman" w:eastAsia="Calibri" w:hAnsi="Times New Roman" w:cs="Times New Roman"/>
          <w:b/>
          <w:sz w:val="24"/>
          <w:szCs w:val="24"/>
        </w:rPr>
        <w:t>(</w:t>
      </w:r>
      <w:r w:rsidR="00E006EE" w:rsidRPr="00AF455E">
        <w:rPr>
          <w:rFonts w:ascii="Times New Roman" w:eastAsia="Calibri" w:hAnsi="Times New Roman" w:cs="Times New Roman"/>
          <w:b/>
          <w:sz w:val="24"/>
          <w:szCs w:val="24"/>
        </w:rPr>
        <w:t>SIS Regs</w:t>
      </w:r>
      <w:r w:rsidRPr="00AF455E">
        <w:rPr>
          <w:rFonts w:ascii="Times New Roman" w:eastAsia="Calibri" w:hAnsi="Times New Roman" w:cs="Times New Roman"/>
          <w:b/>
          <w:sz w:val="24"/>
          <w:szCs w:val="24"/>
        </w:rPr>
        <w:t>)</w:t>
      </w:r>
      <w:r w:rsidR="00F11482" w:rsidRPr="00AF455E">
        <w:rPr>
          <w:rFonts w:ascii="Times New Roman" w:eastAsia="Calibri" w:hAnsi="Times New Roman" w:cs="Times New Roman"/>
          <w:b/>
          <w:sz w:val="24"/>
          <w:szCs w:val="24"/>
        </w:rPr>
        <w:t xml:space="preserve"> - When APRA must conduct the annual performance test </w:t>
      </w:r>
    </w:p>
    <w:p w14:paraId="4A536E43" w14:textId="1C563FF6"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Under section 60C of the SIS Act, APRA must perform a performance assessment for every Part 6A product, in each financial year. </w:t>
      </w:r>
      <w:r w:rsidR="00AA2919" w:rsidRPr="00AF455E">
        <w:rPr>
          <w:rFonts w:ascii="Times New Roman" w:eastAsia="Calibri" w:hAnsi="Times New Roman" w:cs="Times New Roman"/>
          <w:sz w:val="24"/>
          <w:szCs w:val="24"/>
        </w:rPr>
        <w:t>S</w:t>
      </w:r>
      <w:r w:rsidRPr="00AF455E">
        <w:rPr>
          <w:rFonts w:ascii="Times New Roman" w:eastAsia="Calibri" w:hAnsi="Times New Roman" w:cs="Times New Roman"/>
          <w:sz w:val="24"/>
          <w:szCs w:val="24"/>
        </w:rPr>
        <w:t>ubsection</w:t>
      </w:r>
      <w:r w:rsidR="008873D1" w:rsidRPr="00AF455E">
        <w:rPr>
          <w:rFonts w:ascii="Times New Roman" w:eastAsia="Calibri" w:hAnsi="Times New Roman" w:cs="Times New Roman"/>
          <w:sz w:val="24"/>
          <w:szCs w:val="24"/>
        </w:rPr>
        <w:t>s</w:t>
      </w:r>
      <w:r w:rsidRPr="00AF455E">
        <w:rPr>
          <w:rFonts w:ascii="Times New Roman" w:eastAsia="Calibri" w:hAnsi="Times New Roman" w:cs="Times New Roman"/>
          <w:sz w:val="24"/>
          <w:szCs w:val="24"/>
        </w:rPr>
        <w:t xml:space="preserve"> 60</w:t>
      </w:r>
      <w:proofErr w:type="gramStart"/>
      <w:r w:rsidRPr="00AF455E">
        <w:rPr>
          <w:rFonts w:ascii="Times New Roman" w:eastAsia="Calibri" w:hAnsi="Times New Roman" w:cs="Times New Roman"/>
          <w:sz w:val="24"/>
          <w:szCs w:val="24"/>
        </w:rPr>
        <w:t>C</w:t>
      </w:r>
      <w:r w:rsidR="008873D1" w:rsidRPr="00AF455E">
        <w:rPr>
          <w:rFonts w:ascii="Times New Roman" w:eastAsia="Calibri" w:hAnsi="Times New Roman" w:cs="Times New Roman"/>
          <w:sz w:val="24"/>
          <w:szCs w:val="24"/>
        </w:rPr>
        <w:t>(</w:t>
      </w:r>
      <w:proofErr w:type="gramEnd"/>
      <w:r w:rsidR="008873D1" w:rsidRPr="00AF455E">
        <w:rPr>
          <w:rFonts w:ascii="Times New Roman" w:eastAsia="Calibri" w:hAnsi="Times New Roman" w:cs="Times New Roman"/>
          <w:sz w:val="24"/>
          <w:szCs w:val="24"/>
        </w:rPr>
        <w:t xml:space="preserve">2) to </w:t>
      </w:r>
      <w:r w:rsidRPr="00AF455E">
        <w:rPr>
          <w:rFonts w:ascii="Times New Roman" w:eastAsia="Calibri" w:hAnsi="Times New Roman" w:cs="Times New Roman"/>
          <w:sz w:val="24"/>
          <w:szCs w:val="24"/>
        </w:rPr>
        <w:t xml:space="preserve">(4) state that APRA must make this assessment, determining if the product meets the requirements of the assessment and notify the trustee/s within a period given by the regulations after the end of each financial year of the outcome of the assessment and determination. </w:t>
      </w:r>
    </w:p>
    <w:p w14:paraId="5CE2D4AB" w14:textId="3019D73F" w:rsidR="00F11482" w:rsidRPr="00AF455E" w:rsidRDefault="00F11482" w:rsidP="009D6B9E">
      <w:pPr>
        <w:widowControl w:val="0"/>
        <w:adjustRightInd w:val="0"/>
        <w:jc w:val="both"/>
        <w:textAlignment w:val="baseline"/>
        <w:rPr>
          <w:rFonts w:ascii="Times New Roman" w:eastAsia="Calibri" w:hAnsi="Times New Roman" w:cs="Times New Roman"/>
          <w:i/>
          <w:sz w:val="24"/>
          <w:szCs w:val="24"/>
        </w:rPr>
      </w:pPr>
      <w:r w:rsidRPr="00AF455E">
        <w:rPr>
          <w:rFonts w:ascii="Times New Roman" w:eastAsia="Calibri" w:hAnsi="Times New Roman" w:cs="Times New Roman"/>
          <w:sz w:val="24"/>
          <w:szCs w:val="24"/>
        </w:rPr>
        <w:t xml:space="preserve">These </w:t>
      </w:r>
      <w:r w:rsidR="00521093" w:rsidRPr="00AF455E">
        <w:rPr>
          <w:rFonts w:ascii="Times New Roman" w:eastAsia="Calibri" w:hAnsi="Times New Roman" w:cs="Times New Roman"/>
          <w:sz w:val="24"/>
          <w:szCs w:val="24"/>
        </w:rPr>
        <w:t>proposed Regulations</w:t>
      </w:r>
      <w:r w:rsidRPr="00AF455E">
        <w:rPr>
          <w:rFonts w:ascii="Times New Roman" w:eastAsia="Calibri" w:hAnsi="Times New Roman" w:cs="Times New Roman"/>
          <w:sz w:val="24"/>
          <w:szCs w:val="24"/>
        </w:rPr>
        <w:t xml:space="preserve"> </w:t>
      </w:r>
      <w:r w:rsidR="009D6B9E" w:rsidRPr="00AF455E">
        <w:rPr>
          <w:rFonts w:ascii="Times New Roman" w:eastAsia="Calibri" w:hAnsi="Times New Roman" w:cs="Times New Roman"/>
          <w:sz w:val="24"/>
          <w:szCs w:val="24"/>
        </w:rPr>
        <w:t>require</w:t>
      </w:r>
      <w:r w:rsidRPr="00AF455E">
        <w:rPr>
          <w:rFonts w:ascii="Times New Roman" w:eastAsia="Calibri" w:hAnsi="Times New Roman" w:cs="Times New Roman"/>
          <w:sz w:val="24"/>
          <w:szCs w:val="24"/>
        </w:rPr>
        <w:t xml:space="preserve"> APRA </w:t>
      </w:r>
      <w:r w:rsidR="009D6B9E" w:rsidRPr="00AF455E">
        <w:rPr>
          <w:rFonts w:ascii="Times New Roman" w:eastAsia="Calibri" w:hAnsi="Times New Roman" w:cs="Times New Roman"/>
          <w:sz w:val="24"/>
          <w:szCs w:val="24"/>
        </w:rPr>
        <w:t>to</w:t>
      </w:r>
      <w:r w:rsidRPr="00AF455E">
        <w:rPr>
          <w:rFonts w:ascii="Times New Roman" w:eastAsia="Calibri" w:hAnsi="Times New Roman" w:cs="Times New Roman"/>
          <w:sz w:val="24"/>
          <w:szCs w:val="24"/>
        </w:rPr>
        <w:t xml:space="preserve"> make the determination and give the notification to the trustee/s b</w:t>
      </w:r>
      <w:r w:rsidR="001B6026" w:rsidRPr="00AF455E">
        <w:rPr>
          <w:rFonts w:ascii="Times New Roman" w:eastAsia="Calibri" w:hAnsi="Times New Roman" w:cs="Times New Roman"/>
          <w:sz w:val="24"/>
          <w:szCs w:val="24"/>
        </w:rPr>
        <w:t>efore</w:t>
      </w:r>
      <w:r w:rsidRPr="00AF455E">
        <w:rPr>
          <w:rFonts w:ascii="Times New Roman" w:eastAsia="Calibri" w:hAnsi="Times New Roman" w:cs="Times New Roman"/>
          <w:sz w:val="24"/>
          <w:szCs w:val="24"/>
        </w:rPr>
        <w:t xml:space="preserve"> 1 September</w:t>
      </w:r>
      <w:r w:rsidR="009D6B9E" w:rsidRPr="00AF455E">
        <w:rPr>
          <w:rFonts w:ascii="Times New Roman" w:eastAsia="Calibri" w:hAnsi="Times New Roman" w:cs="Times New Roman"/>
          <w:sz w:val="24"/>
          <w:szCs w:val="24"/>
        </w:rPr>
        <w:t xml:space="preserve">. </w:t>
      </w:r>
      <w:r w:rsidRPr="00AF455E">
        <w:rPr>
          <w:rFonts w:ascii="Times New Roman" w:eastAsia="Calibri" w:hAnsi="Times New Roman" w:cs="Times New Roman"/>
          <w:sz w:val="24"/>
          <w:szCs w:val="24"/>
        </w:rPr>
        <w:t xml:space="preserve"> </w:t>
      </w:r>
    </w:p>
    <w:p w14:paraId="3FDD8B1B" w14:textId="77777777" w:rsidR="00F11482" w:rsidRPr="00AF455E" w:rsidRDefault="00F11482" w:rsidP="00F11482">
      <w:pPr>
        <w:widowControl w:val="0"/>
        <w:adjustRightInd w:val="0"/>
        <w:jc w:val="both"/>
        <w:textAlignment w:val="baseline"/>
        <w:rPr>
          <w:rFonts w:ascii="Times New Roman" w:eastAsia="Calibri" w:hAnsi="Times New Roman" w:cs="Times New Roman"/>
          <w:sz w:val="24"/>
          <w:szCs w:val="24"/>
          <w:u w:val="single"/>
        </w:rPr>
      </w:pPr>
    </w:p>
    <w:p w14:paraId="312E6E17" w14:textId="2FC9E36E" w:rsidR="00F11482" w:rsidRPr="00AF455E" w:rsidRDefault="00F11482" w:rsidP="00F11482">
      <w:pPr>
        <w:widowControl w:val="0"/>
        <w:adjustRightInd w:val="0"/>
        <w:jc w:val="both"/>
        <w:textAlignment w:val="baseline"/>
        <w:rPr>
          <w:rFonts w:ascii="Times New Roman" w:eastAsia="Calibri" w:hAnsi="Times New Roman" w:cs="Times New Roman"/>
          <w:b/>
          <w:sz w:val="24"/>
          <w:szCs w:val="24"/>
        </w:rPr>
      </w:pPr>
      <w:r w:rsidRPr="00AF455E">
        <w:rPr>
          <w:rFonts w:ascii="Times New Roman" w:eastAsia="Calibri" w:hAnsi="Times New Roman" w:cs="Times New Roman"/>
          <w:b/>
          <w:sz w:val="24"/>
          <w:szCs w:val="24"/>
        </w:rPr>
        <w:t>Item</w:t>
      </w:r>
      <w:r w:rsidR="00F116B0" w:rsidRPr="00AF455E">
        <w:rPr>
          <w:rFonts w:ascii="Times New Roman" w:eastAsia="Calibri" w:hAnsi="Times New Roman" w:cs="Times New Roman"/>
          <w:b/>
          <w:sz w:val="24"/>
          <w:szCs w:val="24"/>
        </w:rPr>
        <w:t>s 1 and</w:t>
      </w:r>
      <w:r w:rsidRPr="00AF455E">
        <w:rPr>
          <w:rFonts w:ascii="Times New Roman" w:eastAsia="Calibri" w:hAnsi="Times New Roman" w:cs="Times New Roman"/>
          <w:b/>
          <w:sz w:val="24"/>
          <w:szCs w:val="24"/>
        </w:rPr>
        <w:t xml:space="preserve"> </w:t>
      </w:r>
      <w:r w:rsidR="00B41F2D" w:rsidRPr="00AF455E">
        <w:rPr>
          <w:rFonts w:ascii="Times New Roman" w:eastAsia="Calibri" w:hAnsi="Times New Roman" w:cs="Times New Roman"/>
          <w:b/>
          <w:sz w:val="24"/>
          <w:szCs w:val="24"/>
        </w:rPr>
        <w:t>4</w:t>
      </w:r>
      <w:r w:rsidRPr="00AF455E">
        <w:rPr>
          <w:rFonts w:ascii="Times New Roman" w:eastAsia="Calibri" w:hAnsi="Times New Roman" w:cs="Times New Roman"/>
          <w:b/>
          <w:sz w:val="24"/>
          <w:szCs w:val="24"/>
        </w:rPr>
        <w:t xml:space="preserve"> </w:t>
      </w:r>
      <w:r w:rsidR="00EE208F" w:rsidRPr="00AF455E">
        <w:rPr>
          <w:rFonts w:ascii="Times New Roman" w:eastAsia="Calibri" w:hAnsi="Times New Roman" w:cs="Times New Roman"/>
          <w:b/>
          <w:sz w:val="24"/>
          <w:szCs w:val="24"/>
        </w:rPr>
        <w:t xml:space="preserve">(proposed </w:t>
      </w:r>
      <w:proofErr w:type="spellStart"/>
      <w:r w:rsidR="00F116B0" w:rsidRPr="00AF455E">
        <w:rPr>
          <w:rFonts w:ascii="Times New Roman" w:eastAsia="Calibri" w:hAnsi="Times New Roman" w:cs="Times New Roman"/>
          <w:b/>
          <w:sz w:val="24"/>
          <w:szCs w:val="24"/>
        </w:rPr>
        <w:t>subregulation</w:t>
      </w:r>
      <w:proofErr w:type="spellEnd"/>
      <w:r w:rsidR="00F116B0" w:rsidRPr="00AF455E">
        <w:rPr>
          <w:rFonts w:ascii="Times New Roman" w:eastAsia="Calibri" w:hAnsi="Times New Roman" w:cs="Times New Roman"/>
          <w:b/>
          <w:sz w:val="24"/>
          <w:szCs w:val="24"/>
        </w:rPr>
        <w:t xml:space="preserve"> 1.04(2), </w:t>
      </w:r>
      <w:r w:rsidR="0096633B" w:rsidRPr="00AF455E">
        <w:rPr>
          <w:rFonts w:ascii="Times New Roman" w:eastAsia="Calibri" w:hAnsi="Times New Roman" w:cs="Times New Roman"/>
          <w:b/>
          <w:sz w:val="24"/>
          <w:szCs w:val="24"/>
        </w:rPr>
        <w:t>regulation</w:t>
      </w:r>
      <w:r w:rsidR="001E688D" w:rsidRPr="00AF455E">
        <w:rPr>
          <w:rFonts w:ascii="Times New Roman" w:eastAsia="Calibri" w:hAnsi="Times New Roman" w:cs="Times New Roman"/>
          <w:b/>
          <w:sz w:val="24"/>
          <w:szCs w:val="24"/>
        </w:rPr>
        <w:t>s</w:t>
      </w:r>
      <w:r w:rsidR="0096633B" w:rsidRPr="00AF455E">
        <w:rPr>
          <w:rFonts w:ascii="Times New Roman" w:eastAsia="Calibri" w:hAnsi="Times New Roman" w:cs="Times New Roman"/>
          <w:b/>
          <w:sz w:val="24"/>
          <w:szCs w:val="24"/>
        </w:rPr>
        <w:t xml:space="preserve"> 9AB.2,</w:t>
      </w:r>
      <w:r w:rsidR="00EB38A6" w:rsidRPr="00AF455E">
        <w:rPr>
          <w:rFonts w:ascii="Times New Roman" w:eastAsia="Calibri" w:hAnsi="Times New Roman" w:cs="Times New Roman"/>
          <w:b/>
          <w:sz w:val="24"/>
          <w:szCs w:val="24"/>
        </w:rPr>
        <w:t xml:space="preserve"> </w:t>
      </w:r>
      <w:r w:rsidR="00AD3027" w:rsidRPr="00AF455E">
        <w:rPr>
          <w:rFonts w:ascii="Times New Roman" w:eastAsia="Calibri" w:hAnsi="Times New Roman" w:cs="Times New Roman"/>
          <w:b/>
          <w:sz w:val="24"/>
          <w:szCs w:val="24"/>
        </w:rPr>
        <w:t>9AB.</w:t>
      </w:r>
      <w:r w:rsidR="00157983" w:rsidRPr="00AF455E">
        <w:rPr>
          <w:rFonts w:ascii="Times New Roman" w:eastAsia="Calibri" w:hAnsi="Times New Roman" w:cs="Times New Roman"/>
          <w:b/>
          <w:sz w:val="24"/>
          <w:szCs w:val="24"/>
        </w:rPr>
        <w:t>6</w:t>
      </w:r>
      <w:r w:rsidR="0018248B" w:rsidRPr="00AF455E">
        <w:rPr>
          <w:rFonts w:ascii="Times New Roman" w:eastAsia="Calibri" w:hAnsi="Times New Roman" w:cs="Times New Roman"/>
          <w:b/>
          <w:sz w:val="24"/>
          <w:szCs w:val="24"/>
        </w:rPr>
        <w:t xml:space="preserve"> and </w:t>
      </w:r>
      <w:r w:rsidR="00EB38A6" w:rsidRPr="00AF455E">
        <w:rPr>
          <w:rFonts w:ascii="Times New Roman" w:eastAsia="Calibri" w:hAnsi="Times New Roman" w:cs="Times New Roman"/>
          <w:b/>
          <w:sz w:val="24"/>
          <w:szCs w:val="24"/>
        </w:rPr>
        <w:t>9AB.</w:t>
      </w:r>
      <w:r w:rsidR="00D93173" w:rsidRPr="00AF455E">
        <w:rPr>
          <w:rFonts w:ascii="Times New Roman" w:eastAsia="Calibri" w:hAnsi="Times New Roman" w:cs="Times New Roman"/>
          <w:b/>
          <w:sz w:val="24"/>
          <w:szCs w:val="24"/>
        </w:rPr>
        <w:t>10</w:t>
      </w:r>
      <w:r w:rsidR="00EC5719" w:rsidRPr="00AF455E">
        <w:rPr>
          <w:rFonts w:ascii="Times New Roman" w:eastAsia="Calibri" w:hAnsi="Times New Roman" w:cs="Times New Roman"/>
          <w:b/>
          <w:sz w:val="24"/>
          <w:szCs w:val="24"/>
        </w:rPr>
        <w:t>of the SIS Regs</w:t>
      </w:r>
      <w:r w:rsidR="00EE208F" w:rsidRPr="00AF455E">
        <w:rPr>
          <w:rFonts w:ascii="Times New Roman" w:eastAsia="Calibri" w:hAnsi="Times New Roman" w:cs="Times New Roman"/>
          <w:b/>
          <w:sz w:val="24"/>
          <w:szCs w:val="24"/>
        </w:rPr>
        <w:t xml:space="preserve">) </w:t>
      </w:r>
      <w:r w:rsidRPr="00AF455E">
        <w:rPr>
          <w:rFonts w:ascii="Times New Roman" w:eastAsia="Calibri" w:hAnsi="Times New Roman" w:cs="Times New Roman"/>
          <w:b/>
          <w:sz w:val="24"/>
          <w:szCs w:val="24"/>
        </w:rPr>
        <w:t>- Products that are subject to the annual performance test</w:t>
      </w:r>
    </w:p>
    <w:p w14:paraId="5D4235AE" w14:textId="77777777" w:rsidR="00F11482" w:rsidRPr="00AF455E" w:rsidRDefault="00F11482" w:rsidP="00F11482">
      <w:pPr>
        <w:widowControl w:val="0"/>
        <w:adjustRightInd w:val="0"/>
        <w:jc w:val="both"/>
        <w:textAlignment w:val="baseline"/>
        <w:rPr>
          <w:rFonts w:ascii="Times New Roman" w:eastAsia="Calibri" w:hAnsi="Times New Roman" w:cs="Times New Roman"/>
          <w:i/>
          <w:sz w:val="24"/>
          <w:szCs w:val="24"/>
        </w:rPr>
      </w:pPr>
      <w:r w:rsidRPr="00AF455E">
        <w:rPr>
          <w:rFonts w:ascii="Times New Roman" w:eastAsia="Calibri" w:hAnsi="Times New Roman" w:cs="Times New Roman"/>
          <w:i/>
          <w:sz w:val="24"/>
          <w:szCs w:val="24"/>
        </w:rPr>
        <w:t>Trustee-directed products</w:t>
      </w:r>
    </w:p>
    <w:p w14:paraId="50123F6F" w14:textId="6BD06768"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annual performance test applies for ‘Part 6A products’, which are defined in section </w:t>
      </w:r>
      <w:r w:rsidRPr="00AF455E">
        <w:rPr>
          <w:rFonts w:ascii="Times New Roman" w:eastAsia="Calibri" w:hAnsi="Times New Roman" w:cs="Times New Roman"/>
          <w:sz w:val="24"/>
          <w:szCs w:val="24"/>
        </w:rPr>
        <w:lastRenderedPageBreak/>
        <w:t xml:space="preserve">60B of the SIS Act to be a </w:t>
      </w:r>
      <w:proofErr w:type="spellStart"/>
      <w:r w:rsidRPr="00AF455E">
        <w:rPr>
          <w:rFonts w:ascii="Times New Roman" w:eastAsia="Calibri" w:hAnsi="Times New Roman" w:cs="Times New Roman"/>
          <w:sz w:val="24"/>
          <w:szCs w:val="24"/>
        </w:rPr>
        <w:t>MySuper</w:t>
      </w:r>
      <w:proofErr w:type="spellEnd"/>
      <w:r w:rsidRPr="00AF455E">
        <w:rPr>
          <w:rFonts w:ascii="Times New Roman" w:eastAsia="Calibri" w:hAnsi="Times New Roman" w:cs="Times New Roman"/>
          <w:sz w:val="24"/>
          <w:szCs w:val="24"/>
        </w:rPr>
        <w:t xml:space="preserve"> product or a class of beneficial interest in a regulated superannuation fund, if that class is identified by regulations. The proposed Regulations include a class to be known as ‘trustee-directed </w:t>
      </w:r>
      <w:proofErr w:type="gramStart"/>
      <w:r w:rsidRPr="00AF455E">
        <w:rPr>
          <w:rFonts w:ascii="Times New Roman" w:eastAsia="Calibri" w:hAnsi="Times New Roman" w:cs="Times New Roman"/>
          <w:sz w:val="24"/>
          <w:szCs w:val="24"/>
        </w:rPr>
        <w:t>products’</w:t>
      </w:r>
      <w:proofErr w:type="gramEnd"/>
      <w:r w:rsidRPr="00AF455E">
        <w:rPr>
          <w:rFonts w:ascii="Times New Roman" w:eastAsia="Calibri" w:hAnsi="Times New Roman" w:cs="Times New Roman"/>
          <w:sz w:val="24"/>
          <w:szCs w:val="24"/>
        </w:rPr>
        <w:t xml:space="preserve">. </w:t>
      </w:r>
    </w:p>
    <w:p w14:paraId="67185C64" w14:textId="2458EFBD"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Broadly, trustee</w:t>
      </w:r>
      <w:r w:rsidR="00D03C93" w:rsidRPr="00AF455E">
        <w:rPr>
          <w:rFonts w:ascii="Times New Roman" w:eastAsia="Calibri" w:hAnsi="Times New Roman" w:cs="Times New Roman"/>
          <w:sz w:val="24"/>
          <w:szCs w:val="24"/>
        </w:rPr>
        <w:t>-</w:t>
      </w:r>
      <w:r w:rsidRPr="00AF455E">
        <w:rPr>
          <w:rFonts w:ascii="Times New Roman" w:eastAsia="Calibri" w:hAnsi="Times New Roman" w:cs="Times New Roman"/>
          <w:sz w:val="24"/>
          <w:szCs w:val="24"/>
        </w:rPr>
        <w:t xml:space="preserve">directed products </w:t>
      </w:r>
      <w:r w:rsidR="002E525E" w:rsidRPr="00AF455E">
        <w:rPr>
          <w:rFonts w:ascii="Times New Roman" w:eastAsia="Calibri" w:hAnsi="Times New Roman" w:cs="Times New Roman"/>
          <w:sz w:val="24"/>
          <w:szCs w:val="24"/>
        </w:rPr>
        <w:t>are</w:t>
      </w:r>
      <w:r w:rsidR="00D82D99" w:rsidRPr="00AF455E">
        <w:rPr>
          <w:rFonts w:ascii="Times New Roman" w:eastAsia="Calibri" w:hAnsi="Times New Roman" w:cs="Times New Roman"/>
          <w:sz w:val="24"/>
          <w:szCs w:val="24"/>
        </w:rPr>
        <w:t xml:space="preserve"> </w:t>
      </w:r>
      <w:r w:rsidRPr="00AF455E">
        <w:rPr>
          <w:rFonts w:ascii="Times New Roman" w:eastAsia="Calibri" w:hAnsi="Times New Roman" w:cs="Times New Roman"/>
          <w:sz w:val="24"/>
          <w:szCs w:val="24"/>
        </w:rPr>
        <w:t xml:space="preserve">products where the trustee has control over the </w:t>
      </w:r>
      <w:r w:rsidR="002E525E" w:rsidRPr="00AF455E">
        <w:rPr>
          <w:rFonts w:ascii="Times New Roman" w:eastAsia="Calibri" w:hAnsi="Times New Roman" w:cs="Times New Roman"/>
          <w:sz w:val="24"/>
          <w:szCs w:val="24"/>
        </w:rPr>
        <w:t xml:space="preserve">design of the </w:t>
      </w:r>
      <w:r w:rsidRPr="00AF455E">
        <w:rPr>
          <w:rFonts w:ascii="Times New Roman" w:eastAsia="Calibri" w:hAnsi="Times New Roman" w:cs="Times New Roman"/>
          <w:sz w:val="24"/>
          <w:szCs w:val="24"/>
        </w:rPr>
        <w:t xml:space="preserve">investment strategy of the product. </w:t>
      </w:r>
      <w:r w:rsidR="00D636EC" w:rsidRPr="00AF455E">
        <w:rPr>
          <w:rFonts w:ascii="Times New Roman" w:eastAsia="Calibri" w:hAnsi="Times New Roman" w:cs="Times New Roman"/>
          <w:sz w:val="24"/>
          <w:szCs w:val="24"/>
        </w:rPr>
        <w:t>The</w:t>
      </w:r>
      <w:r w:rsidRPr="00AF455E">
        <w:rPr>
          <w:rFonts w:ascii="Times New Roman" w:eastAsia="Calibri" w:hAnsi="Times New Roman" w:cs="Times New Roman"/>
          <w:sz w:val="24"/>
          <w:szCs w:val="24"/>
        </w:rPr>
        <w:t xml:space="preserve"> definition </w:t>
      </w:r>
      <w:r w:rsidR="008C3611" w:rsidRPr="00AF455E">
        <w:rPr>
          <w:rFonts w:ascii="Times New Roman" w:eastAsia="Calibri" w:hAnsi="Times New Roman" w:cs="Times New Roman"/>
          <w:sz w:val="24"/>
          <w:szCs w:val="24"/>
        </w:rPr>
        <w:t xml:space="preserve">is designed to </w:t>
      </w:r>
      <w:r w:rsidRPr="00AF455E">
        <w:rPr>
          <w:rFonts w:ascii="Times New Roman" w:eastAsia="Calibri" w:hAnsi="Times New Roman" w:cs="Times New Roman"/>
          <w:sz w:val="24"/>
          <w:szCs w:val="24"/>
        </w:rPr>
        <w:t xml:space="preserve">cover </w:t>
      </w:r>
      <w:r w:rsidR="00906557" w:rsidRPr="00AF455E">
        <w:rPr>
          <w:rFonts w:ascii="Times New Roman" w:eastAsia="Calibri" w:hAnsi="Times New Roman" w:cs="Times New Roman"/>
          <w:sz w:val="24"/>
          <w:szCs w:val="24"/>
        </w:rPr>
        <w:t xml:space="preserve">accumulation </w:t>
      </w:r>
      <w:r w:rsidRPr="00AF455E">
        <w:rPr>
          <w:rFonts w:ascii="Times New Roman" w:eastAsia="Calibri" w:hAnsi="Times New Roman" w:cs="Times New Roman"/>
          <w:sz w:val="24"/>
          <w:szCs w:val="24"/>
        </w:rPr>
        <w:t xml:space="preserve">choice products where the trustee makes decisions </w:t>
      </w:r>
      <w:r w:rsidR="008C75E4" w:rsidRPr="00AF455E">
        <w:rPr>
          <w:rFonts w:ascii="Times New Roman" w:eastAsia="Calibri" w:hAnsi="Times New Roman" w:cs="Times New Roman"/>
          <w:sz w:val="24"/>
          <w:szCs w:val="24"/>
        </w:rPr>
        <w:t xml:space="preserve">regarding the product’s exposure to certain sectors and the underlying assets </w:t>
      </w:r>
      <w:r w:rsidR="00FA6EAD" w:rsidRPr="00AF455E">
        <w:rPr>
          <w:rFonts w:ascii="Times New Roman" w:eastAsia="Calibri" w:hAnsi="Times New Roman" w:cs="Times New Roman"/>
          <w:sz w:val="24"/>
          <w:szCs w:val="24"/>
        </w:rPr>
        <w:t xml:space="preserve">the product is </w:t>
      </w:r>
      <w:r w:rsidR="008C75E4" w:rsidRPr="00AF455E">
        <w:rPr>
          <w:rFonts w:ascii="Times New Roman" w:eastAsia="Calibri" w:hAnsi="Times New Roman" w:cs="Times New Roman"/>
          <w:sz w:val="24"/>
          <w:szCs w:val="24"/>
        </w:rPr>
        <w:t>invested in.</w:t>
      </w:r>
    </w:p>
    <w:p w14:paraId="7F07D164" w14:textId="55537A3E" w:rsidR="001542CD" w:rsidRPr="00AF455E" w:rsidRDefault="001542CD"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Products where the only </w:t>
      </w:r>
      <w:r w:rsidR="00843D65" w:rsidRPr="00AF455E">
        <w:rPr>
          <w:rFonts w:ascii="Times New Roman" w:eastAsia="Calibri" w:hAnsi="Times New Roman" w:cs="Times New Roman"/>
          <w:sz w:val="24"/>
          <w:szCs w:val="24"/>
        </w:rPr>
        <w:t xml:space="preserve">control </w:t>
      </w:r>
      <w:r w:rsidRPr="00AF455E">
        <w:rPr>
          <w:rFonts w:ascii="Times New Roman" w:eastAsia="Calibri" w:hAnsi="Times New Roman" w:cs="Times New Roman"/>
          <w:sz w:val="24"/>
          <w:szCs w:val="24"/>
        </w:rPr>
        <w:t xml:space="preserve">the trustee has over the product is to either offer or not offer the product to members are excluded from the definition of </w:t>
      </w:r>
      <w:r w:rsidR="00DD39F4" w:rsidRPr="00AF455E">
        <w:rPr>
          <w:rFonts w:ascii="Times New Roman" w:eastAsia="Calibri" w:hAnsi="Times New Roman" w:cs="Times New Roman"/>
          <w:sz w:val="24"/>
          <w:szCs w:val="24"/>
        </w:rPr>
        <w:t xml:space="preserve">a </w:t>
      </w:r>
      <w:r w:rsidRPr="00AF455E">
        <w:rPr>
          <w:rFonts w:ascii="Times New Roman" w:eastAsia="Calibri" w:hAnsi="Times New Roman" w:cs="Times New Roman"/>
          <w:sz w:val="24"/>
          <w:szCs w:val="24"/>
        </w:rPr>
        <w:t xml:space="preserve">trustee-directed product. These products </w:t>
      </w:r>
      <w:r w:rsidR="006A14FB" w:rsidRPr="00AF455E">
        <w:rPr>
          <w:rFonts w:ascii="Times New Roman" w:eastAsia="Calibri" w:hAnsi="Times New Roman" w:cs="Times New Roman"/>
          <w:sz w:val="24"/>
          <w:szCs w:val="24"/>
        </w:rPr>
        <w:t>include</w:t>
      </w:r>
      <w:r w:rsidRPr="00AF455E">
        <w:rPr>
          <w:rFonts w:ascii="Times New Roman" w:eastAsia="Calibri" w:hAnsi="Times New Roman" w:cs="Times New Roman"/>
          <w:sz w:val="24"/>
          <w:szCs w:val="24"/>
        </w:rPr>
        <w:t xml:space="preserve"> where the trustee offers</w:t>
      </w:r>
      <w:r w:rsidR="00401A88" w:rsidRPr="00AF455E">
        <w:rPr>
          <w:rFonts w:ascii="Times New Roman" w:eastAsia="Calibri" w:hAnsi="Times New Roman" w:cs="Times New Roman"/>
          <w:sz w:val="24"/>
          <w:szCs w:val="24"/>
        </w:rPr>
        <w:t xml:space="preserve"> a product where</w:t>
      </w:r>
      <w:r w:rsidRPr="00AF455E">
        <w:rPr>
          <w:rFonts w:ascii="Times New Roman" w:eastAsia="Calibri" w:hAnsi="Times New Roman" w:cs="Times New Roman"/>
          <w:sz w:val="24"/>
          <w:szCs w:val="24"/>
        </w:rPr>
        <w:t xml:space="preserve"> a third party manage</w:t>
      </w:r>
      <w:r w:rsidR="00401A88" w:rsidRPr="00AF455E">
        <w:rPr>
          <w:rFonts w:ascii="Times New Roman" w:eastAsia="Calibri" w:hAnsi="Times New Roman" w:cs="Times New Roman"/>
          <w:sz w:val="24"/>
          <w:szCs w:val="24"/>
        </w:rPr>
        <w:t>s</w:t>
      </w:r>
      <w:r w:rsidRPr="00AF455E">
        <w:rPr>
          <w:rFonts w:ascii="Times New Roman" w:eastAsia="Calibri" w:hAnsi="Times New Roman" w:cs="Times New Roman"/>
          <w:sz w:val="24"/>
          <w:szCs w:val="24"/>
        </w:rPr>
        <w:t xml:space="preserve"> the investment strategy for the member’s superannuation interest. This exclusion does not apply where the trustee is an associate o</w:t>
      </w:r>
      <w:r w:rsidR="00555D71" w:rsidRPr="00AF455E">
        <w:rPr>
          <w:rFonts w:ascii="Times New Roman" w:eastAsia="Calibri" w:hAnsi="Times New Roman" w:cs="Times New Roman"/>
          <w:sz w:val="24"/>
          <w:szCs w:val="24"/>
        </w:rPr>
        <w:t>f</w:t>
      </w:r>
      <w:r w:rsidRPr="00AF455E">
        <w:rPr>
          <w:rFonts w:ascii="Times New Roman" w:eastAsia="Calibri" w:hAnsi="Times New Roman" w:cs="Times New Roman"/>
          <w:sz w:val="24"/>
          <w:szCs w:val="24"/>
        </w:rPr>
        <w:t xml:space="preserve"> </w:t>
      </w:r>
      <w:r w:rsidR="00555D71" w:rsidRPr="00AF455E">
        <w:rPr>
          <w:rFonts w:ascii="Times New Roman" w:eastAsia="Calibri" w:hAnsi="Times New Roman" w:cs="Times New Roman"/>
          <w:sz w:val="24"/>
          <w:szCs w:val="24"/>
        </w:rPr>
        <w:t>or has influence over</w:t>
      </w:r>
      <w:r w:rsidRPr="00AF455E">
        <w:rPr>
          <w:rFonts w:ascii="Times New Roman" w:eastAsia="Calibri" w:hAnsi="Times New Roman" w:cs="Times New Roman"/>
          <w:sz w:val="24"/>
          <w:szCs w:val="24"/>
        </w:rPr>
        <w:t xml:space="preserve"> the third party managing the interest</w:t>
      </w:r>
      <w:r w:rsidR="00055E02" w:rsidRPr="00AF455E">
        <w:rPr>
          <w:rFonts w:ascii="Times New Roman" w:eastAsia="Calibri" w:hAnsi="Times New Roman" w:cs="Times New Roman"/>
          <w:sz w:val="24"/>
          <w:szCs w:val="24"/>
        </w:rPr>
        <w:t xml:space="preserve"> or where the third party is acting as an agent of the trustee. </w:t>
      </w:r>
    </w:p>
    <w:p w14:paraId="528A6259" w14:textId="46519EF5" w:rsidR="00846703" w:rsidRPr="00AF455E" w:rsidRDefault="00BC66C4"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amendments are also designed to exclude </w:t>
      </w:r>
      <w:r w:rsidR="005217E8" w:rsidRPr="00AF455E">
        <w:rPr>
          <w:rFonts w:ascii="Times New Roman" w:eastAsia="Calibri" w:hAnsi="Times New Roman" w:cs="Times New Roman"/>
          <w:sz w:val="24"/>
          <w:szCs w:val="24"/>
        </w:rPr>
        <w:t xml:space="preserve">products that are </w:t>
      </w:r>
      <w:r w:rsidRPr="00AF455E">
        <w:rPr>
          <w:rFonts w:ascii="Times New Roman" w:eastAsia="Calibri" w:hAnsi="Times New Roman" w:cs="Times New Roman"/>
          <w:sz w:val="24"/>
          <w:szCs w:val="24"/>
        </w:rPr>
        <w:t>single</w:t>
      </w:r>
      <w:r w:rsidR="007315F5" w:rsidRPr="00AF455E">
        <w:rPr>
          <w:rFonts w:ascii="Times New Roman" w:eastAsia="Calibri" w:hAnsi="Times New Roman" w:cs="Times New Roman"/>
          <w:sz w:val="24"/>
          <w:szCs w:val="24"/>
        </w:rPr>
        <w:noBreakHyphen/>
      </w:r>
      <w:r w:rsidRPr="00AF455E">
        <w:rPr>
          <w:rFonts w:ascii="Times New Roman" w:eastAsia="Calibri" w:hAnsi="Times New Roman" w:cs="Times New Roman"/>
          <w:sz w:val="24"/>
          <w:szCs w:val="24"/>
        </w:rPr>
        <w:t xml:space="preserve">sector investment options, </w:t>
      </w:r>
      <w:r w:rsidR="001115A6" w:rsidRPr="00AF455E">
        <w:rPr>
          <w:rFonts w:ascii="Times New Roman" w:eastAsia="Calibri" w:hAnsi="Times New Roman" w:cs="Times New Roman"/>
          <w:sz w:val="24"/>
          <w:szCs w:val="24"/>
        </w:rPr>
        <w:t xml:space="preserve">where the member selects a product that </w:t>
      </w:r>
      <w:r w:rsidRPr="00AF455E">
        <w:rPr>
          <w:rFonts w:ascii="Times New Roman" w:eastAsia="Calibri" w:hAnsi="Times New Roman" w:cs="Times New Roman"/>
          <w:sz w:val="24"/>
          <w:szCs w:val="24"/>
        </w:rPr>
        <w:t>mainly</w:t>
      </w:r>
      <w:r w:rsidR="001115A6" w:rsidRPr="00AF455E">
        <w:rPr>
          <w:rFonts w:ascii="Times New Roman" w:eastAsia="Calibri" w:hAnsi="Times New Roman" w:cs="Times New Roman"/>
          <w:sz w:val="24"/>
          <w:szCs w:val="24"/>
        </w:rPr>
        <w:t xml:space="preserve"> has exposure to only one type of asset class.</w:t>
      </w:r>
      <w:r w:rsidR="005E58D1" w:rsidRPr="00AF455E">
        <w:rPr>
          <w:rFonts w:ascii="Times New Roman" w:eastAsia="Calibri" w:hAnsi="Times New Roman" w:cs="Times New Roman"/>
          <w:sz w:val="24"/>
          <w:szCs w:val="24"/>
        </w:rPr>
        <w:t xml:space="preserve"> </w:t>
      </w:r>
      <w:r w:rsidRPr="00AF455E">
        <w:rPr>
          <w:rFonts w:ascii="Times New Roman" w:eastAsia="Calibri" w:hAnsi="Times New Roman" w:cs="Times New Roman"/>
          <w:sz w:val="24"/>
          <w:szCs w:val="24"/>
        </w:rPr>
        <w:t>Single</w:t>
      </w:r>
      <w:r w:rsidRPr="00AF455E">
        <w:rPr>
          <w:rFonts w:ascii="Times New Roman" w:eastAsia="Calibri" w:hAnsi="Times New Roman" w:cs="Times New Roman"/>
          <w:sz w:val="24"/>
          <w:szCs w:val="24"/>
        </w:rPr>
        <w:noBreakHyphen/>
        <w:t xml:space="preserve">sector options are typically used in combination by a beneficiary </w:t>
      </w:r>
      <w:proofErr w:type="gramStart"/>
      <w:r w:rsidRPr="00AF455E">
        <w:rPr>
          <w:rFonts w:ascii="Times New Roman" w:eastAsia="Calibri" w:hAnsi="Times New Roman" w:cs="Times New Roman"/>
          <w:sz w:val="24"/>
          <w:szCs w:val="24"/>
        </w:rPr>
        <w:t>in order to</w:t>
      </w:r>
      <w:proofErr w:type="gramEnd"/>
      <w:r w:rsidRPr="00AF455E">
        <w:rPr>
          <w:rFonts w:ascii="Times New Roman" w:eastAsia="Calibri" w:hAnsi="Times New Roman" w:cs="Times New Roman"/>
          <w:sz w:val="24"/>
          <w:szCs w:val="24"/>
        </w:rPr>
        <w:t xml:space="preserve"> design their own bespoke diversified investment strategy. The amendments exclude sing</w:t>
      </w:r>
      <w:r w:rsidR="00252B6B" w:rsidRPr="00AF455E">
        <w:rPr>
          <w:rFonts w:ascii="Times New Roman" w:eastAsia="Calibri" w:hAnsi="Times New Roman" w:cs="Times New Roman"/>
          <w:sz w:val="24"/>
          <w:szCs w:val="24"/>
        </w:rPr>
        <w:t>l</w:t>
      </w:r>
      <w:r w:rsidRPr="00AF455E">
        <w:rPr>
          <w:rFonts w:ascii="Times New Roman" w:eastAsia="Calibri" w:hAnsi="Times New Roman" w:cs="Times New Roman"/>
          <w:sz w:val="24"/>
          <w:szCs w:val="24"/>
        </w:rPr>
        <w:t>e</w:t>
      </w:r>
      <w:r w:rsidR="007315F5" w:rsidRPr="00AF455E">
        <w:rPr>
          <w:rFonts w:ascii="Times New Roman" w:eastAsia="Calibri" w:hAnsi="Times New Roman" w:cs="Times New Roman"/>
          <w:sz w:val="24"/>
          <w:szCs w:val="24"/>
        </w:rPr>
        <w:noBreakHyphen/>
      </w:r>
      <w:r w:rsidRPr="00AF455E">
        <w:rPr>
          <w:rFonts w:ascii="Times New Roman" w:eastAsia="Calibri" w:hAnsi="Times New Roman" w:cs="Times New Roman"/>
          <w:sz w:val="24"/>
          <w:szCs w:val="24"/>
        </w:rPr>
        <w:t>sector investment options by requiring a t</w:t>
      </w:r>
      <w:r w:rsidR="001115A6" w:rsidRPr="00AF455E">
        <w:rPr>
          <w:rFonts w:ascii="Times New Roman" w:eastAsia="Calibri" w:hAnsi="Times New Roman" w:cs="Times New Roman"/>
          <w:sz w:val="24"/>
          <w:szCs w:val="24"/>
        </w:rPr>
        <w:t>rustee-directed product</w:t>
      </w:r>
      <w:r w:rsidRPr="00AF455E">
        <w:rPr>
          <w:rFonts w:ascii="Times New Roman" w:eastAsia="Calibri" w:hAnsi="Times New Roman" w:cs="Times New Roman"/>
          <w:sz w:val="24"/>
          <w:szCs w:val="24"/>
        </w:rPr>
        <w:t xml:space="preserve"> to</w:t>
      </w:r>
      <w:r w:rsidR="001115A6" w:rsidRPr="00AF455E">
        <w:rPr>
          <w:rFonts w:ascii="Times New Roman" w:eastAsia="Calibri" w:hAnsi="Times New Roman" w:cs="Times New Roman"/>
          <w:sz w:val="24"/>
          <w:szCs w:val="24"/>
        </w:rPr>
        <w:t xml:space="preserve"> contain at least two </w:t>
      </w:r>
      <w:r w:rsidR="00793A0B" w:rsidRPr="00AF455E">
        <w:rPr>
          <w:rFonts w:ascii="Times New Roman" w:eastAsia="Calibri" w:hAnsi="Times New Roman" w:cs="Times New Roman"/>
          <w:sz w:val="24"/>
          <w:szCs w:val="24"/>
        </w:rPr>
        <w:t xml:space="preserve">asset classes, where the </w:t>
      </w:r>
      <w:r w:rsidR="00014FDC" w:rsidRPr="00AF455E">
        <w:rPr>
          <w:rFonts w:ascii="Times New Roman" w:eastAsia="Calibri" w:hAnsi="Times New Roman" w:cs="Times New Roman"/>
          <w:sz w:val="24"/>
          <w:szCs w:val="24"/>
        </w:rPr>
        <w:t>strategic asset all</w:t>
      </w:r>
      <w:r w:rsidRPr="00AF455E">
        <w:rPr>
          <w:rFonts w:ascii="Times New Roman" w:eastAsia="Calibri" w:hAnsi="Times New Roman" w:cs="Times New Roman"/>
          <w:sz w:val="24"/>
          <w:szCs w:val="24"/>
        </w:rPr>
        <w:t>ocation for each of those classes</w:t>
      </w:r>
      <w:r w:rsidR="00793A0B" w:rsidRPr="00AF455E">
        <w:rPr>
          <w:rFonts w:ascii="Times New Roman" w:eastAsia="Calibri" w:hAnsi="Times New Roman" w:cs="Times New Roman"/>
          <w:sz w:val="24"/>
          <w:szCs w:val="24"/>
        </w:rPr>
        <w:t xml:space="preserve"> must exceed 10</w:t>
      </w:r>
      <w:r w:rsidR="00080B95" w:rsidRPr="00AF455E">
        <w:rPr>
          <w:rFonts w:ascii="Times New Roman" w:eastAsia="Calibri" w:hAnsi="Times New Roman" w:cs="Times New Roman"/>
          <w:sz w:val="24"/>
          <w:szCs w:val="24"/>
        </w:rPr>
        <w:t xml:space="preserve"> per cent</w:t>
      </w:r>
      <w:r w:rsidR="0080413F" w:rsidRPr="00AF455E">
        <w:rPr>
          <w:rFonts w:ascii="Times New Roman" w:eastAsia="Calibri" w:hAnsi="Times New Roman" w:cs="Times New Roman"/>
          <w:sz w:val="24"/>
          <w:szCs w:val="24"/>
        </w:rPr>
        <w:t xml:space="preserve">. </w:t>
      </w:r>
    </w:p>
    <w:p w14:paraId="6AB854FC" w14:textId="4F2A537E" w:rsidR="00DA62F5" w:rsidRPr="00AF455E" w:rsidRDefault="00846703"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For the purposes of working out whether a product is a single-sector investment option, a pair of asset classes is to be treated as combined to be one asset class if the description of each class is the same other than whether the class is hedged or unhedged. </w:t>
      </w:r>
      <w:r w:rsidR="003F702B" w:rsidRPr="00AF455E">
        <w:rPr>
          <w:rFonts w:ascii="Times New Roman" w:eastAsia="Calibri" w:hAnsi="Times New Roman" w:cs="Times New Roman"/>
          <w:sz w:val="24"/>
          <w:szCs w:val="24"/>
        </w:rPr>
        <w:t>For example, a product with investments only in international equity hedged and international equity unhedged would not contain at least two asset classes, as these classes would be treated as combined.</w:t>
      </w:r>
      <w:r w:rsidR="002F05C6" w:rsidRPr="00AF455E">
        <w:rPr>
          <w:rFonts w:ascii="Times New Roman" w:eastAsia="Calibri" w:hAnsi="Times New Roman" w:cs="Times New Roman"/>
          <w:sz w:val="24"/>
          <w:szCs w:val="24"/>
        </w:rPr>
        <w:t xml:space="preserve"> The amendments treat such a product</w:t>
      </w:r>
      <w:r w:rsidR="003F702B" w:rsidRPr="00AF455E">
        <w:rPr>
          <w:rFonts w:ascii="Times New Roman" w:eastAsia="Calibri" w:hAnsi="Times New Roman" w:cs="Times New Roman"/>
          <w:sz w:val="24"/>
          <w:szCs w:val="24"/>
        </w:rPr>
        <w:t xml:space="preserve"> </w:t>
      </w:r>
      <w:r w:rsidR="002F05C6" w:rsidRPr="00AF455E">
        <w:rPr>
          <w:rFonts w:ascii="Times New Roman" w:eastAsia="Calibri" w:hAnsi="Times New Roman" w:cs="Times New Roman"/>
          <w:sz w:val="24"/>
          <w:szCs w:val="24"/>
        </w:rPr>
        <w:t>as a single-sector investment option</w:t>
      </w:r>
      <w:r w:rsidR="00D92579" w:rsidRPr="00AF455E">
        <w:rPr>
          <w:rFonts w:ascii="Times New Roman" w:eastAsia="Calibri" w:hAnsi="Times New Roman" w:cs="Times New Roman"/>
          <w:sz w:val="24"/>
          <w:szCs w:val="24"/>
        </w:rPr>
        <w:t>, excluded from being considered trustee-directed products</w:t>
      </w:r>
      <w:r w:rsidR="002F05C6" w:rsidRPr="00AF455E">
        <w:rPr>
          <w:rFonts w:ascii="Times New Roman" w:eastAsia="Calibri" w:hAnsi="Times New Roman" w:cs="Times New Roman"/>
          <w:sz w:val="24"/>
          <w:szCs w:val="24"/>
        </w:rPr>
        <w:t>.</w:t>
      </w:r>
    </w:p>
    <w:p w14:paraId="07F1A47C" w14:textId="64B1F3A4" w:rsidR="001115A6" w:rsidRPr="00AF455E" w:rsidRDefault="00DA62F5"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product must also not allow the member to direct the trustee to alter the amount invested in any </w:t>
      </w:r>
      <w:proofErr w:type="gramStart"/>
      <w:r w:rsidRPr="00AF455E">
        <w:rPr>
          <w:rFonts w:ascii="Times New Roman" w:eastAsia="Calibri" w:hAnsi="Times New Roman" w:cs="Times New Roman"/>
          <w:sz w:val="24"/>
          <w:szCs w:val="24"/>
        </w:rPr>
        <w:t>particular class</w:t>
      </w:r>
      <w:proofErr w:type="gramEnd"/>
      <w:r w:rsidRPr="00AF455E">
        <w:rPr>
          <w:rFonts w:ascii="Times New Roman" w:eastAsia="Calibri" w:hAnsi="Times New Roman" w:cs="Times New Roman"/>
          <w:sz w:val="24"/>
          <w:szCs w:val="24"/>
        </w:rPr>
        <w:t xml:space="preserve"> of asset. </w:t>
      </w:r>
      <w:r w:rsidR="00BF3ADA" w:rsidRPr="00AF455E">
        <w:rPr>
          <w:rFonts w:ascii="Times New Roman" w:eastAsia="Calibri" w:hAnsi="Times New Roman" w:cs="Times New Roman"/>
          <w:sz w:val="24"/>
          <w:szCs w:val="24"/>
        </w:rPr>
        <w:t xml:space="preserve">This ensures the trustee has the requisite control over the product for the performance test to be effective and meaningful. </w:t>
      </w:r>
    </w:p>
    <w:p w14:paraId="1431BB25" w14:textId="77777777" w:rsidR="00D9089D" w:rsidRPr="00AF455E" w:rsidRDefault="00D9089D" w:rsidP="00D9089D">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Superannuation interests that are supporting a superannuation income stream in the retirement phase are not captured by this definition. These products have broader aims than accumulation products, which should primarily be focussed on investment performance. </w:t>
      </w:r>
    </w:p>
    <w:p w14:paraId="52E54718" w14:textId="17E71BDC" w:rsidR="00D9089D" w:rsidRPr="00AF455E" w:rsidRDefault="00A46DD3" w:rsidP="00D9089D">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S</w:t>
      </w:r>
      <w:r w:rsidR="00D9089D" w:rsidRPr="00AF455E">
        <w:rPr>
          <w:rFonts w:ascii="Times New Roman" w:eastAsia="Calibri" w:hAnsi="Times New Roman" w:cs="Times New Roman"/>
          <w:sz w:val="24"/>
          <w:szCs w:val="24"/>
        </w:rPr>
        <w:t>uperannuation interests that are defined</w:t>
      </w:r>
      <w:r w:rsidR="00D9089D" w:rsidRPr="00AF455E">
        <w:rPr>
          <w:rFonts w:ascii="Times New Roman" w:eastAsia="Calibri" w:hAnsi="Times New Roman" w:cs="Times New Roman"/>
          <w:sz w:val="24"/>
          <w:szCs w:val="24"/>
        </w:rPr>
        <w:noBreakHyphen/>
        <w:t xml:space="preserve">benefit interests are not captured by the definition. For these types of interests, the product’s investment performance across the life of the interest does not directly impact the outcome for the beneficiary in retirement. </w:t>
      </w:r>
      <w:proofErr w:type="gramStart"/>
      <w:r w:rsidR="00D9089D" w:rsidRPr="00AF455E">
        <w:rPr>
          <w:rFonts w:ascii="Times New Roman" w:eastAsia="Calibri" w:hAnsi="Times New Roman" w:cs="Times New Roman"/>
          <w:sz w:val="24"/>
          <w:szCs w:val="24"/>
        </w:rPr>
        <w:t>Generally</w:t>
      </w:r>
      <w:proofErr w:type="gramEnd"/>
      <w:r w:rsidR="00D9089D" w:rsidRPr="00AF455E">
        <w:rPr>
          <w:rFonts w:ascii="Times New Roman" w:eastAsia="Calibri" w:hAnsi="Times New Roman" w:cs="Times New Roman"/>
          <w:sz w:val="24"/>
          <w:szCs w:val="24"/>
        </w:rPr>
        <w:t xml:space="preserve"> this is due to the employer, rather than the beneficiaries, incurring the cost of underperformance in defined</w:t>
      </w:r>
      <w:r w:rsidR="00D9089D" w:rsidRPr="00AF455E">
        <w:rPr>
          <w:rFonts w:ascii="Times New Roman" w:eastAsia="Calibri" w:hAnsi="Times New Roman" w:cs="Times New Roman"/>
          <w:sz w:val="24"/>
          <w:szCs w:val="24"/>
        </w:rPr>
        <w:noBreakHyphen/>
        <w:t xml:space="preserve">benefit interests. </w:t>
      </w:r>
    </w:p>
    <w:p w14:paraId="6A0E539E" w14:textId="0AC2DD44" w:rsidR="00AA02DF" w:rsidRPr="00AF455E" w:rsidRDefault="00D9089D"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Other p</w:t>
      </w:r>
      <w:r w:rsidR="00AA02DF" w:rsidRPr="00AF455E">
        <w:rPr>
          <w:rFonts w:ascii="Times New Roman" w:eastAsia="Calibri" w:hAnsi="Times New Roman" w:cs="Times New Roman"/>
          <w:sz w:val="24"/>
          <w:szCs w:val="24"/>
        </w:rPr>
        <w:t xml:space="preserve">roducts offered by superannuation trustees where the benefit to the member is </w:t>
      </w:r>
      <w:r w:rsidR="00AA02DF" w:rsidRPr="00AF455E">
        <w:rPr>
          <w:rFonts w:ascii="Times New Roman" w:eastAsia="Calibri" w:hAnsi="Times New Roman" w:cs="Times New Roman"/>
          <w:sz w:val="24"/>
          <w:szCs w:val="24"/>
        </w:rPr>
        <w:lastRenderedPageBreak/>
        <w:t xml:space="preserve">not contingent on the investment performance of the product are also excluded from the definition of </w:t>
      </w:r>
      <w:r w:rsidR="00936A21" w:rsidRPr="00AF455E">
        <w:rPr>
          <w:rFonts w:ascii="Times New Roman" w:eastAsia="Calibri" w:hAnsi="Times New Roman" w:cs="Times New Roman"/>
          <w:sz w:val="24"/>
          <w:szCs w:val="24"/>
        </w:rPr>
        <w:t xml:space="preserve">a </w:t>
      </w:r>
      <w:r w:rsidR="00AA02DF" w:rsidRPr="00AF455E">
        <w:rPr>
          <w:rFonts w:ascii="Times New Roman" w:eastAsia="Calibri" w:hAnsi="Times New Roman" w:cs="Times New Roman"/>
          <w:sz w:val="24"/>
          <w:szCs w:val="24"/>
        </w:rPr>
        <w:t>trustee</w:t>
      </w:r>
      <w:r w:rsidR="007315F5" w:rsidRPr="00AF455E">
        <w:rPr>
          <w:rFonts w:ascii="Times New Roman" w:eastAsia="Calibri" w:hAnsi="Times New Roman" w:cs="Times New Roman"/>
          <w:sz w:val="24"/>
          <w:szCs w:val="24"/>
        </w:rPr>
        <w:noBreakHyphen/>
      </w:r>
      <w:r w:rsidR="00AA02DF" w:rsidRPr="00AF455E">
        <w:rPr>
          <w:rFonts w:ascii="Times New Roman" w:eastAsia="Calibri" w:hAnsi="Times New Roman" w:cs="Times New Roman"/>
          <w:sz w:val="24"/>
          <w:szCs w:val="24"/>
        </w:rPr>
        <w:t>directed product. These products typically are cont</w:t>
      </w:r>
      <w:r w:rsidR="007315F5" w:rsidRPr="00AF455E">
        <w:rPr>
          <w:rFonts w:ascii="Times New Roman" w:eastAsia="Calibri" w:hAnsi="Times New Roman" w:cs="Times New Roman"/>
          <w:sz w:val="24"/>
          <w:szCs w:val="24"/>
        </w:rPr>
        <w:t>r</w:t>
      </w:r>
      <w:r w:rsidR="00AA02DF" w:rsidRPr="00AF455E">
        <w:rPr>
          <w:rFonts w:ascii="Times New Roman" w:eastAsia="Calibri" w:hAnsi="Times New Roman" w:cs="Times New Roman"/>
          <w:sz w:val="24"/>
          <w:szCs w:val="24"/>
        </w:rPr>
        <w:t xml:space="preserve">acts for insurance or products where the benefit is provided on the realisation of a particular risk. </w:t>
      </w:r>
    </w:p>
    <w:p w14:paraId="7AD6D751" w14:textId="77777777"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See explanation of application provisions below for information about when the test will apply for trustee-directed products. </w:t>
      </w:r>
    </w:p>
    <w:p w14:paraId="1F0F2E99" w14:textId="77777777"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p>
    <w:p w14:paraId="440A1572" w14:textId="77777777" w:rsidR="00F11482" w:rsidRPr="00AF455E" w:rsidRDefault="00F11482" w:rsidP="00F11482">
      <w:pPr>
        <w:widowControl w:val="0"/>
        <w:adjustRightInd w:val="0"/>
        <w:jc w:val="both"/>
        <w:textAlignment w:val="baseline"/>
        <w:rPr>
          <w:rFonts w:ascii="Times New Roman" w:eastAsia="Calibri" w:hAnsi="Times New Roman" w:cs="Times New Roman"/>
          <w:i/>
          <w:sz w:val="24"/>
          <w:szCs w:val="24"/>
        </w:rPr>
      </w:pPr>
      <w:r w:rsidRPr="00AF455E">
        <w:rPr>
          <w:rFonts w:ascii="Times New Roman" w:eastAsia="Calibri" w:hAnsi="Times New Roman" w:cs="Times New Roman"/>
          <w:i/>
          <w:sz w:val="24"/>
          <w:szCs w:val="24"/>
        </w:rPr>
        <w:t>Products with certain number of years of performance history</w:t>
      </w:r>
    </w:p>
    <w:p w14:paraId="51E597D2" w14:textId="2EEDE94D" w:rsidR="00F11482" w:rsidRPr="00AF455E" w:rsidRDefault="00F11482" w:rsidP="00F11482">
      <w:pPr>
        <w:widowControl w:val="0"/>
        <w:adjustRightInd w:val="0"/>
        <w:jc w:val="both"/>
        <w:textAlignment w:val="baseline"/>
        <w:rPr>
          <w:rFonts w:ascii="Times New Roman" w:eastAsia="Calibri" w:hAnsi="Times New Roman" w:cs="Times New Roman"/>
          <w:b/>
          <w:sz w:val="24"/>
          <w:szCs w:val="24"/>
        </w:rPr>
      </w:pPr>
      <w:r w:rsidRPr="00AF455E">
        <w:rPr>
          <w:rFonts w:ascii="Times New Roman" w:eastAsia="Calibri" w:hAnsi="Times New Roman" w:cs="Times New Roman"/>
          <w:sz w:val="24"/>
          <w:szCs w:val="24"/>
        </w:rPr>
        <w:t>The amendments specifying classes of Part 6A product for the purposes of section</w:t>
      </w:r>
      <w:r w:rsidR="00C537E5" w:rsidRPr="00AF455E">
        <w:rPr>
          <w:rFonts w:ascii="Times New Roman" w:eastAsia="Calibri" w:hAnsi="Times New Roman" w:cs="Times New Roman"/>
          <w:sz w:val="24"/>
          <w:szCs w:val="24"/>
        </w:rPr>
        <w:t> </w:t>
      </w:r>
      <w:r w:rsidRPr="00AF455E">
        <w:rPr>
          <w:rFonts w:ascii="Times New Roman" w:eastAsia="Calibri" w:hAnsi="Times New Roman" w:cs="Times New Roman"/>
          <w:sz w:val="24"/>
          <w:szCs w:val="24"/>
        </w:rPr>
        <w:t>60</w:t>
      </w:r>
      <w:proofErr w:type="gramStart"/>
      <w:r w:rsidRPr="00AF455E">
        <w:rPr>
          <w:rFonts w:ascii="Times New Roman" w:eastAsia="Calibri" w:hAnsi="Times New Roman" w:cs="Times New Roman"/>
          <w:sz w:val="24"/>
          <w:szCs w:val="24"/>
        </w:rPr>
        <w:t>D(</w:t>
      </w:r>
      <w:proofErr w:type="gramEnd"/>
      <w:r w:rsidRPr="00AF455E">
        <w:rPr>
          <w:rFonts w:ascii="Times New Roman" w:eastAsia="Calibri" w:hAnsi="Times New Roman" w:cs="Times New Roman"/>
          <w:sz w:val="24"/>
          <w:szCs w:val="24"/>
        </w:rPr>
        <w:t>1) of the SIS Act (requirements for the product in relation to the financial year) ensure that products with less than 5 whole financial years of performance history are generally exempt from the performance test in the relevant financial year (unless APRA exercises discretion to subject these products to the test).</w:t>
      </w:r>
    </w:p>
    <w:p w14:paraId="6FFE3238" w14:textId="6D8D7563"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number of years of a product’s performance history </w:t>
      </w:r>
      <w:r w:rsidR="00ED58CE" w:rsidRPr="00AF455E">
        <w:rPr>
          <w:rFonts w:ascii="Times New Roman" w:eastAsia="Calibri" w:hAnsi="Times New Roman" w:cs="Times New Roman"/>
          <w:sz w:val="24"/>
          <w:szCs w:val="24"/>
        </w:rPr>
        <w:t>(</w:t>
      </w:r>
      <w:r w:rsidR="00E73EFB" w:rsidRPr="00AF455E">
        <w:rPr>
          <w:rFonts w:ascii="Times New Roman" w:eastAsia="Calibri" w:hAnsi="Times New Roman" w:cs="Times New Roman"/>
          <w:sz w:val="24"/>
          <w:szCs w:val="24"/>
        </w:rPr>
        <w:t xml:space="preserve">generally corresponding to a </w:t>
      </w:r>
      <w:r w:rsidR="00ED58CE" w:rsidRPr="00AF455E">
        <w:rPr>
          <w:rFonts w:ascii="Times New Roman" w:eastAsia="Calibri" w:hAnsi="Times New Roman" w:cs="Times New Roman"/>
          <w:sz w:val="24"/>
          <w:szCs w:val="24"/>
        </w:rPr>
        <w:t xml:space="preserve">product’s ‘lookback period’) </w:t>
      </w:r>
      <w:r w:rsidRPr="00AF455E">
        <w:rPr>
          <w:rFonts w:ascii="Times New Roman" w:eastAsia="Calibri" w:hAnsi="Times New Roman" w:cs="Times New Roman"/>
          <w:sz w:val="24"/>
          <w:szCs w:val="24"/>
        </w:rPr>
        <w:t xml:space="preserve">is the number of financial years since the start of the first whole quarter for which a trustee has reported </w:t>
      </w:r>
      <w:r w:rsidR="001954DD" w:rsidRPr="00AF455E">
        <w:rPr>
          <w:rFonts w:ascii="Times New Roman" w:eastAsia="Calibri" w:hAnsi="Times New Roman" w:cs="Times New Roman"/>
          <w:sz w:val="24"/>
          <w:szCs w:val="24"/>
        </w:rPr>
        <w:t xml:space="preserve">a </w:t>
      </w:r>
      <w:r w:rsidRPr="00AF455E">
        <w:rPr>
          <w:rFonts w:ascii="Times New Roman" w:eastAsia="Calibri" w:hAnsi="Times New Roman" w:cs="Times New Roman"/>
          <w:sz w:val="24"/>
          <w:szCs w:val="24"/>
        </w:rPr>
        <w:t>‘net</w:t>
      </w:r>
      <w:r w:rsidRPr="00AF455E" w:rsidDel="00B96636">
        <w:rPr>
          <w:rFonts w:ascii="Times New Roman" w:eastAsia="Calibri" w:hAnsi="Times New Roman" w:cs="Times New Roman"/>
          <w:sz w:val="24"/>
          <w:szCs w:val="24"/>
        </w:rPr>
        <w:t xml:space="preserve"> </w:t>
      </w:r>
      <w:r w:rsidRPr="00AF455E">
        <w:rPr>
          <w:rFonts w:ascii="Times New Roman" w:eastAsia="Calibri" w:hAnsi="Times New Roman" w:cs="Times New Roman"/>
          <w:sz w:val="24"/>
          <w:szCs w:val="24"/>
        </w:rPr>
        <w:t xml:space="preserve">return’ for the product up until (and including) 30 June of the financial year for which the annual performance assessment is conducted. </w:t>
      </w:r>
      <w:r w:rsidR="00272E22" w:rsidRPr="00AF455E">
        <w:rPr>
          <w:rFonts w:ascii="Times New Roman" w:eastAsia="Calibri" w:hAnsi="Times New Roman" w:cs="Times New Roman"/>
          <w:sz w:val="24"/>
          <w:szCs w:val="24"/>
        </w:rPr>
        <w:t>The start of this period will not be the</w:t>
      </w:r>
      <w:r w:rsidR="00AF7FB1" w:rsidRPr="00AF455E">
        <w:rPr>
          <w:rFonts w:ascii="Times New Roman" w:eastAsia="Calibri" w:hAnsi="Times New Roman" w:cs="Times New Roman"/>
          <w:sz w:val="24"/>
          <w:szCs w:val="24"/>
        </w:rPr>
        <w:t xml:space="preserve"> first </w:t>
      </w:r>
      <w:r w:rsidR="00272E22" w:rsidRPr="00AF455E">
        <w:rPr>
          <w:rFonts w:ascii="Times New Roman" w:eastAsia="Calibri" w:hAnsi="Times New Roman" w:cs="Times New Roman"/>
          <w:sz w:val="24"/>
          <w:szCs w:val="24"/>
        </w:rPr>
        <w:t>part</w:t>
      </w:r>
      <w:r w:rsidR="00AF7FB1" w:rsidRPr="00AF455E">
        <w:rPr>
          <w:rFonts w:ascii="Times New Roman" w:eastAsia="Calibri" w:hAnsi="Times New Roman" w:cs="Times New Roman"/>
          <w:sz w:val="24"/>
          <w:szCs w:val="24"/>
        </w:rPr>
        <w:t xml:space="preserve"> quarter for which net returns have been reported</w:t>
      </w:r>
      <w:r w:rsidR="00272E22" w:rsidRPr="00AF455E">
        <w:rPr>
          <w:rFonts w:ascii="Times New Roman" w:eastAsia="Calibri" w:hAnsi="Times New Roman" w:cs="Times New Roman"/>
          <w:sz w:val="24"/>
          <w:szCs w:val="24"/>
        </w:rPr>
        <w:t xml:space="preserve"> to APRA</w:t>
      </w:r>
      <w:r w:rsidR="000C58F2" w:rsidRPr="00AF455E">
        <w:rPr>
          <w:rFonts w:ascii="Times New Roman" w:eastAsia="Calibri" w:hAnsi="Times New Roman" w:cs="Times New Roman"/>
          <w:sz w:val="24"/>
          <w:szCs w:val="24"/>
        </w:rPr>
        <w:t>,</w:t>
      </w:r>
      <w:r w:rsidR="00AF7FB1" w:rsidRPr="00AF455E">
        <w:rPr>
          <w:rFonts w:ascii="Times New Roman" w:eastAsia="Calibri" w:hAnsi="Times New Roman" w:cs="Times New Roman"/>
          <w:sz w:val="24"/>
          <w:szCs w:val="24"/>
        </w:rPr>
        <w:t xml:space="preserve"> as any </w:t>
      </w:r>
      <w:r w:rsidR="00E12537" w:rsidRPr="00AF455E">
        <w:rPr>
          <w:rFonts w:ascii="Times New Roman" w:eastAsia="Calibri" w:hAnsi="Times New Roman" w:cs="Times New Roman"/>
          <w:sz w:val="24"/>
          <w:szCs w:val="24"/>
        </w:rPr>
        <w:t xml:space="preserve">quarter </w:t>
      </w:r>
      <w:r w:rsidR="00AF7FB1" w:rsidRPr="00AF455E">
        <w:rPr>
          <w:rFonts w:ascii="Times New Roman" w:eastAsia="Calibri" w:hAnsi="Times New Roman" w:cs="Times New Roman"/>
          <w:sz w:val="24"/>
          <w:szCs w:val="24"/>
        </w:rPr>
        <w:t>in which the superannuation fund was not, for the entire duration of the quarter</w:t>
      </w:r>
      <w:r w:rsidR="00B834B2" w:rsidRPr="00AF455E">
        <w:rPr>
          <w:rFonts w:ascii="Times New Roman" w:eastAsia="Calibri" w:hAnsi="Times New Roman" w:cs="Times New Roman"/>
          <w:sz w:val="24"/>
          <w:szCs w:val="24"/>
        </w:rPr>
        <w:t>,</w:t>
      </w:r>
      <w:r w:rsidR="00AF7FB1" w:rsidRPr="00AF455E">
        <w:rPr>
          <w:rFonts w:ascii="Times New Roman" w:eastAsia="Calibri" w:hAnsi="Times New Roman" w:cs="Times New Roman"/>
          <w:sz w:val="24"/>
          <w:szCs w:val="24"/>
        </w:rPr>
        <w:t xml:space="preserve"> offering the product as potentially generating returns is to be disregarded. </w:t>
      </w:r>
      <w:r w:rsidR="00DA5DE1" w:rsidRPr="00AF455E">
        <w:rPr>
          <w:rFonts w:ascii="Times New Roman" w:eastAsia="Calibri" w:hAnsi="Times New Roman" w:cs="Times New Roman"/>
          <w:sz w:val="24"/>
          <w:szCs w:val="24"/>
        </w:rPr>
        <w:t xml:space="preserve"> Any quarter where there was not at least one beneficiary holding the product will also be disregarded. </w:t>
      </w:r>
    </w:p>
    <w:p w14:paraId="5D7CAF50" w14:textId="66DD3DEA" w:rsidR="00DB0715" w:rsidRPr="00AF455E" w:rsidRDefault="00DB0715"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This approach strikes a balance between maximising coverage of the performance test and giving new products a chance to get established. </w:t>
      </w:r>
      <w:r w:rsidR="00EA0189" w:rsidRPr="00AF455E">
        <w:rPr>
          <w:rFonts w:ascii="Times New Roman" w:eastAsia="Calibri" w:hAnsi="Times New Roman" w:cs="Times New Roman"/>
          <w:sz w:val="24"/>
          <w:szCs w:val="24"/>
        </w:rPr>
        <w:t xml:space="preserve">The annual performance test is generally intended to assess </w:t>
      </w:r>
      <w:r w:rsidR="00D100CD" w:rsidRPr="00AF455E">
        <w:rPr>
          <w:rFonts w:ascii="Times New Roman" w:eastAsia="Calibri" w:hAnsi="Times New Roman" w:cs="Times New Roman"/>
          <w:sz w:val="24"/>
          <w:szCs w:val="24"/>
        </w:rPr>
        <w:t xml:space="preserve">a product’s </w:t>
      </w:r>
      <w:r w:rsidR="00EA0189" w:rsidRPr="00AF455E">
        <w:rPr>
          <w:rFonts w:ascii="Times New Roman" w:eastAsia="Calibri" w:hAnsi="Times New Roman" w:cs="Times New Roman"/>
          <w:sz w:val="24"/>
          <w:szCs w:val="24"/>
        </w:rPr>
        <w:t>long</w:t>
      </w:r>
      <w:r w:rsidR="000D3DE9" w:rsidRPr="00AF455E">
        <w:rPr>
          <w:rFonts w:ascii="Times New Roman" w:eastAsia="Calibri" w:hAnsi="Times New Roman" w:cs="Times New Roman"/>
          <w:sz w:val="24"/>
          <w:szCs w:val="24"/>
        </w:rPr>
        <w:noBreakHyphen/>
      </w:r>
      <w:r w:rsidR="00EA0189" w:rsidRPr="00AF455E">
        <w:rPr>
          <w:rFonts w:ascii="Times New Roman" w:eastAsia="Calibri" w:hAnsi="Times New Roman" w:cs="Times New Roman"/>
          <w:sz w:val="24"/>
          <w:szCs w:val="24"/>
        </w:rPr>
        <w:t>term investment performance.</w:t>
      </w:r>
    </w:p>
    <w:p w14:paraId="1C37F49B" w14:textId="3462D719" w:rsidR="00876D1E" w:rsidRPr="00AF455E" w:rsidRDefault="0035072B" w:rsidP="00FC363A">
      <w:pPr>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APRA may exercise discretion to </w:t>
      </w:r>
      <w:r w:rsidR="00A32489" w:rsidRPr="00AF455E">
        <w:rPr>
          <w:rFonts w:ascii="Times New Roman" w:eastAsia="Calibri" w:hAnsi="Times New Roman" w:cs="Times New Roman"/>
          <w:sz w:val="24"/>
          <w:szCs w:val="24"/>
        </w:rPr>
        <w:t>de</w:t>
      </w:r>
      <w:r w:rsidR="006C54D1" w:rsidRPr="00AF455E">
        <w:rPr>
          <w:rFonts w:ascii="Times New Roman" w:eastAsia="Calibri" w:hAnsi="Times New Roman" w:cs="Times New Roman"/>
          <w:sz w:val="24"/>
          <w:szCs w:val="24"/>
        </w:rPr>
        <w:t>termine</w:t>
      </w:r>
      <w:r w:rsidR="00A32489" w:rsidRPr="00AF455E">
        <w:rPr>
          <w:rFonts w:ascii="Times New Roman" w:eastAsia="Calibri" w:hAnsi="Times New Roman" w:cs="Times New Roman"/>
          <w:sz w:val="24"/>
          <w:szCs w:val="24"/>
        </w:rPr>
        <w:t xml:space="preserve"> that a</w:t>
      </w:r>
      <w:r w:rsidRPr="00AF455E">
        <w:rPr>
          <w:rFonts w:ascii="Times New Roman" w:eastAsia="Calibri" w:hAnsi="Times New Roman" w:cs="Times New Roman"/>
          <w:sz w:val="24"/>
          <w:szCs w:val="24"/>
        </w:rPr>
        <w:t xml:space="preserve"> product with less than 5 whole financial years of performance history </w:t>
      </w:r>
      <w:r w:rsidR="00A32489" w:rsidRPr="00AF455E">
        <w:rPr>
          <w:rFonts w:ascii="Times New Roman" w:eastAsia="Calibri" w:hAnsi="Times New Roman" w:cs="Times New Roman"/>
          <w:sz w:val="24"/>
          <w:szCs w:val="24"/>
        </w:rPr>
        <w:t>is to be subject to</w:t>
      </w:r>
      <w:r w:rsidRPr="00AF455E">
        <w:rPr>
          <w:rFonts w:ascii="Times New Roman" w:eastAsia="Calibri" w:hAnsi="Times New Roman" w:cs="Times New Roman"/>
          <w:sz w:val="24"/>
          <w:szCs w:val="24"/>
        </w:rPr>
        <w:t xml:space="preserve"> the performance test</w:t>
      </w:r>
      <w:r w:rsidR="00B77F27" w:rsidRPr="00AF455E">
        <w:rPr>
          <w:rFonts w:ascii="Times New Roman" w:eastAsia="Calibri" w:hAnsi="Times New Roman" w:cs="Times New Roman"/>
          <w:sz w:val="24"/>
          <w:szCs w:val="24"/>
        </w:rPr>
        <w:t>.</w:t>
      </w:r>
      <w:r w:rsidR="00A32489" w:rsidRPr="00AF455E">
        <w:rPr>
          <w:rFonts w:ascii="Times New Roman" w:eastAsia="Calibri" w:hAnsi="Times New Roman" w:cs="Times New Roman"/>
          <w:sz w:val="24"/>
          <w:szCs w:val="24"/>
        </w:rPr>
        <w:t xml:space="preserve"> </w:t>
      </w:r>
      <w:r w:rsidR="00D83EE3" w:rsidRPr="00AF455E">
        <w:rPr>
          <w:rFonts w:ascii="Times New Roman" w:eastAsia="Calibri" w:hAnsi="Times New Roman" w:cs="Times New Roman"/>
          <w:sz w:val="24"/>
          <w:szCs w:val="24"/>
        </w:rPr>
        <w:t>In</w:t>
      </w:r>
      <w:r w:rsidR="00864602" w:rsidRPr="00AF455E">
        <w:rPr>
          <w:rFonts w:ascii="Times New Roman" w:eastAsia="Calibri" w:hAnsi="Times New Roman" w:cs="Times New Roman"/>
          <w:sz w:val="24"/>
          <w:szCs w:val="24"/>
        </w:rPr>
        <w:t xml:space="preserve"> </w:t>
      </w:r>
      <w:r w:rsidR="006C54D1" w:rsidRPr="00AF455E">
        <w:rPr>
          <w:rFonts w:ascii="Times New Roman" w:eastAsia="Calibri" w:hAnsi="Times New Roman" w:cs="Times New Roman"/>
          <w:sz w:val="24"/>
          <w:szCs w:val="24"/>
        </w:rPr>
        <w:t>mak</w:t>
      </w:r>
      <w:r w:rsidR="00D83EE3" w:rsidRPr="00AF455E">
        <w:rPr>
          <w:rFonts w:ascii="Times New Roman" w:eastAsia="Calibri" w:hAnsi="Times New Roman" w:cs="Times New Roman"/>
          <w:sz w:val="24"/>
          <w:szCs w:val="24"/>
        </w:rPr>
        <w:t>ing</w:t>
      </w:r>
      <w:r w:rsidR="006C54D1" w:rsidRPr="00AF455E">
        <w:rPr>
          <w:rFonts w:ascii="Times New Roman" w:eastAsia="Calibri" w:hAnsi="Times New Roman" w:cs="Times New Roman"/>
          <w:sz w:val="24"/>
          <w:szCs w:val="24"/>
        </w:rPr>
        <w:t xml:space="preserve"> such a determination</w:t>
      </w:r>
      <w:r w:rsidR="00B77F27" w:rsidRPr="00AF455E">
        <w:rPr>
          <w:rFonts w:ascii="Times New Roman" w:eastAsia="Calibri" w:hAnsi="Times New Roman" w:cs="Times New Roman"/>
          <w:sz w:val="24"/>
          <w:szCs w:val="24"/>
        </w:rPr>
        <w:t xml:space="preserve">, </w:t>
      </w:r>
      <w:r w:rsidR="00864602" w:rsidRPr="00AF455E">
        <w:rPr>
          <w:rFonts w:ascii="Times New Roman" w:eastAsia="Calibri" w:hAnsi="Times New Roman" w:cs="Times New Roman"/>
          <w:sz w:val="24"/>
          <w:szCs w:val="24"/>
        </w:rPr>
        <w:t xml:space="preserve">APRA must </w:t>
      </w:r>
      <w:r w:rsidR="00B77F27" w:rsidRPr="00AF455E">
        <w:rPr>
          <w:rFonts w:ascii="Times New Roman" w:eastAsia="Calibri" w:hAnsi="Times New Roman" w:cs="Times New Roman"/>
          <w:sz w:val="24"/>
          <w:szCs w:val="24"/>
        </w:rPr>
        <w:t>hav</w:t>
      </w:r>
      <w:r w:rsidR="00864602" w:rsidRPr="00AF455E">
        <w:rPr>
          <w:rFonts w:ascii="Times New Roman" w:eastAsia="Calibri" w:hAnsi="Times New Roman" w:cs="Times New Roman"/>
          <w:sz w:val="24"/>
          <w:szCs w:val="24"/>
        </w:rPr>
        <w:t>e</w:t>
      </w:r>
      <w:r w:rsidR="00B77F27" w:rsidRPr="00AF455E">
        <w:rPr>
          <w:rFonts w:ascii="Times New Roman" w:eastAsia="Calibri" w:hAnsi="Times New Roman" w:cs="Times New Roman"/>
          <w:sz w:val="24"/>
          <w:szCs w:val="24"/>
        </w:rPr>
        <w:t xml:space="preserve"> regard to</w:t>
      </w:r>
      <w:r w:rsidR="00BC71ED" w:rsidRPr="00AF455E">
        <w:rPr>
          <w:rFonts w:ascii="Times New Roman" w:eastAsia="Calibri" w:hAnsi="Times New Roman" w:cs="Times New Roman"/>
          <w:sz w:val="24"/>
          <w:szCs w:val="24"/>
        </w:rPr>
        <w:t xml:space="preserve"> </w:t>
      </w:r>
      <w:r w:rsidR="00B77F27" w:rsidRPr="00AF455E">
        <w:rPr>
          <w:rFonts w:ascii="Times New Roman" w:eastAsia="Calibri" w:hAnsi="Times New Roman" w:cs="Times New Roman"/>
          <w:sz w:val="24"/>
          <w:szCs w:val="24"/>
        </w:rPr>
        <w:t xml:space="preserve">whether any other </w:t>
      </w:r>
      <w:r w:rsidR="00E378C9" w:rsidRPr="00AF455E">
        <w:rPr>
          <w:rFonts w:ascii="Times New Roman" w:eastAsia="Calibri" w:hAnsi="Times New Roman" w:cs="Times New Roman"/>
          <w:sz w:val="24"/>
          <w:szCs w:val="24"/>
        </w:rPr>
        <w:t xml:space="preserve">Part 6A </w:t>
      </w:r>
      <w:r w:rsidR="00B77F27" w:rsidRPr="00AF455E">
        <w:rPr>
          <w:rFonts w:ascii="Times New Roman" w:eastAsia="Calibri" w:hAnsi="Times New Roman" w:cs="Times New Roman"/>
          <w:sz w:val="24"/>
          <w:szCs w:val="24"/>
        </w:rPr>
        <w:t xml:space="preserve">products offered by the </w:t>
      </w:r>
      <w:r w:rsidR="00E378C9" w:rsidRPr="00AF455E">
        <w:rPr>
          <w:rFonts w:ascii="Times New Roman" w:eastAsia="Calibri" w:hAnsi="Times New Roman" w:cs="Times New Roman"/>
          <w:sz w:val="24"/>
          <w:szCs w:val="24"/>
        </w:rPr>
        <w:t>entity</w:t>
      </w:r>
      <w:r w:rsidR="00B77F27" w:rsidRPr="00AF455E">
        <w:rPr>
          <w:rFonts w:ascii="Times New Roman" w:eastAsia="Calibri" w:hAnsi="Times New Roman" w:cs="Times New Roman"/>
          <w:sz w:val="24"/>
          <w:szCs w:val="24"/>
        </w:rPr>
        <w:t xml:space="preserve"> or an ‘associated entity’ (within the meaning of the </w:t>
      </w:r>
      <w:r w:rsidR="00B77F27" w:rsidRPr="00AF455E">
        <w:rPr>
          <w:rFonts w:ascii="Times New Roman" w:eastAsia="Calibri" w:hAnsi="Times New Roman" w:cs="Times New Roman"/>
          <w:i/>
          <w:sz w:val="24"/>
          <w:szCs w:val="24"/>
        </w:rPr>
        <w:t>Corporations Act 2001</w:t>
      </w:r>
      <w:r w:rsidR="00B77F27" w:rsidRPr="00AF455E">
        <w:rPr>
          <w:rFonts w:ascii="Times New Roman" w:eastAsia="Calibri" w:hAnsi="Times New Roman" w:cs="Times New Roman"/>
          <w:sz w:val="24"/>
          <w:szCs w:val="24"/>
        </w:rPr>
        <w:t>) have failed the performance test</w:t>
      </w:r>
      <w:r w:rsidR="00AA03DE" w:rsidRPr="00AF455E">
        <w:rPr>
          <w:rFonts w:ascii="Times New Roman" w:eastAsia="Calibri" w:hAnsi="Times New Roman" w:cs="Times New Roman"/>
          <w:sz w:val="24"/>
          <w:szCs w:val="24"/>
        </w:rPr>
        <w:t xml:space="preserve"> in any financial year</w:t>
      </w:r>
      <w:r w:rsidR="00B77F27" w:rsidRPr="00AF455E">
        <w:rPr>
          <w:rFonts w:ascii="Times New Roman" w:eastAsia="Calibri" w:hAnsi="Times New Roman" w:cs="Times New Roman"/>
          <w:sz w:val="24"/>
          <w:szCs w:val="24"/>
        </w:rPr>
        <w:t xml:space="preserve">. </w:t>
      </w:r>
      <w:r w:rsidR="00D100CD" w:rsidRPr="00AF455E">
        <w:rPr>
          <w:rFonts w:ascii="Times New Roman" w:eastAsia="Calibri" w:hAnsi="Times New Roman" w:cs="Times New Roman"/>
          <w:sz w:val="24"/>
          <w:szCs w:val="24"/>
        </w:rPr>
        <w:t xml:space="preserve">APRA </w:t>
      </w:r>
      <w:r w:rsidR="00044F84" w:rsidRPr="00AF455E">
        <w:rPr>
          <w:rFonts w:ascii="Times New Roman" w:eastAsia="Calibri" w:hAnsi="Times New Roman" w:cs="Times New Roman"/>
          <w:sz w:val="24"/>
          <w:szCs w:val="24"/>
        </w:rPr>
        <w:t>could</w:t>
      </w:r>
      <w:r w:rsidR="00D100CD" w:rsidRPr="00AF455E">
        <w:rPr>
          <w:rFonts w:ascii="Times New Roman" w:eastAsia="Calibri" w:hAnsi="Times New Roman" w:cs="Times New Roman"/>
          <w:sz w:val="24"/>
          <w:szCs w:val="24"/>
        </w:rPr>
        <w:t xml:space="preserve"> also consider any other features of the product</w:t>
      </w:r>
      <w:r w:rsidR="00066CAA" w:rsidRPr="00AF455E">
        <w:rPr>
          <w:rFonts w:ascii="Times New Roman" w:eastAsia="Calibri" w:hAnsi="Times New Roman" w:cs="Times New Roman"/>
          <w:sz w:val="24"/>
          <w:szCs w:val="24"/>
        </w:rPr>
        <w:t xml:space="preserve"> or entity</w:t>
      </w:r>
      <w:r w:rsidR="00D100CD" w:rsidRPr="00AF455E">
        <w:rPr>
          <w:rFonts w:ascii="Times New Roman" w:eastAsia="Calibri" w:hAnsi="Times New Roman" w:cs="Times New Roman"/>
          <w:sz w:val="24"/>
          <w:szCs w:val="24"/>
        </w:rPr>
        <w:t xml:space="preserve"> that would give rise to concerns regarding its likely future performance. For example, a product’s fees, or the investment governance arrangements of the entity offering the product.  </w:t>
      </w:r>
    </w:p>
    <w:p w14:paraId="1CCD8B14" w14:textId="54CA42F9" w:rsidR="003F0611" w:rsidRPr="00AF455E" w:rsidRDefault="00774971" w:rsidP="003F0611">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Allowing products with less than 5 whole financial years </w:t>
      </w:r>
      <w:r w:rsidR="00607096" w:rsidRPr="00AF455E">
        <w:rPr>
          <w:rFonts w:ascii="Times New Roman" w:eastAsia="Calibri" w:hAnsi="Times New Roman" w:cs="Times New Roman"/>
          <w:sz w:val="24"/>
          <w:szCs w:val="24"/>
        </w:rPr>
        <w:t>of performance history</w:t>
      </w:r>
      <w:r w:rsidRPr="00AF455E">
        <w:rPr>
          <w:rFonts w:ascii="Times New Roman" w:eastAsia="Calibri" w:hAnsi="Times New Roman" w:cs="Times New Roman"/>
          <w:sz w:val="24"/>
          <w:szCs w:val="24"/>
        </w:rPr>
        <w:t xml:space="preserve"> to be subject to the performance test at APRA’s discretion also provides some scope for addressing avoidance behaviour where trustees have intentionally closed a product or opened a ‘new’ product </w:t>
      </w:r>
      <w:proofErr w:type="gramStart"/>
      <w:r w:rsidRPr="00AF455E">
        <w:rPr>
          <w:rFonts w:ascii="Times New Roman" w:eastAsia="Calibri" w:hAnsi="Times New Roman" w:cs="Times New Roman"/>
          <w:sz w:val="24"/>
          <w:szCs w:val="24"/>
        </w:rPr>
        <w:t>in order to</w:t>
      </w:r>
      <w:proofErr w:type="gramEnd"/>
      <w:r w:rsidRPr="00AF455E">
        <w:rPr>
          <w:rFonts w:ascii="Times New Roman" w:eastAsia="Calibri" w:hAnsi="Times New Roman" w:cs="Times New Roman"/>
          <w:sz w:val="24"/>
          <w:szCs w:val="24"/>
        </w:rPr>
        <w:t xml:space="preserve"> avoid being subjected to the performance test.</w:t>
      </w:r>
      <w:r w:rsidR="009316D8" w:rsidRPr="00AF455E">
        <w:rPr>
          <w:rFonts w:ascii="Times New Roman" w:eastAsia="Calibri" w:hAnsi="Times New Roman" w:cs="Times New Roman"/>
          <w:sz w:val="24"/>
          <w:szCs w:val="24"/>
        </w:rPr>
        <w:t xml:space="preserve"> </w:t>
      </w:r>
      <w:r w:rsidR="003F0611" w:rsidRPr="00AF455E">
        <w:rPr>
          <w:rFonts w:ascii="Times New Roman" w:eastAsia="Calibri" w:hAnsi="Times New Roman" w:cs="Times New Roman"/>
          <w:sz w:val="24"/>
          <w:szCs w:val="24"/>
        </w:rPr>
        <w:t>APRA’s determination is not a legislative instrument within the meaning of subsection</w:t>
      </w:r>
      <w:r w:rsidR="00FF61E8" w:rsidRPr="00AF455E">
        <w:rPr>
          <w:rFonts w:ascii="Times New Roman" w:eastAsia="Calibri" w:hAnsi="Times New Roman" w:cs="Times New Roman"/>
          <w:sz w:val="24"/>
          <w:szCs w:val="24"/>
        </w:rPr>
        <w:t> </w:t>
      </w:r>
      <w:r w:rsidR="003F0611" w:rsidRPr="00AF455E">
        <w:rPr>
          <w:rFonts w:ascii="Times New Roman" w:eastAsia="Calibri" w:hAnsi="Times New Roman" w:cs="Times New Roman"/>
          <w:sz w:val="24"/>
          <w:szCs w:val="24"/>
        </w:rPr>
        <w:t xml:space="preserve">8(1) of the </w:t>
      </w:r>
      <w:r w:rsidR="003F0611" w:rsidRPr="00AF455E">
        <w:rPr>
          <w:rFonts w:ascii="Times New Roman" w:eastAsia="Calibri" w:hAnsi="Times New Roman" w:cs="Times New Roman"/>
          <w:i/>
          <w:sz w:val="24"/>
          <w:szCs w:val="24"/>
        </w:rPr>
        <w:t>Legislation Act 2003</w:t>
      </w:r>
      <w:r w:rsidR="003F0611" w:rsidRPr="00AF455E">
        <w:rPr>
          <w:rFonts w:ascii="Times New Roman" w:eastAsia="Calibri" w:hAnsi="Times New Roman" w:cs="Times New Roman"/>
          <w:sz w:val="24"/>
          <w:szCs w:val="24"/>
        </w:rPr>
        <w:t xml:space="preserve">. </w:t>
      </w:r>
    </w:p>
    <w:p w14:paraId="070A7981" w14:textId="77777777" w:rsidR="00F11482" w:rsidRPr="00AF455E" w:rsidRDefault="00F11482" w:rsidP="00F11482">
      <w:pPr>
        <w:widowControl w:val="0"/>
        <w:adjustRightInd w:val="0"/>
        <w:jc w:val="both"/>
        <w:textAlignment w:val="baseline"/>
        <w:rPr>
          <w:rFonts w:ascii="Times New Roman" w:eastAsia="Calibri" w:hAnsi="Times New Roman" w:cs="Times New Roman"/>
          <w:b/>
          <w:sz w:val="24"/>
          <w:szCs w:val="24"/>
        </w:rPr>
      </w:pPr>
    </w:p>
    <w:p w14:paraId="37E3F2C6" w14:textId="504FF4E0" w:rsidR="00F11482" w:rsidRPr="00AF455E" w:rsidRDefault="00F11482" w:rsidP="00F11482">
      <w:pPr>
        <w:widowControl w:val="0"/>
        <w:adjustRightInd w:val="0"/>
        <w:jc w:val="both"/>
        <w:textAlignment w:val="baseline"/>
        <w:rPr>
          <w:rFonts w:ascii="Times New Roman" w:eastAsia="Calibri" w:hAnsi="Times New Roman" w:cs="Times New Roman"/>
          <w:b/>
          <w:sz w:val="24"/>
          <w:szCs w:val="24"/>
        </w:rPr>
      </w:pPr>
      <w:r w:rsidRPr="00AF455E">
        <w:rPr>
          <w:rFonts w:ascii="Times New Roman" w:eastAsia="Calibri" w:hAnsi="Times New Roman" w:cs="Times New Roman"/>
          <w:b/>
          <w:sz w:val="24"/>
          <w:szCs w:val="24"/>
        </w:rPr>
        <w:t>Item</w:t>
      </w:r>
      <w:r w:rsidR="001E4CCB" w:rsidRPr="00AF455E">
        <w:rPr>
          <w:rFonts w:ascii="Times New Roman" w:eastAsia="Calibri" w:hAnsi="Times New Roman" w:cs="Times New Roman"/>
          <w:b/>
          <w:sz w:val="24"/>
          <w:szCs w:val="24"/>
        </w:rPr>
        <w:t>s</w:t>
      </w:r>
      <w:r w:rsidR="00610A9E" w:rsidRPr="00AF455E">
        <w:rPr>
          <w:rFonts w:ascii="Times New Roman" w:eastAsia="Calibri" w:hAnsi="Times New Roman" w:cs="Times New Roman"/>
          <w:b/>
          <w:sz w:val="24"/>
          <w:szCs w:val="24"/>
        </w:rPr>
        <w:t xml:space="preserve"> </w:t>
      </w:r>
      <w:r w:rsidR="00B41F2D" w:rsidRPr="00AF455E">
        <w:rPr>
          <w:rFonts w:ascii="Times New Roman" w:eastAsia="Calibri" w:hAnsi="Times New Roman" w:cs="Times New Roman"/>
          <w:b/>
          <w:sz w:val="24"/>
          <w:szCs w:val="24"/>
        </w:rPr>
        <w:t>3</w:t>
      </w:r>
      <w:r w:rsidR="00610A9E" w:rsidRPr="00AF455E">
        <w:rPr>
          <w:rFonts w:ascii="Times New Roman" w:eastAsia="Calibri" w:hAnsi="Times New Roman" w:cs="Times New Roman"/>
          <w:b/>
          <w:sz w:val="24"/>
          <w:szCs w:val="24"/>
        </w:rPr>
        <w:t xml:space="preserve"> and</w:t>
      </w:r>
      <w:r w:rsidRPr="00AF455E">
        <w:rPr>
          <w:rFonts w:ascii="Times New Roman" w:eastAsia="Calibri" w:hAnsi="Times New Roman" w:cs="Times New Roman"/>
          <w:b/>
          <w:sz w:val="24"/>
          <w:szCs w:val="24"/>
        </w:rPr>
        <w:t xml:space="preserve"> </w:t>
      </w:r>
      <w:r w:rsidR="00B41F2D" w:rsidRPr="00AF455E">
        <w:rPr>
          <w:rFonts w:ascii="Times New Roman" w:eastAsia="Calibri" w:hAnsi="Times New Roman" w:cs="Times New Roman"/>
          <w:b/>
          <w:sz w:val="24"/>
          <w:szCs w:val="24"/>
        </w:rPr>
        <w:t>4</w:t>
      </w:r>
      <w:r w:rsidR="00483E4C" w:rsidRPr="00AF455E">
        <w:rPr>
          <w:rFonts w:ascii="Times New Roman" w:eastAsia="Calibri" w:hAnsi="Times New Roman" w:cs="Times New Roman"/>
          <w:b/>
          <w:sz w:val="24"/>
          <w:szCs w:val="24"/>
        </w:rPr>
        <w:t xml:space="preserve"> (proposed </w:t>
      </w:r>
      <w:r w:rsidR="005F6454" w:rsidRPr="00AF455E">
        <w:rPr>
          <w:rFonts w:ascii="Times New Roman" w:eastAsia="Calibri" w:hAnsi="Times New Roman" w:cs="Times New Roman"/>
          <w:b/>
          <w:sz w:val="24"/>
          <w:szCs w:val="24"/>
        </w:rPr>
        <w:t xml:space="preserve">regulations </w:t>
      </w:r>
      <w:r w:rsidR="00610A9E" w:rsidRPr="00AF455E">
        <w:rPr>
          <w:rFonts w:ascii="Times New Roman" w:eastAsia="Calibri" w:hAnsi="Times New Roman" w:cs="Times New Roman"/>
          <w:b/>
          <w:sz w:val="24"/>
          <w:szCs w:val="24"/>
        </w:rPr>
        <w:t xml:space="preserve">4.01A, </w:t>
      </w:r>
      <w:r w:rsidR="006504DC" w:rsidRPr="00AF455E">
        <w:rPr>
          <w:rFonts w:ascii="Times New Roman" w:eastAsia="Calibri" w:hAnsi="Times New Roman" w:cs="Times New Roman"/>
          <w:b/>
          <w:sz w:val="24"/>
          <w:szCs w:val="24"/>
        </w:rPr>
        <w:t>9AB.</w:t>
      </w:r>
      <w:r w:rsidR="00471468" w:rsidRPr="00AF455E">
        <w:rPr>
          <w:rFonts w:ascii="Times New Roman" w:eastAsia="Calibri" w:hAnsi="Times New Roman" w:cs="Times New Roman"/>
          <w:b/>
          <w:sz w:val="24"/>
          <w:szCs w:val="24"/>
        </w:rPr>
        <w:t>3</w:t>
      </w:r>
      <w:r w:rsidR="00471F86" w:rsidRPr="00AF455E">
        <w:rPr>
          <w:rFonts w:ascii="Times New Roman" w:eastAsia="Calibri" w:hAnsi="Times New Roman" w:cs="Times New Roman"/>
          <w:b/>
          <w:sz w:val="24"/>
          <w:szCs w:val="24"/>
        </w:rPr>
        <w:t>, 9AB.</w:t>
      </w:r>
      <w:r w:rsidR="00471468" w:rsidRPr="00AF455E">
        <w:rPr>
          <w:rFonts w:ascii="Times New Roman" w:eastAsia="Calibri" w:hAnsi="Times New Roman" w:cs="Times New Roman"/>
          <w:b/>
          <w:sz w:val="24"/>
          <w:szCs w:val="24"/>
        </w:rPr>
        <w:t>4</w:t>
      </w:r>
      <w:r w:rsidR="00471F86" w:rsidRPr="00AF455E">
        <w:rPr>
          <w:rFonts w:ascii="Times New Roman" w:eastAsia="Calibri" w:hAnsi="Times New Roman" w:cs="Times New Roman"/>
          <w:b/>
          <w:sz w:val="24"/>
          <w:szCs w:val="24"/>
        </w:rPr>
        <w:t xml:space="preserve">, </w:t>
      </w:r>
      <w:r w:rsidR="005136AB" w:rsidRPr="00AF455E">
        <w:rPr>
          <w:rFonts w:ascii="Times New Roman" w:eastAsia="Calibri" w:hAnsi="Times New Roman" w:cs="Times New Roman"/>
          <w:b/>
          <w:sz w:val="24"/>
          <w:szCs w:val="24"/>
        </w:rPr>
        <w:t>9AB.</w:t>
      </w:r>
      <w:r w:rsidR="00471468" w:rsidRPr="00AF455E">
        <w:rPr>
          <w:rFonts w:ascii="Times New Roman" w:eastAsia="Calibri" w:hAnsi="Times New Roman" w:cs="Times New Roman"/>
          <w:b/>
          <w:sz w:val="24"/>
          <w:szCs w:val="24"/>
        </w:rPr>
        <w:t>5</w:t>
      </w:r>
      <w:r w:rsidR="005136AB" w:rsidRPr="00AF455E">
        <w:rPr>
          <w:rFonts w:ascii="Times New Roman" w:eastAsia="Calibri" w:hAnsi="Times New Roman" w:cs="Times New Roman"/>
          <w:b/>
          <w:sz w:val="24"/>
          <w:szCs w:val="24"/>
        </w:rPr>
        <w:t xml:space="preserve">, </w:t>
      </w:r>
      <w:r w:rsidR="006504DC" w:rsidRPr="00AF455E">
        <w:rPr>
          <w:rFonts w:ascii="Times New Roman" w:eastAsia="Calibri" w:hAnsi="Times New Roman" w:cs="Times New Roman"/>
          <w:b/>
          <w:sz w:val="24"/>
          <w:szCs w:val="24"/>
        </w:rPr>
        <w:t>9AB.</w:t>
      </w:r>
      <w:r w:rsidR="00471468" w:rsidRPr="00AF455E">
        <w:rPr>
          <w:rFonts w:ascii="Times New Roman" w:eastAsia="Calibri" w:hAnsi="Times New Roman" w:cs="Times New Roman"/>
          <w:b/>
          <w:sz w:val="24"/>
          <w:szCs w:val="24"/>
        </w:rPr>
        <w:t>6</w:t>
      </w:r>
      <w:r w:rsidR="006504DC" w:rsidRPr="00AF455E">
        <w:rPr>
          <w:rFonts w:ascii="Times New Roman" w:eastAsia="Calibri" w:hAnsi="Times New Roman" w:cs="Times New Roman"/>
          <w:b/>
          <w:sz w:val="24"/>
          <w:szCs w:val="24"/>
        </w:rPr>
        <w:t>,</w:t>
      </w:r>
      <w:r w:rsidR="0093606B" w:rsidRPr="00AF455E">
        <w:rPr>
          <w:rFonts w:ascii="Times New Roman" w:eastAsia="Calibri" w:hAnsi="Times New Roman" w:cs="Times New Roman"/>
          <w:b/>
          <w:sz w:val="24"/>
          <w:szCs w:val="24"/>
        </w:rPr>
        <w:t xml:space="preserve"> </w:t>
      </w:r>
      <w:r w:rsidR="002458C4" w:rsidRPr="00AF455E">
        <w:rPr>
          <w:rFonts w:ascii="Times New Roman" w:eastAsia="Calibri" w:hAnsi="Times New Roman" w:cs="Times New Roman"/>
          <w:b/>
          <w:sz w:val="24"/>
          <w:szCs w:val="24"/>
        </w:rPr>
        <w:t>9AB.</w:t>
      </w:r>
      <w:r w:rsidR="00471468" w:rsidRPr="00AF455E">
        <w:rPr>
          <w:rFonts w:ascii="Times New Roman" w:eastAsia="Calibri" w:hAnsi="Times New Roman" w:cs="Times New Roman"/>
          <w:b/>
          <w:sz w:val="24"/>
          <w:szCs w:val="24"/>
        </w:rPr>
        <w:t>9</w:t>
      </w:r>
      <w:r w:rsidR="002458C4" w:rsidRPr="00AF455E">
        <w:rPr>
          <w:rFonts w:ascii="Times New Roman" w:eastAsia="Calibri" w:hAnsi="Times New Roman" w:cs="Times New Roman"/>
          <w:b/>
          <w:sz w:val="24"/>
          <w:szCs w:val="24"/>
        </w:rPr>
        <w:t xml:space="preserve">, </w:t>
      </w:r>
      <w:r w:rsidR="002458C4" w:rsidRPr="00AF455E">
        <w:rPr>
          <w:rFonts w:ascii="Times New Roman" w:eastAsia="Calibri" w:hAnsi="Times New Roman" w:cs="Times New Roman"/>
          <w:b/>
          <w:sz w:val="24"/>
          <w:szCs w:val="24"/>
        </w:rPr>
        <w:lastRenderedPageBreak/>
        <w:t>9AB.</w:t>
      </w:r>
      <w:r w:rsidR="00471468" w:rsidRPr="00AF455E">
        <w:rPr>
          <w:rFonts w:ascii="Times New Roman" w:eastAsia="Calibri" w:hAnsi="Times New Roman" w:cs="Times New Roman"/>
          <w:b/>
          <w:sz w:val="24"/>
          <w:szCs w:val="24"/>
        </w:rPr>
        <w:t>10</w:t>
      </w:r>
      <w:r w:rsidR="002458C4" w:rsidRPr="00AF455E">
        <w:rPr>
          <w:rFonts w:ascii="Times New Roman" w:eastAsia="Calibri" w:hAnsi="Times New Roman" w:cs="Times New Roman"/>
          <w:b/>
          <w:sz w:val="24"/>
          <w:szCs w:val="24"/>
        </w:rPr>
        <w:t xml:space="preserve"> and </w:t>
      </w:r>
      <w:r w:rsidR="0093606B" w:rsidRPr="00AF455E">
        <w:rPr>
          <w:rFonts w:ascii="Times New Roman" w:eastAsia="Calibri" w:hAnsi="Times New Roman" w:cs="Times New Roman"/>
          <w:b/>
          <w:sz w:val="24"/>
          <w:szCs w:val="24"/>
        </w:rPr>
        <w:t>9AB.</w:t>
      </w:r>
      <w:r w:rsidR="00471468" w:rsidRPr="00AF455E">
        <w:rPr>
          <w:rFonts w:ascii="Times New Roman" w:eastAsia="Calibri" w:hAnsi="Times New Roman" w:cs="Times New Roman"/>
          <w:b/>
          <w:sz w:val="24"/>
          <w:szCs w:val="24"/>
        </w:rPr>
        <w:t>11</w:t>
      </w:r>
      <w:r w:rsidR="00FB3B5B" w:rsidRPr="00AF455E">
        <w:rPr>
          <w:rFonts w:ascii="Times New Roman" w:eastAsia="Calibri" w:hAnsi="Times New Roman" w:cs="Times New Roman"/>
          <w:b/>
          <w:sz w:val="24"/>
          <w:szCs w:val="24"/>
        </w:rPr>
        <w:t xml:space="preserve"> to</w:t>
      </w:r>
      <w:r w:rsidR="0093606B" w:rsidRPr="00AF455E">
        <w:rPr>
          <w:rFonts w:ascii="Times New Roman" w:eastAsia="Calibri" w:hAnsi="Times New Roman" w:cs="Times New Roman"/>
          <w:b/>
          <w:sz w:val="24"/>
          <w:szCs w:val="24"/>
        </w:rPr>
        <w:t xml:space="preserve"> </w:t>
      </w:r>
      <w:r w:rsidR="00FF5CD8" w:rsidRPr="00AF455E">
        <w:rPr>
          <w:rFonts w:ascii="Times New Roman" w:eastAsia="Calibri" w:hAnsi="Times New Roman" w:cs="Times New Roman"/>
          <w:b/>
          <w:sz w:val="24"/>
          <w:szCs w:val="24"/>
        </w:rPr>
        <w:t>9AB.18</w:t>
      </w:r>
      <w:r w:rsidR="00483E4C" w:rsidRPr="00AF455E">
        <w:rPr>
          <w:rFonts w:ascii="Times New Roman" w:eastAsia="Calibri" w:hAnsi="Times New Roman" w:cs="Times New Roman"/>
          <w:b/>
          <w:sz w:val="24"/>
          <w:szCs w:val="24"/>
        </w:rPr>
        <w:t xml:space="preserve"> of the SIS Regs)</w:t>
      </w:r>
      <w:r w:rsidRPr="00AF455E">
        <w:rPr>
          <w:rFonts w:ascii="Times New Roman" w:eastAsia="Calibri" w:hAnsi="Times New Roman" w:cs="Times New Roman"/>
          <w:b/>
          <w:sz w:val="24"/>
          <w:szCs w:val="24"/>
        </w:rPr>
        <w:t xml:space="preserve"> - Requirements for annual performance test</w:t>
      </w:r>
    </w:p>
    <w:p w14:paraId="3EE57683" w14:textId="7C1D919B" w:rsidR="00F11482" w:rsidRPr="00AF455E" w:rsidRDefault="008F1E19"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S</w:t>
      </w:r>
      <w:r w:rsidR="00F11482" w:rsidRPr="00AF455E">
        <w:rPr>
          <w:rFonts w:ascii="Times New Roman" w:eastAsia="Calibri" w:hAnsi="Times New Roman" w:cs="Times New Roman"/>
          <w:sz w:val="24"/>
          <w:szCs w:val="24"/>
        </w:rPr>
        <w:t>ection 60D of the SIS Act allows regulations to specify the requirements that a product must meet to satisfy the annual performance test.</w:t>
      </w:r>
    </w:p>
    <w:p w14:paraId="04005E9A" w14:textId="01EB4F52"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The requirements for the performance test are based on the methodology adopted by the Productivity Commission in its 2018 report</w:t>
      </w:r>
      <w:r w:rsidR="00AE5AA1" w:rsidRPr="00AF455E">
        <w:rPr>
          <w:rFonts w:ascii="Times New Roman" w:eastAsia="Calibri" w:hAnsi="Times New Roman" w:cs="Times New Roman"/>
          <w:sz w:val="24"/>
          <w:szCs w:val="24"/>
        </w:rPr>
        <w:t>,</w:t>
      </w:r>
      <w:r w:rsidRPr="00AF455E">
        <w:rPr>
          <w:rFonts w:ascii="Times New Roman" w:eastAsia="Calibri" w:hAnsi="Times New Roman" w:cs="Times New Roman"/>
          <w:sz w:val="24"/>
          <w:szCs w:val="24"/>
        </w:rPr>
        <w:t xml:space="preserve"> </w:t>
      </w:r>
      <w:r w:rsidRPr="00AF455E">
        <w:rPr>
          <w:rFonts w:ascii="Times New Roman" w:eastAsia="Calibri" w:hAnsi="Times New Roman" w:cs="Times New Roman"/>
          <w:i/>
          <w:sz w:val="24"/>
          <w:szCs w:val="24"/>
        </w:rPr>
        <w:t>Superannuation: Assessing Efficiency and Competitiveness</w:t>
      </w:r>
      <w:r w:rsidR="00AE5AA1" w:rsidRPr="00AF455E">
        <w:rPr>
          <w:rFonts w:ascii="Times New Roman" w:eastAsia="Calibri" w:hAnsi="Times New Roman" w:cs="Times New Roman"/>
          <w:i/>
          <w:sz w:val="24"/>
          <w:szCs w:val="24"/>
        </w:rPr>
        <w:t>,</w:t>
      </w:r>
      <w:r w:rsidRPr="00AF455E">
        <w:rPr>
          <w:rFonts w:ascii="Times New Roman" w:eastAsia="Calibri" w:hAnsi="Times New Roman" w:cs="Times New Roman"/>
          <w:sz w:val="24"/>
          <w:szCs w:val="24"/>
        </w:rPr>
        <w:t xml:space="preserve"> and further refined by APRA in its Heatmap analysis, available on the APRA website. The test will:</w:t>
      </w:r>
    </w:p>
    <w:p w14:paraId="1D39F9B6" w14:textId="77777777" w:rsidR="00F11482" w:rsidRPr="00AF455E" w:rsidRDefault="00F11482" w:rsidP="0052086E">
      <w:pPr>
        <w:pStyle w:val="Dotpoint"/>
        <w:rPr>
          <w:rFonts w:eastAsia="Calibri"/>
          <w:szCs w:val="24"/>
        </w:rPr>
      </w:pPr>
      <w:r w:rsidRPr="00AF455E">
        <w:rPr>
          <w:rFonts w:eastAsia="Calibri"/>
          <w:szCs w:val="24"/>
        </w:rPr>
        <w:t xml:space="preserve">allow the performance of products to be compared easily as the performance benchmark will be tailored to each product’s asset </w:t>
      </w:r>
      <w:proofErr w:type="gramStart"/>
      <w:r w:rsidRPr="00AF455E">
        <w:rPr>
          <w:rFonts w:eastAsia="Calibri"/>
          <w:szCs w:val="24"/>
        </w:rPr>
        <w:t>allocation;</w:t>
      </w:r>
      <w:proofErr w:type="gramEnd"/>
    </w:p>
    <w:p w14:paraId="542D84B2" w14:textId="77777777" w:rsidR="00F11482" w:rsidRPr="00AF455E" w:rsidRDefault="00F11482" w:rsidP="0052086E">
      <w:pPr>
        <w:pStyle w:val="Dotpoint"/>
        <w:rPr>
          <w:rFonts w:eastAsia="Calibri"/>
          <w:szCs w:val="24"/>
        </w:rPr>
      </w:pPr>
      <w:r w:rsidRPr="00AF455E">
        <w:rPr>
          <w:rFonts w:eastAsia="Calibri"/>
          <w:szCs w:val="24"/>
        </w:rPr>
        <w:t xml:space="preserve">be customised to individual products and continue to provide funds with flexibility in constructing their investment </w:t>
      </w:r>
      <w:proofErr w:type="gramStart"/>
      <w:r w:rsidRPr="00AF455E">
        <w:rPr>
          <w:rFonts w:eastAsia="Calibri"/>
          <w:szCs w:val="24"/>
        </w:rPr>
        <w:t>portfolio;</w:t>
      </w:r>
      <w:proofErr w:type="gramEnd"/>
    </w:p>
    <w:p w14:paraId="714888BD" w14:textId="77777777" w:rsidR="00F11482" w:rsidRPr="00AF455E" w:rsidRDefault="00F11482" w:rsidP="0052086E">
      <w:pPr>
        <w:pStyle w:val="Dotpoint"/>
        <w:rPr>
          <w:rFonts w:eastAsia="Calibri"/>
          <w:szCs w:val="24"/>
        </w:rPr>
      </w:pPr>
      <w:r w:rsidRPr="00AF455E">
        <w:rPr>
          <w:rFonts w:eastAsia="Calibri"/>
          <w:szCs w:val="24"/>
        </w:rPr>
        <w:t>assess actual performance, net of fees and taxes; and</w:t>
      </w:r>
    </w:p>
    <w:p w14:paraId="06B29FF8" w14:textId="16F081CC" w:rsidR="00F11482" w:rsidRPr="00AF455E" w:rsidRDefault="00F11482" w:rsidP="0052086E">
      <w:pPr>
        <w:pStyle w:val="Dotpoint"/>
        <w:rPr>
          <w:rFonts w:eastAsia="Calibri"/>
          <w:szCs w:val="24"/>
        </w:rPr>
      </w:pPr>
      <w:r w:rsidRPr="00AF455E">
        <w:rPr>
          <w:rFonts w:eastAsia="Calibri"/>
          <w:szCs w:val="24"/>
        </w:rPr>
        <w:t xml:space="preserve">be calculated over </w:t>
      </w:r>
      <w:proofErr w:type="gramStart"/>
      <w:r w:rsidRPr="00AF455E">
        <w:rPr>
          <w:rFonts w:eastAsia="Calibri"/>
          <w:szCs w:val="24"/>
        </w:rPr>
        <w:t>a time period</w:t>
      </w:r>
      <w:proofErr w:type="gramEnd"/>
      <w:r w:rsidRPr="00AF455E">
        <w:rPr>
          <w:rFonts w:eastAsia="Calibri"/>
          <w:szCs w:val="24"/>
        </w:rPr>
        <w:t xml:space="preserve"> that allows funds to target long-term returns, rather than having one </w:t>
      </w:r>
      <w:r w:rsidR="006B5E79" w:rsidRPr="00AF455E">
        <w:rPr>
          <w:rFonts w:eastAsia="Calibri"/>
          <w:szCs w:val="24"/>
        </w:rPr>
        <w:t xml:space="preserve">or two </w:t>
      </w:r>
      <w:r w:rsidRPr="00AF455E">
        <w:rPr>
          <w:rFonts w:eastAsia="Calibri"/>
          <w:szCs w:val="24"/>
        </w:rPr>
        <w:t>year</w:t>
      </w:r>
      <w:r w:rsidR="006B5E79" w:rsidRPr="00AF455E">
        <w:rPr>
          <w:rFonts w:eastAsia="Calibri"/>
          <w:szCs w:val="24"/>
        </w:rPr>
        <w:t>s</w:t>
      </w:r>
      <w:r w:rsidRPr="00AF455E">
        <w:rPr>
          <w:rFonts w:eastAsia="Calibri"/>
          <w:szCs w:val="24"/>
        </w:rPr>
        <w:t xml:space="preserve"> of poor performance result in a failure of the test. </w:t>
      </w:r>
    </w:p>
    <w:p w14:paraId="3E0C10E2" w14:textId="1078D19C" w:rsidR="00867CB9" w:rsidRPr="00AF455E" w:rsidRDefault="00610C5B"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consideration of administration fees is designed </w:t>
      </w:r>
      <w:r w:rsidR="00867CB9" w:rsidRPr="00AF455E">
        <w:rPr>
          <w:rFonts w:ascii="Times New Roman" w:eastAsia="Calibri" w:hAnsi="Times New Roman" w:cs="Times New Roman"/>
          <w:sz w:val="24"/>
          <w:szCs w:val="24"/>
        </w:rPr>
        <w:t xml:space="preserve">to ensure that the </w:t>
      </w:r>
      <w:r w:rsidR="00A462B2" w:rsidRPr="00AF455E">
        <w:rPr>
          <w:rFonts w:ascii="Times New Roman" w:eastAsia="Calibri" w:hAnsi="Times New Roman" w:cs="Times New Roman"/>
          <w:sz w:val="24"/>
          <w:szCs w:val="24"/>
        </w:rPr>
        <w:t xml:space="preserve">results of the </w:t>
      </w:r>
      <w:r w:rsidR="00867CB9" w:rsidRPr="00AF455E">
        <w:rPr>
          <w:rFonts w:ascii="Times New Roman" w:eastAsia="Calibri" w:hAnsi="Times New Roman" w:cs="Times New Roman"/>
          <w:sz w:val="24"/>
          <w:szCs w:val="24"/>
        </w:rPr>
        <w:t>performance test</w:t>
      </w:r>
      <w:r w:rsidR="00A462B2" w:rsidRPr="00AF455E">
        <w:rPr>
          <w:rFonts w:ascii="Times New Roman" w:eastAsia="Calibri" w:hAnsi="Times New Roman" w:cs="Times New Roman"/>
          <w:sz w:val="24"/>
          <w:szCs w:val="24"/>
        </w:rPr>
        <w:t xml:space="preserve"> are more reflective of the final outcomes for beneficiaries holding the product.</w:t>
      </w:r>
    </w:p>
    <w:p w14:paraId="705A1A2E" w14:textId="281DB960" w:rsidR="00A57D8A" w:rsidRPr="00AF455E" w:rsidRDefault="00D971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methodology </w:t>
      </w:r>
      <w:r w:rsidR="0005660A" w:rsidRPr="00AF455E">
        <w:rPr>
          <w:rFonts w:ascii="Times New Roman" w:eastAsia="Calibri" w:hAnsi="Times New Roman" w:cs="Times New Roman"/>
          <w:sz w:val="24"/>
          <w:szCs w:val="24"/>
        </w:rPr>
        <w:t>separat</w:t>
      </w:r>
      <w:r w:rsidR="003A76F9" w:rsidRPr="00AF455E">
        <w:rPr>
          <w:rFonts w:ascii="Times New Roman" w:eastAsia="Calibri" w:hAnsi="Times New Roman" w:cs="Times New Roman"/>
          <w:sz w:val="24"/>
          <w:szCs w:val="24"/>
        </w:rPr>
        <w:t>es</w:t>
      </w:r>
      <w:r w:rsidR="0005660A" w:rsidRPr="00AF455E">
        <w:rPr>
          <w:rFonts w:ascii="Times New Roman" w:eastAsia="Calibri" w:hAnsi="Times New Roman" w:cs="Times New Roman"/>
          <w:sz w:val="24"/>
          <w:szCs w:val="24"/>
        </w:rPr>
        <w:t xml:space="preserve"> </w:t>
      </w:r>
      <w:r w:rsidR="000E6971" w:rsidRPr="00AF455E">
        <w:rPr>
          <w:rFonts w:ascii="Times New Roman" w:eastAsia="Calibri" w:hAnsi="Times New Roman" w:cs="Times New Roman"/>
          <w:sz w:val="24"/>
          <w:szCs w:val="24"/>
        </w:rPr>
        <w:t>the infrastructure and property</w:t>
      </w:r>
      <w:r w:rsidR="003553C2" w:rsidRPr="00AF455E">
        <w:rPr>
          <w:rFonts w:ascii="Times New Roman" w:eastAsia="Calibri" w:hAnsi="Times New Roman" w:cs="Times New Roman"/>
          <w:sz w:val="24"/>
          <w:szCs w:val="24"/>
        </w:rPr>
        <w:t xml:space="preserve"> </w:t>
      </w:r>
      <w:r w:rsidRPr="00AF455E">
        <w:rPr>
          <w:rFonts w:ascii="Times New Roman" w:eastAsia="Calibri" w:hAnsi="Times New Roman" w:cs="Times New Roman"/>
          <w:sz w:val="24"/>
          <w:szCs w:val="24"/>
        </w:rPr>
        <w:t xml:space="preserve">asset classes </w:t>
      </w:r>
      <w:r w:rsidR="000E6971" w:rsidRPr="00AF455E">
        <w:rPr>
          <w:rFonts w:ascii="Times New Roman" w:eastAsia="Calibri" w:hAnsi="Times New Roman" w:cs="Times New Roman"/>
          <w:sz w:val="24"/>
          <w:szCs w:val="24"/>
        </w:rPr>
        <w:t xml:space="preserve">out </w:t>
      </w:r>
      <w:r w:rsidR="003553C2" w:rsidRPr="00AF455E">
        <w:rPr>
          <w:rFonts w:ascii="Times New Roman" w:eastAsia="Calibri" w:hAnsi="Times New Roman" w:cs="Times New Roman"/>
          <w:sz w:val="24"/>
          <w:szCs w:val="24"/>
        </w:rPr>
        <w:t>into unlisted and listed</w:t>
      </w:r>
      <w:r w:rsidR="0005660A" w:rsidRPr="00AF455E">
        <w:rPr>
          <w:rFonts w:ascii="Times New Roman" w:eastAsia="Calibri" w:hAnsi="Times New Roman" w:cs="Times New Roman"/>
          <w:sz w:val="24"/>
          <w:szCs w:val="24"/>
        </w:rPr>
        <w:t xml:space="preserve"> assets</w:t>
      </w:r>
      <w:r w:rsidRPr="00AF455E">
        <w:rPr>
          <w:rFonts w:ascii="Times New Roman" w:eastAsia="Calibri" w:hAnsi="Times New Roman" w:cs="Times New Roman"/>
          <w:sz w:val="24"/>
          <w:szCs w:val="24"/>
        </w:rPr>
        <w:t xml:space="preserve">. </w:t>
      </w:r>
      <w:r w:rsidR="001378E3" w:rsidRPr="00AF455E">
        <w:rPr>
          <w:rFonts w:ascii="Times New Roman" w:eastAsia="Calibri" w:hAnsi="Times New Roman" w:cs="Times New Roman"/>
          <w:sz w:val="24"/>
          <w:szCs w:val="24"/>
        </w:rPr>
        <w:t xml:space="preserve">Unlisted asset classes can represent a different risk-return profile to their listed counterparts. </w:t>
      </w:r>
    </w:p>
    <w:p w14:paraId="2342EEA6" w14:textId="2CAC0466"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There are different requirements for standard Part 6A products a</w:t>
      </w:r>
      <w:r w:rsidR="00195278" w:rsidRPr="00AF455E">
        <w:rPr>
          <w:rFonts w:ascii="Times New Roman" w:eastAsia="Calibri" w:hAnsi="Times New Roman" w:cs="Times New Roman"/>
          <w:sz w:val="24"/>
          <w:szCs w:val="24"/>
        </w:rPr>
        <w:t xml:space="preserve">nd lifecycle Part 6A products. </w:t>
      </w:r>
      <w:r w:rsidRPr="00AF455E">
        <w:rPr>
          <w:rFonts w:ascii="Times New Roman" w:eastAsia="Calibri" w:hAnsi="Times New Roman" w:cs="Times New Roman"/>
          <w:sz w:val="24"/>
          <w:szCs w:val="24"/>
        </w:rPr>
        <w:t>For the purposes of these amendments, a lifecycle Part 6A product is a Part</w:t>
      </w:r>
      <w:r w:rsidR="007E2065" w:rsidRPr="00AF455E">
        <w:rPr>
          <w:rFonts w:ascii="Times New Roman" w:eastAsia="Calibri" w:hAnsi="Times New Roman" w:cs="Times New Roman"/>
          <w:sz w:val="24"/>
          <w:szCs w:val="24"/>
        </w:rPr>
        <w:t> </w:t>
      </w:r>
      <w:r w:rsidRPr="00AF455E">
        <w:rPr>
          <w:rFonts w:ascii="Times New Roman" w:eastAsia="Calibri" w:hAnsi="Times New Roman" w:cs="Times New Roman"/>
          <w:sz w:val="24"/>
          <w:szCs w:val="24"/>
        </w:rPr>
        <w:t xml:space="preserve">6A product where the supporting investments are divided into </w:t>
      </w:r>
      <w:r w:rsidR="00775AFB" w:rsidRPr="00AF455E">
        <w:rPr>
          <w:rFonts w:ascii="Times New Roman" w:eastAsia="Calibri" w:hAnsi="Times New Roman" w:cs="Times New Roman"/>
          <w:sz w:val="24"/>
          <w:szCs w:val="24"/>
        </w:rPr>
        <w:t>categories</w:t>
      </w:r>
      <w:r w:rsidRPr="00AF455E">
        <w:rPr>
          <w:rFonts w:ascii="Times New Roman" w:eastAsia="Calibri" w:hAnsi="Times New Roman" w:cs="Times New Roman"/>
          <w:sz w:val="24"/>
          <w:szCs w:val="24"/>
        </w:rPr>
        <w:t xml:space="preserve"> that are referrable to a </w:t>
      </w:r>
      <w:proofErr w:type="spellStart"/>
      <w:r w:rsidRPr="00AF455E">
        <w:rPr>
          <w:rFonts w:ascii="Times New Roman" w:eastAsia="Calibri" w:hAnsi="Times New Roman" w:cs="Times New Roman"/>
          <w:sz w:val="24"/>
          <w:szCs w:val="24"/>
        </w:rPr>
        <w:t>lifestage</w:t>
      </w:r>
      <w:proofErr w:type="spellEnd"/>
      <w:r w:rsidRPr="00AF455E">
        <w:rPr>
          <w:rFonts w:ascii="Times New Roman" w:eastAsia="Calibri" w:hAnsi="Times New Roman" w:cs="Times New Roman"/>
          <w:sz w:val="24"/>
          <w:szCs w:val="24"/>
        </w:rPr>
        <w:t xml:space="preserve">. A standard Part 6A product is a Part 6A product that is not a lifecycle Part 6A product. </w:t>
      </w:r>
    </w:p>
    <w:p w14:paraId="47713E8A" w14:textId="77777777" w:rsidR="00396A46" w:rsidRPr="00AF455E" w:rsidRDefault="001D7F92" w:rsidP="002560AD">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In some cases, a product may have changed character in its lookback period (from a lifecycle Part 6A product to a standard Part 6A product or vice versa). In such a case, the amendments ensure the set of lifecycle formulas apply for the product for the product’s entire lookback period. That is, if a product has been a lifecycle Part 6A product at any time in its lookback period, it will be in the lifecycle Part 6A product class. </w:t>
      </w:r>
    </w:p>
    <w:p w14:paraId="33CE7322" w14:textId="17AE403C" w:rsidR="002560AD" w:rsidRPr="00AF455E" w:rsidRDefault="002560AD" w:rsidP="002560AD">
      <w:pPr>
        <w:widowControl w:val="0"/>
        <w:adjustRightInd w:val="0"/>
        <w:jc w:val="both"/>
        <w:textAlignment w:val="baseline"/>
        <w:rPr>
          <w:rFonts w:ascii="Times New Roman" w:eastAsia="Calibri" w:hAnsi="Times New Roman" w:cs="Times New Roman"/>
          <w:sz w:val="24"/>
          <w:szCs w:val="24"/>
        </w:rPr>
      </w:pPr>
      <w:proofErr w:type="gramStart"/>
      <w:r w:rsidRPr="00AF455E">
        <w:rPr>
          <w:rFonts w:ascii="Times New Roman" w:eastAsia="Calibri" w:hAnsi="Times New Roman" w:cs="Times New Roman"/>
          <w:sz w:val="24"/>
          <w:szCs w:val="24"/>
        </w:rPr>
        <w:t>In order to</w:t>
      </w:r>
      <w:proofErr w:type="gramEnd"/>
      <w:r w:rsidRPr="00AF455E">
        <w:rPr>
          <w:rFonts w:ascii="Times New Roman" w:eastAsia="Calibri" w:hAnsi="Times New Roman" w:cs="Times New Roman"/>
          <w:sz w:val="24"/>
          <w:szCs w:val="24"/>
        </w:rPr>
        <w:t xml:space="preserve"> ensure the lifecycle formula work</w:t>
      </w:r>
      <w:r w:rsidR="00325DE0" w:rsidRPr="00AF455E">
        <w:rPr>
          <w:rFonts w:ascii="Times New Roman" w:eastAsia="Calibri" w:hAnsi="Times New Roman" w:cs="Times New Roman"/>
          <w:sz w:val="24"/>
          <w:szCs w:val="24"/>
        </w:rPr>
        <w:t>s</w:t>
      </w:r>
      <w:r w:rsidRPr="00AF455E">
        <w:rPr>
          <w:rFonts w:ascii="Times New Roman" w:eastAsia="Calibri" w:hAnsi="Times New Roman" w:cs="Times New Roman"/>
          <w:sz w:val="24"/>
          <w:szCs w:val="24"/>
        </w:rPr>
        <w:t xml:space="preserve"> as intended for a product that has changed character, for certain quarters, the product will be treated as having one </w:t>
      </w:r>
      <w:proofErr w:type="spellStart"/>
      <w:r w:rsidRPr="00AF455E">
        <w:rPr>
          <w:rFonts w:ascii="Times New Roman" w:eastAsia="Calibri" w:hAnsi="Times New Roman" w:cs="Times New Roman"/>
          <w:sz w:val="24"/>
          <w:szCs w:val="24"/>
        </w:rPr>
        <w:t>lifestage</w:t>
      </w:r>
      <w:proofErr w:type="spellEnd"/>
      <w:r w:rsidRPr="00AF455E">
        <w:rPr>
          <w:rFonts w:ascii="Times New Roman" w:eastAsia="Calibri" w:hAnsi="Times New Roman" w:cs="Times New Roman"/>
          <w:sz w:val="24"/>
          <w:szCs w:val="24"/>
        </w:rPr>
        <w:t>.</w:t>
      </w:r>
      <w:r w:rsidR="003915B3" w:rsidRPr="00AF455E">
        <w:rPr>
          <w:rFonts w:ascii="Times New Roman" w:eastAsia="Calibri" w:hAnsi="Times New Roman" w:cs="Times New Roman"/>
          <w:sz w:val="24"/>
          <w:szCs w:val="24"/>
        </w:rPr>
        <w:t xml:space="preserve"> </w:t>
      </w:r>
      <w:r w:rsidR="00396A46" w:rsidRPr="00AF455E">
        <w:rPr>
          <w:rFonts w:ascii="Times New Roman" w:eastAsia="Calibri" w:hAnsi="Times New Roman" w:cs="Times New Roman"/>
          <w:sz w:val="24"/>
          <w:szCs w:val="24"/>
        </w:rPr>
        <w:t>See below for further information.</w:t>
      </w:r>
    </w:p>
    <w:p w14:paraId="3BFA1388" w14:textId="1A38FC02" w:rsidR="000C0F97" w:rsidRPr="00AF455E" w:rsidRDefault="000C0F97" w:rsidP="000C0F97">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For all classes of Part 6A product (standard and lifecycle), the annual performance test is passed for a product if </w:t>
      </w:r>
      <w:r w:rsidR="003F04E9" w:rsidRPr="00AF455E">
        <w:rPr>
          <w:rFonts w:ascii="Times New Roman" w:eastAsia="Calibri" w:hAnsi="Times New Roman" w:cs="Times New Roman"/>
          <w:sz w:val="24"/>
          <w:szCs w:val="24"/>
        </w:rPr>
        <w:t xml:space="preserve">the product’s </w:t>
      </w:r>
      <w:r w:rsidRPr="00AF455E">
        <w:rPr>
          <w:rFonts w:ascii="Times New Roman" w:eastAsia="Calibri" w:hAnsi="Times New Roman" w:cs="Times New Roman"/>
          <w:sz w:val="24"/>
          <w:szCs w:val="24"/>
        </w:rPr>
        <w:t>‘actual</w:t>
      </w:r>
      <w:r w:rsidRPr="00AF455E" w:rsidDel="00A07748">
        <w:rPr>
          <w:rFonts w:ascii="Times New Roman" w:eastAsia="Calibri" w:hAnsi="Times New Roman" w:cs="Times New Roman"/>
          <w:sz w:val="24"/>
          <w:szCs w:val="24"/>
        </w:rPr>
        <w:t xml:space="preserve"> </w:t>
      </w:r>
      <w:r w:rsidRPr="00AF455E">
        <w:rPr>
          <w:rFonts w:ascii="Times New Roman" w:eastAsia="Calibri" w:hAnsi="Times New Roman" w:cs="Times New Roman"/>
          <w:sz w:val="24"/>
          <w:szCs w:val="24"/>
        </w:rPr>
        <w:t xml:space="preserve">return’ minus </w:t>
      </w:r>
      <w:r w:rsidR="003F04E9" w:rsidRPr="00AF455E">
        <w:rPr>
          <w:rFonts w:ascii="Times New Roman" w:eastAsia="Calibri" w:hAnsi="Times New Roman" w:cs="Times New Roman"/>
          <w:sz w:val="24"/>
          <w:szCs w:val="24"/>
        </w:rPr>
        <w:t xml:space="preserve">its </w:t>
      </w:r>
      <w:r w:rsidRPr="00AF455E">
        <w:rPr>
          <w:rFonts w:ascii="Times New Roman" w:eastAsia="Calibri" w:hAnsi="Times New Roman" w:cs="Times New Roman"/>
          <w:sz w:val="24"/>
          <w:szCs w:val="24"/>
        </w:rPr>
        <w:t>‘benchmark return’</w:t>
      </w:r>
      <w:r w:rsidR="00D27EC4" w:rsidRPr="00AF455E">
        <w:rPr>
          <w:rFonts w:ascii="Times New Roman" w:eastAsia="Calibri" w:hAnsi="Times New Roman" w:cs="Times New Roman"/>
          <w:sz w:val="24"/>
          <w:szCs w:val="24"/>
        </w:rPr>
        <w:t>, plus</w:t>
      </w:r>
      <w:r w:rsidR="00A661D7" w:rsidRPr="00AF455E">
        <w:rPr>
          <w:rFonts w:ascii="Times New Roman" w:eastAsia="Calibri" w:hAnsi="Times New Roman" w:cs="Times New Roman"/>
          <w:sz w:val="24"/>
          <w:szCs w:val="24"/>
        </w:rPr>
        <w:t>,</w:t>
      </w:r>
      <w:r w:rsidR="00D27EC4" w:rsidRPr="00AF455E">
        <w:rPr>
          <w:rFonts w:ascii="Times New Roman" w:eastAsia="Calibri" w:hAnsi="Times New Roman" w:cs="Times New Roman"/>
          <w:sz w:val="24"/>
          <w:szCs w:val="24"/>
        </w:rPr>
        <w:t xml:space="preserve"> its </w:t>
      </w:r>
      <w:r w:rsidR="00A661D7" w:rsidRPr="00AF455E">
        <w:rPr>
          <w:rFonts w:ascii="Times New Roman" w:eastAsia="Calibri" w:hAnsi="Times New Roman" w:cs="Times New Roman"/>
          <w:sz w:val="24"/>
          <w:szCs w:val="24"/>
        </w:rPr>
        <w:t>‘</w:t>
      </w:r>
      <w:r w:rsidR="00D27EC4" w:rsidRPr="00AF455E">
        <w:rPr>
          <w:rFonts w:ascii="Times New Roman" w:eastAsia="Calibri" w:hAnsi="Times New Roman" w:cs="Times New Roman"/>
          <w:sz w:val="24"/>
          <w:szCs w:val="24"/>
        </w:rPr>
        <w:t xml:space="preserve">benchmark </w:t>
      </w:r>
      <w:r w:rsidR="000118EE" w:rsidRPr="00AF455E">
        <w:rPr>
          <w:rFonts w:ascii="Times New Roman" w:eastAsia="Calibri" w:hAnsi="Times New Roman" w:cs="Times New Roman"/>
          <w:sz w:val="24"/>
          <w:szCs w:val="24"/>
        </w:rPr>
        <w:t>representative administration fees and expenses (</w:t>
      </w:r>
      <w:r w:rsidR="00967CDC" w:rsidRPr="00AF455E">
        <w:rPr>
          <w:rFonts w:ascii="Times New Roman" w:eastAsia="Calibri" w:hAnsi="Times New Roman" w:cs="Times New Roman"/>
          <w:sz w:val="24"/>
          <w:szCs w:val="24"/>
        </w:rPr>
        <w:t xml:space="preserve">or benchmark </w:t>
      </w:r>
      <w:r w:rsidR="00D27EC4" w:rsidRPr="00AF455E">
        <w:rPr>
          <w:rFonts w:ascii="Times New Roman" w:eastAsia="Calibri" w:hAnsi="Times New Roman" w:cs="Times New Roman"/>
          <w:sz w:val="24"/>
          <w:szCs w:val="24"/>
        </w:rPr>
        <w:lastRenderedPageBreak/>
        <w:t>RAFE</w:t>
      </w:r>
      <w:r w:rsidR="000118EE" w:rsidRPr="00AF455E">
        <w:rPr>
          <w:rFonts w:ascii="Times New Roman" w:eastAsia="Calibri" w:hAnsi="Times New Roman" w:cs="Times New Roman"/>
          <w:sz w:val="24"/>
          <w:szCs w:val="24"/>
        </w:rPr>
        <w:t>)</w:t>
      </w:r>
      <w:r w:rsidR="00A661D7" w:rsidRPr="00AF455E">
        <w:rPr>
          <w:rFonts w:ascii="Times New Roman" w:eastAsia="Calibri" w:hAnsi="Times New Roman" w:cs="Times New Roman"/>
          <w:sz w:val="24"/>
          <w:szCs w:val="24"/>
        </w:rPr>
        <w:t>’ minus its actual</w:t>
      </w:r>
      <w:r w:rsidR="00967CDC" w:rsidRPr="00AF455E">
        <w:rPr>
          <w:rFonts w:ascii="Times New Roman" w:eastAsia="Calibri" w:hAnsi="Times New Roman" w:cs="Times New Roman"/>
          <w:sz w:val="24"/>
          <w:szCs w:val="24"/>
        </w:rPr>
        <w:t xml:space="preserve"> administration fees and expenses (or actual</w:t>
      </w:r>
      <w:r w:rsidR="00A661D7" w:rsidRPr="00AF455E">
        <w:rPr>
          <w:rFonts w:ascii="Times New Roman" w:eastAsia="Calibri" w:hAnsi="Times New Roman" w:cs="Times New Roman"/>
          <w:sz w:val="24"/>
          <w:szCs w:val="24"/>
        </w:rPr>
        <w:t xml:space="preserve"> RAFE</w:t>
      </w:r>
      <w:r w:rsidR="00967CDC" w:rsidRPr="00AF455E">
        <w:rPr>
          <w:rFonts w:ascii="Times New Roman" w:eastAsia="Calibri" w:hAnsi="Times New Roman" w:cs="Times New Roman"/>
          <w:sz w:val="24"/>
          <w:szCs w:val="24"/>
        </w:rPr>
        <w:t>)</w:t>
      </w:r>
      <w:r w:rsidR="00A661D7" w:rsidRPr="00AF455E">
        <w:rPr>
          <w:rFonts w:ascii="Times New Roman" w:eastAsia="Calibri" w:hAnsi="Times New Roman" w:cs="Times New Roman"/>
          <w:sz w:val="24"/>
          <w:szCs w:val="24"/>
        </w:rPr>
        <w:t>’</w:t>
      </w:r>
      <w:r w:rsidR="00967CDC" w:rsidRPr="00AF455E">
        <w:rPr>
          <w:rFonts w:ascii="Times New Roman" w:eastAsia="Calibri" w:hAnsi="Times New Roman" w:cs="Times New Roman"/>
          <w:sz w:val="24"/>
          <w:szCs w:val="24"/>
        </w:rPr>
        <w:t>,</w:t>
      </w:r>
      <w:r w:rsidRPr="00AF455E">
        <w:rPr>
          <w:rFonts w:ascii="Times New Roman" w:eastAsia="Calibri" w:hAnsi="Times New Roman" w:cs="Times New Roman"/>
          <w:sz w:val="24"/>
          <w:szCs w:val="24"/>
        </w:rPr>
        <w:t xml:space="preserve"> </w:t>
      </w:r>
      <w:r w:rsidR="00F35032" w:rsidRPr="00AF455E">
        <w:rPr>
          <w:rFonts w:ascii="Times New Roman" w:eastAsia="Calibri" w:hAnsi="Times New Roman" w:cs="Times New Roman"/>
          <w:sz w:val="24"/>
          <w:szCs w:val="24"/>
        </w:rPr>
        <w:t>(termed the product’s ‘performance measure’)</w:t>
      </w:r>
      <w:r w:rsidR="00967CDC" w:rsidRPr="00AF455E">
        <w:rPr>
          <w:rFonts w:ascii="Times New Roman" w:eastAsia="Calibri" w:hAnsi="Times New Roman" w:cs="Times New Roman"/>
          <w:sz w:val="24"/>
          <w:szCs w:val="24"/>
        </w:rPr>
        <w:t>,</w:t>
      </w:r>
      <w:r w:rsidR="00F35032" w:rsidRPr="00AF455E">
        <w:rPr>
          <w:rFonts w:ascii="Times New Roman" w:eastAsia="Calibri" w:hAnsi="Times New Roman" w:cs="Times New Roman"/>
          <w:sz w:val="24"/>
          <w:szCs w:val="24"/>
        </w:rPr>
        <w:t xml:space="preserve"> </w:t>
      </w:r>
      <w:r w:rsidRPr="00AF455E">
        <w:rPr>
          <w:rFonts w:ascii="Times New Roman" w:eastAsia="Calibri" w:hAnsi="Times New Roman" w:cs="Times New Roman"/>
          <w:sz w:val="24"/>
          <w:szCs w:val="24"/>
        </w:rPr>
        <w:t>is greater than or equal to -0.005</w:t>
      </w:r>
      <w:r w:rsidR="00AD71FE" w:rsidRPr="00AF455E">
        <w:rPr>
          <w:rFonts w:ascii="Times New Roman" w:eastAsia="Calibri" w:hAnsi="Times New Roman" w:cs="Times New Roman"/>
          <w:sz w:val="24"/>
          <w:szCs w:val="24"/>
        </w:rPr>
        <w:t xml:space="preserve"> (which is equivalent to -0.5 percentage points)</w:t>
      </w:r>
      <w:r w:rsidRPr="00AF455E">
        <w:rPr>
          <w:rFonts w:ascii="Times New Roman" w:eastAsia="Calibri" w:hAnsi="Times New Roman" w:cs="Times New Roman"/>
          <w:sz w:val="24"/>
          <w:szCs w:val="24"/>
        </w:rPr>
        <w:t>.</w:t>
      </w:r>
      <w:r w:rsidR="006A494F" w:rsidRPr="00AF455E">
        <w:rPr>
          <w:rFonts w:ascii="Times New Roman" w:eastAsia="Calibri" w:hAnsi="Times New Roman" w:cs="Times New Roman"/>
          <w:sz w:val="24"/>
          <w:szCs w:val="24"/>
        </w:rPr>
        <w:t xml:space="preserve"> </w:t>
      </w:r>
    </w:p>
    <w:p w14:paraId="1EF0DA74" w14:textId="42876676" w:rsidR="006903D4" w:rsidRPr="00AF455E" w:rsidRDefault="006903D4" w:rsidP="006903D4">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A product’s ‘actual return’ involves capturing the annualised net investment returns </w:t>
      </w:r>
      <w:proofErr w:type="gramStart"/>
      <w:r w:rsidRPr="00AF455E">
        <w:rPr>
          <w:rFonts w:ascii="Times New Roman" w:eastAsia="Calibri" w:hAnsi="Times New Roman" w:cs="Times New Roman"/>
          <w:sz w:val="24"/>
          <w:szCs w:val="24"/>
        </w:rPr>
        <w:t>actually achieved</w:t>
      </w:r>
      <w:proofErr w:type="gramEnd"/>
      <w:r w:rsidRPr="00AF455E">
        <w:rPr>
          <w:rFonts w:ascii="Times New Roman" w:eastAsia="Calibri" w:hAnsi="Times New Roman" w:cs="Times New Roman"/>
          <w:sz w:val="24"/>
          <w:szCs w:val="24"/>
        </w:rPr>
        <w:t xml:space="preserve"> by a product (over a certain performance period, termed the ‘lookback period’). </w:t>
      </w:r>
    </w:p>
    <w:p w14:paraId="18F9534F" w14:textId="78B06F19" w:rsidR="006903D4" w:rsidRPr="00AF455E" w:rsidRDefault="006903D4" w:rsidP="006903D4">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A product’s ‘benchmark return’ involves the construction of an annualised benchmark net investment return that has been tailored for each product (and constructed over the same lookback period). </w:t>
      </w:r>
    </w:p>
    <w:p w14:paraId="2EBDE5D9" w14:textId="54B63491" w:rsidR="006903D4" w:rsidRPr="00AF455E" w:rsidRDefault="00263ADD" w:rsidP="004D5E79">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A product’s ‘actual RAFE’ are the actual administration fees charged in the most recent financial year (as charged on a $50,000 balance)</w:t>
      </w:r>
      <w:r w:rsidR="00143B03" w:rsidRPr="00AF455E">
        <w:rPr>
          <w:rFonts w:ascii="Times New Roman" w:eastAsia="Calibri" w:hAnsi="Times New Roman" w:cs="Times New Roman"/>
          <w:sz w:val="24"/>
          <w:szCs w:val="24"/>
        </w:rPr>
        <w:t xml:space="preserve">. </w:t>
      </w:r>
      <w:r w:rsidR="00AE14AF" w:rsidRPr="00AF455E">
        <w:rPr>
          <w:rFonts w:ascii="Times New Roman" w:eastAsia="Calibri" w:hAnsi="Times New Roman" w:cs="Times New Roman"/>
          <w:sz w:val="24"/>
          <w:szCs w:val="24"/>
        </w:rPr>
        <w:t>‘Benchmark RAFE’ is the median administration fee (as charged on a $50,000 balance) across a certain category of products for the most recent financial year</w:t>
      </w:r>
      <w:r w:rsidR="00143B03" w:rsidRPr="00AF455E">
        <w:rPr>
          <w:rFonts w:ascii="Times New Roman" w:eastAsia="Calibri" w:hAnsi="Times New Roman" w:cs="Times New Roman"/>
          <w:sz w:val="24"/>
          <w:szCs w:val="24"/>
        </w:rPr>
        <w:t xml:space="preserve">. </w:t>
      </w:r>
      <w:r w:rsidR="006903D4" w:rsidRPr="00AF455E">
        <w:rPr>
          <w:rFonts w:ascii="Times New Roman" w:eastAsia="Calibri" w:hAnsi="Times New Roman" w:cs="Times New Roman"/>
          <w:sz w:val="24"/>
          <w:szCs w:val="24"/>
        </w:rPr>
        <w:t xml:space="preserve">This approach accounts for the current administration fees, which provides funds with a meaningful and timely avenue towards improving their test result. </w:t>
      </w:r>
    </w:p>
    <w:p w14:paraId="43A2079F" w14:textId="248F7666" w:rsidR="00E844D1" w:rsidRPr="00AF455E" w:rsidRDefault="00FA6811" w:rsidP="004D5E79">
      <w:pPr>
        <w:widowControl w:val="0"/>
        <w:adjustRightInd w:val="0"/>
        <w:jc w:val="both"/>
        <w:textAlignment w:val="baseline"/>
        <w:rPr>
          <w:rFonts w:ascii="Times New Roman" w:eastAsia="Calibri" w:hAnsi="Times New Roman" w:cs="Times New Roman"/>
          <w:sz w:val="24"/>
          <w:szCs w:val="24"/>
        </w:rPr>
      </w:pPr>
      <w:proofErr w:type="gramStart"/>
      <w:r w:rsidRPr="00AF455E">
        <w:rPr>
          <w:rFonts w:ascii="Times New Roman" w:eastAsia="Calibri" w:hAnsi="Times New Roman" w:cs="Times New Roman"/>
          <w:sz w:val="24"/>
          <w:szCs w:val="24"/>
        </w:rPr>
        <w:t>In order to</w:t>
      </w:r>
      <w:proofErr w:type="gramEnd"/>
      <w:r w:rsidRPr="00AF455E">
        <w:rPr>
          <w:rFonts w:ascii="Times New Roman" w:eastAsia="Calibri" w:hAnsi="Times New Roman" w:cs="Times New Roman"/>
          <w:sz w:val="24"/>
          <w:szCs w:val="24"/>
        </w:rPr>
        <w:t xml:space="preserve"> provide certainty and consistency, these amendments provide for rounding rules that apply for </w:t>
      </w:r>
      <w:r w:rsidR="00F07487" w:rsidRPr="00AF455E">
        <w:rPr>
          <w:rFonts w:ascii="Times New Roman" w:eastAsia="Calibri" w:hAnsi="Times New Roman" w:cs="Times New Roman"/>
          <w:sz w:val="24"/>
          <w:szCs w:val="24"/>
        </w:rPr>
        <w:t>certain</w:t>
      </w:r>
      <w:r w:rsidRPr="00AF455E">
        <w:rPr>
          <w:rFonts w:ascii="Times New Roman" w:eastAsia="Calibri" w:hAnsi="Times New Roman" w:cs="Times New Roman"/>
          <w:sz w:val="24"/>
          <w:szCs w:val="24"/>
        </w:rPr>
        <w:t xml:space="preserve"> calculations used in the performance test. </w:t>
      </w:r>
      <w:r w:rsidR="00D00271" w:rsidRPr="00AF455E">
        <w:rPr>
          <w:rFonts w:ascii="Times New Roman" w:eastAsia="Calibri" w:hAnsi="Times New Roman" w:cs="Times New Roman"/>
          <w:sz w:val="24"/>
          <w:szCs w:val="24"/>
        </w:rPr>
        <w:t>For certain</w:t>
      </w:r>
      <w:r w:rsidR="00F07487" w:rsidRPr="00AF455E">
        <w:rPr>
          <w:rFonts w:ascii="Times New Roman" w:eastAsia="Calibri" w:hAnsi="Times New Roman" w:cs="Times New Roman"/>
          <w:sz w:val="24"/>
          <w:szCs w:val="24"/>
        </w:rPr>
        <w:t xml:space="preserve"> </w:t>
      </w:r>
      <w:r w:rsidR="004D5E79" w:rsidRPr="00AF455E">
        <w:rPr>
          <w:rFonts w:ascii="Times New Roman" w:eastAsia="Calibri" w:hAnsi="Times New Roman" w:cs="Times New Roman"/>
          <w:sz w:val="24"/>
          <w:szCs w:val="24"/>
        </w:rPr>
        <w:t>calculation output that is 5 or more decimal places</w:t>
      </w:r>
      <w:r w:rsidR="00D00271" w:rsidRPr="00AF455E">
        <w:rPr>
          <w:rFonts w:ascii="Times New Roman" w:eastAsia="Calibri" w:hAnsi="Times New Roman" w:cs="Times New Roman"/>
          <w:sz w:val="24"/>
          <w:szCs w:val="24"/>
        </w:rPr>
        <w:t>, the output</w:t>
      </w:r>
      <w:r w:rsidR="004D5E79" w:rsidRPr="00AF455E">
        <w:rPr>
          <w:rFonts w:ascii="Times New Roman" w:eastAsia="Calibri" w:hAnsi="Times New Roman" w:cs="Times New Roman"/>
          <w:sz w:val="24"/>
          <w:szCs w:val="24"/>
        </w:rPr>
        <w:t xml:space="preserve"> should be rounded to 4</w:t>
      </w:r>
      <w:r w:rsidR="00BB2347" w:rsidRPr="00AF455E">
        <w:rPr>
          <w:rFonts w:ascii="Times New Roman" w:eastAsia="Calibri" w:hAnsi="Times New Roman" w:cs="Times New Roman"/>
          <w:sz w:val="24"/>
          <w:szCs w:val="24"/>
        </w:rPr>
        <w:t> </w:t>
      </w:r>
      <w:r w:rsidR="004D5E79" w:rsidRPr="00AF455E">
        <w:rPr>
          <w:rFonts w:ascii="Times New Roman" w:eastAsia="Calibri" w:hAnsi="Times New Roman" w:cs="Times New Roman"/>
          <w:sz w:val="24"/>
          <w:szCs w:val="24"/>
        </w:rPr>
        <w:t>decimal places. This should be done by rounding up if the 5th decimal place is a 5 or higher, or down if the 5th decimal place is a 4 or lower.</w:t>
      </w:r>
      <w:r w:rsidR="00843D03" w:rsidRPr="00AF455E">
        <w:rPr>
          <w:rFonts w:ascii="Times New Roman" w:eastAsia="Calibri" w:hAnsi="Times New Roman" w:cs="Times New Roman"/>
          <w:sz w:val="24"/>
          <w:szCs w:val="24"/>
        </w:rPr>
        <w:t xml:space="preserve"> </w:t>
      </w:r>
      <w:r w:rsidR="004F1167" w:rsidRPr="00AF455E">
        <w:rPr>
          <w:rFonts w:ascii="Times New Roman" w:eastAsia="Calibri" w:hAnsi="Times New Roman" w:cs="Times New Roman"/>
          <w:sz w:val="24"/>
          <w:szCs w:val="24"/>
        </w:rPr>
        <w:t>W</w:t>
      </w:r>
      <w:r w:rsidR="00843D03" w:rsidRPr="00AF455E">
        <w:rPr>
          <w:rFonts w:ascii="Times New Roman" w:eastAsia="Calibri" w:hAnsi="Times New Roman" w:cs="Times New Roman"/>
          <w:sz w:val="24"/>
          <w:szCs w:val="24"/>
        </w:rPr>
        <w:t xml:space="preserve">here </w:t>
      </w:r>
      <w:r w:rsidR="001302CC" w:rsidRPr="00AF455E">
        <w:rPr>
          <w:rFonts w:ascii="Times New Roman" w:eastAsia="Calibri" w:hAnsi="Times New Roman" w:cs="Times New Roman"/>
          <w:sz w:val="24"/>
          <w:szCs w:val="24"/>
        </w:rPr>
        <w:t xml:space="preserve">calculation output </w:t>
      </w:r>
      <w:r w:rsidR="00843D03" w:rsidRPr="00AF455E">
        <w:rPr>
          <w:rFonts w:ascii="Times New Roman" w:eastAsia="Calibri" w:hAnsi="Times New Roman" w:cs="Times New Roman"/>
          <w:sz w:val="24"/>
          <w:szCs w:val="24"/>
        </w:rPr>
        <w:t xml:space="preserve">is </w:t>
      </w:r>
      <w:r w:rsidR="00443BC7" w:rsidRPr="00AF455E">
        <w:rPr>
          <w:rFonts w:ascii="Times New Roman" w:eastAsia="Calibri" w:hAnsi="Times New Roman" w:cs="Times New Roman"/>
          <w:sz w:val="24"/>
          <w:szCs w:val="24"/>
        </w:rPr>
        <w:t>4</w:t>
      </w:r>
      <w:r w:rsidR="00BB2347" w:rsidRPr="00AF455E">
        <w:rPr>
          <w:rFonts w:ascii="Times New Roman" w:eastAsia="Calibri" w:hAnsi="Times New Roman" w:cs="Times New Roman"/>
          <w:sz w:val="24"/>
          <w:szCs w:val="24"/>
        </w:rPr>
        <w:t> </w:t>
      </w:r>
      <w:r w:rsidR="001302CC" w:rsidRPr="00AF455E">
        <w:rPr>
          <w:rFonts w:ascii="Times New Roman" w:eastAsia="Calibri" w:hAnsi="Times New Roman" w:cs="Times New Roman"/>
          <w:sz w:val="24"/>
          <w:szCs w:val="24"/>
        </w:rPr>
        <w:t>decimal places</w:t>
      </w:r>
      <w:r w:rsidR="00443BC7" w:rsidRPr="00AF455E">
        <w:rPr>
          <w:rFonts w:ascii="Times New Roman" w:eastAsia="Calibri" w:hAnsi="Times New Roman" w:cs="Times New Roman"/>
          <w:sz w:val="24"/>
          <w:szCs w:val="24"/>
        </w:rPr>
        <w:t xml:space="preserve"> or lower</w:t>
      </w:r>
      <w:r w:rsidR="001302CC" w:rsidRPr="00AF455E">
        <w:rPr>
          <w:rFonts w:ascii="Times New Roman" w:eastAsia="Calibri" w:hAnsi="Times New Roman" w:cs="Times New Roman"/>
          <w:sz w:val="24"/>
          <w:szCs w:val="24"/>
        </w:rPr>
        <w:t xml:space="preserve">, </w:t>
      </w:r>
      <w:r w:rsidR="004F1167" w:rsidRPr="00AF455E">
        <w:rPr>
          <w:rFonts w:ascii="Times New Roman" w:eastAsia="Calibri" w:hAnsi="Times New Roman" w:cs="Times New Roman"/>
          <w:sz w:val="24"/>
          <w:szCs w:val="24"/>
        </w:rPr>
        <w:t xml:space="preserve">generally </w:t>
      </w:r>
      <w:r w:rsidR="001302CC" w:rsidRPr="00AF455E">
        <w:rPr>
          <w:rFonts w:ascii="Times New Roman" w:eastAsia="Calibri" w:hAnsi="Times New Roman" w:cs="Times New Roman"/>
          <w:sz w:val="24"/>
          <w:szCs w:val="24"/>
        </w:rPr>
        <w:t xml:space="preserve">the rounding rules do not </w:t>
      </w:r>
      <w:proofErr w:type="gramStart"/>
      <w:r w:rsidR="001302CC" w:rsidRPr="00AF455E">
        <w:rPr>
          <w:rFonts w:ascii="Times New Roman" w:eastAsia="Calibri" w:hAnsi="Times New Roman" w:cs="Times New Roman"/>
          <w:sz w:val="24"/>
          <w:szCs w:val="24"/>
        </w:rPr>
        <w:t>apply</w:t>
      </w:r>
      <w:proofErr w:type="gramEnd"/>
      <w:r w:rsidR="001302CC" w:rsidRPr="00AF455E">
        <w:rPr>
          <w:rFonts w:ascii="Times New Roman" w:eastAsia="Calibri" w:hAnsi="Times New Roman" w:cs="Times New Roman"/>
          <w:sz w:val="24"/>
          <w:szCs w:val="24"/>
        </w:rPr>
        <w:t xml:space="preserve"> and the value should be inputted into the formula in full.</w:t>
      </w:r>
      <w:r w:rsidR="004F1167" w:rsidRPr="00AF455E">
        <w:rPr>
          <w:rFonts w:ascii="Times New Roman" w:eastAsia="Calibri" w:hAnsi="Times New Roman" w:cs="Times New Roman"/>
          <w:sz w:val="24"/>
          <w:szCs w:val="24"/>
        </w:rPr>
        <w:t xml:space="preserve"> </w:t>
      </w:r>
      <w:r w:rsidR="00E844D1" w:rsidRPr="00AF455E">
        <w:rPr>
          <w:rFonts w:ascii="Times New Roman" w:eastAsia="Calibri" w:hAnsi="Times New Roman" w:cs="Times New Roman"/>
          <w:sz w:val="24"/>
          <w:szCs w:val="24"/>
        </w:rPr>
        <w:t xml:space="preserve">There </w:t>
      </w:r>
      <w:r w:rsidR="00D00271" w:rsidRPr="00AF455E">
        <w:rPr>
          <w:rFonts w:ascii="Times New Roman" w:eastAsia="Calibri" w:hAnsi="Times New Roman" w:cs="Times New Roman"/>
          <w:sz w:val="24"/>
          <w:szCs w:val="24"/>
        </w:rPr>
        <w:t>i</w:t>
      </w:r>
      <w:r w:rsidR="004F1167" w:rsidRPr="00AF455E">
        <w:rPr>
          <w:rFonts w:ascii="Times New Roman" w:eastAsia="Calibri" w:hAnsi="Times New Roman" w:cs="Times New Roman"/>
          <w:sz w:val="24"/>
          <w:szCs w:val="24"/>
        </w:rPr>
        <w:t xml:space="preserve">s </w:t>
      </w:r>
      <w:r w:rsidR="005D3222" w:rsidRPr="00AF455E">
        <w:rPr>
          <w:rFonts w:ascii="Times New Roman" w:eastAsia="Calibri" w:hAnsi="Times New Roman" w:cs="Times New Roman"/>
          <w:sz w:val="24"/>
          <w:szCs w:val="24"/>
        </w:rPr>
        <w:t>a</w:t>
      </w:r>
      <w:r w:rsidR="00D00271" w:rsidRPr="00AF455E">
        <w:rPr>
          <w:rFonts w:ascii="Times New Roman" w:eastAsia="Calibri" w:hAnsi="Times New Roman" w:cs="Times New Roman"/>
          <w:sz w:val="24"/>
          <w:szCs w:val="24"/>
        </w:rPr>
        <w:t xml:space="preserve"> special rounding rule </w:t>
      </w:r>
      <w:r w:rsidR="004F1167" w:rsidRPr="00AF455E">
        <w:rPr>
          <w:rFonts w:ascii="Times New Roman" w:eastAsia="Calibri" w:hAnsi="Times New Roman" w:cs="Times New Roman"/>
          <w:sz w:val="24"/>
          <w:szCs w:val="24"/>
        </w:rPr>
        <w:t xml:space="preserve">for one variable, which involves rounding down to the nearest whole number. </w:t>
      </w:r>
    </w:p>
    <w:p w14:paraId="09C628D8" w14:textId="693FBC55" w:rsidR="008437B9" w:rsidRPr="00AF455E" w:rsidRDefault="008437B9" w:rsidP="008437B9">
      <w:pPr>
        <w:widowControl w:val="0"/>
        <w:adjustRightInd w:val="0"/>
        <w:jc w:val="both"/>
        <w:textAlignment w:val="baseline"/>
        <w:rPr>
          <w:rFonts w:ascii="Times New Roman" w:eastAsia="Calibri" w:hAnsi="Times New Roman" w:cs="Times New Roman"/>
          <w:sz w:val="24"/>
          <w:szCs w:val="24"/>
        </w:rPr>
      </w:pPr>
      <w:proofErr w:type="gramStart"/>
      <w:r w:rsidRPr="00AF455E">
        <w:rPr>
          <w:rFonts w:ascii="Times New Roman" w:eastAsia="Calibri" w:hAnsi="Times New Roman" w:cs="Times New Roman"/>
          <w:sz w:val="24"/>
          <w:szCs w:val="24"/>
        </w:rPr>
        <w:t>In order to</w:t>
      </w:r>
      <w:proofErr w:type="gramEnd"/>
      <w:r w:rsidRPr="00AF455E">
        <w:rPr>
          <w:rFonts w:ascii="Times New Roman" w:eastAsia="Calibri" w:hAnsi="Times New Roman" w:cs="Times New Roman"/>
          <w:sz w:val="24"/>
          <w:szCs w:val="24"/>
        </w:rPr>
        <w:t xml:space="preserve"> provide certainty and consistency, these amendments require APRA to use information available to APRA </w:t>
      </w:r>
      <w:r w:rsidR="001E4CCB" w:rsidRPr="00AF455E">
        <w:rPr>
          <w:rFonts w:ascii="Times New Roman" w:eastAsia="Calibri" w:hAnsi="Times New Roman" w:cs="Times New Roman"/>
          <w:sz w:val="24"/>
          <w:szCs w:val="24"/>
        </w:rPr>
        <w:t xml:space="preserve">on </w:t>
      </w:r>
      <w:r w:rsidRPr="00AF455E">
        <w:rPr>
          <w:rFonts w:ascii="Times New Roman" w:eastAsia="Calibri" w:hAnsi="Times New Roman" w:cs="Times New Roman"/>
          <w:sz w:val="24"/>
          <w:szCs w:val="24"/>
        </w:rPr>
        <w:t xml:space="preserve">15 August each financial year to conduct the performance test. APRA may </w:t>
      </w:r>
      <w:proofErr w:type="gramStart"/>
      <w:r w:rsidRPr="00AF455E">
        <w:rPr>
          <w:rFonts w:ascii="Times New Roman" w:eastAsia="Calibri" w:hAnsi="Times New Roman" w:cs="Times New Roman"/>
          <w:sz w:val="24"/>
          <w:szCs w:val="24"/>
        </w:rPr>
        <w:t>make a determination</w:t>
      </w:r>
      <w:proofErr w:type="gramEnd"/>
      <w:r w:rsidRPr="00AF455E">
        <w:rPr>
          <w:rFonts w:ascii="Times New Roman" w:eastAsia="Calibri" w:hAnsi="Times New Roman" w:cs="Times New Roman"/>
          <w:sz w:val="24"/>
          <w:szCs w:val="24"/>
        </w:rPr>
        <w:t xml:space="preserve"> that information available to APRA </w:t>
      </w:r>
      <w:r w:rsidR="00094843" w:rsidRPr="00AF455E">
        <w:rPr>
          <w:rFonts w:ascii="Times New Roman" w:eastAsia="Calibri" w:hAnsi="Times New Roman" w:cs="Times New Roman"/>
          <w:sz w:val="24"/>
          <w:szCs w:val="24"/>
        </w:rPr>
        <w:t xml:space="preserve">after 15 August and </w:t>
      </w:r>
      <w:r w:rsidRPr="00AF455E">
        <w:rPr>
          <w:rFonts w:ascii="Times New Roman" w:eastAsia="Calibri" w:hAnsi="Times New Roman" w:cs="Times New Roman"/>
          <w:sz w:val="24"/>
          <w:szCs w:val="24"/>
        </w:rPr>
        <w:t>on</w:t>
      </w:r>
      <w:r w:rsidR="00834D9A" w:rsidRPr="00AF455E">
        <w:rPr>
          <w:rFonts w:ascii="Times New Roman" w:eastAsia="Calibri" w:hAnsi="Times New Roman" w:cs="Times New Roman"/>
          <w:sz w:val="24"/>
          <w:szCs w:val="24"/>
        </w:rPr>
        <w:t xml:space="preserve"> or before</w:t>
      </w:r>
      <w:r w:rsidRPr="00AF455E">
        <w:rPr>
          <w:rFonts w:ascii="Times New Roman" w:eastAsia="Calibri" w:hAnsi="Times New Roman" w:cs="Times New Roman"/>
          <w:sz w:val="24"/>
          <w:szCs w:val="24"/>
        </w:rPr>
        <w:t xml:space="preserve"> 31 August be used for a specified product and financial year. </w:t>
      </w:r>
      <w:r w:rsidR="00006CC6" w:rsidRPr="00AF455E">
        <w:rPr>
          <w:rFonts w:ascii="Times New Roman" w:eastAsia="Calibri" w:hAnsi="Times New Roman" w:cs="Times New Roman"/>
          <w:sz w:val="24"/>
          <w:szCs w:val="24"/>
        </w:rPr>
        <w:t xml:space="preserve">ARPA’s determination is not a legislative instrument within the meaning of subsection 8(1) of the </w:t>
      </w:r>
      <w:r w:rsidR="00006CC6" w:rsidRPr="00AF455E">
        <w:rPr>
          <w:rFonts w:ascii="Times New Roman" w:eastAsia="Calibri" w:hAnsi="Times New Roman" w:cs="Times New Roman"/>
          <w:i/>
          <w:sz w:val="24"/>
          <w:szCs w:val="24"/>
        </w:rPr>
        <w:t>Legislation Act 2003</w:t>
      </w:r>
      <w:r w:rsidR="00006CC6" w:rsidRPr="00AF455E">
        <w:rPr>
          <w:rFonts w:ascii="Times New Roman" w:eastAsia="Calibri" w:hAnsi="Times New Roman" w:cs="Times New Roman"/>
          <w:sz w:val="24"/>
          <w:szCs w:val="24"/>
        </w:rPr>
        <w:t xml:space="preserve">. APRA must give a notice of the determination to the specified superannuation entity. </w:t>
      </w:r>
      <w:r w:rsidR="00DA0E63" w:rsidRPr="00AF455E">
        <w:rPr>
          <w:rFonts w:ascii="Times New Roman" w:eastAsia="Calibri" w:hAnsi="Times New Roman" w:cs="Times New Roman"/>
          <w:sz w:val="24"/>
          <w:szCs w:val="24"/>
        </w:rPr>
        <w:t>The notice must be in writing and include a copy of the determination.</w:t>
      </w:r>
    </w:p>
    <w:p w14:paraId="6D02F12E" w14:textId="26721BE1" w:rsidR="00610A9E" w:rsidRPr="00AF455E" w:rsidRDefault="00610A9E" w:rsidP="004D5E79">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amendments also specify that, for a </w:t>
      </w:r>
      <w:r w:rsidR="0082326B" w:rsidRPr="00AF455E">
        <w:rPr>
          <w:rFonts w:ascii="Times New Roman" w:eastAsia="Calibri" w:hAnsi="Times New Roman" w:cs="Times New Roman"/>
          <w:sz w:val="24"/>
          <w:szCs w:val="24"/>
        </w:rPr>
        <w:t xml:space="preserve">Part 6A </w:t>
      </w:r>
      <w:r w:rsidRPr="00AF455E">
        <w:rPr>
          <w:rFonts w:ascii="Times New Roman" w:eastAsia="Calibri" w:hAnsi="Times New Roman" w:cs="Times New Roman"/>
          <w:sz w:val="24"/>
          <w:szCs w:val="24"/>
        </w:rPr>
        <w:t xml:space="preserve">product that is a </w:t>
      </w:r>
      <w:proofErr w:type="spellStart"/>
      <w:r w:rsidRPr="00AF455E">
        <w:rPr>
          <w:rFonts w:ascii="Times New Roman" w:eastAsia="Calibri" w:hAnsi="Times New Roman" w:cs="Times New Roman"/>
          <w:sz w:val="24"/>
          <w:szCs w:val="24"/>
        </w:rPr>
        <w:t>MySuper</w:t>
      </w:r>
      <w:proofErr w:type="spellEnd"/>
      <w:r w:rsidRPr="00AF455E">
        <w:rPr>
          <w:rFonts w:ascii="Times New Roman" w:eastAsia="Calibri" w:hAnsi="Times New Roman" w:cs="Times New Roman"/>
          <w:sz w:val="24"/>
          <w:szCs w:val="24"/>
        </w:rPr>
        <w:t xml:space="preserve"> product</w:t>
      </w:r>
      <w:r w:rsidR="0082326B" w:rsidRPr="00AF455E">
        <w:rPr>
          <w:rFonts w:ascii="Times New Roman" w:eastAsia="Calibri" w:hAnsi="Times New Roman" w:cs="Times New Roman"/>
          <w:sz w:val="24"/>
          <w:szCs w:val="24"/>
        </w:rPr>
        <w:t xml:space="preserve"> or choice product</w:t>
      </w:r>
      <w:r w:rsidRPr="00AF455E">
        <w:rPr>
          <w:rFonts w:ascii="Times New Roman" w:eastAsia="Calibri" w:hAnsi="Times New Roman" w:cs="Times New Roman"/>
          <w:sz w:val="24"/>
          <w:szCs w:val="24"/>
        </w:rPr>
        <w:t xml:space="preserve">, the </w:t>
      </w:r>
      <w:r w:rsidR="008068E1" w:rsidRPr="00AF455E">
        <w:rPr>
          <w:rFonts w:ascii="Times New Roman" w:eastAsia="Calibri" w:hAnsi="Times New Roman" w:cs="Times New Roman"/>
          <w:sz w:val="24"/>
          <w:szCs w:val="24"/>
        </w:rPr>
        <w:t xml:space="preserve">product’s result in the </w:t>
      </w:r>
      <w:r w:rsidR="00792C36" w:rsidRPr="00AF455E">
        <w:rPr>
          <w:rFonts w:ascii="Times New Roman" w:eastAsia="Calibri" w:hAnsi="Times New Roman" w:cs="Times New Roman"/>
          <w:sz w:val="24"/>
          <w:szCs w:val="24"/>
        </w:rPr>
        <w:t>annual</w:t>
      </w:r>
      <w:r w:rsidRPr="00AF455E">
        <w:rPr>
          <w:rFonts w:ascii="Times New Roman" w:eastAsia="Calibri" w:hAnsi="Times New Roman" w:cs="Times New Roman"/>
          <w:sz w:val="24"/>
          <w:szCs w:val="24"/>
        </w:rPr>
        <w:t xml:space="preserve"> performance assessment is a benchmark that can be used to compare </w:t>
      </w:r>
      <w:r w:rsidR="00B60D31" w:rsidRPr="00AF455E">
        <w:rPr>
          <w:rFonts w:ascii="Times New Roman" w:eastAsia="Calibri" w:hAnsi="Times New Roman" w:cs="Times New Roman"/>
          <w:sz w:val="24"/>
          <w:szCs w:val="24"/>
        </w:rPr>
        <w:t xml:space="preserve">it and </w:t>
      </w:r>
      <w:r w:rsidRPr="00AF455E">
        <w:rPr>
          <w:rFonts w:ascii="Times New Roman" w:eastAsia="Calibri" w:hAnsi="Times New Roman" w:cs="Times New Roman"/>
          <w:sz w:val="24"/>
          <w:szCs w:val="24"/>
        </w:rPr>
        <w:t xml:space="preserve">other </w:t>
      </w:r>
      <w:proofErr w:type="spellStart"/>
      <w:r w:rsidRPr="00AF455E">
        <w:rPr>
          <w:rFonts w:ascii="Times New Roman" w:eastAsia="Calibri" w:hAnsi="Times New Roman" w:cs="Times New Roman"/>
          <w:sz w:val="24"/>
          <w:szCs w:val="24"/>
        </w:rPr>
        <w:t>MySuper</w:t>
      </w:r>
      <w:proofErr w:type="spellEnd"/>
      <w:r w:rsidRPr="00AF455E">
        <w:rPr>
          <w:rFonts w:ascii="Times New Roman" w:eastAsia="Calibri" w:hAnsi="Times New Roman" w:cs="Times New Roman"/>
          <w:sz w:val="24"/>
          <w:szCs w:val="24"/>
        </w:rPr>
        <w:t xml:space="preserve"> products</w:t>
      </w:r>
      <w:r w:rsidR="0082326B" w:rsidRPr="00AF455E">
        <w:rPr>
          <w:rFonts w:ascii="Times New Roman" w:eastAsia="Calibri" w:hAnsi="Times New Roman" w:cs="Times New Roman"/>
          <w:sz w:val="24"/>
          <w:szCs w:val="24"/>
        </w:rPr>
        <w:t xml:space="preserve"> or choice products</w:t>
      </w:r>
      <w:r w:rsidR="00311681" w:rsidRPr="00AF455E">
        <w:rPr>
          <w:rFonts w:ascii="Times New Roman" w:eastAsia="Calibri" w:hAnsi="Times New Roman" w:cs="Times New Roman"/>
          <w:sz w:val="24"/>
          <w:szCs w:val="24"/>
        </w:rPr>
        <w:t xml:space="preserve"> </w:t>
      </w:r>
      <w:r w:rsidR="000F7844" w:rsidRPr="00AF455E">
        <w:rPr>
          <w:rFonts w:ascii="Times New Roman" w:eastAsia="Calibri" w:hAnsi="Times New Roman" w:cs="Times New Roman"/>
          <w:sz w:val="24"/>
          <w:szCs w:val="24"/>
        </w:rPr>
        <w:t>that are Part 6A products</w:t>
      </w:r>
      <w:r w:rsidR="00311681" w:rsidRPr="00AF455E">
        <w:rPr>
          <w:rFonts w:ascii="Times New Roman" w:eastAsia="Calibri" w:hAnsi="Times New Roman" w:cs="Times New Roman"/>
          <w:sz w:val="24"/>
          <w:szCs w:val="24"/>
        </w:rPr>
        <w:t xml:space="preserve"> for the purposes of the trustee’s annual outcomes assessment (see </w:t>
      </w:r>
      <w:r w:rsidR="0082326B" w:rsidRPr="00AF455E">
        <w:rPr>
          <w:rFonts w:ascii="Times New Roman" w:eastAsia="Calibri" w:hAnsi="Times New Roman" w:cs="Times New Roman"/>
          <w:sz w:val="24"/>
          <w:szCs w:val="24"/>
        </w:rPr>
        <w:t xml:space="preserve">subparagraphs </w:t>
      </w:r>
      <w:r w:rsidR="00311681" w:rsidRPr="00AF455E">
        <w:rPr>
          <w:rFonts w:ascii="Times New Roman" w:eastAsia="Calibri" w:hAnsi="Times New Roman" w:cs="Times New Roman"/>
          <w:sz w:val="24"/>
          <w:szCs w:val="24"/>
        </w:rPr>
        <w:t>52(9)</w:t>
      </w:r>
      <w:r w:rsidR="0082326B" w:rsidRPr="00AF455E">
        <w:rPr>
          <w:rFonts w:ascii="Times New Roman" w:eastAsia="Calibri" w:hAnsi="Times New Roman" w:cs="Times New Roman"/>
          <w:sz w:val="24"/>
          <w:szCs w:val="24"/>
        </w:rPr>
        <w:t>(a)(</w:t>
      </w:r>
      <w:proofErr w:type="spellStart"/>
      <w:r w:rsidR="0082326B" w:rsidRPr="00AF455E">
        <w:rPr>
          <w:rFonts w:ascii="Times New Roman" w:eastAsia="Calibri" w:hAnsi="Times New Roman" w:cs="Times New Roman"/>
          <w:sz w:val="24"/>
          <w:szCs w:val="24"/>
        </w:rPr>
        <w:t>i</w:t>
      </w:r>
      <w:proofErr w:type="spellEnd"/>
      <w:r w:rsidR="0082326B" w:rsidRPr="00AF455E">
        <w:rPr>
          <w:rFonts w:ascii="Times New Roman" w:eastAsia="Calibri" w:hAnsi="Times New Roman" w:cs="Times New Roman"/>
          <w:sz w:val="24"/>
          <w:szCs w:val="24"/>
        </w:rPr>
        <w:t>) and (ii)</w:t>
      </w:r>
      <w:r w:rsidR="00311681" w:rsidRPr="00AF455E">
        <w:rPr>
          <w:rFonts w:ascii="Times New Roman" w:eastAsia="Calibri" w:hAnsi="Times New Roman" w:cs="Times New Roman"/>
          <w:sz w:val="24"/>
          <w:szCs w:val="24"/>
        </w:rPr>
        <w:t xml:space="preserve"> of the SIS Act)</w:t>
      </w:r>
      <w:r w:rsidRPr="00AF455E">
        <w:rPr>
          <w:rFonts w:ascii="Times New Roman" w:eastAsia="Calibri" w:hAnsi="Times New Roman" w:cs="Times New Roman"/>
          <w:sz w:val="24"/>
          <w:szCs w:val="24"/>
        </w:rPr>
        <w:t xml:space="preserve">. APRA will also be able to issue </w:t>
      </w:r>
      <w:r w:rsidR="009F36D5" w:rsidRPr="00AF455E">
        <w:rPr>
          <w:rFonts w:ascii="Times New Roman" w:eastAsia="Calibri" w:hAnsi="Times New Roman" w:cs="Times New Roman"/>
          <w:sz w:val="24"/>
          <w:szCs w:val="24"/>
        </w:rPr>
        <w:t>directions to an RSE licensee</w:t>
      </w:r>
      <w:r w:rsidRPr="00AF455E">
        <w:rPr>
          <w:rFonts w:ascii="Times New Roman" w:eastAsia="Calibri" w:hAnsi="Times New Roman" w:cs="Times New Roman"/>
          <w:sz w:val="24"/>
          <w:szCs w:val="24"/>
        </w:rPr>
        <w:t xml:space="preserve"> in relation </w:t>
      </w:r>
      <w:r w:rsidR="00C77286" w:rsidRPr="00AF455E">
        <w:rPr>
          <w:rFonts w:ascii="Times New Roman" w:eastAsia="Calibri" w:hAnsi="Times New Roman" w:cs="Times New Roman"/>
          <w:sz w:val="24"/>
          <w:szCs w:val="24"/>
        </w:rPr>
        <w:t>to conducting the annual performance test</w:t>
      </w:r>
      <w:r w:rsidR="00B60D31" w:rsidRPr="00AF455E">
        <w:rPr>
          <w:rFonts w:ascii="Times New Roman" w:eastAsia="Calibri" w:hAnsi="Times New Roman" w:cs="Times New Roman"/>
          <w:sz w:val="24"/>
          <w:szCs w:val="24"/>
        </w:rPr>
        <w:t xml:space="preserve"> for a product</w:t>
      </w:r>
      <w:r w:rsidR="00C77286" w:rsidRPr="00AF455E">
        <w:rPr>
          <w:rFonts w:ascii="Times New Roman" w:eastAsia="Calibri" w:hAnsi="Times New Roman" w:cs="Times New Roman"/>
          <w:sz w:val="24"/>
          <w:szCs w:val="24"/>
        </w:rPr>
        <w:t xml:space="preserve">. </w:t>
      </w:r>
    </w:p>
    <w:p w14:paraId="5F7E0F8F" w14:textId="77777777" w:rsidR="00F11482" w:rsidRPr="00AF455E" w:rsidRDefault="00F11482" w:rsidP="00F11482">
      <w:pPr>
        <w:widowControl w:val="0"/>
        <w:adjustRightInd w:val="0"/>
        <w:jc w:val="both"/>
        <w:textAlignment w:val="baseline"/>
        <w:rPr>
          <w:rFonts w:ascii="Times New Roman" w:eastAsia="Calibri" w:hAnsi="Times New Roman" w:cs="Times New Roman"/>
          <w:i/>
          <w:iCs/>
          <w:sz w:val="24"/>
          <w:szCs w:val="24"/>
        </w:rPr>
      </w:pPr>
      <w:r w:rsidRPr="00AF455E">
        <w:rPr>
          <w:rFonts w:ascii="Times New Roman" w:eastAsia="Calibri" w:hAnsi="Times New Roman" w:cs="Times New Roman"/>
          <w:i/>
          <w:sz w:val="24"/>
          <w:szCs w:val="24"/>
        </w:rPr>
        <w:t>Requirements to satisfy the annual performance test (standard Part 6A products)</w:t>
      </w:r>
    </w:p>
    <w:p w14:paraId="1EC83525" w14:textId="780205FF" w:rsidR="00F11482" w:rsidRPr="00AF455E" w:rsidRDefault="0095449F"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The amendments</w:t>
      </w:r>
      <w:r w:rsidR="00F11482" w:rsidRPr="00AF455E">
        <w:rPr>
          <w:rFonts w:ascii="Times New Roman" w:eastAsia="Calibri" w:hAnsi="Times New Roman" w:cs="Times New Roman"/>
          <w:sz w:val="24"/>
          <w:szCs w:val="24"/>
        </w:rPr>
        <w:t xml:space="preserve"> provide the formula for calculating ‘</w:t>
      </w:r>
      <w:r w:rsidR="00431951" w:rsidRPr="00AF455E">
        <w:rPr>
          <w:rFonts w:ascii="Times New Roman" w:eastAsia="Calibri" w:hAnsi="Times New Roman" w:cs="Times New Roman"/>
          <w:sz w:val="24"/>
          <w:szCs w:val="24"/>
        </w:rPr>
        <w:t xml:space="preserve">actual </w:t>
      </w:r>
      <w:r w:rsidR="00F11482" w:rsidRPr="00AF455E">
        <w:rPr>
          <w:rFonts w:ascii="Times New Roman" w:eastAsia="Calibri" w:hAnsi="Times New Roman" w:cs="Times New Roman"/>
          <w:sz w:val="24"/>
          <w:szCs w:val="24"/>
        </w:rPr>
        <w:t>return’ for a standard Part</w:t>
      </w:r>
      <w:r w:rsidR="00BB2347" w:rsidRPr="00AF455E">
        <w:rPr>
          <w:rFonts w:ascii="Times New Roman" w:eastAsia="Calibri" w:hAnsi="Times New Roman" w:cs="Times New Roman"/>
          <w:sz w:val="24"/>
          <w:szCs w:val="24"/>
        </w:rPr>
        <w:t> </w:t>
      </w:r>
      <w:r w:rsidR="00F11482" w:rsidRPr="00AF455E">
        <w:rPr>
          <w:rFonts w:ascii="Times New Roman" w:eastAsia="Calibri" w:hAnsi="Times New Roman" w:cs="Times New Roman"/>
          <w:sz w:val="24"/>
          <w:szCs w:val="24"/>
        </w:rPr>
        <w:t>6A product.</w:t>
      </w:r>
    </w:p>
    <w:p w14:paraId="345949E6" w14:textId="1CC0F096" w:rsidR="00FE561C"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The variables in the formula include ‘n’, ‘</w:t>
      </w:r>
      <w:r w:rsidR="009E042A" w:rsidRPr="00AF455E">
        <w:rPr>
          <w:rFonts w:ascii="Times New Roman" w:eastAsia="Calibri" w:hAnsi="Times New Roman" w:cs="Times New Roman"/>
          <w:sz w:val="24"/>
          <w:szCs w:val="24"/>
        </w:rPr>
        <w:t>NIR</w:t>
      </w:r>
      <w:r w:rsidRPr="00AF455E">
        <w:rPr>
          <w:rFonts w:ascii="Times New Roman" w:eastAsia="Calibri" w:hAnsi="Times New Roman" w:cs="Times New Roman"/>
          <w:sz w:val="24"/>
          <w:szCs w:val="24"/>
        </w:rPr>
        <w:t>’</w:t>
      </w:r>
      <w:r w:rsidR="001C7D96" w:rsidRPr="00AF455E">
        <w:rPr>
          <w:rFonts w:ascii="Times New Roman" w:eastAsia="Calibri" w:hAnsi="Times New Roman" w:cs="Times New Roman"/>
          <w:sz w:val="24"/>
          <w:szCs w:val="24"/>
        </w:rPr>
        <w:t xml:space="preserve"> and</w:t>
      </w:r>
      <w:r w:rsidRPr="00AF455E">
        <w:rPr>
          <w:rFonts w:ascii="Times New Roman" w:eastAsia="Calibri" w:hAnsi="Times New Roman" w:cs="Times New Roman"/>
          <w:sz w:val="24"/>
          <w:szCs w:val="24"/>
        </w:rPr>
        <w:t xml:space="preserve"> ‘t’</w:t>
      </w:r>
      <w:r w:rsidR="001C7D96" w:rsidRPr="00AF455E">
        <w:rPr>
          <w:rFonts w:ascii="Times New Roman" w:eastAsia="Calibri" w:hAnsi="Times New Roman" w:cs="Times New Roman"/>
          <w:sz w:val="24"/>
          <w:szCs w:val="24"/>
        </w:rPr>
        <w:t>.</w:t>
      </w:r>
      <w:r w:rsidR="008E48B9" w:rsidRPr="00AF455E">
        <w:rPr>
          <w:rFonts w:ascii="Times New Roman" w:eastAsia="Calibri" w:hAnsi="Times New Roman" w:cs="Times New Roman"/>
          <w:sz w:val="24"/>
          <w:szCs w:val="24"/>
        </w:rPr>
        <w:t xml:space="preserve"> </w:t>
      </w:r>
    </w:p>
    <w:p w14:paraId="13C572D0" w14:textId="00ACFFE7" w:rsidR="00FE561C"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lastRenderedPageBreak/>
        <w:t>The variable ‘n’</w:t>
      </w:r>
      <w:r w:rsidRPr="00AF455E">
        <w:rPr>
          <w:rFonts w:ascii="Times New Roman" w:eastAsia="Calibri" w:hAnsi="Times New Roman" w:cs="Times New Roman"/>
          <w:i/>
          <w:sz w:val="24"/>
          <w:szCs w:val="24"/>
        </w:rPr>
        <w:t xml:space="preserve"> </w:t>
      </w:r>
      <w:r w:rsidRPr="00AF455E">
        <w:rPr>
          <w:rFonts w:ascii="Times New Roman" w:eastAsia="Calibri" w:hAnsi="Times New Roman" w:cs="Times New Roman"/>
          <w:sz w:val="24"/>
          <w:szCs w:val="24"/>
        </w:rPr>
        <w:t>means the number of quarters in the lookback period, divided by 4 (which essentially captures the number of financial years, including part financial years in the lookback period, where part financial years are in units of quarters).  For example, n could take the values 5, 5.25, 5.5, 5.75, which corresponds to 5 financial years, 5</w:t>
      </w:r>
      <w:r w:rsidR="00BB2347" w:rsidRPr="00AF455E">
        <w:rPr>
          <w:rFonts w:ascii="Times New Roman" w:eastAsia="Calibri" w:hAnsi="Times New Roman" w:cs="Times New Roman"/>
          <w:sz w:val="24"/>
          <w:szCs w:val="24"/>
        </w:rPr>
        <w:t> </w:t>
      </w:r>
      <w:r w:rsidRPr="00AF455E">
        <w:rPr>
          <w:rFonts w:ascii="Times New Roman" w:eastAsia="Calibri" w:hAnsi="Times New Roman" w:cs="Times New Roman"/>
          <w:sz w:val="24"/>
          <w:szCs w:val="24"/>
        </w:rPr>
        <w:t>financial years and 1 quarter, 5 financial years and 2 quarters and 5 financial years</w:t>
      </w:r>
      <w:r w:rsidR="00FE561C" w:rsidRPr="00AF455E">
        <w:rPr>
          <w:rFonts w:ascii="Times New Roman" w:eastAsia="Calibri" w:hAnsi="Times New Roman" w:cs="Times New Roman"/>
          <w:sz w:val="24"/>
          <w:szCs w:val="24"/>
        </w:rPr>
        <w:t xml:space="preserve"> and 3 quarters respectively. </w:t>
      </w:r>
    </w:p>
    <w:p w14:paraId="446F7DF0" w14:textId="75AE902F" w:rsidR="00FE561C"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Generally, the ‘lookback period’ for a Part 6A product in respect of a financial year means the period that starts on the start of the first whole quarter for which a trustee has reported </w:t>
      </w:r>
      <w:r w:rsidR="001954DD" w:rsidRPr="00AF455E">
        <w:rPr>
          <w:rFonts w:ascii="Times New Roman" w:eastAsia="Calibri" w:hAnsi="Times New Roman" w:cs="Times New Roman"/>
          <w:sz w:val="24"/>
          <w:szCs w:val="24"/>
        </w:rPr>
        <w:t xml:space="preserve">a </w:t>
      </w:r>
      <w:r w:rsidRPr="00AF455E">
        <w:rPr>
          <w:rFonts w:ascii="Times New Roman" w:eastAsia="Calibri" w:hAnsi="Times New Roman" w:cs="Times New Roman"/>
          <w:sz w:val="24"/>
          <w:szCs w:val="24"/>
        </w:rPr>
        <w:t xml:space="preserve">‘net </w:t>
      </w:r>
      <w:r w:rsidR="009408AB" w:rsidRPr="00AF455E">
        <w:rPr>
          <w:rFonts w:ascii="Times New Roman" w:eastAsia="Calibri" w:hAnsi="Times New Roman" w:cs="Times New Roman"/>
          <w:sz w:val="24"/>
          <w:szCs w:val="24"/>
        </w:rPr>
        <w:t>investment</w:t>
      </w:r>
      <w:r w:rsidRPr="00AF455E">
        <w:rPr>
          <w:rFonts w:ascii="Times New Roman" w:eastAsia="Calibri" w:hAnsi="Times New Roman" w:cs="Times New Roman"/>
          <w:sz w:val="24"/>
          <w:szCs w:val="24"/>
        </w:rPr>
        <w:t xml:space="preserve"> return’ for the product to APRA and ends on 30 June of the financial year for which the assessment is made. </w:t>
      </w:r>
      <w:r w:rsidR="00B44484" w:rsidRPr="00AF455E">
        <w:rPr>
          <w:rFonts w:ascii="Times New Roman" w:eastAsia="Calibri" w:hAnsi="Times New Roman" w:cs="Times New Roman"/>
          <w:sz w:val="24"/>
          <w:szCs w:val="24"/>
        </w:rPr>
        <w:t>In determining</w:t>
      </w:r>
      <w:r w:rsidR="00484B50" w:rsidRPr="00AF455E">
        <w:rPr>
          <w:rFonts w:ascii="Times New Roman" w:eastAsia="Calibri" w:hAnsi="Times New Roman" w:cs="Times New Roman"/>
          <w:sz w:val="24"/>
          <w:szCs w:val="24"/>
        </w:rPr>
        <w:t xml:space="preserve"> the first whole quarter</w:t>
      </w:r>
      <w:r w:rsidR="00F07514" w:rsidRPr="00AF455E">
        <w:rPr>
          <w:rFonts w:ascii="Times New Roman" w:eastAsia="Calibri" w:hAnsi="Times New Roman" w:cs="Times New Roman"/>
          <w:sz w:val="24"/>
          <w:szCs w:val="24"/>
        </w:rPr>
        <w:t>,</w:t>
      </w:r>
      <w:r w:rsidR="00B44484" w:rsidRPr="00AF455E">
        <w:rPr>
          <w:rFonts w:ascii="Times New Roman" w:eastAsia="Calibri" w:hAnsi="Times New Roman" w:cs="Times New Roman"/>
          <w:sz w:val="24"/>
          <w:szCs w:val="24"/>
        </w:rPr>
        <w:t xml:space="preserve"> any quarter in which the superannuation fund was not </w:t>
      </w:r>
      <w:r w:rsidR="00156255" w:rsidRPr="00AF455E">
        <w:rPr>
          <w:rFonts w:ascii="Times New Roman" w:eastAsia="Calibri" w:hAnsi="Times New Roman" w:cs="Times New Roman"/>
          <w:sz w:val="24"/>
          <w:szCs w:val="24"/>
        </w:rPr>
        <w:t xml:space="preserve">offering the product </w:t>
      </w:r>
      <w:r w:rsidR="009C03D5" w:rsidRPr="00AF455E">
        <w:rPr>
          <w:rFonts w:ascii="Times New Roman" w:eastAsia="Calibri" w:hAnsi="Times New Roman" w:cs="Times New Roman"/>
          <w:sz w:val="24"/>
          <w:szCs w:val="24"/>
        </w:rPr>
        <w:t>as potentially</w:t>
      </w:r>
      <w:r w:rsidR="00156255" w:rsidRPr="00AF455E">
        <w:rPr>
          <w:rFonts w:ascii="Times New Roman" w:eastAsia="Calibri" w:hAnsi="Times New Roman" w:cs="Times New Roman"/>
          <w:sz w:val="24"/>
          <w:szCs w:val="24"/>
        </w:rPr>
        <w:t xml:space="preserve"> generat</w:t>
      </w:r>
      <w:r w:rsidR="009C03D5" w:rsidRPr="00AF455E">
        <w:rPr>
          <w:rFonts w:ascii="Times New Roman" w:eastAsia="Calibri" w:hAnsi="Times New Roman" w:cs="Times New Roman"/>
          <w:sz w:val="24"/>
          <w:szCs w:val="24"/>
        </w:rPr>
        <w:t>ing</w:t>
      </w:r>
      <w:r w:rsidR="00AE7C27" w:rsidRPr="00AF455E">
        <w:rPr>
          <w:rFonts w:ascii="Times New Roman" w:eastAsia="Calibri" w:hAnsi="Times New Roman" w:cs="Times New Roman"/>
          <w:sz w:val="24"/>
          <w:szCs w:val="24"/>
        </w:rPr>
        <w:t xml:space="preserve"> returns</w:t>
      </w:r>
      <w:r w:rsidR="00B44484" w:rsidRPr="00AF455E">
        <w:rPr>
          <w:rFonts w:ascii="Times New Roman" w:eastAsia="Calibri" w:hAnsi="Times New Roman" w:cs="Times New Roman"/>
          <w:sz w:val="24"/>
          <w:szCs w:val="24"/>
        </w:rPr>
        <w:t xml:space="preserve"> for the entire duration of the quarter</w:t>
      </w:r>
      <w:r w:rsidR="00560515" w:rsidRPr="00AF455E">
        <w:rPr>
          <w:rFonts w:ascii="Times New Roman" w:eastAsia="Calibri" w:hAnsi="Times New Roman" w:cs="Times New Roman"/>
          <w:sz w:val="24"/>
          <w:szCs w:val="24"/>
        </w:rPr>
        <w:t>, or any quarter where there was not at least one beneficiary holding the product,</w:t>
      </w:r>
      <w:r w:rsidR="00B44484" w:rsidRPr="00AF455E">
        <w:rPr>
          <w:rFonts w:ascii="Times New Roman" w:eastAsia="Calibri" w:hAnsi="Times New Roman" w:cs="Times New Roman"/>
          <w:sz w:val="24"/>
          <w:szCs w:val="24"/>
        </w:rPr>
        <w:t xml:space="preserve"> is disregarded. </w:t>
      </w:r>
      <w:r w:rsidRPr="00AF455E">
        <w:rPr>
          <w:rFonts w:ascii="Times New Roman" w:eastAsia="Calibri" w:hAnsi="Times New Roman" w:cs="Times New Roman"/>
          <w:sz w:val="24"/>
          <w:szCs w:val="24"/>
        </w:rPr>
        <w:t>Generally, this means a product</w:t>
      </w:r>
      <w:r w:rsidR="00BA2023" w:rsidRPr="00AF455E">
        <w:rPr>
          <w:rFonts w:ascii="Times New Roman" w:eastAsia="Calibri" w:hAnsi="Times New Roman" w:cs="Times New Roman"/>
          <w:sz w:val="24"/>
          <w:szCs w:val="24"/>
        </w:rPr>
        <w:t>'</w:t>
      </w:r>
      <w:r w:rsidRPr="00AF455E">
        <w:rPr>
          <w:rFonts w:ascii="Times New Roman" w:eastAsia="Calibri" w:hAnsi="Times New Roman" w:cs="Times New Roman"/>
          <w:sz w:val="24"/>
          <w:szCs w:val="24"/>
        </w:rPr>
        <w:t xml:space="preserve">s lookback period will include the number of financial years (including part financial years) for which there is data for the product, counting back from the financial year for which the performance assessment is made. </w:t>
      </w:r>
    </w:p>
    <w:p w14:paraId="01AB7FFF" w14:textId="36ED2C57"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However, the rules are designed such that the lookback period for a Part 6A product will not include more than 8 financial years of performance history, counting backwards from the 30 June in the financial year for which the assessment is made. A transitional rule is provided for the first performance assessment, which is conducted for the financial year 2020-21, such that a maximum of 7 financial years of performance history is included in the lookback period. This aligns the lookback period with available APRA data.    </w:t>
      </w:r>
    </w:p>
    <w:p w14:paraId="2B5A0BEA" w14:textId="563B6882"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variable ‘t’ represents a quarter in a consecutive sequence of quarters, where if t=1, the quarter is the first quarter that starts in the lookback period. </w:t>
      </w:r>
    </w:p>
    <w:p w14:paraId="3887E548" w14:textId="20D61538" w:rsidR="00F11482" w:rsidRPr="00AF455E" w:rsidRDefault="00F11482" w:rsidP="00F11482">
      <w:pPr>
        <w:widowControl w:val="0"/>
        <w:adjustRightInd w:val="0"/>
        <w:jc w:val="both"/>
        <w:textAlignment w:val="baseline"/>
        <w:rPr>
          <w:rFonts w:ascii="Times New Roman" w:eastAsia="Calibri" w:hAnsi="Times New Roman" w:cs="Times New Roman"/>
          <w:i/>
          <w:sz w:val="24"/>
          <w:szCs w:val="24"/>
        </w:rPr>
      </w:pPr>
      <w:r w:rsidRPr="00AF455E">
        <w:rPr>
          <w:rFonts w:ascii="Times New Roman" w:eastAsia="Calibri" w:hAnsi="Times New Roman" w:cs="Times New Roman"/>
          <w:sz w:val="24"/>
          <w:szCs w:val="24"/>
        </w:rPr>
        <w:t>The variable ‘</w:t>
      </w:r>
      <w:r w:rsidR="009E042A" w:rsidRPr="00AF455E">
        <w:rPr>
          <w:rFonts w:ascii="Times New Roman" w:eastAsia="Calibri" w:hAnsi="Times New Roman" w:cs="Times New Roman"/>
          <w:sz w:val="24"/>
          <w:szCs w:val="24"/>
        </w:rPr>
        <w:t>NIR</w:t>
      </w:r>
      <w:r w:rsidRPr="00AF455E">
        <w:rPr>
          <w:rFonts w:ascii="Times New Roman" w:eastAsia="Calibri" w:hAnsi="Times New Roman" w:cs="Times New Roman"/>
          <w:sz w:val="24"/>
          <w:szCs w:val="24"/>
        </w:rPr>
        <w:t xml:space="preserve">’ in relation to a quarter has the same meaning as in the </w:t>
      </w:r>
      <w:r w:rsidRPr="00AF455E">
        <w:rPr>
          <w:rFonts w:ascii="Times New Roman" w:eastAsia="Calibri" w:hAnsi="Times New Roman" w:cs="Times New Roman"/>
          <w:i/>
          <w:sz w:val="24"/>
          <w:szCs w:val="24"/>
        </w:rPr>
        <w:t xml:space="preserve">Financial Sector (Collection of Data) (reporting standard) determination No. 40 of 2015 </w:t>
      </w:r>
      <w:r w:rsidRPr="00AF455E">
        <w:rPr>
          <w:rFonts w:ascii="Times New Roman" w:eastAsia="Calibri" w:hAnsi="Times New Roman" w:cs="Times New Roman"/>
          <w:sz w:val="24"/>
          <w:szCs w:val="24"/>
        </w:rPr>
        <w:t xml:space="preserve">or an analogous legislative instrument that was in force in the past or that is made in the future to replace that instrument. </w:t>
      </w:r>
      <w:r w:rsidR="0032130E" w:rsidRPr="00AF455E">
        <w:rPr>
          <w:rFonts w:ascii="Times New Roman" w:eastAsia="Calibri" w:hAnsi="Times New Roman" w:cs="Times New Roman"/>
          <w:sz w:val="24"/>
          <w:szCs w:val="24"/>
        </w:rPr>
        <w:t xml:space="preserve">Such instruments are defined as the </w:t>
      </w:r>
      <w:r w:rsidR="003913AD" w:rsidRPr="00AF455E">
        <w:rPr>
          <w:rFonts w:ascii="Times New Roman" w:eastAsia="Calibri" w:hAnsi="Times New Roman" w:cs="Times New Roman"/>
          <w:sz w:val="24"/>
          <w:szCs w:val="24"/>
        </w:rPr>
        <w:t>‘</w:t>
      </w:r>
      <w:r w:rsidR="0032130E" w:rsidRPr="00AF455E">
        <w:rPr>
          <w:rFonts w:ascii="Times New Roman" w:eastAsia="Calibri" w:hAnsi="Times New Roman" w:cs="Times New Roman"/>
          <w:sz w:val="24"/>
          <w:szCs w:val="24"/>
        </w:rPr>
        <w:t xml:space="preserve">investment performance standard’ in the proposed Regulations. </w:t>
      </w:r>
      <w:r w:rsidRPr="00AF455E">
        <w:rPr>
          <w:rFonts w:ascii="Times New Roman" w:eastAsia="Calibri" w:hAnsi="Times New Roman" w:cs="Times New Roman"/>
          <w:sz w:val="24"/>
          <w:szCs w:val="24"/>
        </w:rPr>
        <w:t>‘</w:t>
      </w:r>
      <w:r w:rsidR="004849ED" w:rsidRPr="00AF455E">
        <w:rPr>
          <w:rFonts w:ascii="Times New Roman" w:eastAsia="Calibri" w:hAnsi="Times New Roman" w:cs="Times New Roman"/>
          <w:sz w:val="24"/>
          <w:szCs w:val="24"/>
        </w:rPr>
        <w:t>NIR</w:t>
      </w:r>
      <w:r w:rsidRPr="00AF455E">
        <w:rPr>
          <w:rFonts w:ascii="Times New Roman" w:eastAsia="Calibri" w:hAnsi="Times New Roman" w:cs="Times New Roman"/>
          <w:sz w:val="24"/>
          <w:szCs w:val="24"/>
        </w:rPr>
        <w:t xml:space="preserve">’ is reported to APRA on a quarterly basis. The proposed Regulations incorporate the </w:t>
      </w:r>
      <w:r w:rsidRPr="00AF455E">
        <w:rPr>
          <w:rFonts w:ascii="Times New Roman" w:eastAsia="Calibri" w:hAnsi="Times New Roman" w:cs="Times New Roman"/>
          <w:i/>
          <w:sz w:val="24"/>
          <w:szCs w:val="24"/>
        </w:rPr>
        <w:t>Financial Sector (Collection of Data) (reporting standard) determination No. 40 of 2015</w:t>
      </w:r>
      <w:r w:rsidRPr="00AF455E">
        <w:rPr>
          <w:rFonts w:ascii="Times New Roman" w:eastAsia="Calibri" w:hAnsi="Times New Roman" w:cs="Times New Roman"/>
          <w:sz w:val="24"/>
          <w:szCs w:val="24"/>
        </w:rPr>
        <w:t xml:space="preserve"> as in force at the commencement of the instrument</w:t>
      </w:r>
      <w:r w:rsidRPr="00AF455E">
        <w:rPr>
          <w:rFonts w:ascii="Times New Roman" w:eastAsia="Calibri" w:hAnsi="Times New Roman" w:cs="Times New Roman"/>
          <w:i/>
          <w:sz w:val="24"/>
          <w:szCs w:val="24"/>
        </w:rPr>
        <w:t xml:space="preserve">, </w:t>
      </w:r>
      <w:r w:rsidRPr="00AF455E">
        <w:rPr>
          <w:rFonts w:ascii="Times New Roman" w:eastAsia="Calibri" w:hAnsi="Times New Roman" w:cs="Times New Roman"/>
          <w:sz w:val="24"/>
          <w:szCs w:val="24"/>
        </w:rPr>
        <w:t xml:space="preserve">and analogous past and future instruments. </w:t>
      </w:r>
      <w:r w:rsidR="0028535A" w:rsidRPr="00AF455E">
        <w:rPr>
          <w:rFonts w:ascii="Times New Roman" w:eastAsia="Calibri" w:hAnsi="Times New Roman" w:cs="Times New Roman"/>
          <w:sz w:val="24"/>
          <w:szCs w:val="24"/>
        </w:rPr>
        <w:t>The amendments in subsection 60</w:t>
      </w:r>
      <w:proofErr w:type="gramStart"/>
      <w:r w:rsidR="0028535A" w:rsidRPr="00AF455E">
        <w:rPr>
          <w:rFonts w:ascii="Times New Roman" w:eastAsia="Calibri" w:hAnsi="Times New Roman" w:cs="Times New Roman"/>
          <w:sz w:val="24"/>
          <w:szCs w:val="24"/>
        </w:rPr>
        <w:t>D(</w:t>
      </w:r>
      <w:proofErr w:type="gramEnd"/>
      <w:r w:rsidR="0028535A" w:rsidRPr="00AF455E">
        <w:rPr>
          <w:rFonts w:ascii="Times New Roman" w:eastAsia="Calibri" w:hAnsi="Times New Roman" w:cs="Times New Roman"/>
          <w:sz w:val="24"/>
          <w:szCs w:val="24"/>
        </w:rPr>
        <w:t>13) of the SIS Act</w:t>
      </w:r>
      <w:r w:rsidR="001A0BB6" w:rsidRPr="00AF455E">
        <w:rPr>
          <w:rFonts w:ascii="Times New Roman" w:eastAsia="Calibri" w:hAnsi="Times New Roman" w:cs="Times New Roman"/>
          <w:sz w:val="24"/>
          <w:szCs w:val="24"/>
        </w:rPr>
        <w:t xml:space="preserve"> </w:t>
      </w:r>
      <w:r w:rsidR="0028535A" w:rsidRPr="00AF455E">
        <w:rPr>
          <w:rFonts w:ascii="Times New Roman" w:eastAsia="Calibri" w:hAnsi="Times New Roman" w:cs="Times New Roman"/>
          <w:sz w:val="24"/>
          <w:szCs w:val="24"/>
        </w:rPr>
        <w:t xml:space="preserve">ensure that despite subsection 14(2) of the </w:t>
      </w:r>
      <w:r w:rsidR="0028535A" w:rsidRPr="00AF455E">
        <w:rPr>
          <w:rFonts w:ascii="Times New Roman" w:eastAsia="Calibri" w:hAnsi="Times New Roman" w:cs="Times New Roman"/>
          <w:i/>
          <w:sz w:val="24"/>
          <w:szCs w:val="24"/>
        </w:rPr>
        <w:t>Legislation Act 2003</w:t>
      </w:r>
      <w:r w:rsidR="00950489" w:rsidRPr="00AF455E">
        <w:rPr>
          <w:rFonts w:ascii="Times New Roman" w:eastAsia="Calibri" w:hAnsi="Times New Roman" w:cs="Times New Roman"/>
          <w:sz w:val="24"/>
          <w:szCs w:val="24"/>
        </w:rPr>
        <w:t xml:space="preserve">, </w:t>
      </w:r>
      <w:r w:rsidR="0028535A" w:rsidRPr="00AF455E">
        <w:rPr>
          <w:rFonts w:ascii="Times New Roman" w:eastAsia="Calibri" w:hAnsi="Times New Roman" w:cs="Times New Roman"/>
          <w:sz w:val="24"/>
          <w:szCs w:val="24"/>
        </w:rPr>
        <w:t>regulation</w:t>
      </w:r>
      <w:r w:rsidR="00950489" w:rsidRPr="00AF455E">
        <w:rPr>
          <w:rFonts w:ascii="Times New Roman" w:eastAsia="Calibri" w:hAnsi="Times New Roman" w:cs="Times New Roman"/>
          <w:sz w:val="24"/>
          <w:szCs w:val="24"/>
        </w:rPr>
        <w:t>s</w:t>
      </w:r>
      <w:r w:rsidR="0028535A" w:rsidRPr="00AF455E">
        <w:rPr>
          <w:rFonts w:ascii="Times New Roman" w:eastAsia="Calibri" w:hAnsi="Times New Roman" w:cs="Times New Roman"/>
          <w:sz w:val="24"/>
          <w:szCs w:val="24"/>
        </w:rPr>
        <w:t xml:space="preserve"> may apply, adopt</w:t>
      </w:r>
      <w:r w:rsidR="00950489" w:rsidRPr="00AF455E">
        <w:rPr>
          <w:rFonts w:ascii="Times New Roman" w:eastAsia="Calibri" w:hAnsi="Times New Roman" w:cs="Times New Roman"/>
          <w:sz w:val="24"/>
          <w:szCs w:val="24"/>
        </w:rPr>
        <w:t xml:space="preserve"> or</w:t>
      </w:r>
      <w:r w:rsidR="0028535A" w:rsidRPr="00AF455E">
        <w:rPr>
          <w:rFonts w:ascii="Times New Roman" w:eastAsia="Calibri" w:hAnsi="Times New Roman" w:cs="Times New Roman"/>
          <w:sz w:val="24"/>
          <w:szCs w:val="24"/>
        </w:rPr>
        <w:t xml:space="preserve"> inco</w:t>
      </w:r>
      <w:r w:rsidR="001A0BB6" w:rsidRPr="00AF455E">
        <w:rPr>
          <w:rFonts w:ascii="Times New Roman" w:eastAsia="Calibri" w:hAnsi="Times New Roman" w:cs="Times New Roman"/>
          <w:sz w:val="24"/>
          <w:szCs w:val="24"/>
        </w:rPr>
        <w:t>r</w:t>
      </w:r>
      <w:r w:rsidR="0028535A" w:rsidRPr="00AF455E">
        <w:rPr>
          <w:rFonts w:ascii="Times New Roman" w:eastAsia="Calibri" w:hAnsi="Times New Roman" w:cs="Times New Roman"/>
          <w:sz w:val="24"/>
          <w:szCs w:val="24"/>
        </w:rPr>
        <w:t>p</w:t>
      </w:r>
      <w:r w:rsidR="001A0BB6" w:rsidRPr="00AF455E">
        <w:rPr>
          <w:rFonts w:ascii="Times New Roman" w:eastAsia="Calibri" w:hAnsi="Times New Roman" w:cs="Times New Roman"/>
          <w:sz w:val="24"/>
          <w:szCs w:val="24"/>
        </w:rPr>
        <w:t>o</w:t>
      </w:r>
      <w:r w:rsidR="0028535A" w:rsidRPr="00AF455E">
        <w:rPr>
          <w:rFonts w:ascii="Times New Roman" w:eastAsia="Calibri" w:hAnsi="Times New Roman" w:cs="Times New Roman"/>
          <w:sz w:val="24"/>
          <w:szCs w:val="24"/>
        </w:rPr>
        <w:t>rate</w:t>
      </w:r>
      <w:r w:rsidR="00950489" w:rsidRPr="00AF455E">
        <w:rPr>
          <w:rFonts w:ascii="Times New Roman" w:eastAsia="Calibri" w:hAnsi="Times New Roman" w:cs="Times New Roman"/>
          <w:sz w:val="24"/>
          <w:szCs w:val="24"/>
        </w:rPr>
        <w:t>,</w:t>
      </w:r>
      <w:r w:rsidR="0028535A" w:rsidRPr="00AF455E">
        <w:rPr>
          <w:rFonts w:ascii="Times New Roman" w:eastAsia="Calibri" w:hAnsi="Times New Roman" w:cs="Times New Roman"/>
          <w:sz w:val="24"/>
          <w:szCs w:val="24"/>
        </w:rPr>
        <w:t xml:space="preserve"> with or witho</w:t>
      </w:r>
      <w:r w:rsidR="001A0BB6" w:rsidRPr="00AF455E">
        <w:rPr>
          <w:rFonts w:ascii="Times New Roman" w:eastAsia="Calibri" w:hAnsi="Times New Roman" w:cs="Times New Roman"/>
          <w:sz w:val="24"/>
          <w:szCs w:val="24"/>
        </w:rPr>
        <w:t>u</w:t>
      </w:r>
      <w:r w:rsidR="0028535A" w:rsidRPr="00AF455E">
        <w:rPr>
          <w:rFonts w:ascii="Times New Roman" w:eastAsia="Calibri" w:hAnsi="Times New Roman" w:cs="Times New Roman"/>
          <w:sz w:val="24"/>
          <w:szCs w:val="24"/>
        </w:rPr>
        <w:t>t modification</w:t>
      </w:r>
      <w:r w:rsidR="00950489" w:rsidRPr="00AF455E">
        <w:rPr>
          <w:rFonts w:ascii="Times New Roman" w:eastAsia="Calibri" w:hAnsi="Times New Roman" w:cs="Times New Roman"/>
          <w:sz w:val="24"/>
          <w:szCs w:val="24"/>
        </w:rPr>
        <w:t>,</w:t>
      </w:r>
      <w:r w:rsidR="0028535A" w:rsidRPr="00AF455E">
        <w:rPr>
          <w:rFonts w:ascii="Times New Roman" w:eastAsia="Calibri" w:hAnsi="Times New Roman" w:cs="Times New Roman"/>
          <w:sz w:val="24"/>
          <w:szCs w:val="24"/>
        </w:rPr>
        <w:t xml:space="preserve"> any matter contained in an instrument as in force o</w:t>
      </w:r>
      <w:r w:rsidR="00950489" w:rsidRPr="00AF455E">
        <w:rPr>
          <w:rFonts w:ascii="Times New Roman" w:eastAsia="Calibri" w:hAnsi="Times New Roman" w:cs="Times New Roman"/>
          <w:sz w:val="24"/>
          <w:szCs w:val="24"/>
        </w:rPr>
        <w:t>r</w:t>
      </w:r>
      <w:r w:rsidR="0028535A" w:rsidRPr="00AF455E">
        <w:rPr>
          <w:rFonts w:ascii="Times New Roman" w:eastAsia="Calibri" w:hAnsi="Times New Roman" w:cs="Times New Roman"/>
          <w:sz w:val="24"/>
          <w:szCs w:val="24"/>
        </w:rPr>
        <w:t xml:space="preserve"> existing from time to time. </w:t>
      </w:r>
      <w:r w:rsidRPr="00AF455E">
        <w:rPr>
          <w:rFonts w:ascii="Times New Roman" w:eastAsia="Calibri" w:hAnsi="Times New Roman" w:cs="Times New Roman"/>
          <w:sz w:val="24"/>
          <w:szCs w:val="24"/>
        </w:rPr>
        <w:t xml:space="preserve">The incorporated determinations, past, </w:t>
      </w:r>
      <w:proofErr w:type="gramStart"/>
      <w:r w:rsidRPr="00AF455E">
        <w:rPr>
          <w:rFonts w:ascii="Times New Roman" w:eastAsia="Calibri" w:hAnsi="Times New Roman" w:cs="Times New Roman"/>
          <w:sz w:val="24"/>
          <w:szCs w:val="24"/>
        </w:rPr>
        <w:t>present</w:t>
      </w:r>
      <w:proofErr w:type="gramEnd"/>
      <w:r w:rsidRPr="00AF455E">
        <w:rPr>
          <w:rFonts w:ascii="Times New Roman" w:eastAsia="Calibri" w:hAnsi="Times New Roman" w:cs="Times New Roman"/>
          <w:sz w:val="24"/>
          <w:szCs w:val="24"/>
        </w:rPr>
        <w:t xml:space="preserve"> and future, are freely and publicly available or will be available on the Federal Register of Legislation. </w:t>
      </w:r>
      <w:r w:rsidRPr="00AF455E">
        <w:rPr>
          <w:rFonts w:ascii="Times New Roman" w:eastAsia="Calibri" w:hAnsi="Times New Roman" w:cs="Times New Roman"/>
          <w:i/>
          <w:sz w:val="24"/>
          <w:szCs w:val="24"/>
        </w:rPr>
        <w:t> </w:t>
      </w:r>
    </w:p>
    <w:p w14:paraId="02C29A39" w14:textId="6CE1DD0C" w:rsidR="00F11482" w:rsidRPr="00AF455E" w:rsidRDefault="00092D3E"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w:t>
      </w:r>
      <w:r w:rsidR="00281C86" w:rsidRPr="00AF455E">
        <w:rPr>
          <w:rFonts w:ascii="Times New Roman" w:eastAsia="Calibri" w:hAnsi="Times New Roman" w:cs="Times New Roman"/>
          <w:sz w:val="24"/>
          <w:szCs w:val="24"/>
        </w:rPr>
        <w:t>proposed Regulations</w:t>
      </w:r>
      <w:r w:rsidR="00F11482" w:rsidRPr="00AF455E">
        <w:rPr>
          <w:rFonts w:ascii="Times New Roman" w:eastAsia="Calibri" w:hAnsi="Times New Roman" w:cs="Times New Roman"/>
          <w:sz w:val="24"/>
          <w:szCs w:val="24"/>
        </w:rPr>
        <w:t xml:space="preserve"> provide the formula for calculating </w:t>
      </w:r>
      <w:r w:rsidR="007F6F91" w:rsidRPr="00AF455E">
        <w:rPr>
          <w:rFonts w:ascii="Times New Roman" w:eastAsia="Calibri" w:hAnsi="Times New Roman" w:cs="Times New Roman"/>
          <w:sz w:val="24"/>
          <w:szCs w:val="24"/>
        </w:rPr>
        <w:t xml:space="preserve">the </w:t>
      </w:r>
      <w:r w:rsidR="00F11482" w:rsidRPr="00AF455E">
        <w:rPr>
          <w:rFonts w:ascii="Times New Roman" w:eastAsia="Calibri" w:hAnsi="Times New Roman" w:cs="Times New Roman"/>
          <w:sz w:val="24"/>
          <w:szCs w:val="24"/>
        </w:rPr>
        <w:t>‘benchmark return’ for a standard Part 6A product.</w:t>
      </w:r>
    </w:p>
    <w:p w14:paraId="5631649A" w14:textId="3F031CCD" w:rsidR="00F11482" w:rsidRPr="00AF455E" w:rsidRDefault="00F11482" w:rsidP="00011868">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The variables in the formula include ‘n’</w:t>
      </w:r>
      <w:r w:rsidR="00D16AB0" w:rsidRPr="00AF455E">
        <w:rPr>
          <w:rFonts w:ascii="Times New Roman" w:eastAsia="Calibri" w:hAnsi="Times New Roman" w:cs="Times New Roman"/>
          <w:sz w:val="24"/>
          <w:szCs w:val="24"/>
        </w:rPr>
        <w:t xml:space="preserve"> and</w:t>
      </w:r>
      <w:r w:rsidRPr="00AF455E" w:rsidDel="00011868">
        <w:rPr>
          <w:rFonts w:ascii="Times New Roman" w:eastAsia="Calibri" w:hAnsi="Times New Roman" w:cs="Times New Roman"/>
          <w:sz w:val="24"/>
          <w:szCs w:val="24"/>
        </w:rPr>
        <w:t xml:space="preserve"> </w:t>
      </w:r>
      <w:r w:rsidRPr="00AF455E">
        <w:rPr>
          <w:rFonts w:ascii="Times New Roman" w:eastAsia="Calibri" w:hAnsi="Times New Roman" w:cs="Times New Roman"/>
          <w:sz w:val="24"/>
          <w:szCs w:val="24"/>
        </w:rPr>
        <w:t xml:space="preserve">‘t’, which have the same meaning as in the formula for calculating </w:t>
      </w:r>
      <w:r w:rsidR="007F6F91" w:rsidRPr="00AF455E">
        <w:rPr>
          <w:rFonts w:ascii="Times New Roman" w:eastAsia="Calibri" w:hAnsi="Times New Roman" w:cs="Times New Roman"/>
          <w:sz w:val="24"/>
          <w:szCs w:val="24"/>
        </w:rPr>
        <w:t xml:space="preserve">the </w:t>
      </w:r>
      <w:r w:rsidRPr="00AF455E">
        <w:rPr>
          <w:rFonts w:ascii="Times New Roman" w:eastAsia="Calibri" w:hAnsi="Times New Roman" w:cs="Times New Roman"/>
          <w:sz w:val="24"/>
          <w:szCs w:val="24"/>
        </w:rPr>
        <w:t>‘</w:t>
      </w:r>
      <w:r w:rsidR="00AA0682" w:rsidRPr="00AF455E">
        <w:rPr>
          <w:rFonts w:ascii="Times New Roman" w:eastAsia="Calibri" w:hAnsi="Times New Roman" w:cs="Times New Roman"/>
          <w:sz w:val="24"/>
          <w:szCs w:val="24"/>
        </w:rPr>
        <w:t>actual</w:t>
      </w:r>
      <w:r w:rsidRPr="00AF455E">
        <w:rPr>
          <w:rFonts w:ascii="Times New Roman" w:eastAsia="Calibri" w:hAnsi="Times New Roman" w:cs="Times New Roman"/>
          <w:sz w:val="24"/>
          <w:szCs w:val="24"/>
        </w:rPr>
        <w:t xml:space="preserve"> return’ (see above). </w:t>
      </w:r>
    </w:p>
    <w:p w14:paraId="3FED3AE4" w14:textId="1FEB2114"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It is necessary to refer to a table of covered asset classes with corresponding fee, </w:t>
      </w:r>
      <w:proofErr w:type="gramStart"/>
      <w:r w:rsidRPr="00AF455E">
        <w:rPr>
          <w:rFonts w:ascii="Times New Roman" w:eastAsia="Calibri" w:hAnsi="Times New Roman" w:cs="Times New Roman"/>
          <w:sz w:val="24"/>
          <w:szCs w:val="24"/>
        </w:rPr>
        <w:t>tax</w:t>
      </w:r>
      <w:proofErr w:type="gramEnd"/>
      <w:r w:rsidRPr="00AF455E">
        <w:rPr>
          <w:rFonts w:ascii="Times New Roman" w:eastAsia="Calibri" w:hAnsi="Times New Roman" w:cs="Times New Roman"/>
          <w:sz w:val="24"/>
          <w:szCs w:val="24"/>
        </w:rPr>
        <w:t xml:space="preserve"> </w:t>
      </w:r>
      <w:r w:rsidRPr="00AF455E">
        <w:rPr>
          <w:rFonts w:ascii="Times New Roman" w:eastAsia="Calibri" w:hAnsi="Times New Roman" w:cs="Times New Roman"/>
          <w:sz w:val="24"/>
          <w:szCs w:val="24"/>
        </w:rPr>
        <w:lastRenderedPageBreak/>
        <w:t xml:space="preserve">and index assumptions (inserted by the proposed Regulations) in order to derive or unpack the other variables and components of the formula. The table inserted by the </w:t>
      </w:r>
      <w:r w:rsidR="003E57EC" w:rsidRPr="00AF455E">
        <w:rPr>
          <w:rFonts w:ascii="Times New Roman" w:eastAsia="Calibri" w:hAnsi="Times New Roman" w:cs="Times New Roman"/>
          <w:sz w:val="24"/>
          <w:szCs w:val="24"/>
        </w:rPr>
        <w:t>proposed R</w:t>
      </w:r>
      <w:r w:rsidRPr="00AF455E">
        <w:rPr>
          <w:rFonts w:ascii="Times New Roman" w:eastAsia="Calibri" w:hAnsi="Times New Roman" w:cs="Times New Roman"/>
          <w:sz w:val="24"/>
          <w:szCs w:val="24"/>
        </w:rPr>
        <w:t xml:space="preserve">egulations covers the assumptions that apply for the quarters </w:t>
      </w:r>
      <w:r w:rsidR="00C22808" w:rsidRPr="00AF455E">
        <w:rPr>
          <w:rFonts w:ascii="Times New Roman" w:eastAsia="Calibri" w:hAnsi="Times New Roman" w:cs="Times New Roman"/>
          <w:sz w:val="24"/>
          <w:szCs w:val="24"/>
        </w:rPr>
        <w:t>starting</w:t>
      </w:r>
      <w:r w:rsidRPr="00AF455E">
        <w:rPr>
          <w:rFonts w:ascii="Times New Roman" w:eastAsia="Calibri" w:hAnsi="Times New Roman" w:cs="Times New Roman"/>
          <w:sz w:val="24"/>
          <w:szCs w:val="24"/>
        </w:rPr>
        <w:t xml:space="preserve"> on or </w:t>
      </w:r>
      <w:r w:rsidR="00AC406E" w:rsidRPr="00AF455E">
        <w:rPr>
          <w:rFonts w:ascii="Times New Roman" w:eastAsia="Calibri" w:hAnsi="Times New Roman" w:cs="Times New Roman"/>
          <w:sz w:val="24"/>
          <w:szCs w:val="24"/>
        </w:rPr>
        <w:t xml:space="preserve">after </w:t>
      </w:r>
      <w:r w:rsidR="00F627DA" w:rsidRPr="00AF455E">
        <w:rPr>
          <w:rFonts w:ascii="Times New Roman" w:eastAsia="Calibri" w:hAnsi="Times New Roman" w:cs="Times New Roman"/>
          <w:sz w:val="24"/>
          <w:szCs w:val="24"/>
        </w:rPr>
        <w:t>1</w:t>
      </w:r>
      <w:r w:rsidR="00744F48" w:rsidRPr="00AF455E">
        <w:rPr>
          <w:rFonts w:ascii="Times New Roman" w:eastAsia="Calibri" w:hAnsi="Times New Roman" w:cs="Times New Roman"/>
          <w:sz w:val="24"/>
          <w:szCs w:val="24"/>
        </w:rPr>
        <w:t> </w:t>
      </w:r>
      <w:r w:rsidR="00F627DA" w:rsidRPr="00AF455E">
        <w:rPr>
          <w:rFonts w:ascii="Times New Roman" w:eastAsia="Calibri" w:hAnsi="Times New Roman" w:cs="Times New Roman"/>
          <w:sz w:val="24"/>
          <w:szCs w:val="24"/>
        </w:rPr>
        <w:t>July</w:t>
      </w:r>
      <w:r w:rsidR="00744F48" w:rsidRPr="00AF455E">
        <w:rPr>
          <w:rFonts w:ascii="Times New Roman" w:eastAsia="Calibri" w:hAnsi="Times New Roman" w:cs="Times New Roman"/>
          <w:sz w:val="24"/>
          <w:szCs w:val="24"/>
        </w:rPr>
        <w:t> </w:t>
      </w:r>
      <w:r w:rsidR="00F627DA" w:rsidRPr="00AF455E">
        <w:rPr>
          <w:rFonts w:ascii="Times New Roman" w:eastAsia="Calibri" w:hAnsi="Times New Roman" w:cs="Times New Roman"/>
          <w:sz w:val="24"/>
          <w:szCs w:val="24"/>
        </w:rPr>
        <w:t>2014</w:t>
      </w:r>
      <w:r w:rsidRPr="00AF455E">
        <w:rPr>
          <w:rFonts w:ascii="Times New Roman" w:eastAsia="Calibri" w:hAnsi="Times New Roman" w:cs="Times New Roman"/>
          <w:sz w:val="24"/>
          <w:szCs w:val="24"/>
        </w:rPr>
        <w:t xml:space="preserve">, which corresponds to </w:t>
      </w:r>
      <w:r w:rsidR="00677221" w:rsidRPr="00AF455E">
        <w:rPr>
          <w:rFonts w:ascii="Times New Roman" w:eastAsia="Calibri" w:hAnsi="Times New Roman" w:cs="Times New Roman"/>
          <w:sz w:val="24"/>
          <w:szCs w:val="24"/>
        </w:rPr>
        <w:t xml:space="preserve">the </w:t>
      </w:r>
      <w:r w:rsidRPr="00AF455E">
        <w:rPr>
          <w:rFonts w:ascii="Times New Roman" w:eastAsia="Calibri" w:hAnsi="Times New Roman" w:cs="Times New Roman"/>
          <w:sz w:val="24"/>
          <w:szCs w:val="24"/>
        </w:rPr>
        <w:t>first quarter included in the lookback period for products with 8 or more financial years of performance history, as of 1</w:t>
      </w:r>
      <w:r w:rsidR="00C55006" w:rsidRPr="00AF455E">
        <w:rPr>
          <w:rFonts w:ascii="Times New Roman" w:eastAsia="Calibri" w:hAnsi="Times New Roman" w:cs="Times New Roman"/>
          <w:sz w:val="24"/>
          <w:szCs w:val="24"/>
        </w:rPr>
        <w:t> </w:t>
      </w:r>
      <w:r w:rsidRPr="00AF455E">
        <w:rPr>
          <w:rFonts w:ascii="Times New Roman" w:eastAsia="Calibri" w:hAnsi="Times New Roman" w:cs="Times New Roman"/>
          <w:sz w:val="24"/>
          <w:szCs w:val="24"/>
        </w:rPr>
        <w:t>July</w:t>
      </w:r>
      <w:r w:rsidR="00C55006" w:rsidRPr="00AF455E">
        <w:rPr>
          <w:rFonts w:ascii="Times New Roman" w:eastAsia="Calibri" w:hAnsi="Times New Roman" w:cs="Times New Roman"/>
          <w:sz w:val="24"/>
          <w:szCs w:val="24"/>
        </w:rPr>
        <w:t> </w:t>
      </w:r>
      <w:r w:rsidRPr="00AF455E">
        <w:rPr>
          <w:rFonts w:ascii="Times New Roman" w:eastAsia="Calibri" w:hAnsi="Times New Roman" w:cs="Times New Roman"/>
          <w:sz w:val="24"/>
          <w:szCs w:val="24"/>
        </w:rPr>
        <w:t>2021.</w:t>
      </w:r>
    </w:p>
    <w:p w14:paraId="0AF91998" w14:textId="208B9594"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variable ‘a’ represents a </w:t>
      </w:r>
      <w:r w:rsidR="00A82C9B" w:rsidRPr="00AF455E">
        <w:rPr>
          <w:rFonts w:ascii="Times New Roman" w:eastAsia="Calibri" w:hAnsi="Times New Roman" w:cs="Times New Roman"/>
          <w:sz w:val="24"/>
          <w:szCs w:val="24"/>
        </w:rPr>
        <w:t>‘</w:t>
      </w:r>
      <w:r w:rsidRPr="00AF455E">
        <w:rPr>
          <w:rFonts w:ascii="Times New Roman" w:eastAsia="Calibri" w:hAnsi="Times New Roman" w:cs="Times New Roman"/>
          <w:sz w:val="24"/>
          <w:szCs w:val="24"/>
        </w:rPr>
        <w:t>covered asset class</w:t>
      </w:r>
      <w:r w:rsidR="00A82C9B" w:rsidRPr="00AF455E">
        <w:rPr>
          <w:rFonts w:ascii="Times New Roman" w:eastAsia="Calibri" w:hAnsi="Times New Roman" w:cs="Times New Roman"/>
          <w:sz w:val="24"/>
          <w:szCs w:val="24"/>
        </w:rPr>
        <w:t>’</w:t>
      </w:r>
      <w:r w:rsidRPr="00AF455E">
        <w:rPr>
          <w:rFonts w:ascii="Times New Roman" w:eastAsia="Calibri" w:hAnsi="Times New Roman" w:cs="Times New Roman"/>
          <w:sz w:val="24"/>
          <w:szCs w:val="24"/>
        </w:rPr>
        <w:t>, which can be identified in the table of assumptions</w:t>
      </w:r>
      <w:r w:rsidR="00A82C9B" w:rsidRPr="00AF455E">
        <w:rPr>
          <w:rFonts w:ascii="Times New Roman" w:eastAsia="Calibri" w:hAnsi="Times New Roman" w:cs="Times New Roman"/>
          <w:sz w:val="24"/>
          <w:szCs w:val="24"/>
        </w:rPr>
        <w:t xml:space="preserve"> by its description</w:t>
      </w:r>
      <w:r w:rsidRPr="00AF455E">
        <w:rPr>
          <w:rFonts w:ascii="Times New Roman" w:eastAsia="Calibri" w:hAnsi="Times New Roman" w:cs="Times New Roman"/>
          <w:sz w:val="24"/>
          <w:szCs w:val="24"/>
        </w:rPr>
        <w:t>. For example, if a=2, then ‘a’ represents the covered asset class in item 2 of the table, which is International Equity (hedged). The variable ‘A’ means the number of covered asset classes in the table for the quarter. At this point in time, ‘A’ is equal to 1</w:t>
      </w:r>
      <w:r w:rsidR="00744F48" w:rsidRPr="00AF455E">
        <w:rPr>
          <w:rFonts w:ascii="Times New Roman" w:eastAsia="Calibri" w:hAnsi="Times New Roman" w:cs="Times New Roman"/>
          <w:sz w:val="24"/>
          <w:szCs w:val="24"/>
        </w:rPr>
        <w:t>6</w:t>
      </w:r>
      <w:r w:rsidRPr="00AF455E">
        <w:rPr>
          <w:rFonts w:ascii="Times New Roman" w:eastAsia="Calibri" w:hAnsi="Times New Roman" w:cs="Times New Roman"/>
          <w:sz w:val="24"/>
          <w:szCs w:val="24"/>
        </w:rPr>
        <w:t xml:space="preserve"> in every case, as there are 1</w:t>
      </w:r>
      <w:r w:rsidR="00744F48" w:rsidRPr="00AF455E">
        <w:rPr>
          <w:rFonts w:ascii="Times New Roman" w:eastAsia="Calibri" w:hAnsi="Times New Roman" w:cs="Times New Roman"/>
          <w:sz w:val="24"/>
          <w:szCs w:val="24"/>
        </w:rPr>
        <w:t>6</w:t>
      </w:r>
      <w:r w:rsidRPr="00AF455E">
        <w:rPr>
          <w:rFonts w:ascii="Times New Roman" w:eastAsia="Calibri" w:hAnsi="Times New Roman" w:cs="Times New Roman"/>
          <w:sz w:val="24"/>
          <w:szCs w:val="24"/>
        </w:rPr>
        <w:t xml:space="preserve"> items in the table for qu</w:t>
      </w:r>
      <w:r w:rsidR="00F627DA" w:rsidRPr="00AF455E">
        <w:rPr>
          <w:rFonts w:ascii="Times New Roman" w:eastAsia="Calibri" w:hAnsi="Times New Roman" w:cs="Times New Roman"/>
          <w:sz w:val="24"/>
          <w:szCs w:val="24"/>
        </w:rPr>
        <w:t xml:space="preserve">arters </w:t>
      </w:r>
      <w:r w:rsidR="00C22808" w:rsidRPr="00AF455E">
        <w:rPr>
          <w:rFonts w:ascii="Times New Roman" w:eastAsia="Calibri" w:hAnsi="Times New Roman" w:cs="Times New Roman"/>
          <w:sz w:val="24"/>
          <w:szCs w:val="24"/>
        </w:rPr>
        <w:t>starting</w:t>
      </w:r>
      <w:r w:rsidR="00F627DA" w:rsidRPr="00AF455E">
        <w:rPr>
          <w:rFonts w:ascii="Times New Roman" w:eastAsia="Calibri" w:hAnsi="Times New Roman" w:cs="Times New Roman"/>
          <w:sz w:val="24"/>
          <w:szCs w:val="24"/>
        </w:rPr>
        <w:t xml:space="preserve"> on or after 1</w:t>
      </w:r>
      <w:r w:rsidR="00AC406E" w:rsidRPr="00AF455E">
        <w:rPr>
          <w:rFonts w:ascii="Times New Roman" w:eastAsia="Calibri" w:hAnsi="Times New Roman" w:cs="Times New Roman"/>
          <w:sz w:val="24"/>
          <w:szCs w:val="24"/>
        </w:rPr>
        <w:t xml:space="preserve"> </w:t>
      </w:r>
      <w:r w:rsidR="00F627DA" w:rsidRPr="00AF455E">
        <w:rPr>
          <w:rFonts w:ascii="Times New Roman" w:eastAsia="Calibri" w:hAnsi="Times New Roman" w:cs="Times New Roman"/>
          <w:sz w:val="24"/>
          <w:szCs w:val="24"/>
        </w:rPr>
        <w:t>July</w:t>
      </w:r>
      <w:r w:rsidRPr="00AF455E">
        <w:rPr>
          <w:rFonts w:ascii="Times New Roman" w:eastAsia="Calibri" w:hAnsi="Times New Roman" w:cs="Times New Roman"/>
          <w:sz w:val="24"/>
          <w:szCs w:val="24"/>
        </w:rPr>
        <w:t xml:space="preserve"> 2014. Future amendments to the table</w:t>
      </w:r>
      <w:r w:rsidR="003E57EC" w:rsidRPr="00AF455E">
        <w:rPr>
          <w:rFonts w:ascii="Times New Roman" w:eastAsia="Calibri" w:hAnsi="Times New Roman" w:cs="Times New Roman"/>
          <w:sz w:val="24"/>
          <w:szCs w:val="24"/>
        </w:rPr>
        <w:t xml:space="preserve"> of</w:t>
      </w:r>
      <w:r w:rsidRPr="00AF455E">
        <w:rPr>
          <w:rFonts w:ascii="Times New Roman" w:eastAsia="Calibri" w:hAnsi="Times New Roman" w:cs="Times New Roman"/>
          <w:sz w:val="24"/>
          <w:szCs w:val="24"/>
        </w:rPr>
        <w:t xml:space="preserve"> </w:t>
      </w:r>
      <w:r w:rsidR="003E57EC" w:rsidRPr="00AF455E">
        <w:rPr>
          <w:rFonts w:ascii="Times New Roman" w:eastAsia="Calibri" w:hAnsi="Times New Roman" w:cs="Times New Roman"/>
          <w:sz w:val="24"/>
          <w:szCs w:val="24"/>
        </w:rPr>
        <w:t>assumptions</w:t>
      </w:r>
      <w:r w:rsidRPr="00AF455E">
        <w:rPr>
          <w:rFonts w:ascii="Times New Roman" w:eastAsia="Calibri" w:hAnsi="Times New Roman" w:cs="Times New Roman"/>
          <w:sz w:val="24"/>
          <w:szCs w:val="24"/>
        </w:rPr>
        <w:t xml:space="preserve"> could add additional asset classes for different quarters, in which case ‘A’ may take on a different value. </w:t>
      </w:r>
    </w:p>
    <w:p w14:paraId="11578AC1" w14:textId="25F60C5C" w:rsidR="00F11482" w:rsidRPr="00AF455E" w:rsidRDefault="00F11482" w:rsidP="00F11482">
      <w:pPr>
        <w:widowControl w:val="0"/>
        <w:adjustRightInd w:val="0"/>
        <w:jc w:val="both"/>
        <w:textAlignment w:val="baseline"/>
        <w:rPr>
          <w:rFonts w:ascii="Times New Roman" w:eastAsia="Calibri" w:hAnsi="Times New Roman" w:cs="Times New Roman"/>
          <w:i/>
          <w:sz w:val="24"/>
          <w:szCs w:val="24"/>
        </w:rPr>
      </w:pPr>
      <w:r w:rsidRPr="00AF455E">
        <w:rPr>
          <w:rFonts w:ascii="Times New Roman" w:eastAsia="Calibri" w:hAnsi="Times New Roman" w:cs="Times New Roman"/>
          <w:sz w:val="24"/>
          <w:szCs w:val="24"/>
        </w:rPr>
        <w:t>The variable ‘SAA’</w:t>
      </w:r>
      <w:r w:rsidRPr="00AF455E">
        <w:rPr>
          <w:rFonts w:ascii="Times New Roman" w:eastAsia="Times New Roman" w:hAnsi="Times New Roman" w:cs="Times New Roman"/>
          <w:sz w:val="24"/>
          <w:szCs w:val="24"/>
          <w:lang w:eastAsia="en-AU"/>
        </w:rPr>
        <w:t xml:space="preserve"> </w:t>
      </w:r>
      <w:r w:rsidR="00A0502E" w:rsidRPr="00AF455E">
        <w:rPr>
          <w:rFonts w:ascii="Times New Roman" w:eastAsia="Times New Roman" w:hAnsi="Times New Roman" w:cs="Times New Roman"/>
          <w:sz w:val="24"/>
          <w:szCs w:val="24"/>
          <w:lang w:eastAsia="en-AU"/>
        </w:rPr>
        <w:t xml:space="preserve">generally </w:t>
      </w:r>
      <w:r w:rsidRPr="00AF455E">
        <w:rPr>
          <w:rFonts w:ascii="Times New Roman" w:eastAsia="Calibri" w:hAnsi="Times New Roman" w:cs="Times New Roman"/>
          <w:sz w:val="24"/>
          <w:szCs w:val="24"/>
        </w:rPr>
        <w:t xml:space="preserve">means the product’s strategic asset allocation. ‘Strategic asset allocation’ </w:t>
      </w:r>
      <w:r w:rsidR="00E45BB5" w:rsidRPr="00AF455E">
        <w:rPr>
          <w:rFonts w:ascii="Times New Roman" w:eastAsia="Calibri" w:hAnsi="Times New Roman" w:cs="Times New Roman"/>
          <w:sz w:val="24"/>
          <w:szCs w:val="24"/>
        </w:rPr>
        <w:t xml:space="preserve">is the benchmark asset allocation value reported to APRA through the </w:t>
      </w:r>
      <w:r w:rsidRPr="00AF455E">
        <w:rPr>
          <w:rFonts w:ascii="Times New Roman" w:eastAsia="Calibri" w:hAnsi="Times New Roman" w:cs="Times New Roman"/>
          <w:i/>
          <w:sz w:val="24"/>
          <w:szCs w:val="24"/>
        </w:rPr>
        <w:t xml:space="preserve">Financial Sector (Collection of Data) (reporting standard) determination No. 13 of 2015 </w:t>
      </w:r>
      <w:r w:rsidRPr="00AF455E">
        <w:rPr>
          <w:rFonts w:ascii="Times New Roman" w:eastAsia="Calibri" w:hAnsi="Times New Roman" w:cs="Times New Roman"/>
          <w:sz w:val="24"/>
          <w:szCs w:val="24"/>
        </w:rPr>
        <w:t xml:space="preserve">or an analogous legislative instrument that was in force in the past or that is made in the future to replace that instrument. </w:t>
      </w:r>
      <w:r w:rsidR="00EE38E7" w:rsidRPr="00AF455E">
        <w:rPr>
          <w:rFonts w:ascii="Times New Roman" w:eastAsia="Calibri" w:hAnsi="Times New Roman" w:cs="Times New Roman"/>
          <w:sz w:val="24"/>
          <w:szCs w:val="24"/>
        </w:rPr>
        <w:t xml:space="preserve">Such instruments are defined as the </w:t>
      </w:r>
      <w:r w:rsidR="003913AD" w:rsidRPr="00AF455E">
        <w:rPr>
          <w:rFonts w:ascii="Times New Roman" w:eastAsia="Calibri" w:hAnsi="Times New Roman" w:cs="Times New Roman"/>
          <w:sz w:val="24"/>
          <w:szCs w:val="24"/>
        </w:rPr>
        <w:t>‘</w:t>
      </w:r>
      <w:r w:rsidR="00EE38E7" w:rsidRPr="00AF455E">
        <w:rPr>
          <w:rFonts w:ascii="Times New Roman" w:eastAsia="Calibri" w:hAnsi="Times New Roman" w:cs="Times New Roman"/>
          <w:sz w:val="24"/>
          <w:szCs w:val="24"/>
        </w:rPr>
        <w:t xml:space="preserve">asset allocation standard’ in the proposed Regulations. </w:t>
      </w:r>
      <w:r w:rsidRPr="00AF455E">
        <w:rPr>
          <w:rFonts w:ascii="Times New Roman" w:eastAsia="Calibri" w:hAnsi="Times New Roman" w:cs="Times New Roman"/>
          <w:sz w:val="24"/>
          <w:szCs w:val="24"/>
        </w:rPr>
        <w:t xml:space="preserve">‘SAA’ is reported to APRA on a quarterly basis. The proposed Regulations incorporate the </w:t>
      </w:r>
      <w:r w:rsidRPr="00AF455E">
        <w:rPr>
          <w:rFonts w:ascii="Times New Roman" w:eastAsia="Calibri" w:hAnsi="Times New Roman" w:cs="Times New Roman"/>
          <w:i/>
          <w:sz w:val="24"/>
          <w:szCs w:val="24"/>
        </w:rPr>
        <w:t xml:space="preserve">Financial Sector (Collection of Data) (reporting standard) determination No. 13 of 2015 </w:t>
      </w:r>
      <w:r w:rsidRPr="00AF455E">
        <w:rPr>
          <w:rFonts w:ascii="Times New Roman" w:eastAsia="Calibri" w:hAnsi="Times New Roman" w:cs="Times New Roman"/>
          <w:sz w:val="24"/>
          <w:szCs w:val="24"/>
        </w:rPr>
        <w:t>as in force at the commencement of the instrument</w:t>
      </w:r>
      <w:r w:rsidRPr="00AF455E">
        <w:rPr>
          <w:rFonts w:ascii="Times New Roman" w:eastAsia="Calibri" w:hAnsi="Times New Roman" w:cs="Times New Roman"/>
          <w:i/>
          <w:sz w:val="24"/>
          <w:szCs w:val="24"/>
        </w:rPr>
        <w:t xml:space="preserve">, </w:t>
      </w:r>
      <w:r w:rsidRPr="00AF455E">
        <w:rPr>
          <w:rFonts w:ascii="Times New Roman" w:eastAsia="Calibri" w:hAnsi="Times New Roman" w:cs="Times New Roman"/>
          <w:sz w:val="24"/>
          <w:szCs w:val="24"/>
        </w:rPr>
        <w:t xml:space="preserve">and analogous past and future instruments. The incorporated determinations, past, </w:t>
      </w:r>
      <w:proofErr w:type="gramStart"/>
      <w:r w:rsidRPr="00AF455E">
        <w:rPr>
          <w:rFonts w:ascii="Times New Roman" w:eastAsia="Calibri" w:hAnsi="Times New Roman" w:cs="Times New Roman"/>
          <w:sz w:val="24"/>
          <w:szCs w:val="24"/>
        </w:rPr>
        <w:t>present</w:t>
      </w:r>
      <w:proofErr w:type="gramEnd"/>
      <w:r w:rsidRPr="00AF455E">
        <w:rPr>
          <w:rFonts w:ascii="Times New Roman" w:eastAsia="Calibri" w:hAnsi="Times New Roman" w:cs="Times New Roman"/>
          <w:sz w:val="24"/>
          <w:szCs w:val="24"/>
        </w:rPr>
        <w:t xml:space="preserve"> and future, are freely and publicly available or will be available on the Federal Register of Legislation. </w:t>
      </w:r>
      <w:r w:rsidRPr="00AF455E">
        <w:rPr>
          <w:rFonts w:ascii="Times New Roman" w:eastAsia="Calibri" w:hAnsi="Times New Roman" w:cs="Times New Roman"/>
          <w:i/>
          <w:sz w:val="24"/>
          <w:szCs w:val="24"/>
        </w:rPr>
        <w:t> </w:t>
      </w:r>
    </w:p>
    <w:p w14:paraId="6672B9DF" w14:textId="594E7311"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For a given quarter t, the value of </w:t>
      </w:r>
      <w:r w:rsidR="00106925" w:rsidRPr="00AF455E">
        <w:rPr>
          <w:rFonts w:ascii="Times New Roman" w:eastAsia="Calibri" w:hAnsi="Times New Roman" w:cs="Times New Roman"/>
          <w:sz w:val="24"/>
          <w:szCs w:val="24"/>
        </w:rPr>
        <w:t>‘</w:t>
      </w:r>
      <w:r w:rsidRPr="00AF455E">
        <w:rPr>
          <w:rFonts w:ascii="Times New Roman" w:eastAsia="Calibri" w:hAnsi="Times New Roman" w:cs="Times New Roman"/>
          <w:sz w:val="24"/>
          <w:szCs w:val="24"/>
        </w:rPr>
        <w:t>SAA</w:t>
      </w:r>
      <w:r w:rsidR="00106925" w:rsidRPr="00AF455E">
        <w:rPr>
          <w:rFonts w:ascii="Times New Roman" w:eastAsia="Calibri" w:hAnsi="Times New Roman" w:cs="Times New Roman"/>
          <w:sz w:val="24"/>
          <w:szCs w:val="24"/>
        </w:rPr>
        <w:t>’</w:t>
      </w:r>
      <w:r w:rsidRPr="00AF455E">
        <w:rPr>
          <w:rFonts w:ascii="Times New Roman" w:eastAsia="Calibri" w:hAnsi="Times New Roman" w:cs="Times New Roman"/>
          <w:sz w:val="24"/>
          <w:szCs w:val="24"/>
        </w:rPr>
        <w:t xml:space="preserve"> used in the formula will be the value as at the end of quarter t-1 (that is, the value reported to APRA for the preceding quarter). In other words, </w:t>
      </w:r>
      <m:oMath>
        <m:r>
          <m:rPr>
            <m:sty m:val="p"/>
          </m:rPr>
          <w:rPr>
            <w:rFonts w:ascii="Cambria Math" w:eastAsia="Calibri" w:hAnsi="Cambria Math" w:cs="Times New Roman"/>
            <w:sz w:val="24"/>
            <w:szCs w:val="24"/>
          </w:rPr>
          <m:t>SA</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A</m:t>
            </m:r>
          </m:e>
          <m:sub>
            <m:r>
              <m:rPr>
                <m:sty m:val="p"/>
              </m:rPr>
              <w:rPr>
                <w:rFonts w:ascii="Cambria Math" w:eastAsia="Calibri" w:hAnsi="Cambria Math" w:cs="Times New Roman"/>
                <w:sz w:val="24"/>
                <w:szCs w:val="24"/>
              </w:rPr>
              <m:t>a,t-1</m:t>
            </m:r>
          </m:sub>
        </m:sSub>
      </m:oMath>
      <w:r w:rsidRPr="00AF455E">
        <w:rPr>
          <w:rFonts w:ascii="Times New Roman" w:eastAsia="Calibri" w:hAnsi="Times New Roman" w:cs="Times New Roman"/>
          <w:sz w:val="24"/>
          <w:szCs w:val="24"/>
        </w:rPr>
        <w:t xml:space="preserve"> represents the strateg</w:t>
      </w:r>
      <w:r w:rsidR="00B96BC1" w:rsidRPr="00AF455E">
        <w:rPr>
          <w:rFonts w:ascii="Times New Roman" w:eastAsia="Calibri" w:hAnsi="Times New Roman" w:cs="Times New Roman"/>
          <w:sz w:val="24"/>
          <w:szCs w:val="24"/>
        </w:rPr>
        <w:t>ic allocation</w:t>
      </w:r>
      <w:r w:rsidRPr="00AF455E">
        <w:rPr>
          <w:rFonts w:ascii="Times New Roman" w:eastAsia="Calibri" w:hAnsi="Times New Roman" w:cs="Times New Roman"/>
          <w:sz w:val="24"/>
          <w:szCs w:val="24"/>
        </w:rPr>
        <w:t xml:space="preserve"> for a given asset class heading into t. </w:t>
      </w:r>
    </w:p>
    <w:p w14:paraId="5A517CD9" w14:textId="07A0D2B6"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However, for a product that is first established in quarter t, there may be no value of </w:t>
      </w:r>
      <w:r w:rsidR="00106925" w:rsidRPr="00AF455E">
        <w:rPr>
          <w:rFonts w:ascii="Times New Roman" w:eastAsia="Calibri" w:hAnsi="Times New Roman" w:cs="Times New Roman"/>
          <w:sz w:val="24"/>
          <w:szCs w:val="24"/>
        </w:rPr>
        <w:t>‘</w:t>
      </w:r>
      <w:r w:rsidRPr="00AF455E">
        <w:rPr>
          <w:rFonts w:ascii="Times New Roman" w:eastAsia="Calibri" w:hAnsi="Times New Roman" w:cs="Times New Roman"/>
          <w:sz w:val="24"/>
          <w:szCs w:val="24"/>
        </w:rPr>
        <w:t>SAA</w:t>
      </w:r>
      <w:r w:rsidR="00106925" w:rsidRPr="00AF455E">
        <w:rPr>
          <w:rFonts w:ascii="Times New Roman" w:eastAsia="Calibri" w:hAnsi="Times New Roman" w:cs="Times New Roman"/>
          <w:sz w:val="24"/>
          <w:szCs w:val="24"/>
        </w:rPr>
        <w:t>’</w:t>
      </w:r>
      <w:r w:rsidRPr="00AF455E">
        <w:rPr>
          <w:rFonts w:ascii="Times New Roman" w:eastAsia="Calibri" w:hAnsi="Times New Roman" w:cs="Times New Roman"/>
          <w:sz w:val="24"/>
          <w:szCs w:val="24"/>
        </w:rPr>
        <w:t xml:space="preserve"> at the end of quarter t-1. In such a case, the value of </w:t>
      </w:r>
      <w:r w:rsidR="00106925" w:rsidRPr="00AF455E">
        <w:rPr>
          <w:rFonts w:ascii="Times New Roman" w:eastAsia="Calibri" w:hAnsi="Times New Roman" w:cs="Times New Roman"/>
          <w:sz w:val="24"/>
          <w:szCs w:val="24"/>
        </w:rPr>
        <w:t>‘</w:t>
      </w:r>
      <w:r w:rsidRPr="00AF455E">
        <w:rPr>
          <w:rFonts w:ascii="Times New Roman" w:eastAsia="Calibri" w:hAnsi="Times New Roman" w:cs="Times New Roman"/>
          <w:sz w:val="24"/>
          <w:szCs w:val="24"/>
        </w:rPr>
        <w:t>SAA</w:t>
      </w:r>
      <w:r w:rsidR="00106925" w:rsidRPr="00AF455E">
        <w:rPr>
          <w:rFonts w:ascii="Times New Roman" w:eastAsia="Calibri" w:hAnsi="Times New Roman" w:cs="Times New Roman"/>
          <w:sz w:val="24"/>
          <w:szCs w:val="24"/>
        </w:rPr>
        <w:t>’</w:t>
      </w:r>
      <w:r w:rsidRPr="00AF455E">
        <w:rPr>
          <w:rFonts w:ascii="Times New Roman" w:eastAsia="Calibri" w:hAnsi="Times New Roman" w:cs="Times New Roman"/>
          <w:sz w:val="24"/>
          <w:szCs w:val="24"/>
        </w:rPr>
        <w:t xml:space="preserve"> used in the formula will be the value at the end of quarter t (rather than the value in t-1).  </w:t>
      </w:r>
    </w:p>
    <w:p w14:paraId="032F6CB3" w14:textId="6D4D08C1"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The amendments clarify that in other cases where the product does not have a strategic asset allocation in respect of a covered asset class (set out in the table of assumptions) for a quarter, ‘SAA’</w:t>
      </w:r>
      <w:r w:rsidRPr="00AF455E">
        <w:rPr>
          <w:rFonts w:ascii="Times New Roman" w:eastAsia="Calibri" w:hAnsi="Times New Roman" w:cs="Times New Roman"/>
          <w:b/>
          <w:i/>
          <w:sz w:val="24"/>
          <w:szCs w:val="24"/>
        </w:rPr>
        <w:t xml:space="preserve"> </w:t>
      </w:r>
      <w:r w:rsidRPr="00AF455E">
        <w:rPr>
          <w:rFonts w:ascii="Times New Roman" w:eastAsia="Calibri" w:hAnsi="Times New Roman" w:cs="Times New Roman"/>
          <w:sz w:val="24"/>
          <w:szCs w:val="24"/>
        </w:rPr>
        <w:t>in respect of the covered asset class for the quarter is zero.</w:t>
      </w:r>
    </w:p>
    <w:p w14:paraId="3CBB9181" w14:textId="6A688C70" w:rsidR="004B1136" w:rsidRPr="00AF455E" w:rsidRDefault="006B1D17" w:rsidP="00D4439A">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proposed regulations provide rules that apply to work out strategic asset allocation where certain information about ‘asset domicile type’, ‘currency hedging ratio’ and/or the ‘asset listing type’ is identified or not identified. </w:t>
      </w:r>
      <w:r w:rsidR="00ED30B4" w:rsidRPr="00AF455E">
        <w:rPr>
          <w:rFonts w:ascii="Times New Roman" w:eastAsia="Calibri" w:hAnsi="Times New Roman" w:cs="Times New Roman"/>
          <w:sz w:val="24"/>
          <w:szCs w:val="24"/>
        </w:rPr>
        <w:t xml:space="preserve">The amendments </w:t>
      </w:r>
      <w:r w:rsidR="0089526C" w:rsidRPr="00AF455E">
        <w:rPr>
          <w:rFonts w:ascii="Times New Roman" w:eastAsia="Calibri" w:hAnsi="Times New Roman" w:cs="Times New Roman"/>
          <w:sz w:val="24"/>
          <w:szCs w:val="24"/>
        </w:rPr>
        <w:t>ensure</w:t>
      </w:r>
      <w:r w:rsidR="00ED30B4" w:rsidRPr="00AF455E">
        <w:rPr>
          <w:rFonts w:ascii="Times New Roman" w:eastAsia="Calibri" w:hAnsi="Times New Roman" w:cs="Times New Roman"/>
          <w:sz w:val="24"/>
          <w:szCs w:val="24"/>
        </w:rPr>
        <w:t xml:space="preserve"> that in cases where it is not possible to work out the product’s strategic asset allocation to a particular covered asset class in relation to a quarter,</w:t>
      </w:r>
      <w:r w:rsidR="0089526C" w:rsidRPr="00AF455E">
        <w:rPr>
          <w:rFonts w:ascii="Times New Roman" w:eastAsia="Calibri" w:hAnsi="Times New Roman" w:cs="Times New Roman"/>
          <w:sz w:val="24"/>
          <w:szCs w:val="24"/>
        </w:rPr>
        <w:t xml:space="preserve"> due to data being insufficiently granular</w:t>
      </w:r>
      <w:r w:rsidRPr="00AF455E">
        <w:rPr>
          <w:rFonts w:ascii="Times New Roman" w:eastAsia="Calibri" w:hAnsi="Times New Roman" w:cs="Times New Roman"/>
          <w:sz w:val="24"/>
          <w:szCs w:val="24"/>
        </w:rPr>
        <w:t xml:space="preserve"> and </w:t>
      </w:r>
      <w:r w:rsidR="00D4439A" w:rsidRPr="00AF455E">
        <w:rPr>
          <w:rFonts w:ascii="Times New Roman" w:eastAsia="Calibri" w:hAnsi="Times New Roman" w:cs="Times New Roman"/>
          <w:sz w:val="24"/>
          <w:szCs w:val="24"/>
        </w:rPr>
        <w:t xml:space="preserve">where this </w:t>
      </w:r>
      <w:r w:rsidRPr="00AF455E">
        <w:rPr>
          <w:rFonts w:ascii="Times New Roman" w:eastAsia="Calibri" w:hAnsi="Times New Roman" w:cs="Times New Roman"/>
          <w:sz w:val="24"/>
          <w:szCs w:val="24"/>
        </w:rPr>
        <w:t>cannot be resolved under the provided rules</w:t>
      </w:r>
      <w:r w:rsidR="0089526C" w:rsidRPr="00AF455E">
        <w:rPr>
          <w:rFonts w:ascii="Times New Roman" w:eastAsia="Calibri" w:hAnsi="Times New Roman" w:cs="Times New Roman"/>
          <w:sz w:val="24"/>
          <w:szCs w:val="24"/>
        </w:rPr>
        <w:t>,</w:t>
      </w:r>
      <w:r w:rsidR="00ED30B4" w:rsidRPr="00AF455E">
        <w:rPr>
          <w:rFonts w:ascii="Times New Roman" w:eastAsia="Calibri" w:hAnsi="Times New Roman" w:cs="Times New Roman"/>
          <w:sz w:val="24"/>
          <w:szCs w:val="24"/>
        </w:rPr>
        <w:t xml:space="preserve"> APRA </w:t>
      </w:r>
      <w:r w:rsidR="00457EE0" w:rsidRPr="00AF455E">
        <w:rPr>
          <w:rFonts w:ascii="Times New Roman" w:eastAsia="Calibri" w:hAnsi="Times New Roman" w:cs="Times New Roman"/>
          <w:sz w:val="24"/>
          <w:szCs w:val="24"/>
        </w:rPr>
        <w:t xml:space="preserve">may </w:t>
      </w:r>
      <w:proofErr w:type="gramStart"/>
      <w:r w:rsidR="00ED30B4" w:rsidRPr="00AF455E">
        <w:rPr>
          <w:rFonts w:ascii="Times New Roman" w:eastAsia="Calibri" w:hAnsi="Times New Roman" w:cs="Times New Roman"/>
          <w:sz w:val="24"/>
          <w:szCs w:val="24"/>
        </w:rPr>
        <w:t>make a determination</w:t>
      </w:r>
      <w:proofErr w:type="gramEnd"/>
      <w:r w:rsidR="00ED30B4" w:rsidRPr="00AF455E">
        <w:rPr>
          <w:rFonts w:ascii="Times New Roman" w:eastAsia="Calibri" w:hAnsi="Times New Roman" w:cs="Times New Roman"/>
          <w:sz w:val="24"/>
          <w:szCs w:val="24"/>
        </w:rPr>
        <w:t xml:space="preserve"> </w:t>
      </w:r>
      <w:r w:rsidR="0089526C" w:rsidRPr="00AF455E">
        <w:rPr>
          <w:rFonts w:ascii="Times New Roman" w:eastAsia="Calibri" w:hAnsi="Times New Roman" w:cs="Times New Roman"/>
          <w:sz w:val="24"/>
          <w:szCs w:val="24"/>
        </w:rPr>
        <w:t>to resolve the problem</w:t>
      </w:r>
      <w:r w:rsidR="00ED30B4" w:rsidRPr="00AF455E">
        <w:rPr>
          <w:rFonts w:ascii="Times New Roman" w:eastAsia="Calibri" w:hAnsi="Times New Roman" w:cs="Times New Roman"/>
          <w:sz w:val="24"/>
          <w:szCs w:val="24"/>
        </w:rPr>
        <w:t xml:space="preserve">. </w:t>
      </w:r>
      <w:r w:rsidR="007E5E17" w:rsidRPr="00AF455E">
        <w:rPr>
          <w:rFonts w:ascii="Times New Roman" w:eastAsia="Calibri" w:hAnsi="Times New Roman" w:cs="Times New Roman"/>
          <w:sz w:val="24"/>
          <w:szCs w:val="24"/>
        </w:rPr>
        <w:t xml:space="preserve">ARPA’s determination is not a legislative instrument within the meaning of subsection 8(1) of the </w:t>
      </w:r>
      <w:r w:rsidR="007E5E17" w:rsidRPr="00AF455E">
        <w:rPr>
          <w:rFonts w:ascii="Times New Roman" w:eastAsia="Calibri" w:hAnsi="Times New Roman" w:cs="Times New Roman"/>
          <w:i/>
          <w:sz w:val="24"/>
          <w:szCs w:val="24"/>
        </w:rPr>
        <w:t>Legislation Act 2003</w:t>
      </w:r>
      <w:r w:rsidR="007E5E17" w:rsidRPr="00AF455E">
        <w:rPr>
          <w:rFonts w:ascii="Times New Roman" w:eastAsia="Calibri" w:hAnsi="Times New Roman" w:cs="Times New Roman"/>
          <w:sz w:val="24"/>
          <w:szCs w:val="24"/>
        </w:rPr>
        <w:t>.</w:t>
      </w:r>
      <w:r w:rsidR="00056F51" w:rsidRPr="00AF455E">
        <w:rPr>
          <w:rFonts w:ascii="Times New Roman" w:eastAsia="Calibri" w:hAnsi="Times New Roman" w:cs="Times New Roman"/>
          <w:sz w:val="24"/>
          <w:szCs w:val="24"/>
        </w:rPr>
        <w:t xml:space="preserve"> </w:t>
      </w:r>
      <w:bookmarkStart w:id="1" w:name="_Hlk77251638"/>
      <w:r w:rsidR="00056F51" w:rsidRPr="00AF455E">
        <w:rPr>
          <w:rFonts w:ascii="Times New Roman" w:eastAsia="Calibri" w:hAnsi="Times New Roman" w:cs="Times New Roman"/>
          <w:sz w:val="24"/>
          <w:szCs w:val="24"/>
        </w:rPr>
        <w:t xml:space="preserve">APRA must give a notice </w:t>
      </w:r>
      <w:r w:rsidR="008C72F8" w:rsidRPr="00AF455E">
        <w:rPr>
          <w:rFonts w:ascii="Times New Roman" w:eastAsia="Calibri" w:hAnsi="Times New Roman" w:cs="Times New Roman"/>
          <w:sz w:val="24"/>
          <w:szCs w:val="24"/>
        </w:rPr>
        <w:t>of the</w:t>
      </w:r>
      <w:r w:rsidR="00056F51" w:rsidRPr="00AF455E">
        <w:rPr>
          <w:rFonts w:ascii="Times New Roman" w:eastAsia="Calibri" w:hAnsi="Times New Roman" w:cs="Times New Roman"/>
          <w:sz w:val="24"/>
          <w:szCs w:val="24"/>
        </w:rPr>
        <w:t xml:space="preserve"> determination</w:t>
      </w:r>
      <w:r w:rsidR="00DA0E63" w:rsidRPr="00AF455E">
        <w:rPr>
          <w:rFonts w:ascii="Times New Roman" w:eastAsia="Calibri" w:hAnsi="Times New Roman" w:cs="Times New Roman"/>
          <w:sz w:val="24"/>
          <w:szCs w:val="24"/>
        </w:rPr>
        <w:t xml:space="preserve"> </w:t>
      </w:r>
      <w:r w:rsidR="00056F51" w:rsidRPr="00AF455E">
        <w:rPr>
          <w:rFonts w:ascii="Times New Roman" w:eastAsia="Calibri" w:hAnsi="Times New Roman" w:cs="Times New Roman"/>
          <w:sz w:val="24"/>
          <w:szCs w:val="24"/>
        </w:rPr>
        <w:t>to the specified superannuation entity.</w:t>
      </w:r>
      <w:r w:rsidR="00DA0E63" w:rsidRPr="00AF455E">
        <w:rPr>
          <w:rFonts w:ascii="Times New Roman" w:eastAsia="Calibri" w:hAnsi="Times New Roman" w:cs="Times New Roman"/>
          <w:sz w:val="24"/>
          <w:szCs w:val="24"/>
        </w:rPr>
        <w:t xml:space="preserve"> The </w:t>
      </w:r>
      <w:r w:rsidR="00DA0E63" w:rsidRPr="00AF455E">
        <w:rPr>
          <w:rFonts w:ascii="Times New Roman" w:eastAsia="Calibri" w:hAnsi="Times New Roman" w:cs="Times New Roman"/>
          <w:sz w:val="24"/>
          <w:szCs w:val="24"/>
        </w:rPr>
        <w:lastRenderedPageBreak/>
        <w:t>notice must be in writing an</w:t>
      </w:r>
      <w:r w:rsidR="005B1BD6" w:rsidRPr="00AF455E">
        <w:rPr>
          <w:rFonts w:ascii="Times New Roman" w:eastAsia="Calibri" w:hAnsi="Times New Roman" w:cs="Times New Roman"/>
          <w:sz w:val="24"/>
          <w:szCs w:val="24"/>
        </w:rPr>
        <w:t>d</w:t>
      </w:r>
      <w:r w:rsidR="00DA0E63" w:rsidRPr="00AF455E">
        <w:rPr>
          <w:rFonts w:ascii="Times New Roman" w:eastAsia="Calibri" w:hAnsi="Times New Roman" w:cs="Times New Roman"/>
          <w:sz w:val="24"/>
          <w:szCs w:val="24"/>
        </w:rPr>
        <w:t xml:space="preserve"> include a copy of the determination. </w:t>
      </w:r>
      <w:bookmarkEnd w:id="1"/>
    </w:p>
    <w:p w14:paraId="4D69B6AA" w14:textId="23E33726"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The variables in th</w:t>
      </w:r>
      <w:r w:rsidR="003D11D0" w:rsidRPr="00AF455E">
        <w:rPr>
          <w:rFonts w:ascii="Times New Roman" w:eastAsia="Calibri" w:hAnsi="Times New Roman" w:cs="Times New Roman"/>
          <w:sz w:val="24"/>
          <w:szCs w:val="24"/>
        </w:rPr>
        <w:t>e</w:t>
      </w:r>
      <w:r w:rsidRPr="00AF455E">
        <w:rPr>
          <w:rFonts w:ascii="Times New Roman" w:eastAsia="Calibri" w:hAnsi="Times New Roman" w:cs="Times New Roman"/>
          <w:sz w:val="24"/>
          <w:szCs w:val="24"/>
        </w:rPr>
        <w:t xml:space="preserve"> formula</w:t>
      </w:r>
      <w:r w:rsidR="003D11D0" w:rsidRPr="00AF455E">
        <w:rPr>
          <w:rFonts w:ascii="Times New Roman" w:eastAsia="Calibri" w:hAnsi="Times New Roman" w:cs="Times New Roman"/>
          <w:sz w:val="24"/>
          <w:szCs w:val="24"/>
        </w:rPr>
        <w:t xml:space="preserve"> also include ‘index’, ‘fee’ and ‘ART’</w:t>
      </w:r>
      <w:r w:rsidRPr="00AF455E">
        <w:rPr>
          <w:rFonts w:ascii="Times New Roman" w:eastAsia="Calibri" w:hAnsi="Times New Roman" w:cs="Times New Roman"/>
          <w:sz w:val="24"/>
          <w:szCs w:val="24"/>
        </w:rPr>
        <w:t xml:space="preserve"> </w:t>
      </w:r>
      <w:r w:rsidR="003D11D0" w:rsidRPr="00AF455E">
        <w:rPr>
          <w:rFonts w:ascii="Times New Roman" w:eastAsia="Calibri" w:hAnsi="Times New Roman" w:cs="Times New Roman"/>
          <w:sz w:val="24"/>
          <w:szCs w:val="24"/>
          <w:lang w:eastAsia="en-AU"/>
        </w:rPr>
        <w:t xml:space="preserve">which </w:t>
      </w:r>
      <w:r w:rsidRPr="00AF455E">
        <w:rPr>
          <w:rFonts w:ascii="Times New Roman" w:eastAsia="Calibri" w:hAnsi="Times New Roman" w:cs="Times New Roman"/>
          <w:sz w:val="24"/>
          <w:szCs w:val="24"/>
        </w:rPr>
        <w:t xml:space="preserve">represent for a particular covered asset class for a quarter, </w:t>
      </w:r>
      <w:r w:rsidR="00593579" w:rsidRPr="00AF455E">
        <w:rPr>
          <w:rFonts w:ascii="Times New Roman" w:eastAsia="Calibri" w:hAnsi="Times New Roman" w:cs="Times New Roman"/>
          <w:sz w:val="24"/>
          <w:szCs w:val="24"/>
        </w:rPr>
        <w:t xml:space="preserve">a </w:t>
      </w:r>
      <w:r w:rsidR="00EC04E4" w:rsidRPr="00AF455E">
        <w:rPr>
          <w:rFonts w:ascii="Times New Roman" w:eastAsia="Calibri" w:hAnsi="Times New Roman" w:cs="Times New Roman"/>
          <w:sz w:val="24"/>
          <w:szCs w:val="24"/>
        </w:rPr>
        <w:t>benchmark</w:t>
      </w:r>
      <w:r w:rsidRPr="00AF455E">
        <w:rPr>
          <w:rFonts w:ascii="Times New Roman" w:eastAsia="Calibri" w:hAnsi="Times New Roman" w:cs="Times New Roman"/>
          <w:sz w:val="24"/>
          <w:szCs w:val="24"/>
        </w:rPr>
        <w:t xml:space="preserve"> return for the covered asset class to be </w:t>
      </w:r>
      <w:r w:rsidR="008F30B5" w:rsidRPr="00AF455E">
        <w:rPr>
          <w:rFonts w:ascii="Times New Roman" w:eastAsia="Calibri" w:hAnsi="Times New Roman" w:cs="Times New Roman"/>
          <w:sz w:val="24"/>
          <w:szCs w:val="24"/>
        </w:rPr>
        <w:t xml:space="preserve">calculated using the </w:t>
      </w:r>
      <w:r w:rsidR="000A038F" w:rsidRPr="00AF455E">
        <w:rPr>
          <w:rFonts w:ascii="Times New Roman" w:eastAsia="Calibri" w:hAnsi="Times New Roman" w:cs="Times New Roman"/>
          <w:sz w:val="24"/>
          <w:szCs w:val="24"/>
        </w:rPr>
        <w:t>index</w:t>
      </w:r>
      <w:r w:rsidR="008F30B5" w:rsidRPr="00AF455E">
        <w:rPr>
          <w:rFonts w:ascii="Times New Roman" w:eastAsia="Calibri" w:hAnsi="Times New Roman" w:cs="Times New Roman"/>
          <w:sz w:val="24"/>
          <w:szCs w:val="24"/>
        </w:rPr>
        <w:t xml:space="preserve"> formula inputting data </w:t>
      </w:r>
      <w:r w:rsidRPr="00AF455E">
        <w:rPr>
          <w:rFonts w:ascii="Times New Roman" w:eastAsia="Calibri" w:hAnsi="Times New Roman" w:cs="Times New Roman"/>
          <w:sz w:val="24"/>
          <w:szCs w:val="24"/>
        </w:rPr>
        <w:t>derived by reference to a</w:t>
      </w:r>
      <w:r w:rsidR="008F30B5" w:rsidRPr="00AF455E">
        <w:rPr>
          <w:rFonts w:ascii="Times New Roman" w:eastAsia="Calibri" w:hAnsi="Times New Roman" w:cs="Times New Roman"/>
          <w:sz w:val="24"/>
          <w:szCs w:val="24"/>
        </w:rPr>
        <w:t>n</w:t>
      </w:r>
      <w:r w:rsidRPr="00AF455E">
        <w:rPr>
          <w:rFonts w:ascii="Times New Roman" w:eastAsia="Calibri" w:hAnsi="Times New Roman" w:cs="Times New Roman"/>
          <w:sz w:val="24"/>
          <w:szCs w:val="24"/>
        </w:rPr>
        <w:t xml:space="preserve"> index</w:t>
      </w:r>
      <w:r w:rsidR="008F30B5" w:rsidRPr="00AF455E">
        <w:rPr>
          <w:rFonts w:ascii="Times New Roman" w:eastAsia="Calibri" w:hAnsi="Times New Roman" w:cs="Times New Roman"/>
          <w:sz w:val="24"/>
          <w:szCs w:val="24"/>
        </w:rPr>
        <w:t xml:space="preserve"> assumption</w:t>
      </w:r>
      <w:r w:rsidRPr="00AF455E">
        <w:rPr>
          <w:rFonts w:ascii="Times New Roman" w:eastAsia="Calibri" w:hAnsi="Times New Roman" w:cs="Times New Roman"/>
          <w:sz w:val="24"/>
          <w:szCs w:val="24"/>
        </w:rPr>
        <w:t>, the assumed annual fee</w:t>
      </w:r>
      <w:r w:rsidR="00106925" w:rsidRPr="00AF455E">
        <w:rPr>
          <w:rFonts w:ascii="Times New Roman" w:eastAsia="Calibri" w:hAnsi="Times New Roman" w:cs="Times New Roman"/>
          <w:sz w:val="24"/>
          <w:szCs w:val="24"/>
        </w:rPr>
        <w:t>,</w:t>
      </w:r>
      <w:r w:rsidRPr="00AF455E">
        <w:rPr>
          <w:rFonts w:ascii="Times New Roman" w:eastAsia="Calibri" w:hAnsi="Times New Roman" w:cs="Times New Roman"/>
          <w:sz w:val="24"/>
          <w:szCs w:val="24"/>
        </w:rPr>
        <w:t xml:space="preserve"> and assumed rate of tax, respectively. </w:t>
      </w:r>
    </w:p>
    <w:p w14:paraId="6B9174F8" w14:textId="77777777"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relevant assumed annual fee and assumed rate of tax for a particular covered asset class for a quarter can be found in the last two columns in the table of assumptions. </w:t>
      </w:r>
    </w:p>
    <w:p w14:paraId="46413D70" w14:textId="7BE4A06C"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proofErr w:type="gramStart"/>
      <w:r w:rsidRPr="00AF455E">
        <w:rPr>
          <w:rFonts w:ascii="Times New Roman" w:eastAsia="Calibri" w:hAnsi="Times New Roman" w:cs="Times New Roman"/>
          <w:sz w:val="24"/>
          <w:szCs w:val="24"/>
        </w:rPr>
        <w:t>In order to</w:t>
      </w:r>
      <w:proofErr w:type="gramEnd"/>
      <w:r w:rsidRPr="00AF455E">
        <w:rPr>
          <w:rFonts w:ascii="Times New Roman" w:eastAsia="Calibri" w:hAnsi="Times New Roman" w:cs="Times New Roman"/>
          <w:sz w:val="24"/>
          <w:szCs w:val="24"/>
        </w:rPr>
        <w:t xml:space="preserve"> work out the </w:t>
      </w:r>
      <w:r w:rsidR="00E93D13" w:rsidRPr="00AF455E">
        <w:rPr>
          <w:rFonts w:ascii="Times New Roman" w:eastAsia="Calibri" w:hAnsi="Times New Roman" w:cs="Times New Roman"/>
          <w:sz w:val="24"/>
          <w:szCs w:val="24"/>
        </w:rPr>
        <w:t xml:space="preserve">‘index’ (that is, the </w:t>
      </w:r>
      <w:r w:rsidR="00EC04E4" w:rsidRPr="00AF455E">
        <w:rPr>
          <w:rFonts w:ascii="Times New Roman" w:eastAsia="Calibri" w:hAnsi="Times New Roman" w:cs="Times New Roman"/>
          <w:sz w:val="24"/>
          <w:szCs w:val="24"/>
        </w:rPr>
        <w:t xml:space="preserve">benchmark </w:t>
      </w:r>
      <w:r w:rsidRPr="00AF455E">
        <w:rPr>
          <w:rFonts w:ascii="Times New Roman" w:eastAsia="Calibri" w:hAnsi="Times New Roman" w:cs="Times New Roman"/>
          <w:sz w:val="24"/>
          <w:szCs w:val="24"/>
        </w:rPr>
        <w:t>return for the covered asset class</w:t>
      </w:r>
      <w:r w:rsidR="00E93D13" w:rsidRPr="00AF455E">
        <w:rPr>
          <w:rFonts w:ascii="Times New Roman" w:eastAsia="Calibri" w:hAnsi="Times New Roman" w:cs="Times New Roman"/>
          <w:sz w:val="24"/>
          <w:szCs w:val="24"/>
        </w:rPr>
        <w:t>)</w:t>
      </w:r>
      <w:r w:rsidRPr="00AF455E">
        <w:rPr>
          <w:rFonts w:ascii="Times New Roman" w:eastAsia="Calibri" w:hAnsi="Times New Roman" w:cs="Times New Roman"/>
          <w:sz w:val="24"/>
          <w:szCs w:val="24"/>
        </w:rPr>
        <w:t xml:space="preserve">, </w:t>
      </w:r>
      <w:r w:rsidR="00042DE7" w:rsidRPr="00AF455E">
        <w:rPr>
          <w:rFonts w:ascii="Times New Roman" w:eastAsia="Calibri" w:hAnsi="Times New Roman" w:cs="Times New Roman"/>
          <w:sz w:val="24"/>
          <w:szCs w:val="24"/>
        </w:rPr>
        <w:t xml:space="preserve">generally </w:t>
      </w:r>
      <w:r w:rsidRPr="00AF455E">
        <w:rPr>
          <w:rFonts w:ascii="Times New Roman" w:eastAsia="Calibri" w:hAnsi="Times New Roman" w:cs="Times New Roman"/>
          <w:sz w:val="24"/>
          <w:szCs w:val="24"/>
        </w:rPr>
        <w:t xml:space="preserve">the relevant </w:t>
      </w:r>
      <w:r w:rsidR="00FC4715" w:rsidRPr="00AF455E">
        <w:rPr>
          <w:rFonts w:ascii="Times New Roman" w:eastAsia="Calibri" w:hAnsi="Times New Roman" w:cs="Times New Roman"/>
          <w:sz w:val="24"/>
          <w:szCs w:val="24"/>
        </w:rPr>
        <w:t>assumed index</w:t>
      </w:r>
      <w:r w:rsidR="002A366B" w:rsidRPr="00AF455E">
        <w:rPr>
          <w:rFonts w:ascii="Times New Roman" w:eastAsia="Calibri" w:hAnsi="Times New Roman" w:cs="Times New Roman"/>
          <w:sz w:val="24"/>
          <w:szCs w:val="24"/>
        </w:rPr>
        <w:t xml:space="preserve"> </w:t>
      </w:r>
      <w:r w:rsidRPr="00AF455E">
        <w:rPr>
          <w:rFonts w:ascii="Times New Roman" w:eastAsia="Calibri" w:hAnsi="Times New Roman" w:cs="Times New Roman"/>
          <w:sz w:val="24"/>
          <w:szCs w:val="24"/>
        </w:rPr>
        <w:t>for the asset class must be identified from the table of assumptions</w:t>
      </w:r>
      <w:r w:rsidR="00FC4715" w:rsidRPr="00AF455E">
        <w:rPr>
          <w:rFonts w:ascii="Times New Roman" w:eastAsia="Calibri" w:hAnsi="Times New Roman" w:cs="Times New Roman"/>
          <w:sz w:val="24"/>
          <w:szCs w:val="24"/>
        </w:rPr>
        <w:t xml:space="preserve">, which sets out the index name and its </w:t>
      </w:r>
      <w:r w:rsidR="00DC5072" w:rsidRPr="00AF455E">
        <w:rPr>
          <w:rFonts w:ascii="Times New Roman" w:eastAsia="Calibri" w:hAnsi="Times New Roman" w:cs="Times New Roman"/>
          <w:sz w:val="24"/>
          <w:szCs w:val="24"/>
        </w:rPr>
        <w:t xml:space="preserve">Bloomberg </w:t>
      </w:r>
      <w:r w:rsidR="00FC4715" w:rsidRPr="00AF455E">
        <w:rPr>
          <w:rFonts w:ascii="Times New Roman" w:eastAsia="Calibri" w:hAnsi="Times New Roman" w:cs="Times New Roman"/>
          <w:sz w:val="24"/>
          <w:szCs w:val="24"/>
        </w:rPr>
        <w:t>ticker or unique identifier</w:t>
      </w:r>
      <w:r w:rsidRPr="00AF455E">
        <w:rPr>
          <w:rFonts w:ascii="Times New Roman" w:eastAsia="Calibri" w:hAnsi="Times New Roman" w:cs="Times New Roman"/>
          <w:sz w:val="24"/>
          <w:szCs w:val="24"/>
        </w:rPr>
        <w:t xml:space="preserve">. </w:t>
      </w:r>
      <w:r w:rsidR="00FC4715" w:rsidRPr="00AF455E">
        <w:rPr>
          <w:rFonts w:ascii="Times New Roman" w:eastAsia="Calibri" w:hAnsi="Times New Roman" w:cs="Times New Roman"/>
          <w:sz w:val="24"/>
          <w:szCs w:val="24"/>
        </w:rPr>
        <w:t xml:space="preserve">For the table items relating to </w:t>
      </w:r>
      <w:r w:rsidR="006974BB" w:rsidRPr="00AF455E">
        <w:rPr>
          <w:rFonts w:ascii="Times New Roman" w:eastAsia="Calibri" w:hAnsi="Times New Roman" w:cs="Times New Roman"/>
          <w:sz w:val="24"/>
          <w:szCs w:val="24"/>
        </w:rPr>
        <w:t xml:space="preserve">infrastructure and property </w:t>
      </w:r>
      <w:r w:rsidR="00FC4715" w:rsidRPr="00AF455E">
        <w:rPr>
          <w:rFonts w:ascii="Times New Roman" w:eastAsia="Calibri" w:hAnsi="Times New Roman" w:cs="Times New Roman"/>
          <w:sz w:val="24"/>
          <w:szCs w:val="24"/>
        </w:rPr>
        <w:t xml:space="preserve">unlisted asset classes, there is no applicable ticker code. </w:t>
      </w:r>
      <w:r w:rsidR="009502C3" w:rsidRPr="00AF455E">
        <w:rPr>
          <w:rFonts w:ascii="Times New Roman" w:eastAsia="Calibri" w:hAnsi="Times New Roman" w:cs="Times New Roman"/>
          <w:sz w:val="24"/>
          <w:szCs w:val="24"/>
        </w:rPr>
        <w:t xml:space="preserve">The index name and ticker (if available) will enable the information necessary to compute the benchmark return for the covered asset class (or ‘index’) to be identified. For example, some index values could be found on the Bloomberg terminal. </w:t>
      </w:r>
    </w:p>
    <w:p w14:paraId="4FDEC887" w14:textId="6B44E4BC" w:rsidR="00F11482" w:rsidRPr="00AF455E" w:rsidRDefault="00F11482" w:rsidP="00F11482">
      <w:pPr>
        <w:widowControl w:val="0"/>
        <w:adjustRightInd w:val="0"/>
        <w:jc w:val="both"/>
        <w:textAlignment w:val="baseline"/>
        <w:rPr>
          <w:rFonts w:ascii="Times New Roman" w:eastAsia="Calibri" w:hAnsi="Times New Roman" w:cs="Times New Roman"/>
          <w:bCs/>
          <w:sz w:val="24"/>
          <w:szCs w:val="24"/>
        </w:rPr>
      </w:pPr>
      <w:r w:rsidRPr="00AF455E">
        <w:rPr>
          <w:rFonts w:ascii="Times New Roman" w:eastAsia="Calibri" w:hAnsi="Times New Roman" w:cs="Times New Roman"/>
          <w:bCs/>
          <w:sz w:val="24"/>
          <w:szCs w:val="24"/>
        </w:rPr>
        <w:t xml:space="preserve">The table of assumptions is set out in the proposed Regulations to provide certainty, </w:t>
      </w:r>
      <w:proofErr w:type="gramStart"/>
      <w:r w:rsidRPr="00AF455E">
        <w:rPr>
          <w:rFonts w:ascii="Times New Roman" w:eastAsia="Calibri" w:hAnsi="Times New Roman" w:cs="Times New Roman"/>
          <w:bCs/>
          <w:sz w:val="24"/>
          <w:szCs w:val="24"/>
        </w:rPr>
        <w:t>transparency</w:t>
      </w:r>
      <w:proofErr w:type="gramEnd"/>
      <w:r w:rsidRPr="00AF455E">
        <w:rPr>
          <w:rFonts w:ascii="Times New Roman" w:eastAsia="Calibri" w:hAnsi="Times New Roman" w:cs="Times New Roman"/>
          <w:bCs/>
          <w:sz w:val="24"/>
          <w:szCs w:val="24"/>
        </w:rPr>
        <w:t xml:space="preserve"> and consistency in the performance test that funds will </w:t>
      </w:r>
      <w:r w:rsidR="00E2326E" w:rsidRPr="00AF455E">
        <w:rPr>
          <w:rFonts w:ascii="Times New Roman" w:eastAsia="Calibri" w:hAnsi="Times New Roman" w:cs="Times New Roman"/>
          <w:bCs/>
          <w:sz w:val="24"/>
          <w:szCs w:val="24"/>
        </w:rPr>
        <w:t>be subject to</w:t>
      </w:r>
      <w:r w:rsidRPr="00AF455E">
        <w:rPr>
          <w:rFonts w:ascii="Times New Roman" w:eastAsia="Calibri" w:hAnsi="Times New Roman" w:cs="Times New Roman"/>
          <w:bCs/>
          <w:sz w:val="24"/>
          <w:szCs w:val="24"/>
        </w:rPr>
        <w:t xml:space="preserve">. It is anticipated that the table will be updated for future assumption changes, containing a complete record of the assumptions for past quarters in one place.  </w:t>
      </w:r>
    </w:p>
    <w:p w14:paraId="30BFD0E4" w14:textId="77777777"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bCs/>
          <w:sz w:val="24"/>
          <w:szCs w:val="24"/>
        </w:rPr>
        <w:t>However, there may be a need for</w:t>
      </w:r>
      <w:r w:rsidRPr="00AF455E">
        <w:rPr>
          <w:rFonts w:ascii="Times New Roman" w:eastAsia="Calibri" w:hAnsi="Times New Roman" w:cs="Times New Roman"/>
          <w:sz w:val="24"/>
          <w:szCs w:val="24"/>
        </w:rPr>
        <w:t xml:space="preserve"> APRA </w:t>
      </w:r>
      <w:r w:rsidRPr="00AF455E">
        <w:rPr>
          <w:rFonts w:ascii="Times New Roman" w:eastAsia="Calibri" w:hAnsi="Times New Roman" w:cs="Times New Roman"/>
          <w:bCs/>
          <w:sz w:val="24"/>
          <w:szCs w:val="24"/>
        </w:rPr>
        <w:t>to make a legislative instrument to deal</w:t>
      </w:r>
      <w:r w:rsidRPr="00AF455E">
        <w:rPr>
          <w:rFonts w:ascii="Times New Roman" w:eastAsia="Calibri" w:hAnsi="Times New Roman" w:cs="Times New Roman"/>
          <w:sz w:val="24"/>
          <w:szCs w:val="24"/>
        </w:rPr>
        <w:t xml:space="preserve"> with </w:t>
      </w:r>
      <w:r w:rsidRPr="00AF455E">
        <w:rPr>
          <w:rFonts w:ascii="Times New Roman" w:eastAsia="Calibri" w:hAnsi="Times New Roman" w:cs="Times New Roman"/>
          <w:bCs/>
          <w:sz w:val="24"/>
          <w:szCs w:val="24"/>
        </w:rPr>
        <w:t>material changes in the interim before new regulations are made updating the relevant assumptions.</w:t>
      </w:r>
      <w:r w:rsidRPr="00AF455E">
        <w:rPr>
          <w:rFonts w:ascii="Times New Roman" w:eastAsia="Calibri" w:hAnsi="Times New Roman" w:cs="Times New Roman"/>
          <w:sz w:val="24"/>
          <w:szCs w:val="24"/>
        </w:rPr>
        <w:t xml:space="preserve"> </w:t>
      </w:r>
    </w:p>
    <w:p w14:paraId="49BD793E" w14:textId="393A8C40" w:rsidR="00F11482" w:rsidRPr="00AF455E" w:rsidRDefault="00471BAD" w:rsidP="00F11482">
      <w:pPr>
        <w:widowControl w:val="0"/>
        <w:adjustRightInd w:val="0"/>
        <w:jc w:val="both"/>
        <w:textAlignment w:val="baseline"/>
        <w:rPr>
          <w:rFonts w:ascii="Times New Roman" w:eastAsia="Calibri" w:hAnsi="Times New Roman" w:cs="Times New Roman"/>
          <w:bCs/>
          <w:sz w:val="24"/>
          <w:szCs w:val="24"/>
        </w:rPr>
      </w:pPr>
      <w:r w:rsidRPr="00AF455E">
        <w:rPr>
          <w:rFonts w:ascii="Times New Roman" w:eastAsia="Calibri" w:hAnsi="Times New Roman" w:cs="Times New Roman"/>
          <w:bCs/>
          <w:sz w:val="24"/>
          <w:szCs w:val="24"/>
        </w:rPr>
        <w:t>P</w:t>
      </w:r>
      <w:r w:rsidR="00F11482" w:rsidRPr="00AF455E">
        <w:rPr>
          <w:rFonts w:ascii="Times New Roman" w:eastAsia="Calibri" w:hAnsi="Times New Roman" w:cs="Times New Roman"/>
          <w:bCs/>
          <w:sz w:val="24"/>
          <w:szCs w:val="24"/>
        </w:rPr>
        <w:t>aragraph 60D(7)(c) of the SIS Act allows regulations to be made specifying conditions to be met before APRA can make a legislative instrument specifying alternative assumptions (than those set out in the table in the regulations). Different conditions apply if the assumption relates to fees or taxes, as compared to the conditions that apply if the assumption relates to an index.</w:t>
      </w:r>
    </w:p>
    <w:p w14:paraId="04E12521" w14:textId="77777777" w:rsidR="00F11482" w:rsidRPr="00AF455E" w:rsidRDefault="00F11482" w:rsidP="00F11482">
      <w:pPr>
        <w:widowControl w:val="0"/>
        <w:adjustRightInd w:val="0"/>
        <w:jc w:val="both"/>
        <w:textAlignment w:val="baseline"/>
        <w:rPr>
          <w:rFonts w:ascii="Times New Roman" w:eastAsia="Calibri" w:hAnsi="Times New Roman" w:cs="Times New Roman"/>
          <w:bCs/>
          <w:sz w:val="24"/>
          <w:szCs w:val="24"/>
        </w:rPr>
      </w:pPr>
      <w:r w:rsidRPr="00AF455E">
        <w:rPr>
          <w:rFonts w:ascii="Times New Roman" w:eastAsia="Calibri" w:hAnsi="Times New Roman" w:cs="Times New Roman"/>
          <w:bCs/>
          <w:sz w:val="24"/>
          <w:szCs w:val="24"/>
        </w:rPr>
        <w:t xml:space="preserve">In relation to providing a different fee or tax assumption, these amendments provide that </w:t>
      </w:r>
      <w:proofErr w:type="gramStart"/>
      <w:r w:rsidRPr="00AF455E">
        <w:rPr>
          <w:rFonts w:ascii="Times New Roman" w:eastAsia="Calibri" w:hAnsi="Times New Roman" w:cs="Times New Roman"/>
          <w:bCs/>
          <w:sz w:val="24"/>
          <w:szCs w:val="24"/>
        </w:rPr>
        <w:t>all of</w:t>
      </w:r>
      <w:proofErr w:type="gramEnd"/>
      <w:r w:rsidRPr="00AF455E">
        <w:rPr>
          <w:rFonts w:ascii="Times New Roman" w:eastAsia="Calibri" w:hAnsi="Times New Roman" w:cs="Times New Roman"/>
          <w:bCs/>
          <w:sz w:val="24"/>
          <w:szCs w:val="24"/>
        </w:rPr>
        <w:t xml:space="preserve"> the following conditions be met: </w:t>
      </w:r>
    </w:p>
    <w:p w14:paraId="4C5A2227" w14:textId="38EB6ACF" w:rsidR="00F11482" w:rsidRPr="00AF455E" w:rsidRDefault="00F11482" w:rsidP="0052086E">
      <w:pPr>
        <w:pStyle w:val="Dotpoint"/>
        <w:rPr>
          <w:rFonts w:eastAsia="Calibri"/>
          <w:szCs w:val="24"/>
        </w:rPr>
      </w:pPr>
      <w:r w:rsidRPr="00AF455E">
        <w:rPr>
          <w:rFonts w:eastAsia="Calibri"/>
          <w:szCs w:val="24"/>
        </w:rPr>
        <w:t>APRA consult with the Treasurer before making such a legislative instrument;</w:t>
      </w:r>
      <w:r w:rsidR="009811D1" w:rsidRPr="00AF455E">
        <w:rPr>
          <w:rFonts w:eastAsia="Calibri"/>
          <w:szCs w:val="24"/>
        </w:rPr>
        <w:t xml:space="preserve"> and</w:t>
      </w:r>
      <w:r w:rsidRPr="00AF455E">
        <w:rPr>
          <w:rFonts w:eastAsia="Calibri"/>
          <w:szCs w:val="24"/>
        </w:rPr>
        <w:t xml:space="preserve"> </w:t>
      </w:r>
    </w:p>
    <w:p w14:paraId="38DD10BA" w14:textId="4D07ECCB" w:rsidR="00F11482" w:rsidRPr="00AF455E" w:rsidRDefault="000D2BE1" w:rsidP="0052086E">
      <w:pPr>
        <w:pStyle w:val="Dotpoint"/>
        <w:rPr>
          <w:rFonts w:eastAsia="Calibri"/>
          <w:szCs w:val="24"/>
        </w:rPr>
      </w:pPr>
      <w:r w:rsidRPr="00AF455E">
        <w:rPr>
          <w:rFonts w:eastAsia="Calibri"/>
          <w:szCs w:val="24"/>
        </w:rPr>
        <w:t>APRA must be reasonabl</w:t>
      </w:r>
      <w:r w:rsidR="0039469A" w:rsidRPr="00AF455E">
        <w:rPr>
          <w:rFonts w:eastAsia="Calibri"/>
          <w:szCs w:val="24"/>
        </w:rPr>
        <w:t>y</w:t>
      </w:r>
      <w:r w:rsidRPr="00AF455E">
        <w:rPr>
          <w:rFonts w:eastAsia="Calibri"/>
          <w:szCs w:val="24"/>
        </w:rPr>
        <w:t xml:space="preserve"> satisfied that </w:t>
      </w:r>
      <w:proofErr w:type="gramStart"/>
      <w:r w:rsidRPr="00AF455E">
        <w:rPr>
          <w:rFonts w:eastAsia="Calibri"/>
          <w:szCs w:val="24"/>
        </w:rPr>
        <w:t>as a result of</w:t>
      </w:r>
      <w:proofErr w:type="gramEnd"/>
      <w:r w:rsidRPr="00AF455E">
        <w:rPr>
          <w:rFonts w:eastAsia="Calibri"/>
          <w:szCs w:val="24"/>
        </w:rPr>
        <w:t xml:space="preserve"> </w:t>
      </w:r>
      <w:r w:rsidR="00F11482" w:rsidRPr="00AF455E">
        <w:rPr>
          <w:rFonts w:eastAsia="Calibri"/>
          <w:szCs w:val="24"/>
        </w:rPr>
        <w:t>material changes in the investment environment</w:t>
      </w:r>
      <w:r w:rsidR="00D158DA" w:rsidRPr="00AF455E">
        <w:rPr>
          <w:rFonts w:eastAsia="Calibri"/>
          <w:szCs w:val="24"/>
        </w:rPr>
        <w:t>,</w:t>
      </w:r>
      <w:r w:rsidR="00F11482" w:rsidRPr="00AF455E">
        <w:rPr>
          <w:rFonts w:eastAsia="Calibri"/>
          <w:szCs w:val="24"/>
        </w:rPr>
        <w:t xml:space="preserve"> the </w:t>
      </w:r>
      <w:r w:rsidR="00D158DA" w:rsidRPr="00AF455E">
        <w:rPr>
          <w:rFonts w:eastAsia="Calibri"/>
          <w:szCs w:val="24"/>
        </w:rPr>
        <w:t>assumed fee or assumed rate of tax</w:t>
      </w:r>
      <w:r w:rsidR="00C15B97" w:rsidRPr="00AF455E">
        <w:rPr>
          <w:rFonts w:eastAsia="Calibri"/>
          <w:szCs w:val="24"/>
        </w:rPr>
        <w:t xml:space="preserve"> </w:t>
      </w:r>
      <w:r w:rsidR="00202D85" w:rsidRPr="00AF455E">
        <w:rPr>
          <w:rFonts w:eastAsia="Calibri"/>
          <w:szCs w:val="24"/>
        </w:rPr>
        <w:t>specified</w:t>
      </w:r>
      <w:r w:rsidR="00C15B97" w:rsidRPr="00AF455E">
        <w:rPr>
          <w:rFonts w:eastAsia="Calibri"/>
          <w:szCs w:val="24"/>
        </w:rPr>
        <w:t xml:space="preserve"> in the table</w:t>
      </w:r>
      <w:r w:rsidR="00F11482" w:rsidRPr="00AF455E">
        <w:rPr>
          <w:rFonts w:eastAsia="Calibri"/>
          <w:szCs w:val="24"/>
        </w:rPr>
        <w:t xml:space="preserve"> is no longer suitable </w:t>
      </w:r>
      <w:r w:rsidRPr="00AF455E">
        <w:rPr>
          <w:rFonts w:eastAsia="Calibri"/>
          <w:szCs w:val="24"/>
        </w:rPr>
        <w:t xml:space="preserve">in relation to </w:t>
      </w:r>
      <w:r w:rsidR="00F11482" w:rsidRPr="00AF455E">
        <w:rPr>
          <w:rFonts w:eastAsia="Calibri"/>
          <w:szCs w:val="24"/>
        </w:rPr>
        <w:t>that quarter</w:t>
      </w:r>
      <w:r w:rsidR="009811D1" w:rsidRPr="00AF455E">
        <w:rPr>
          <w:rFonts w:eastAsia="Calibri"/>
          <w:szCs w:val="24"/>
        </w:rPr>
        <w:t>.</w:t>
      </w:r>
    </w:p>
    <w:p w14:paraId="5012838E" w14:textId="77777777" w:rsidR="00F11482" w:rsidRPr="00AF455E" w:rsidRDefault="00F11482" w:rsidP="00F11482">
      <w:pPr>
        <w:widowControl w:val="0"/>
        <w:adjustRightInd w:val="0"/>
        <w:jc w:val="both"/>
        <w:textAlignment w:val="baseline"/>
        <w:rPr>
          <w:rFonts w:ascii="Times New Roman" w:eastAsia="Calibri" w:hAnsi="Times New Roman" w:cs="Times New Roman"/>
          <w:bCs/>
          <w:sz w:val="24"/>
          <w:szCs w:val="24"/>
        </w:rPr>
      </w:pPr>
      <w:r w:rsidRPr="00AF455E">
        <w:rPr>
          <w:rFonts w:ascii="Times New Roman" w:eastAsia="Calibri" w:hAnsi="Times New Roman" w:cs="Times New Roman"/>
          <w:bCs/>
          <w:sz w:val="24"/>
          <w:szCs w:val="24"/>
        </w:rPr>
        <w:t xml:space="preserve">In relation to providing a different index assumption, these amendments provide that </w:t>
      </w:r>
      <w:proofErr w:type="gramStart"/>
      <w:r w:rsidRPr="00AF455E">
        <w:rPr>
          <w:rFonts w:ascii="Times New Roman" w:eastAsia="Calibri" w:hAnsi="Times New Roman" w:cs="Times New Roman"/>
          <w:bCs/>
          <w:sz w:val="24"/>
          <w:szCs w:val="24"/>
        </w:rPr>
        <w:t>all of</w:t>
      </w:r>
      <w:proofErr w:type="gramEnd"/>
      <w:r w:rsidRPr="00AF455E">
        <w:rPr>
          <w:rFonts w:ascii="Times New Roman" w:eastAsia="Calibri" w:hAnsi="Times New Roman" w:cs="Times New Roman"/>
          <w:bCs/>
          <w:sz w:val="24"/>
          <w:szCs w:val="24"/>
        </w:rPr>
        <w:t xml:space="preserve"> the following conditions be met: </w:t>
      </w:r>
    </w:p>
    <w:p w14:paraId="714DC469" w14:textId="77777777" w:rsidR="00F11482" w:rsidRPr="00AF455E" w:rsidRDefault="00F11482" w:rsidP="0052086E">
      <w:pPr>
        <w:pStyle w:val="Dotpoint"/>
        <w:rPr>
          <w:rFonts w:eastAsia="Calibri"/>
          <w:szCs w:val="24"/>
        </w:rPr>
      </w:pPr>
      <w:r w:rsidRPr="00AF455E">
        <w:rPr>
          <w:rFonts w:eastAsia="Calibri"/>
          <w:szCs w:val="24"/>
        </w:rPr>
        <w:t xml:space="preserve">APRA consult with the Treasurer before making such a legislative </w:t>
      </w:r>
      <w:proofErr w:type="gramStart"/>
      <w:r w:rsidRPr="00AF455E">
        <w:rPr>
          <w:rFonts w:eastAsia="Calibri"/>
          <w:szCs w:val="24"/>
        </w:rPr>
        <w:t>instrument;</w:t>
      </w:r>
      <w:proofErr w:type="gramEnd"/>
      <w:r w:rsidRPr="00AF455E">
        <w:rPr>
          <w:rFonts w:eastAsia="Calibri"/>
          <w:szCs w:val="24"/>
        </w:rPr>
        <w:t xml:space="preserve"> </w:t>
      </w:r>
    </w:p>
    <w:p w14:paraId="4F74EA94" w14:textId="5487D964" w:rsidR="00F11482" w:rsidRPr="00AF455E" w:rsidRDefault="000D2BE1" w:rsidP="0052086E">
      <w:pPr>
        <w:pStyle w:val="Dotpoint"/>
        <w:rPr>
          <w:rFonts w:eastAsia="Calibri"/>
          <w:szCs w:val="24"/>
        </w:rPr>
      </w:pPr>
      <w:r w:rsidRPr="00AF455E">
        <w:rPr>
          <w:rFonts w:eastAsia="Calibri"/>
          <w:szCs w:val="24"/>
        </w:rPr>
        <w:t>APRA must be reasonabl</w:t>
      </w:r>
      <w:r w:rsidR="0039469A" w:rsidRPr="00AF455E">
        <w:rPr>
          <w:rFonts w:eastAsia="Calibri"/>
          <w:szCs w:val="24"/>
        </w:rPr>
        <w:t>y</w:t>
      </w:r>
      <w:r w:rsidRPr="00AF455E">
        <w:rPr>
          <w:rFonts w:eastAsia="Calibri"/>
          <w:szCs w:val="24"/>
        </w:rPr>
        <w:t xml:space="preserve"> satisfied that </w:t>
      </w:r>
      <w:r w:rsidR="00F11482" w:rsidRPr="00AF455E">
        <w:rPr>
          <w:rFonts w:eastAsia="Calibri"/>
          <w:szCs w:val="24"/>
        </w:rPr>
        <w:t xml:space="preserve">the </w:t>
      </w:r>
      <w:r w:rsidR="005A2602" w:rsidRPr="00AF455E">
        <w:rPr>
          <w:rFonts w:eastAsia="Calibri"/>
          <w:szCs w:val="24"/>
        </w:rPr>
        <w:t xml:space="preserve">assumed </w:t>
      </w:r>
      <w:r w:rsidR="00F11482" w:rsidRPr="00AF455E">
        <w:rPr>
          <w:rFonts w:eastAsia="Calibri"/>
          <w:szCs w:val="24"/>
        </w:rPr>
        <w:t>index</w:t>
      </w:r>
      <w:r w:rsidR="005A2602" w:rsidRPr="00AF455E">
        <w:rPr>
          <w:rFonts w:eastAsia="Calibri"/>
          <w:szCs w:val="24"/>
        </w:rPr>
        <w:t xml:space="preserve"> </w:t>
      </w:r>
      <w:r w:rsidR="00F11482" w:rsidRPr="00AF455E">
        <w:rPr>
          <w:rFonts w:eastAsia="Calibri"/>
          <w:szCs w:val="24"/>
        </w:rPr>
        <w:t xml:space="preserve">specified in the table </w:t>
      </w:r>
      <w:r w:rsidR="004C37A9" w:rsidRPr="00AF455E">
        <w:rPr>
          <w:rFonts w:eastAsia="Calibri"/>
          <w:szCs w:val="24"/>
        </w:rPr>
        <w:t xml:space="preserve">does </w:t>
      </w:r>
      <w:r w:rsidR="00F11482" w:rsidRPr="00AF455E">
        <w:rPr>
          <w:rFonts w:eastAsia="Calibri"/>
          <w:szCs w:val="24"/>
        </w:rPr>
        <w:t xml:space="preserve">or did not exist in </w:t>
      </w:r>
      <w:r w:rsidR="004C37A9" w:rsidRPr="00AF455E">
        <w:rPr>
          <w:rFonts w:eastAsia="Calibri"/>
          <w:szCs w:val="24"/>
        </w:rPr>
        <w:t xml:space="preserve">relation to </w:t>
      </w:r>
      <w:r w:rsidR="00F11482" w:rsidRPr="00AF455E">
        <w:rPr>
          <w:rFonts w:eastAsia="Calibri"/>
          <w:szCs w:val="24"/>
        </w:rPr>
        <w:t>a particular quarter;</w:t>
      </w:r>
      <w:r w:rsidR="004C37A9" w:rsidRPr="00AF455E">
        <w:rPr>
          <w:rFonts w:eastAsia="Calibri"/>
          <w:szCs w:val="24"/>
        </w:rPr>
        <w:t xml:space="preserve"> and</w:t>
      </w:r>
    </w:p>
    <w:p w14:paraId="5358021C" w14:textId="4EA4A821" w:rsidR="00F11482" w:rsidRPr="00AF455E" w:rsidRDefault="00C15B97" w:rsidP="0052086E">
      <w:pPr>
        <w:pStyle w:val="Dotpoint"/>
        <w:rPr>
          <w:rFonts w:eastAsia="Calibri"/>
          <w:bCs/>
          <w:szCs w:val="24"/>
        </w:rPr>
      </w:pPr>
      <w:r w:rsidRPr="00AF455E">
        <w:rPr>
          <w:rFonts w:eastAsia="Calibri"/>
          <w:bCs/>
          <w:szCs w:val="24"/>
        </w:rPr>
        <w:lastRenderedPageBreak/>
        <w:t xml:space="preserve">APRA must be reasonably satisfied that </w:t>
      </w:r>
      <w:r w:rsidR="00F11482" w:rsidRPr="00AF455E">
        <w:rPr>
          <w:rFonts w:eastAsia="Calibri"/>
          <w:bCs/>
          <w:szCs w:val="24"/>
        </w:rPr>
        <w:t xml:space="preserve">the alternative index is one that </w:t>
      </w:r>
      <w:r w:rsidR="003E5615" w:rsidRPr="00AF455E">
        <w:rPr>
          <w:rFonts w:eastAsia="Calibri"/>
          <w:bCs/>
          <w:szCs w:val="24"/>
        </w:rPr>
        <w:t xml:space="preserve">is substantially analogous to the </w:t>
      </w:r>
      <w:r w:rsidR="00A748DD" w:rsidRPr="00AF455E">
        <w:rPr>
          <w:rFonts w:eastAsia="Calibri"/>
          <w:bCs/>
          <w:szCs w:val="24"/>
        </w:rPr>
        <w:t xml:space="preserve">existing </w:t>
      </w:r>
      <w:r w:rsidR="003E5615" w:rsidRPr="00AF455E">
        <w:rPr>
          <w:rFonts w:eastAsia="Calibri"/>
          <w:bCs/>
          <w:szCs w:val="24"/>
        </w:rPr>
        <w:t>index</w:t>
      </w:r>
      <w:r w:rsidR="00701C5F" w:rsidRPr="00AF455E">
        <w:rPr>
          <w:rFonts w:eastAsia="Calibri"/>
          <w:bCs/>
          <w:szCs w:val="24"/>
        </w:rPr>
        <w:t xml:space="preserve"> </w:t>
      </w:r>
      <w:r w:rsidR="00A748DD" w:rsidRPr="00AF455E">
        <w:rPr>
          <w:rFonts w:eastAsia="Calibri"/>
          <w:bCs/>
          <w:szCs w:val="24"/>
        </w:rPr>
        <w:t>specified in the table</w:t>
      </w:r>
      <w:r w:rsidR="00F11482" w:rsidRPr="00AF455E">
        <w:rPr>
          <w:rFonts w:eastAsia="Calibri"/>
          <w:bCs/>
          <w:szCs w:val="24"/>
        </w:rPr>
        <w:t>.</w:t>
      </w:r>
    </w:p>
    <w:p w14:paraId="2427E72A" w14:textId="47E08BA4" w:rsidR="00893767" w:rsidRPr="00AF455E" w:rsidRDefault="00893767" w:rsidP="00893767">
      <w:pPr>
        <w:widowControl w:val="0"/>
        <w:adjustRightInd w:val="0"/>
        <w:jc w:val="both"/>
        <w:textAlignment w:val="baseline"/>
        <w:rPr>
          <w:rFonts w:ascii="Times New Roman" w:eastAsia="Calibri" w:hAnsi="Times New Roman" w:cs="Times New Roman"/>
          <w:bCs/>
          <w:sz w:val="24"/>
          <w:szCs w:val="24"/>
        </w:rPr>
      </w:pPr>
      <w:r w:rsidRPr="00AF455E">
        <w:rPr>
          <w:rFonts w:ascii="Times New Roman" w:eastAsia="Calibri" w:hAnsi="Times New Roman" w:cs="Times New Roman"/>
          <w:bCs/>
          <w:sz w:val="24"/>
          <w:szCs w:val="24"/>
        </w:rPr>
        <w:t xml:space="preserve">Where a product is comprised of investments in a class of assets </w:t>
      </w:r>
      <w:r w:rsidR="000F48E2" w:rsidRPr="00AF455E">
        <w:rPr>
          <w:rFonts w:ascii="Times New Roman" w:eastAsia="Calibri" w:hAnsi="Times New Roman" w:cs="Times New Roman"/>
          <w:bCs/>
          <w:sz w:val="24"/>
          <w:szCs w:val="24"/>
        </w:rPr>
        <w:t>that meet the description ‘Other/Commodities’</w:t>
      </w:r>
      <w:r w:rsidR="00BE1FB7" w:rsidRPr="00AF455E">
        <w:rPr>
          <w:rFonts w:ascii="Times New Roman" w:eastAsia="Calibri" w:hAnsi="Times New Roman" w:cs="Times New Roman"/>
          <w:bCs/>
          <w:sz w:val="24"/>
          <w:szCs w:val="24"/>
        </w:rPr>
        <w:t xml:space="preserve"> (which has the same meaning as in the ‘asset allocation standard’)</w:t>
      </w:r>
      <w:r w:rsidRPr="00AF455E">
        <w:rPr>
          <w:rFonts w:ascii="Times New Roman" w:eastAsia="Calibri" w:hAnsi="Times New Roman" w:cs="Times New Roman"/>
          <w:bCs/>
          <w:sz w:val="24"/>
          <w:szCs w:val="24"/>
        </w:rPr>
        <w:t>, the class of assets is treated as falling into the</w:t>
      </w:r>
      <w:r w:rsidR="004A080B" w:rsidRPr="00AF455E">
        <w:rPr>
          <w:rFonts w:ascii="Times New Roman" w:eastAsia="Calibri" w:hAnsi="Times New Roman" w:cs="Times New Roman"/>
          <w:bCs/>
          <w:sz w:val="24"/>
          <w:szCs w:val="24"/>
        </w:rPr>
        <w:t xml:space="preserve"> last</w:t>
      </w:r>
      <w:r w:rsidRPr="00AF455E">
        <w:rPr>
          <w:rFonts w:ascii="Times New Roman" w:eastAsia="Calibri" w:hAnsi="Times New Roman" w:cs="Times New Roman"/>
          <w:bCs/>
          <w:sz w:val="24"/>
          <w:szCs w:val="24"/>
        </w:rPr>
        <w:t xml:space="preserve"> item of the table. The </w:t>
      </w:r>
      <w:r w:rsidR="00374F59" w:rsidRPr="00AF455E">
        <w:rPr>
          <w:rFonts w:ascii="Times New Roman" w:eastAsia="Calibri" w:hAnsi="Times New Roman" w:cs="Times New Roman"/>
          <w:bCs/>
          <w:sz w:val="24"/>
          <w:szCs w:val="24"/>
        </w:rPr>
        <w:t xml:space="preserve">assumed annual </w:t>
      </w:r>
      <w:r w:rsidRPr="00AF455E">
        <w:rPr>
          <w:rFonts w:ascii="Times New Roman" w:eastAsia="Calibri" w:hAnsi="Times New Roman" w:cs="Times New Roman"/>
          <w:bCs/>
          <w:sz w:val="24"/>
          <w:szCs w:val="24"/>
        </w:rPr>
        <w:t xml:space="preserve">fee and </w:t>
      </w:r>
      <w:r w:rsidR="00374F59" w:rsidRPr="00AF455E">
        <w:rPr>
          <w:rFonts w:ascii="Times New Roman" w:eastAsia="Calibri" w:hAnsi="Times New Roman" w:cs="Times New Roman"/>
          <w:bCs/>
          <w:sz w:val="24"/>
          <w:szCs w:val="24"/>
        </w:rPr>
        <w:t>assumed rate of t</w:t>
      </w:r>
      <w:r w:rsidRPr="00AF455E">
        <w:rPr>
          <w:rFonts w:ascii="Times New Roman" w:eastAsia="Calibri" w:hAnsi="Times New Roman" w:cs="Times New Roman"/>
          <w:bCs/>
          <w:sz w:val="24"/>
          <w:szCs w:val="24"/>
        </w:rPr>
        <w:t>ax for this category of assets are 0.10 per cent and 14.50 per cent</w:t>
      </w:r>
      <w:r w:rsidR="005B77B9" w:rsidRPr="00AF455E">
        <w:rPr>
          <w:rFonts w:ascii="Times New Roman" w:eastAsia="Calibri" w:hAnsi="Times New Roman" w:cs="Times New Roman"/>
          <w:bCs/>
          <w:sz w:val="24"/>
          <w:szCs w:val="24"/>
        </w:rPr>
        <w:t>,</w:t>
      </w:r>
      <w:r w:rsidRPr="00AF455E">
        <w:rPr>
          <w:rFonts w:ascii="Times New Roman" w:eastAsia="Calibri" w:hAnsi="Times New Roman" w:cs="Times New Roman"/>
          <w:bCs/>
          <w:sz w:val="24"/>
          <w:szCs w:val="24"/>
        </w:rPr>
        <w:t xml:space="preserve"> respectively. </w:t>
      </w:r>
      <w:r w:rsidR="00E8302E" w:rsidRPr="00AF455E">
        <w:rPr>
          <w:rFonts w:ascii="Times New Roman" w:eastAsia="Calibri" w:hAnsi="Times New Roman" w:cs="Times New Roman"/>
          <w:bCs/>
          <w:sz w:val="24"/>
          <w:szCs w:val="24"/>
        </w:rPr>
        <w:t>T</w:t>
      </w:r>
      <w:r w:rsidRPr="00AF455E">
        <w:rPr>
          <w:rFonts w:ascii="Times New Roman" w:eastAsia="Calibri" w:hAnsi="Times New Roman" w:cs="Times New Roman"/>
          <w:bCs/>
          <w:sz w:val="24"/>
          <w:szCs w:val="24"/>
        </w:rPr>
        <w:t xml:space="preserve">hese figures have been calculated using a weighted </w:t>
      </w:r>
      <w:r w:rsidR="00374F59" w:rsidRPr="00AF455E">
        <w:rPr>
          <w:rFonts w:ascii="Times New Roman" w:eastAsia="Calibri" w:hAnsi="Times New Roman" w:cs="Times New Roman"/>
          <w:bCs/>
          <w:sz w:val="24"/>
          <w:szCs w:val="24"/>
        </w:rPr>
        <w:t>average</w:t>
      </w:r>
      <w:r w:rsidRPr="00AF455E">
        <w:rPr>
          <w:rFonts w:ascii="Times New Roman" w:eastAsia="Calibri" w:hAnsi="Times New Roman" w:cs="Times New Roman"/>
          <w:bCs/>
          <w:sz w:val="24"/>
          <w:szCs w:val="24"/>
        </w:rPr>
        <w:t xml:space="preserve"> of the fee and tax assumptions from the ‘International Equity (hedged)’, ‘International Equity (unhedged)’ and the ‘International Fixed Interest’ covered asset classes, where the weights are 25 per cent, 25 per cent and 50 per cent respectively. For example, the fee of 0.10 per cent was computed by taking the sum of</w:t>
      </w:r>
      <w:r w:rsidR="00B307F5" w:rsidRPr="00AF455E">
        <w:rPr>
          <w:rFonts w:ascii="Times New Roman" w:eastAsia="Calibri" w:hAnsi="Times New Roman" w:cs="Times New Roman"/>
          <w:bCs/>
          <w:sz w:val="24"/>
          <w:szCs w:val="24"/>
        </w:rPr>
        <w:t xml:space="preserve"> the following</w:t>
      </w:r>
      <w:r w:rsidRPr="00AF455E">
        <w:rPr>
          <w:rFonts w:ascii="Times New Roman" w:eastAsia="Calibri" w:hAnsi="Times New Roman" w:cs="Times New Roman"/>
          <w:bCs/>
          <w:sz w:val="24"/>
          <w:szCs w:val="24"/>
        </w:rPr>
        <w:t>:</w:t>
      </w:r>
    </w:p>
    <w:p w14:paraId="29DC01F0" w14:textId="1DD2D8C6" w:rsidR="00893767" w:rsidRPr="00AF455E" w:rsidRDefault="00893767" w:rsidP="007B38BA">
      <w:pPr>
        <w:pStyle w:val="Bullet"/>
        <w:rPr>
          <w:rFonts w:eastAsia="Calibri"/>
        </w:rPr>
      </w:pPr>
      <w:r w:rsidRPr="00AF455E">
        <w:rPr>
          <w:rFonts w:eastAsia="Calibri"/>
        </w:rPr>
        <w:t xml:space="preserve">0.25 </w:t>
      </w:r>
      <w:r w:rsidR="00785E75" w:rsidRPr="00AF455E">
        <w:rPr>
          <w:rFonts w:eastAsia="Calibri"/>
        </w:rPr>
        <w:t>multiplied by the</w:t>
      </w:r>
      <w:r w:rsidRPr="00AF455E">
        <w:rPr>
          <w:rFonts w:eastAsia="Calibri"/>
        </w:rPr>
        <w:t xml:space="preserve"> assumed annual fee for International Equity (hedged</w:t>
      </w:r>
      <w:proofErr w:type="gramStart"/>
      <w:r w:rsidRPr="00AF455E">
        <w:rPr>
          <w:rFonts w:eastAsia="Calibri"/>
        </w:rPr>
        <w:t>);</w:t>
      </w:r>
      <w:proofErr w:type="gramEnd"/>
    </w:p>
    <w:p w14:paraId="78431931" w14:textId="550C4D71" w:rsidR="00893767" w:rsidRPr="00AF455E" w:rsidRDefault="00893767" w:rsidP="00D06950">
      <w:pPr>
        <w:pStyle w:val="Bullet"/>
        <w:keepNext/>
        <w:rPr>
          <w:rFonts w:eastAsia="Calibri"/>
        </w:rPr>
      </w:pPr>
      <w:r w:rsidRPr="00AF455E">
        <w:rPr>
          <w:rFonts w:eastAsia="Calibri"/>
        </w:rPr>
        <w:t xml:space="preserve">0.25 </w:t>
      </w:r>
      <w:r w:rsidR="00785E75" w:rsidRPr="00AF455E">
        <w:rPr>
          <w:rFonts w:eastAsia="Calibri"/>
        </w:rPr>
        <w:t>multiplied by the</w:t>
      </w:r>
      <w:r w:rsidRPr="00AF455E">
        <w:rPr>
          <w:rFonts w:eastAsia="Calibri"/>
        </w:rPr>
        <w:t xml:space="preserve"> assumed annual fee for International Equity (unhedged); </w:t>
      </w:r>
      <w:r w:rsidR="00B307F5" w:rsidRPr="00AF455E">
        <w:rPr>
          <w:rFonts w:eastAsia="Calibri"/>
        </w:rPr>
        <w:t>and</w:t>
      </w:r>
    </w:p>
    <w:p w14:paraId="412A782B" w14:textId="0413AF1D" w:rsidR="00893767" w:rsidRPr="00AF455E" w:rsidRDefault="00893767" w:rsidP="007B38BA">
      <w:pPr>
        <w:pStyle w:val="Bullet"/>
        <w:rPr>
          <w:rFonts w:eastAsia="Calibri"/>
        </w:rPr>
      </w:pPr>
      <w:r w:rsidRPr="00AF455E">
        <w:rPr>
          <w:rFonts w:eastAsia="Calibri"/>
        </w:rPr>
        <w:t xml:space="preserve">0.50 </w:t>
      </w:r>
      <w:r w:rsidR="00785E75" w:rsidRPr="00AF455E">
        <w:rPr>
          <w:rFonts w:eastAsia="Calibri"/>
        </w:rPr>
        <w:t>multiplied by the</w:t>
      </w:r>
      <w:r w:rsidRPr="00AF455E">
        <w:rPr>
          <w:rFonts w:eastAsia="Calibri"/>
        </w:rPr>
        <w:t xml:space="preserve"> assumed annual fee for International Fixed Interest.</w:t>
      </w:r>
    </w:p>
    <w:p w14:paraId="529A5DD4" w14:textId="7B21C202" w:rsidR="008C1279" w:rsidRPr="00AF455E" w:rsidRDefault="00893767" w:rsidP="00893767">
      <w:pPr>
        <w:widowControl w:val="0"/>
        <w:adjustRightInd w:val="0"/>
        <w:jc w:val="both"/>
        <w:textAlignment w:val="baseline"/>
      </w:pPr>
      <w:r w:rsidRPr="00AF455E">
        <w:rPr>
          <w:rFonts w:ascii="Times New Roman" w:eastAsia="Calibri" w:hAnsi="Times New Roman" w:cs="Times New Roman"/>
          <w:bCs/>
          <w:sz w:val="24"/>
          <w:szCs w:val="24"/>
        </w:rPr>
        <w:t xml:space="preserve">The proposed Regulations also include rules to ensure that in applying the formula for benchmark return, the </w:t>
      </w:r>
      <w:r w:rsidR="00CA7099" w:rsidRPr="00AF455E">
        <w:rPr>
          <w:rFonts w:ascii="Times New Roman" w:eastAsia="Calibri" w:hAnsi="Times New Roman" w:cs="Times New Roman"/>
          <w:bCs/>
          <w:sz w:val="24"/>
          <w:szCs w:val="24"/>
        </w:rPr>
        <w:t>‘</w:t>
      </w:r>
      <w:r w:rsidRPr="00AF455E">
        <w:rPr>
          <w:rFonts w:ascii="Times New Roman" w:eastAsia="Calibri" w:hAnsi="Times New Roman" w:cs="Times New Roman"/>
          <w:bCs/>
          <w:sz w:val="24"/>
          <w:szCs w:val="24"/>
        </w:rPr>
        <w:t>index</w:t>
      </w:r>
      <w:r w:rsidR="00CA7099" w:rsidRPr="00AF455E">
        <w:rPr>
          <w:rFonts w:ascii="Times New Roman" w:eastAsia="Calibri" w:hAnsi="Times New Roman" w:cs="Times New Roman"/>
          <w:bCs/>
          <w:sz w:val="24"/>
          <w:szCs w:val="24"/>
        </w:rPr>
        <w:t>’</w:t>
      </w:r>
      <w:r w:rsidRPr="00AF455E">
        <w:rPr>
          <w:rFonts w:ascii="Times New Roman" w:eastAsia="Calibri" w:hAnsi="Times New Roman" w:cs="Times New Roman"/>
          <w:bCs/>
          <w:sz w:val="24"/>
          <w:szCs w:val="24"/>
        </w:rPr>
        <w:t xml:space="preserve"> for the ‘</w:t>
      </w:r>
      <w:r w:rsidR="00197886" w:rsidRPr="00AF455E">
        <w:rPr>
          <w:rFonts w:ascii="Times New Roman" w:eastAsia="Calibri" w:hAnsi="Times New Roman" w:cs="Times New Roman"/>
          <w:bCs/>
          <w:sz w:val="24"/>
          <w:szCs w:val="24"/>
        </w:rPr>
        <w:t>Other/</w:t>
      </w:r>
      <w:r w:rsidR="00192613" w:rsidRPr="00AF455E">
        <w:rPr>
          <w:rFonts w:ascii="Times New Roman" w:eastAsia="Calibri" w:hAnsi="Times New Roman" w:cs="Times New Roman"/>
          <w:bCs/>
          <w:sz w:val="24"/>
          <w:szCs w:val="24"/>
        </w:rPr>
        <w:t>C</w:t>
      </w:r>
      <w:r w:rsidR="00197886" w:rsidRPr="00AF455E">
        <w:rPr>
          <w:rFonts w:ascii="Times New Roman" w:eastAsia="Calibri" w:hAnsi="Times New Roman" w:cs="Times New Roman"/>
          <w:bCs/>
          <w:sz w:val="24"/>
          <w:szCs w:val="24"/>
        </w:rPr>
        <w:t>ommodit</w:t>
      </w:r>
      <w:r w:rsidR="00192613" w:rsidRPr="00AF455E">
        <w:rPr>
          <w:rFonts w:ascii="Times New Roman" w:eastAsia="Calibri" w:hAnsi="Times New Roman" w:cs="Times New Roman"/>
          <w:bCs/>
          <w:sz w:val="24"/>
          <w:szCs w:val="24"/>
        </w:rPr>
        <w:t>ies</w:t>
      </w:r>
      <w:r w:rsidR="008A7C13" w:rsidRPr="00AF455E">
        <w:rPr>
          <w:rFonts w:ascii="Times New Roman" w:eastAsia="Calibri" w:hAnsi="Times New Roman" w:cs="Times New Roman"/>
          <w:bCs/>
          <w:sz w:val="24"/>
          <w:szCs w:val="24"/>
        </w:rPr>
        <w:t xml:space="preserve"> </w:t>
      </w:r>
      <w:r w:rsidRPr="00AF455E">
        <w:rPr>
          <w:rFonts w:ascii="Times New Roman" w:eastAsia="Calibri" w:hAnsi="Times New Roman" w:cs="Times New Roman"/>
          <w:bCs/>
          <w:sz w:val="24"/>
          <w:szCs w:val="24"/>
        </w:rPr>
        <w:t>category’ covered asset class</w:t>
      </w:r>
      <w:r w:rsidR="00377109" w:rsidRPr="00AF455E">
        <w:rPr>
          <w:rFonts w:ascii="Times New Roman" w:eastAsia="Calibri" w:hAnsi="Times New Roman" w:cs="Times New Roman"/>
          <w:bCs/>
          <w:sz w:val="24"/>
          <w:szCs w:val="24"/>
        </w:rPr>
        <w:t xml:space="preserve"> and a given quarter</w:t>
      </w:r>
      <w:r w:rsidRPr="00AF455E">
        <w:rPr>
          <w:rFonts w:ascii="Times New Roman" w:eastAsia="Calibri" w:hAnsi="Times New Roman" w:cs="Times New Roman"/>
          <w:bCs/>
          <w:sz w:val="24"/>
          <w:szCs w:val="24"/>
        </w:rPr>
        <w:t xml:space="preserve"> is </w:t>
      </w:r>
      <w:r w:rsidR="00377109" w:rsidRPr="00AF455E">
        <w:rPr>
          <w:rFonts w:ascii="Times New Roman" w:eastAsia="Calibri" w:hAnsi="Times New Roman" w:cs="Times New Roman"/>
          <w:bCs/>
          <w:sz w:val="24"/>
          <w:szCs w:val="24"/>
        </w:rPr>
        <w:t xml:space="preserve">calculated by taking the </w:t>
      </w:r>
      <w:proofErr w:type="gramStart"/>
      <w:r w:rsidR="00750134" w:rsidRPr="00AF455E">
        <w:rPr>
          <w:rFonts w:ascii="Times New Roman" w:eastAsia="Calibri" w:hAnsi="Times New Roman" w:cs="Times New Roman"/>
          <w:bCs/>
          <w:sz w:val="24"/>
          <w:szCs w:val="24"/>
        </w:rPr>
        <w:t>weighted-average</w:t>
      </w:r>
      <w:proofErr w:type="gramEnd"/>
      <w:r w:rsidR="00750134" w:rsidRPr="00AF455E">
        <w:rPr>
          <w:rFonts w:ascii="Times New Roman" w:eastAsia="Calibri" w:hAnsi="Times New Roman" w:cs="Times New Roman"/>
          <w:bCs/>
          <w:sz w:val="24"/>
          <w:szCs w:val="24"/>
        </w:rPr>
        <w:t xml:space="preserve"> </w:t>
      </w:r>
      <w:r w:rsidR="00377109" w:rsidRPr="00AF455E">
        <w:rPr>
          <w:rFonts w:ascii="Times New Roman" w:eastAsia="Calibri" w:hAnsi="Times New Roman" w:cs="Times New Roman"/>
          <w:bCs/>
          <w:sz w:val="24"/>
          <w:szCs w:val="24"/>
        </w:rPr>
        <w:t xml:space="preserve">of </w:t>
      </w:r>
      <w:r w:rsidRPr="00AF455E">
        <w:rPr>
          <w:rFonts w:ascii="Times New Roman" w:eastAsia="Calibri" w:hAnsi="Times New Roman" w:cs="Times New Roman"/>
          <w:bCs/>
          <w:sz w:val="24"/>
          <w:szCs w:val="24"/>
        </w:rPr>
        <w:t>the indices</w:t>
      </w:r>
      <w:r w:rsidR="00750134" w:rsidRPr="00AF455E">
        <w:rPr>
          <w:rFonts w:ascii="Times New Roman" w:eastAsia="Calibri" w:hAnsi="Times New Roman" w:cs="Times New Roman"/>
          <w:bCs/>
          <w:sz w:val="24"/>
          <w:szCs w:val="24"/>
        </w:rPr>
        <w:t xml:space="preserve"> </w:t>
      </w:r>
      <w:r w:rsidR="00A0439C" w:rsidRPr="00AF455E">
        <w:rPr>
          <w:rFonts w:ascii="Times New Roman" w:eastAsia="Calibri" w:hAnsi="Times New Roman" w:cs="Times New Roman"/>
          <w:bCs/>
          <w:sz w:val="24"/>
          <w:szCs w:val="24"/>
        </w:rPr>
        <w:t xml:space="preserve">for that quarter </w:t>
      </w:r>
      <w:r w:rsidR="00750134" w:rsidRPr="00AF455E">
        <w:rPr>
          <w:rFonts w:ascii="Times New Roman" w:eastAsia="Calibri" w:hAnsi="Times New Roman" w:cs="Times New Roman"/>
          <w:bCs/>
          <w:sz w:val="24"/>
          <w:szCs w:val="24"/>
        </w:rPr>
        <w:t>for the same asset classes as above, using the same weights as above</w:t>
      </w:r>
      <w:r w:rsidRPr="00AF455E">
        <w:rPr>
          <w:rFonts w:ascii="Times New Roman" w:eastAsia="Calibri" w:hAnsi="Times New Roman" w:cs="Times New Roman"/>
          <w:bCs/>
          <w:sz w:val="24"/>
          <w:szCs w:val="24"/>
        </w:rPr>
        <w:t xml:space="preserve">. </w:t>
      </w:r>
      <w:r w:rsidR="008C1279" w:rsidRPr="00AF455E">
        <w:t xml:space="preserve"> </w:t>
      </w:r>
    </w:p>
    <w:p w14:paraId="55E3822B" w14:textId="68F38051" w:rsidR="00F82CA4" w:rsidRPr="00AF455E" w:rsidRDefault="008C1279" w:rsidP="00F11482">
      <w:pPr>
        <w:widowControl w:val="0"/>
        <w:adjustRightInd w:val="0"/>
        <w:jc w:val="both"/>
        <w:textAlignment w:val="baseline"/>
        <w:rPr>
          <w:rFonts w:ascii="Times New Roman" w:eastAsia="Calibri" w:hAnsi="Times New Roman" w:cs="Times New Roman"/>
          <w:bCs/>
          <w:sz w:val="24"/>
          <w:szCs w:val="24"/>
        </w:rPr>
      </w:pPr>
      <w:r w:rsidRPr="00AF455E">
        <w:rPr>
          <w:rFonts w:ascii="Times New Roman" w:eastAsia="Calibri" w:hAnsi="Times New Roman" w:cs="Times New Roman"/>
          <w:bCs/>
          <w:sz w:val="24"/>
          <w:szCs w:val="24"/>
        </w:rPr>
        <w:t xml:space="preserve">For the </w:t>
      </w:r>
      <w:r w:rsidR="00FF0F27" w:rsidRPr="00AF455E">
        <w:rPr>
          <w:rFonts w:ascii="Times New Roman" w:eastAsia="Calibri" w:hAnsi="Times New Roman" w:cs="Times New Roman"/>
          <w:bCs/>
          <w:sz w:val="24"/>
          <w:szCs w:val="24"/>
        </w:rPr>
        <w:t>‘</w:t>
      </w:r>
      <w:r w:rsidRPr="00AF455E">
        <w:rPr>
          <w:rFonts w:ascii="Times New Roman" w:eastAsia="Calibri" w:hAnsi="Times New Roman" w:cs="Times New Roman"/>
          <w:bCs/>
          <w:sz w:val="24"/>
          <w:szCs w:val="24"/>
        </w:rPr>
        <w:t>Australian Unlisted Infrastructure</w:t>
      </w:r>
      <w:r w:rsidR="00FF0F27" w:rsidRPr="00AF455E">
        <w:rPr>
          <w:rFonts w:ascii="Times New Roman" w:eastAsia="Calibri" w:hAnsi="Times New Roman" w:cs="Times New Roman"/>
          <w:bCs/>
          <w:sz w:val="24"/>
          <w:szCs w:val="24"/>
        </w:rPr>
        <w:t>’</w:t>
      </w:r>
      <w:r w:rsidRPr="00AF455E">
        <w:rPr>
          <w:rFonts w:ascii="Times New Roman" w:eastAsia="Calibri" w:hAnsi="Times New Roman" w:cs="Times New Roman"/>
          <w:bCs/>
          <w:sz w:val="24"/>
          <w:szCs w:val="24"/>
        </w:rPr>
        <w:t xml:space="preserve"> and </w:t>
      </w:r>
      <w:r w:rsidR="00FF0F27" w:rsidRPr="00AF455E">
        <w:rPr>
          <w:rFonts w:ascii="Times New Roman" w:eastAsia="Calibri" w:hAnsi="Times New Roman" w:cs="Times New Roman"/>
          <w:bCs/>
          <w:sz w:val="24"/>
          <w:szCs w:val="24"/>
        </w:rPr>
        <w:t>‘</w:t>
      </w:r>
      <w:r w:rsidRPr="00AF455E">
        <w:rPr>
          <w:rFonts w:ascii="Times New Roman" w:eastAsia="Calibri" w:hAnsi="Times New Roman" w:cs="Times New Roman"/>
          <w:bCs/>
          <w:sz w:val="24"/>
          <w:szCs w:val="24"/>
        </w:rPr>
        <w:t>International Unlisted Infrastructure</w:t>
      </w:r>
      <w:r w:rsidR="00FF0F27" w:rsidRPr="00AF455E">
        <w:rPr>
          <w:rFonts w:ascii="Times New Roman" w:eastAsia="Calibri" w:hAnsi="Times New Roman" w:cs="Times New Roman"/>
          <w:bCs/>
          <w:sz w:val="24"/>
          <w:szCs w:val="24"/>
        </w:rPr>
        <w:t>’</w:t>
      </w:r>
      <w:r w:rsidRPr="00AF455E">
        <w:rPr>
          <w:rFonts w:ascii="Times New Roman" w:eastAsia="Calibri" w:hAnsi="Times New Roman" w:cs="Times New Roman"/>
          <w:bCs/>
          <w:sz w:val="24"/>
          <w:szCs w:val="24"/>
        </w:rPr>
        <w:t xml:space="preserve"> covered asset classes, in some circumstances, a different assumed index will apply to that specified </w:t>
      </w:r>
      <w:r w:rsidR="001928E4" w:rsidRPr="00AF455E">
        <w:rPr>
          <w:rFonts w:ascii="Times New Roman" w:eastAsia="Calibri" w:hAnsi="Times New Roman" w:cs="Times New Roman"/>
          <w:bCs/>
          <w:sz w:val="24"/>
          <w:szCs w:val="24"/>
        </w:rPr>
        <w:t>f</w:t>
      </w:r>
      <w:r w:rsidR="001A4461" w:rsidRPr="00AF455E">
        <w:rPr>
          <w:rFonts w:ascii="Times New Roman" w:eastAsia="Calibri" w:hAnsi="Times New Roman" w:cs="Times New Roman"/>
          <w:bCs/>
          <w:sz w:val="24"/>
          <w:szCs w:val="24"/>
        </w:rPr>
        <w:t xml:space="preserve">or those covered asset classes </w:t>
      </w:r>
      <w:r w:rsidRPr="00AF455E">
        <w:rPr>
          <w:rFonts w:ascii="Times New Roman" w:eastAsia="Calibri" w:hAnsi="Times New Roman" w:cs="Times New Roman"/>
          <w:bCs/>
          <w:sz w:val="24"/>
          <w:szCs w:val="24"/>
        </w:rPr>
        <w:t>in the table of assumptions. Those circumstances are where the index value for those covered asset classes for the last quarter in the lookback period for Part</w:t>
      </w:r>
      <w:r w:rsidR="00F64523" w:rsidRPr="00AF455E">
        <w:rPr>
          <w:rFonts w:ascii="Times New Roman" w:eastAsia="Calibri" w:hAnsi="Times New Roman" w:cs="Times New Roman"/>
          <w:bCs/>
          <w:sz w:val="24"/>
          <w:szCs w:val="24"/>
        </w:rPr>
        <w:t> </w:t>
      </w:r>
      <w:r w:rsidRPr="00AF455E">
        <w:rPr>
          <w:rFonts w:ascii="Times New Roman" w:eastAsia="Calibri" w:hAnsi="Times New Roman" w:cs="Times New Roman"/>
          <w:bCs/>
          <w:sz w:val="24"/>
          <w:szCs w:val="24"/>
        </w:rPr>
        <w:t xml:space="preserve">6A products is not publicly available within </w:t>
      </w:r>
      <w:r w:rsidR="00F5102F" w:rsidRPr="00AF455E">
        <w:rPr>
          <w:rFonts w:ascii="Times New Roman" w:eastAsia="Calibri" w:hAnsi="Times New Roman" w:cs="Times New Roman"/>
          <w:bCs/>
          <w:sz w:val="24"/>
          <w:szCs w:val="24"/>
        </w:rPr>
        <w:t>36</w:t>
      </w:r>
      <w:r w:rsidRPr="00AF455E">
        <w:rPr>
          <w:rFonts w:ascii="Times New Roman" w:eastAsia="Calibri" w:hAnsi="Times New Roman" w:cs="Times New Roman"/>
          <w:bCs/>
          <w:sz w:val="24"/>
          <w:szCs w:val="24"/>
        </w:rPr>
        <w:t xml:space="preserve"> days after the end of the financial year for which the performance test is conducted. In such circumstances, </w:t>
      </w:r>
      <w:r w:rsidR="007B11EB" w:rsidRPr="00AF455E">
        <w:rPr>
          <w:rFonts w:ascii="Times New Roman" w:eastAsia="Calibri" w:hAnsi="Times New Roman" w:cs="Times New Roman"/>
          <w:bCs/>
          <w:sz w:val="24"/>
          <w:szCs w:val="24"/>
        </w:rPr>
        <w:t xml:space="preserve">the regulations provide that </w:t>
      </w:r>
      <w:r w:rsidRPr="00AF455E">
        <w:rPr>
          <w:rFonts w:ascii="Times New Roman" w:eastAsia="Calibri" w:hAnsi="Times New Roman" w:cs="Times New Roman"/>
          <w:bCs/>
          <w:sz w:val="24"/>
          <w:szCs w:val="24"/>
        </w:rPr>
        <w:t xml:space="preserve">the assumed index for </w:t>
      </w:r>
      <w:r w:rsidR="005A2B13" w:rsidRPr="00AF455E">
        <w:rPr>
          <w:rFonts w:ascii="Times New Roman" w:eastAsia="Calibri" w:hAnsi="Times New Roman" w:cs="Times New Roman"/>
          <w:bCs/>
          <w:sz w:val="24"/>
          <w:szCs w:val="24"/>
        </w:rPr>
        <w:t>‘</w:t>
      </w:r>
      <w:r w:rsidRPr="00AF455E">
        <w:rPr>
          <w:rFonts w:ascii="Times New Roman" w:eastAsia="Calibri" w:hAnsi="Times New Roman" w:cs="Times New Roman"/>
          <w:bCs/>
          <w:sz w:val="24"/>
          <w:szCs w:val="24"/>
        </w:rPr>
        <w:t>Australian Listed Infrastructure</w:t>
      </w:r>
      <w:r w:rsidR="005A2B13" w:rsidRPr="00AF455E">
        <w:rPr>
          <w:rFonts w:ascii="Times New Roman" w:eastAsia="Calibri" w:hAnsi="Times New Roman" w:cs="Times New Roman"/>
          <w:bCs/>
          <w:sz w:val="24"/>
          <w:szCs w:val="24"/>
        </w:rPr>
        <w:t>’</w:t>
      </w:r>
      <w:r w:rsidRPr="00AF455E">
        <w:rPr>
          <w:rFonts w:ascii="Times New Roman" w:eastAsia="Calibri" w:hAnsi="Times New Roman" w:cs="Times New Roman"/>
          <w:bCs/>
          <w:sz w:val="24"/>
          <w:szCs w:val="24"/>
        </w:rPr>
        <w:t xml:space="preserve"> is </w:t>
      </w:r>
      <w:r w:rsidR="001928E4" w:rsidRPr="00AF455E">
        <w:rPr>
          <w:rFonts w:ascii="Times New Roman" w:eastAsia="Calibri" w:hAnsi="Times New Roman" w:cs="Times New Roman"/>
          <w:bCs/>
          <w:sz w:val="24"/>
          <w:szCs w:val="24"/>
        </w:rPr>
        <w:t xml:space="preserve">instead </w:t>
      </w:r>
      <w:r w:rsidRPr="00AF455E">
        <w:rPr>
          <w:rFonts w:ascii="Times New Roman" w:eastAsia="Calibri" w:hAnsi="Times New Roman" w:cs="Times New Roman"/>
          <w:bCs/>
          <w:sz w:val="24"/>
          <w:szCs w:val="24"/>
        </w:rPr>
        <w:t xml:space="preserve">to be used </w:t>
      </w:r>
      <w:r w:rsidR="00AF6BF6" w:rsidRPr="00AF455E">
        <w:rPr>
          <w:rFonts w:ascii="Times New Roman" w:eastAsia="Calibri" w:hAnsi="Times New Roman" w:cs="Times New Roman"/>
          <w:bCs/>
          <w:sz w:val="24"/>
          <w:szCs w:val="24"/>
        </w:rPr>
        <w:t xml:space="preserve">in relation to the final 2 quarters in the lookback period for the product (noting that the values in the final 2 quarters are needed to calculate the ‘index’ for </w:t>
      </w:r>
      <w:r w:rsidR="005719B0" w:rsidRPr="00AF455E">
        <w:rPr>
          <w:rFonts w:ascii="Times New Roman" w:eastAsia="Calibri" w:hAnsi="Times New Roman" w:cs="Times New Roman"/>
          <w:bCs/>
          <w:sz w:val="24"/>
          <w:szCs w:val="24"/>
        </w:rPr>
        <w:t xml:space="preserve">the </w:t>
      </w:r>
      <w:r w:rsidR="00AF6BF6" w:rsidRPr="00AF455E">
        <w:rPr>
          <w:rFonts w:ascii="Times New Roman" w:eastAsia="Calibri" w:hAnsi="Times New Roman" w:cs="Times New Roman"/>
          <w:bCs/>
          <w:sz w:val="24"/>
          <w:szCs w:val="24"/>
        </w:rPr>
        <w:t xml:space="preserve">final quarter in the lookback period). </w:t>
      </w:r>
      <w:r w:rsidRPr="00AF455E">
        <w:rPr>
          <w:rFonts w:ascii="Times New Roman" w:eastAsia="Calibri" w:hAnsi="Times New Roman" w:cs="Times New Roman"/>
          <w:bCs/>
          <w:sz w:val="24"/>
          <w:szCs w:val="24"/>
        </w:rPr>
        <w:t xml:space="preserve">This ensures that where there is a delay in the release of applicable data, the regulations provide an alternative assumption that </w:t>
      </w:r>
      <w:r w:rsidR="001928E4" w:rsidRPr="00AF455E">
        <w:rPr>
          <w:rFonts w:ascii="Times New Roman" w:eastAsia="Calibri" w:hAnsi="Times New Roman" w:cs="Times New Roman"/>
          <w:bCs/>
          <w:sz w:val="24"/>
          <w:szCs w:val="24"/>
        </w:rPr>
        <w:t>is to</w:t>
      </w:r>
      <w:r w:rsidRPr="00AF455E">
        <w:rPr>
          <w:rFonts w:ascii="Times New Roman" w:eastAsia="Calibri" w:hAnsi="Times New Roman" w:cs="Times New Roman"/>
          <w:bCs/>
          <w:sz w:val="24"/>
          <w:szCs w:val="24"/>
        </w:rPr>
        <w:t xml:space="preserve"> be used </w:t>
      </w:r>
      <w:r w:rsidR="001928E4" w:rsidRPr="00AF455E">
        <w:rPr>
          <w:rFonts w:ascii="Times New Roman" w:eastAsia="Calibri" w:hAnsi="Times New Roman" w:cs="Times New Roman"/>
          <w:bCs/>
          <w:sz w:val="24"/>
          <w:szCs w:val="24"/>
        </w:rPr>
        <w:t xml:space="preserve">instead, </w:t>
      </w:r>
      <w:r w:rsidRPr="00AF455E">
        <w:rPr>
          <w:rFonts w:ascii="Times New Roman" w:eastAsia="Calibri" w:hAnsi="Times New Roman" w:cs="Times New Roman"/>
          <w:bCs/>
          <w:sz w:val="24"/>
          <w:szCs w:val="24"/>
        </w:rPr>
        <w:t>allow</w:t>
      </w:r>
      <w:r w:rsidR="001928E4" w:rsidRPr="00AF455E">
        <w:rPr>
          <w:rFonts w:ascii="Times New Roman" w:eastAsia="Calibri" w:hAnsi="Times New Roman" w:cs="Times New Roman"/>
          <w:bCs/>
          <w:sz w:val="24"/>
          <w:szCs w:val="24"/>
        </w:rPr>
        <w:t>ing</w:t>
      </w:r>
      <w:r w:rsidRPr="00AF455E">
        <w:rPr>
          <w:rFonts w:ascii="Times New Roman" w:eastAsia="Calibri" w:hAnsi="Times New Roman" w:cs="Times New Roman"/>
          <w:bCs/>
          <w:sz w:val="24"/>
          <w:szCs w:val="24"/>
        </w:rPr>
        <w:t xml:space="preserve"> APRA to conduct the performance test by 1</w:t>
      </w:r>
      <w:r w:rsidR="001928E4" w:rsidRPr="00AF455E">
        <w:rPr>
          <w:rFonts w:ascii="Times New Roman" w:eastAsia="Calibri" w:hAnsi="Times New Roman" w:cs="Times New Roman"/>
          <w:bCs/>
          <w:sz w:val="24"/>
          <w:szCs w:val="24"/>
        </w:rPr>
        <w:t> </w:t>
      </w:r>
      <w:r w:rsidR="00AF6BF6" w:rsidRPr="00AF455E">
        <w:rPr>
          <w:rFonts w:ascii="Times New Roman" w:eastAsia="Calibri" w:hAnsi="Times New Roman" w:cs="Times New Roman"/>
          <w:bCs/>
          <w:sz w:val="24"/>
          <w:szCs w:val="24"/>
        </w:rPr>
        <w:t>September</w:t>
      </w:r>
      <w:r w:rsidRPr="00AF455E">
        <w:rPr>
          <w:rFonts w:ascii="Times New Roman" w:eastAsia="Calibri" w:hAnsi="Times New Roman" w:cs="Times New Roman"/>
          <w:bCs/>
          <w:sz w:val="24"/>
          <w:szCs w:val="24"/>
        </w:rPr>
        <w:t xml:space="preserve"> each year.</w:t>
      </w:r>
    </w:p>
    <w:p w14:paraId="632F2981" w14:textId="77777777" w:rsidR="00F11482" w:rsidRPr="00AF455E" w:rsidRDefault="00F11482" w:rsidP="00F11482">
      <w:pPr>
        <w:widowControl w:val="0"/>
        <w:adjustRightInd w:val="0"/>
        <w:jc w:val="both"/>
        <w:textAlignment w:val="baseline"/>
        <w:rPr>
          <w:rFonts w:ascii="Times New Roman" w:eastAsia="Calibri" w:hAnsi="Times New Roman" w:cs="Times New Roman"/>
          <w:i/>
          <w:iCs/>
          <w:sz w:val="24"/>
          <w:szCs w:val="24"/>
        </w:rPr>
      </w:pPr>
      <w:r w:rsidRPr="00AF455E">
        <w:rPr>
          <w:rFonts w:ascii="Times New Roman" w:eastAsia="Calibri" w:hAnsi="Times New Roman" w:cs="Times New Roman"/>
          <w:i/>
          <w:sz w:val="24"/>
          <w:szCs w:val="24"/>
        </w:rPr>
        <w:t>Requirements to satisfy the annual performance test (lifecycle Part 6A products)</w:t>
      </w:r>
    </w:p>
    <w:p w14:paraId="23582F6E" w14:textId="17317EA6" w:rsidR="00F11482" w:rsidRPr="00AF455E" w:rsidRDefault="00F11482" w:rsidP="00F11482">
      <w:pPr>
        <w:widowControl w:val="0"/>
        <w:adjustRightInd w:val="0"/>
        <w:jc w:val="both"/>
        <w:textAlignment w:val="baseline"/>
        <w:rPr>
          <w:rFonts w:ascii="Times New Roman" w:eastAsia="Calibri" w:hAnsi="Times New Roman" w:cs="Times New Roman"/>
          <w:i/>
          <w:sz w:val="24"/>
          <w:szCs w:val="24"/>
        </w:rPr>
      </w:pPr>
      <w:r w:rsidRPr="00AF455E">
        <w:rPr>
          <w:rFonts w:ascii="Times New Roman" w:eastAsia="Calibri" w:hAnsi="Times New Roman" w:cs="Times New Roman"/>
          <w:sz w:val="24"/>
          <w:szCs w:val="24"/>
        </w:rPr>
        <w:t xml:space="preserve">The </w:t>
      </w:r>
      <w:r w:rsidR="000D1356" w:rsidRPr="00AF455E">
        <w:rPr>
          <w:rFonts w:ascii="Times New Roman" w:eastAsia="Calibri" w:hAnsi="Times New Roman" w:cs="Times New Roman"/>
          <w:sz w:val="24"/>
          <w:szCs w:val="24"/>
        </w:rPr>
        <w:t>proposed Regulations</w:t>
      </w:r>
      <w:r w:rsidRPr="00AF455E">
        <w:rPr>
          <w:rFonts w:ascii="Times New Roman" w:eastAsia="Calibri" w:hAnsi="Times New Roman" w:cs="Times New Roman"/>
          <w:sz w:val="24"/>
          <w:szCs w:val="24"/>
        </w:rPr>
        <w:t xml:space="preserve"> provide the formula for calculating </w:t>
      </w:r>
      <w:r w:rsidR="00E47A20" w:rsidRPr="00AF455E">
        <w:rPr>
          <w:rFonts w:ascii="Times New Roman" w:eastAsia="Calibri" w:hAnsi="Times New Roman" w:cs="Times New Roman"/>
          <w:sz w:val="24"/>
          <w:szCs w:val="24"/>
        </w:rPr>
        <w:t xml:space="preserve">the </w:t>
      </w:r>
      <w:r w:rsidRPr="00AF455E">
        <w:rPr>
          <w:rFonts w:ascii="Times New Roman" w:eastAsia="Calibri" w:hAnsi="Times New Roman" w:cs="Times New Roman"/>
          <w:sz w:val="24"/>
          <w:szCs w:val="24"/>
        </w:rPr>
        <w:t>‘</w:t>
      </w:r>
      <w:r w:rsidR="00E47A20" w:rsidRPr="00AF455E">
        <w:rPr>
          <w:rFonts w:ascii="Times New Roman" w:eastAsia="Calibri" w:hAnsi="Times New Roman" w:cs="Times New Roman"/>
          <w:sz w:val="24"/>
          <w:szCs w:val="24"/>
        </w:rPr>
        <w:t>actual</w:t>
      </w:r>
      <w:r w:rsidRPr="00AF455E" w:rsidDel="00656460">
        <w:rPr>
          <w:rFonts w:ascii="Times New Roman" w:eastAsia="Calibri" w:hAnsi="Times New Roman" w:cs="Times New Roman"/>
          <w:sz w:val="24"/>
          <w:szCs w:val="24"/>
        </w:rPr>
        <w:t xml:space="preserve"> </w:t>
      </w:r>
      <w:r w:rsidR="00E47A20" w:rsidRPr="00AF455E">
        <w:rPr>
          <w:rFonts w:ascii="Times New Roman" w:eastAsia="Calibri" w:hAnsi="Times New Roman" w:cs="Times New Roman"/>
          <w:sz w:val="24"/>
          <w:szCs w:val="24"/>
        </w:rPr>
        <w:t>return</w:t>
      </w:r>
      <w:r w:rsidRPr="00AF455E">
        <w:rPr>
          <w:rFonts w:ascii="Times New Roman" w:eastAsia="Calibri" w:hAnsi="Times New Roman" w:cs="Times New Roman"/>
          <w:sz w:val="24"/>
          <w:szCs w:val="24"/>
        </w:rPr>
        <w:t xml:space="preserve">’ for a lifecycle Part 6A product. </w:t>
      </w:r>
    </w:p>
    <w:p w14:paraId="09204237" w14:textId="20FC6FF9"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The variables in the formula include ‘n’</w:t>
      </w:r>
      <w:r w:rsidR="007B42D1" w:rsidRPr="00AF455E">
        <w:rPr>
          <w:rFonts w:ascii="Times New Roman" w:eastAsia="Calibri" w:hAnsi="Times New Roman" w:cs="Times New Roman"/>
          <w:sz w:val="24"/>
          <w:szCs w:val="24"/>
        </w:rPr>
        <w:t xml:space="preserve"> and</w:t>
      </w:r>
      <w:r w:rsidR="00C7652B" w:rsidRPr="00AF455E">
        <w:rPr>
          <w:rFonts w:ascii="Times New Roman" w:eastAsia="Calibri" w:hAnsi="Times New Roman" w:cs="Times New Roman"/>
          <w:sz w:val="24"/>
          <w:szCs w:val="24"/>
        </w:rPr>
        <w:t xml:space="preserve"> </w:t>
      </w:r>
      <w:r w:rsidRPr="00AF455E">
        <w:rPr>
          <w:rFonts w:ascii="Times New Roman" w:eastAsia="Calibri" w:hAnsi="Times New Roman" w:cs="Times New Roman"/>
          <w:sz w:val="24"/>
          <w:szCs w:val="24"/>
        </w:rPr>
        <w:t xml:space="preserve">‘t’, which have the same meaning as in the formula for calculating </w:t>
      </w:r>
      <w:r w:rsidR="00E47A20" w:rsidRPr="00AF455E">
        <w:rPr>
          <w:rFonts w:ascii="Times New Roman" w:eastAsia="Calibri" w:hAnsi="Times New Roman" w:cs="Times New Roman"/>
          <w:sz w:val="24"/>
          <w:szCs w:val="24"/>
        </w:rPr>
        <w:t xml:space="preserve">the </w:t>
      </w:r>
      <w:r w:rsidRPr="00AF455E">
        <w:rPr>
          <w:rFonts w:ascii="Times New Roman" w:eastAsia="Calibri" w:hAnsi="Times New Roman" w:cs="Times New Roman"/>
          <w:sz w:val="24"/>
          <w:szCs w:val="24"/>
        </w:rPr>
        <w:t>‘</w:t>
      </w:r>
      <w:r w:rsidR="00E47A20" w:rsidRPr="00AF455E">
        <w:rPr>
          <w:rFonts w:ascii="Times New Roman" w:eastAsia="Calibri" w:hAnsi="Times New Roman" w:cs="Times New Roman"/>
          <w:sz w:val="24"/>
          <w:szCs w:val="24"/>
        </w:rPr>
        <w:t>actual</w:t>
      </w:r>
      <w:r w:rsidRPr="00AF455E" w:rsidDel="00271A06">
        <w:rPr>
          <w:rFonts w:ascii="Times New Roman" w:eastAsia="Calibri" w:hAnsi="Times New Roman" w:cs="Times New Roman"/>
          <w:sz w:val="24"/>
          <w:szCs w:val="24"/>
        </w:rPr>
        <w:t xml:space="preserve"> </w:t>
      </w:r>
      <w:r w:rsidRPr="00AF455E">
        <w:rPr>
          <w:rFonts w:ascii="Times New Roman" w:eastAsia="Calibri" w:hAnsi="Times New Roman" w:cs="Times New Roman"/>
          <w:sz w:val="24"/>
          <w:szCs w:val="24"/>
        </w:rPr>
        <w:t>return’</w:t>
      </w:r>
      <w:r w:rsidR="00A8230E" w:rsidRPr="00AF455E">
        <w:rPr>
          <w:rFonts w:ascii="Times New Roman" w:eastAsia="Calibri" w:hAnsi="Times New Roman" w:cs="Times New Roman"/>
          <w:sz w:val="24"/>
          <w:szCs w:val="24"/>
        </w:rPr>
        <w:t xml:space="preserve"> </w:t>
      </w:r>
      <w:r w:rsidRPr="00AF455E">
        <w:rPr>
          <w:rFonts w:ascii="Times New Roman" w:eastAsia="Calibri" w:hAnsi="Times New Roman" w:cs="Times New Roman"/>
          <w:sz w:val="24"/>
          <w:szCs w:val="24"/>
        </w:rPr>
        <w:t xml:space="preserve">for a standard Part 6A product (see above). </w:t>
      </w:r>
    </w:p>
    <w:p w14:paraId="3598F4C0" w14:textId="55F54509" w:rsidR="00F11482" w:rsidRPr="00AF455E" w:rsidRDefault="00F11482" w:rsidP="00F11482">
      <w:pPr>
        <w:widowControl w:val="0"/>
        <w:adjustRightInd w:val="0"/>
        <w:jc w:val="both"/>
        <w:textAlignment w:val="baseline"/>
        <w:rPr>
          <w:rFonts w:ascii="Times New Roman" w:eastAsia="Calibri" w:hAnsi="Times New Roman" w:cs="Times New Roman"/>
          <w:i/>
          <w:sz w:val="24"/>
          <w:szCs w:val="24"/>
        </w:rPr>
      </w:pPr>
      <w:r w:rsidRPr="00AF455E">
        <w:rPr>
          <w:rFonts w:ascii="Times New Roman" w:eastAsia="Calibri" w:hAnsi="Times New Roman" w:cs="Times New Roman"/>
          <w:sz w:val="24"/>
          <w:szCs w:val="24"/>
        </w:rPr>
        <w:t>Consistent with the definition for a standard Part 6A product, the variable ‘</w:t>
      </w:r>
      <w:r w:rsidR="00C15DDE" w:rsidRPr="00AF455E">
        <w:rPr>
          <w:rFonts w:ascii="Times New Roman" w:eastAsia="Calibri" w:hAnsi="Times New Roman" w:cs="Times New Roman"/>
          <w:sz w:val="24"/>
          <w:szCs w:val="24"/>
        </w:rPr>
        <w:t>NIR</w:t>
      </w:r>
      <w:r w:rsidRPr="00AF455E">
        <w:rPr>
          <w:rFonts w:ascii="Times New Roman" w:eastAsia="Calibri" w:hAnsi="Times New Roman" w:cs="Times New Roman"/>
          <w:sz w:val="24"/>
          <w:szCs w:val="24"/>
        </w:rPr>
        <w:t xml:space="preserve">’ for a </w:t>
      </w:r>
      <w:r w:rsidRPr="00AF455E">
        <w:rPr>
          <w:rFonts w:ascii="Times New Roman" w:eastAsia="Calibri" w:hAnsi="Times New Roman" w:cs="Times New Roman"/>
          <w:sz w:val="24"/>
          <w:szCs w:val="24"/>
        </w:rPr>
        <w:lastRenderedPageBreak/>
        <w:t xml:space="preserve">particular quarter and </w:t>
      </w:r>
      <w:proofErr w:type="spellStart"/>
      <w:r w:rsidRPr="00AF455E">
        <w:rPr>
          <w:rFonts w:ascii="Times New Roman" w:eastAsia="Calibri" w:hAnsi="Times New Roman" w:cs="Times New Roman"/>
          <w:sz w:val="24"/>
          <w:szCs w:val="24"/>
        </w:rPr>
        <w:t>lifestage</w:t>
      </w:r>
      <w:proofErr w:type="spellEnd"/>
      <w:r w:rsidRPr="00AF455E">
        <w:rPr>
          <w:rFonts w:ascii="Times New Roman" w:eastAsia="Calibri" w:hAnsi="Times New Roman" w:cs="Times New Roman"/>
          <w:sz w:val="24"/>
          <w:szCs w:val="24"/>
        </w:rPr>
        <w:t xml:space="preserve"> is also defined by reference to the </w:t>
      </w:r>
      <w:r w:rsidRPr="00AF455E">
        <w:rPr>
          <w:rFonts w:ascii="Times New Roman" w:eastAsia="Calibri" w:hAnsi="Times New Roman" w:cs="Times New Roman"/>
          <w:i/>
          <w:sz w:val="24"/>
          <w:szCs w:val="24"/>
        </w:rPr>
        <w:t xml:space="preserve">Financial Sector (Collection of Data) (reporting standard) determination No. 40 of 2015. </w:t>
      </w:r>
      <w:r w:rsidRPr="00AF455E">
        <w:rPr>
          <w:rFonts w:ascii="Times New Roman" w:eastAsia="Calibri" w:hAnsi="Times New Roman" w:cs="Times New Roman"/>
          <w:sz w:val="24"/>
          <w:szCs w:val="24"/>
        </w:rPr>
        <w:t>See above for further information.</w:t>
      </w:r>
      <w:r w:rsidRPr="00AF455E">
        <w:rPr>
          <w:rFonts w:ascii="Times New Roman" w:eastAsia="Calibri" w:hAnsi="Times New Roman" w:cs="Times New Roman"/>
          <w:i/>
          <w:sz w:val="24"/>
          <w:szCs w:val="24"/>
        </w:rPr>
        <w:t xml:space="preserve"> </w:t>
      </w:r>
    </w:p>
    <w:p w14:paraId="0F93EF36" w14:textId="679A7E22" w:rsidR="000B55A6"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variable ‘J’ means the number of </w:t>
      </w:r>
      <w:proofErr w:type="spellStart"/>
      <w:r w:rsidRPr="00AF455E">
        <w:rPr>
          <w:rFonts w:ascii="Times New Roman" w:eastAsia="Calibri" w:hAnsi="Times New Roman" w:cs="Times New Roman"/>
          <w:sz w:val="24"/>
          <w:szCs w:val="24"/>
        </w:rPr>
        <w:t>lifestages</w:t>
      </w:r>
      <w:proofErr w:type="spellEnd"/>
      <w:r w:rsidRPr="00AF455E">
        <w:rPr>
          <w:rFonts w:ascii="Times New Roman" w:eastAsia="Calibri" w:hAnsi="Times New Roman" w:cs="Times New Roman"/>
          <w:sz w:val="24"/>
          <w:szCs w:val="24"/>
        </w:rPr>
        <w:t xml:space="preserve"> in the Part 6A product. The variable ‘j’ represents a </w:t>
      </w:r>
      <w:proofErr w:type="spellStart"/>
      <w:r w:rsidRPr="00AF455E">
        <w:rPr>
          <w:rFonts w:ascii="Times New Roman" w:eastAsia="Calibri" w:hAnsi="Times New Roman" w:cs="Times New Roman"/>
          <w:sz w:val="24"/>
          <w:szCs w:val="24"/>
        </w:rPr>
        <w:t>lifestage</w:t>
      </w:r>
      <w:proofErr w:type="spellEnd"/>
      <w:r w:rsidRPr="00AF455E">
        <w:rPr>
          <w:rFonts w:ascii="Times New Roman" w:eastAsia="Calibri" w:hAnsi="Times New Roman" w:cs="Times New Roman"/>
          <w:sz w:val="24"/>
          <w:szCs w:val="24"/>
        </w:rPr>
        <w:t xml:space="preserve"> of the Part 6A product, in a consecutive sequence of </w:t>
      </w:r>
      <w:proofErr w:type="spellStart"/>
      <w:r w:rsidRPr="00AF455E">
        <w:rPr>
          <w:rFonts w:ascii="Times New Roman" w:eastAsia="Calibri" w:hAnsi="Times New Roman" w:cs="Times New Roman"/>
          <w:sz w:val="24"/>
          <w:szCs w:val="24"/>
        </w:rPr>
        <w:t>lifestages</w:t>
      </w:r>
      <w:proofErr w:type="spellEnd"/>
      <w:r w:rsidRPr="00AF455E">
        <w:rPr>
          <w:rFonts w:ascii="Times New Roman" w:eastAsia="Calibri" w:hAnsi="Times New Roman" w:cs="Times New Roman"/>
          <w:sz w:val="24"/>
          <w:szCs w:val="24"/>
        </w:rPr>
        <w:t xml:space="preserve">, where if j=1, the </w:t>
      </w:r>
      <w:proofErr w:type="spellStart"/>
      <w:r w:rsidRPr="00AF455E">
        <w:rPr>
          <w:rFonts w:ascii="Times New Roman" w:eastAsia="Calibri" w:hAnsi="Times New Roman" w:cs="Times New Roman"/>
          <w:sz w:val="24"/>
          <w:szCs w:val="24"/>
        </w:rPr>
        <w:t>lifestage</w:t>
      </w:r>
      <w:proofErr w:type="spellEnd"/>
      <w:r w:rsidRPr="00AF455E">
        <w:rPr>
          <w:rFonts w:ascii="Times New Roman" w:eastAsia="Calibri" w:hAnsi="Times New Roman" w:cs="Times New Roman"/>
          <w:sz w:val="24"/>
          <w:szCs w:val="24"/>
        </w:rPr>
        <w:t xml:space="preserve"> is the </w:t>
      </w:r>
      <w:proofErr w:type="spellStart"/>
      <w:r w:rsidRPr="00AF455E">
        <w:rPr>
          <w:rFonts w:ascii="Times New Roman" w:eastAsia="Calibri" w:hAnsi="Times New Roman" w:cs="Times New Roman"/>
          <w:sz w:val="24"/>
          <w:szCs w:val="24"/>
        </w:rPr>
        <w:t>lifestage</w:t>
      </w:r>
      <w:proofErr w:type="spellEnd"/>
      <w:r w:rsidRPr="00AF455E">
        <w:rPr>
          <w:rFonts w:ascii="Times New Roman" w:eastAsia="Calibri" w:hAnsi="Times New Roman" w:cs="Times New Roman"/>
          <w:sz w:val="24"/>
          <w:szCs w:val="24"/>
        </w:rPr>
        <w:t xml:space="preserve"> that applies to the youngest beneficiaries who hold the product. It is possible for a lifecycle product to be structured such that there is more than one </w:t>
      </w:r>
      <w:proofErr w:type="spellStart"/>
      <w:r w:rsidRPr="00AF455E">
        <w:rPr>
          <w:rFonts w:ascii="Times New Roman" w:eastAsia="Calibri" w:hAnsi="Times New Roman" w:cs="Times New Roman"/>
          <w:sz w:val="24"/>
          <w:szCs w:val="24"/>
        </w:rPr>
        <w:t>lifestage</w:t>
      </w:r>
      <w:proofErr w:type="spellEnd"/>
      <w:r w:rsidRPr="00AF455E">
        <w:rPr>
          <w:rFonts w:ascii="Times New Roman" w:eastAsia="Calibri" w:hAnsi="Times New Roman" w:cs="Times New Roman"/>
          <w:sz w:val="24"/>
          <w:szCs w:val="24"/>
        </w:rPr>
        <w:t xml:space="preserve"> for a given set of beneficiary age characteristics.  For example, a lifecycle product could have two sub-</w:t>
      </w:r>
      <w:proofErr w:type="spellStart"/>
      <w:r w:rsidRPr="00AF455E">
        <w:rPr>
          <w:rFonts w:ascii="Times New Roman" w:eastAsia="Calibri" w:hAnsi="Times New Roman" w:cs="Times New Roman"/>
          <w:sz w:val="24"/>
          <w:szCs w:val="24"/>
        </w:rPr>
        <w:t>lifestages</w:t>
      </w:r>
      <w:proofErr w:type="spellEnd"/>
      <w:r w:rsidRPr="00AF455E">
        <w:rPr>
          <w:rFonts w:ascii="Times New Roman" w:eastAsia="Calibri" w:hAnsi="Times New Roman" w:cs="Times New Roman"/>
          <w:sz w:val="24"/>
          <w:szCs w:val="24"/>
        </w:rPr>
        <w:t xml:space="preserve"> by superannuation balance, such as two groups of </w:t>
      </w:r>
      <w:proofErr w:type="gramStart"/>
      <w:r w:rsidRPr="00AF455E">
        <w:rPr>
          <w:rFonts w:ascii="Times New Roman" w:eastAsia="Calibri" w:hAnsi="Times New Roman" w:cs="Times New Roman"/>
          <w:sz w:val="24"/>
          <w:szCs w:val="24"/>
        </w:rPr>
        <w:t xml:space="preserve">40-50 year </w:t>
      </w:r>
      <w:proofErr w:type="spellStart"/>
      <w:r w:rsidRPr="00AF455E">
        <w:rPr>
          <w:rFonts w:ascii="Times New Roman" w:eastAsia="Calibri" w:hAnsi="Times New Roman" w:cs="Times New Roman"/>
          <w:sz w:val="24"/>
          <w:szCs w:val="24"/>
        </w:rPr>
        <w:t>olds</w:t>
      </w:r>
      <w:proofErr w:type="spellEnd"/>
      <w:proofErr w:type="gramEnd"/>
      <w:r w:rsidRPr="00AF455E">
        <w:rPr>
          <w:rFonts w:ascii="Times New Roman" w:eastAsia="Calibri" w:hAnsi="Times New Roman" w:cs="Times New Roman"/>
          <w:sz w:val="24"/>
          <w:szCs w:val="24"/>
        </w:rPr>
        <w:t xml:space="preserve">, </w:t>
      </w:r>
      <w:r w:rsidR="00C55391" w:rsidRPr="00AF455E">
        <w:rPr>
          <w:rFonts w:ascii="Times New Roman" w:eastAsia="Calibri" w:hAnsi="Times New Roman" w:cs="Times New Roman"/>
          <w:sz w:val="24"/>
          <w:szCs w:val="24"/>
        </w:rPr>
        <w:t>one group</w:t>
      </w:r>
      <w:r w:rsidRPr="00AF455E">
        <w:rPr>
          <w:rFonts w:ascii="Times New Roman" w:eastAsia="Calibri" w:hAnsi="Times New Roman" w:cs="Times New Roman"/>
          <w:sz w:val="24"/>
          <w:szCs w:val="24"/>
        </w:rPr>
        <w:t xml:space="preserve"> with low balance </w:t>
      </w:r>
      <w:r w:rsidR="00C55391" w:rsidRPr="00AF455E">
        <w:rPr>
          <w:rFonts w:ascii="Times New Roman" w:eastAsia="Calibri" w:hAnsi="Times New Roman" w:cs="Times New Roman"/>
          <w:sz w:val="24"/>
          <w:szCs w:val="24"/>
        </w:rPr>
        <w:t>and one group</w:t>
      </w:r>
      <w:r w:rsidRPr="00AF455E">
        <w:rPr>
          <w:rFonts w:ascii="Times New Roman" w:eastAsia="Calibri" w:hAnsi="Times New Roman" w:cs="Times New Roman"/>
          <w:sz w:val="24"/>
          <w:szCs w:val="24"/>
        </w:rPr>
        <w:t xml:space="preserve"> with high balance. In such a situation, APRA may determine the order for the sub-</w:t>
      </w:r>
      <w:proofErr w:type="spellStart"/>
      <w:r w:rsidRPr="00AF455E">
        <w:rPr>
          <w:rFonts w:ascii="Times New Roman" w:eastAsia="Calibri" w:hAnsi="Times New Roman" w:cs="Times New Roman"/>
          <w:sz w:val="24"/>
          <w:szCs w:val="24"/>
        </w:rPr>
        <w:t>lifestages</w:t>
      </w:r>
      <w:proofErr w:type="spellEnd"/>
      <w:r w:rsidRPr="00AF455E">
        <w:rPr>
          <w:rFonts w:ascii="Times New Roman" w:eastAsia="Calibri" w:hAnsi="Times New Roman" w:cs="Times New Roman"/>
          <w:sz w:val="24"/>
          <w:szCs w:val="24"/>
        </w:rPr>
        <w:t xml:space="preserve"> in the consecutive sequence. </w:t>
      </w:r>
      <w:r w:rsidR="00F54ACE" w:rsidRPr="00AF455E">
        <w:rPr>
          <w:rFonts w:ascii="Times New Roman" w:eastAsia="Calibri" w:hAnsi="Times New Roman" w:cs="Times New Roman"/>
          <w:sz w:val="24"/>
          <w:szCs w:val="24"/>
        </w:rPr>
        <w:t xml:space="preserve">This matter is provided for by APRA determination to allow a consecutive sequence of </w:t>
      </w:r>
      <w:proofErr w:type="spellStart"/>
      <w:r w:rsidR="00F54ACE" w:rsidRPr="00AF455E">
        <w:rPr>
          <w:rFonts w:ascii="Times New Roman" w:eastAsia="Calibri" w:hAnsi="Times New Roman" w:cs="Times New Roman"/>
          <w:sz w:val="24"/>
          <w:szCs w:val="24"/>
        </w:rPr>
        <w:t>lifestages</w:t>
      </w:r>
      <w:proofErr w:type="spellEnd"/>
      <w:r w:rsidR="00F54ACE" w:rsidRPr="00AF455E">
        <w:rPr>
          <w:rFonts w:ascii="Times New Roman" w:eastAsia="Calibri" w:hAnsi="Times New Roman" w:cs="Times New Roman"/>
          <w:sz w:val="24"/>
          <w:szCs w:val="24"/>
        </w:rPr>
        <w:t xml:space="preserve"> to be defined without needing to </w:t>
      </w:r>
      <w:r w:rsidR="005C786D" w:rsidRPr="00AF455E">
        <w:rPr>
          <w:rFonts w:ascii="Times New Roman" w:eastAsia="Calibri" w:hAnsi="Times New Roman" w:cs="Times New Roman"/>
          <w:sz w:val="24"/>
          <w:szCs w:val="24"/>
        </w:rPr>
        <w:t>include in-built assumptions</w:t>
      </w:r>
      <w:r w:rsidR="00F54ACE" w:rsidRPr="00AF455E">
        <w:rPr>
          <w:rFonts w:ascii="Times New Roman" w:eastAsia="Calibri" w:hAnsi="Times New Roman" w:cs="Times New Roman"/>
          <w:sz w:val="24"/>
          <w:szCs w:val="24"/>
        </w:rPr>
        <w:t xml:space="preserve"> about how lifecycle products </w:t>
      </w:r>
      <w:r w:rsidR="005C786D" w:rsidRPr="00AF455E">
        <w:rPr>
          <w:rFonts w:ascii="Times New Roman" w:eastAsia="Calibri" w:hAnsi="Times New Roman" w:cs="Times New Roman"/>
          <w:sz w:val="24"/>
          <w:szCs w:val="24"/>
        </w:rPr>
        <w:t xml:space="preserve">are </w:t>
      </w:r>
      <w:r w:rsidR="00F54ACE" w:rsidRPr="00AF455E">
        <w:rPr>
          <w:rFonts w:ascii="Times New Roman" w:eastAsia="Calibri" w:hAnsi="Times New Roman" w:cs="Times New Roman"/>
          <w:sz w:val="24"/>
          <w:szCs w:val="24"/>
        </w:rPr>
        <w:t xml:space="preserve">designed </w:t>
      </w:r>
      <w:r w:rsidR="0032291B" w:rsidRPr="00AF455E">
        <w:rPr>
          <w:rFonts w:ascii="Times New Roman" w:eastAsia="Calibri" w:hAnsi="Times New Roman" w:cs="Times New Roman"/>
          <w:sz w:val="24"/>
          <w:szCs w:val="24"/>
        </w:rPr>
        <w:t xml:space="preserve">beyond being based on age characteristics. </w:t>
      </w:r>
      <w:r w:rsidRPr="00AF455E">
        <w:rPr>
          <w:rFonts w:ascii="Times New Roman" w:eastAsia="Calibri" w:hAnsi="Times New Roman" w:cs="Times New Roman"/>
          <w:sz w:val="24"/>
          <w:szCs w:val="24"/>
        </w:rPr>
        <w:t xml:space="preserve">The order of the </w:t>
      </w:r>
      <w:proofErr w:type="spellStart"/>
      <w:r w:rsidRPr="00AF455E">
        <w:rPr>
          <w:rFonts w:ascii="Times New Roman" w:eastAsia="Calibri" w:hAnsi="Times New Roman" w:cs="Times New Roman"/>
          <w:sz w:val="24"/>
          <w:szCs w:val="24"/>
        </w:rPr>
        <w:t>lifestages</w:t>
      </w:r>
      <w:proofErr w:type="spellEnd"/>
      <w:r w:rsidRPr="00AF455E">
        <w:rPr>
          <w:rFonts w:ascii="Times New Roman" w:eastAsia="Calibri" w:hAnsi="Times New Roman" w:cs="Times New Roman"/>
          <w:sz w:val="24"/>
          <w:szCs w:val="24"/>
        </w:rPr>
        <w:t xml:space="preserve"> in the sequence does not impact on the results from the calculation</w:t>
      </w:r>
      <w:r w:rsidR="00543773" w:rsidRPr="00AF455E">
        <w:rPr>
          <w:rFonts w:ascii="Times New Roman" w:eastAsia="Calibri" w:hAnsi="Times New Roman" w:cs="Times New Roman"/>
          <w:sz w:val="24"/>
          <w:szCs w:val="24"/>
        </w:rPr>
        <w:t xml:space="preserve"> and as such APRA’s determination for these purposes will </w:t>
      </w:r>
      <w:r w:rsidR="00DB7D1B" w:rsidRPr="00AF455E">
        <w:rPr>
          <w:rFonts w:ascii="Times New Roman" w:eastAsia="Calibri" w:hAnsi="Times New Roman" w:cs="Times New Roman"/>
          <w:sz w:val="24"/>
          <w:szCs w:val="24"/>
        </w:rPr>
        <w:t>not affect the interests of any person</w:t>
      </w:r>
      <w:r w:rsidRPr="00AF455E">
        <w:rPr>
          <w:rFonts w:ascii="Times New Roman" w:eastAsia="Calibri" w:hAnsi="Times New Roman" w:cs="Times New Roman"/>
          <w:sz w:val="24"/>
          <w:szCs w:val="24"/>
        </w:rPr>
        <w:t xml:space="preserve">. </w:t>
      </w:r>
      <w:r w:rsidR="00511AC0" w:rsidRPr="00AF455E">
        <w:rPr>
          <w:rFonts w:ascii="Times New Roman" w:eastAsia="Calibri" w:hAnsi="Times New Roman" w:cs="Times New Roman"/>
          <w:sz w:val="24"/>
          <w:szCs w:val="24"/>
        </w:rPr>
        <w:t xml:space="preserve">APRA’s determination is not a legislative instrument within the meaning of subsection 8(1) of the </w:t>
      </w:r>
      <w:r w:rsidR="00511AC0" w:rsidRPr="00AF455E">
        <w:rPr>
          <w:rFonts w:ascii="Times New Roman" w:eastAsia="Calibri" w:hAnsi="Times New Roman" w:cs="Times New Roman"/>
          <w:i/>
          <w:sz w:val="24"/>
          <w:szCs w:val="24"/>
        </w:rPr>
        <w:t>Legislation Act 2003</w:t>
      </w:r>
      <w:r w:rsidR="00511AC0" w:rsidRPr="00AF455E">
        <w:rPr>
          <w:rFonts w:ascii="Times New Roman" w:eastAsia="Calibri" w:hAnsi="Times New Roman" w:cs="Times New Roman"/>
          <w:sz w:val="24"/>
          <w:szCs w:val="24"/>
        </w:rPr>
        <w:t>.</w:t>
      </w:r>
      <w:r w:rsidR="004143F8" w:rsidRPr="00AF455E">
        <w:rPr>
          <w:rFonts w:ascii="Times New Roman" w:eastAsia="Calibri" w:hAnsi="Times New Roman" w:cs="Times New Roman"/>
          <w:sz w:val="24"/>
          <w:szCs w:val="24"/>
        </w:rPr>
        <w:t xml:space="preserve"> APRA must give a notice of the determination to the specified superannuation entity. The notice must be in writing an include a copy of the determination.  </w:t>
      </w:r>
    </w:p>
    <w:p w14:paraId="53EA47B7" w14:textId="1F7611C1" w:rsidR="008919E8" w:rsidRPr="00AF455E" w:rsidRDefault="00F94CFB" w:rsidP="00F11482">
      <w:pPr>
        <w:widowControl w:val="0"/>
        <w:adjustRightInd w:val="0"/>
        <w:jc w:val="both"/>
        <w:textAlignment w:val="baseline"/>
        <w:rPr>
          <w:rFonts w:ascii="Times New Roman" w:eastAsia="Calibri" w:hAnsi="Times New Roman" w:cs="Times New Roman"/>
          <w:bCs/>
          <w:sz w:val="24"/>
          <w:szCs w:val="24"/>
        </w:rPr>
      </w:pPr>
      <w:r w:rsidRPr="00AF455E">
        <w:rPr>
          <w:rFonts w:ascii="Times New Roman" w:eastAsia="Calibri" w:hAnsi="Times New Roman" w:cs="Times New Roman"/>
          <w:sz w:val="24"/>
          <w:szCs w:val="24"/>
        </w:rPr>
        <w:t>The ‘</w:t>
      </w:r>
      <w:proofErr w:type="spellStart"/>
      <w:r w:rsidRPr="00AF455E">
        <w:rPr>
          <w:rFonts w:ascii="Times New Roman" w:eastAsia="Calibri" w:hAnsi="Times New Roman" w:cs="Times New Roman"/>
          <w:sz w:val="24"/>
          <w:szCs w:val="24"/>
        </w:rPr>
        <w:t>lifestage</w:t>
      </w:r>
      <w:proofErr w:type="spellEnd"/>
      <w:r w:rsidRPr="00AF455E">
        <w:rPr>
          <w:rFonts w:ascii="Times New Roman" w:eastAsia="Calibri" w:hAnsi="Times New Roman" w:cs="Times New Roman"/>
          <w:sz w:val="24"/>
          <w:szCs w:val="24"/>
        </w:rPr>
        <w:t xml:space="preserve"> weight’ variable provides an asset-based weighting for each </w:t>
      </w:r>
      <w:proofErr w:type="spellStart"/>
      <w:r w:rsidRPr="00AF455E">
        <w:rPr>
          <w:rFonts w:ascii="Times New Roman" w:eastAsia="Calibri" w:hAnsi="Times New Roman" w:cs="Times New Roman"/>
          <w:sz w:val="24"/>
          <w:szCs w:val="24"/>
        </w:rPr>
        <w:t>lifestage</w:t>
      </w:r>
      <w:proofErr w:type="spellEnd"/>
      <w:r w:rsidRPr="00AF455E">
        <w:rPr>
          <w:rFonts w:ascii="Times New Roman" w:eastAsia="Calibri" w:hAnsi="Times New Roman" w:cs="Times New Roman"/>
          <w:sz w:val="24"/>
          <w:szCs w:val="24"/>
        </w:rPr>
        <w:t>.</w:t>
      </w:r>
      <w:r w:rsidR="00621E28" w:rsidRPr="00AF455E">
        <w:rPr>
          <w:rFonts w:ascii="Times New Roman" w:eastAsia="Calibri" w:hAnsi="Times New Roman" w:cs="Times New Roman"/>
          <w:bCs/>
          <w:sz w:val="24"/>
          <w:szCs w:val="24"/>
        </w:rPr>
        <w:t xml:space="preserve"> The weights are determined by the market value of investments referable to each </w:t>
      </w:r>
      <w:proofErr w:type="spellStart"/>
      <w:r w:rsidR="00621E28" w:rsidRPr="00AF455E">
        <w:rPr>
          <w:rFonts w:ascii="Times New Roman" w:eastAsia="Calibri" w:hAnsi="Times New Roman" w:cs="Times New Roman"/>
          <w:bCs/>
          <w:sz w:val="24"/>
          <w:szCs w:val="24"/>
        </w:rPr>
        <w:t>lifestage</w:t>
      </w:r>
      <w:proofErr w:type="spellEnd"/>
      <w:r w:rsidR="00621E28" w:rsidRPr="00AF455E">
        <w:rPr>
          <w:rFonts w:ascii="Times New Roman" w:eastAsia="Calibri" w:hAnsi="Times New Roman" w:cs="Times New Roman"/>
          <w:bCs/>
          <w:sz w:val="24"/>
          <w:szCs w:val="24"/>
        </w:rPr>
        <w:t xml:space="preserve"> as a proportion of</w:t>
      </w:r>
      <w:r w:rsidR="008919E8" w:rsidRPr="00AF455E">
        <w:rPr>
          <w:rFonts w:ascii="Times New Roman" w:eastAsia="Calibri" w:hAnsi="Times New Roman" w:cs="Times New Roman"/>
          <w:bCs/>
          <w:sz w:val="24"/>
          <w:szCs w:val="24"/>
        </w:rPr>
        <w:t xml:space="preserve"> the market value of all invest</w:t>
      </w:r>
      <w:r w:rsidR="00621E28" w:rsidRPr="00AF455E">
        <w:rPr>
          <w:rFonts w:ascii="Times New Roman" w:eastAsia="Calibri" w:hAnsi="Times New Roman" w:cs="Times New Roman"/>
          <w:bCs/>
          <w:sz w:val="24"/>
          <w:szCs w:val="24"/>
        </w:rPr>
        <w:t>m</w:t>
      </w:r>
      <w:r w:rsidR="008919E8" w:rsidRPr="00AF455E">
        <w:rPr>
          <w:rFonts w:ascii="Times New Roman" w:eastAsia="Calibri" w:hAnsi="Times New Roman" w:cs="Times New Roman"/>
          <w:bCs/>
          <w:sz w:val="24"/>
          <w:szCs w:val="24"/>
        </w:rPr>
        <w:t>e</w:t>
      </w:r>
      <w:r w:rsidR="00621E28" w:rsidRPr="00AF455E">
        <w:rPr>
          <w:rFonts w:ascii="Times New Roman" w:eastAsia="Calibri" w:hAnsi="Times New Roman" w:cs="Times New Roman"/>
          <w:bCs/>
          <w:sz w:val="24"/>
          <w:szCs w:val="24"/>
        </w:rPr>
        <w:t>nts supporting the lifecycle Part 6A product.</w:t>
      </w:r>
      <w:r w:rsidR="008919E8" w:rsidRPr="00AF455E">
        <w:rPr>
          <w:rFonts w:ascii="Times New Roman" w:eastAsia="Calibri" w:hAnsi="Times New Roman" w:cs="Times New Roman"/>
          <w:bCs/>
          <w:sz w:val="24"/>
          <w:szCs w:val="24"/>
        </w:rPr>
        <w:t xml:space="preserve"> These market values</w:t>
      </w:r>
      <w:r w:rsidR="008919E8" w:rsidRPr="00AF455E">
        <w:rPr>
          <w:rFonts w:ascii="Times New Roman" w:eastAsia="Calibri" w:hAnsi="Times New Roman" w:cs="Times New Roman"/>
          <w:sz w:val="24"/>
          <w:szCs w:val="24"/>
        </w:rPr>
        <w:t xml:space="preserve"> are </w:t>
      </w:r>
      <w:r w:rsidR="008919E8" w:rsidRPr="00AF455E">
        <w:rPr>
          <w:rFonts w:ascii="Times New Roman" w:eastAsia="Calibri" w:hAnsi="Times New Roman" w:cs="Times New Roman"/>
          <w:bCs/>
          <w:sz w:val="24"/>
          <w:szCs w:val="24"/>
        </w:rPr>
        <w:t xml:space="preserve">reported to APRA </w:t>
      </w:r>
      <w:r w:rsidR="00EB5C63" w:rsidRPr="00AF455E">
        <w:rPr>
          <w:rFonts w:ascii="Times New Roman" w:eastAsia="Calibri" w:hAnsi="Times New Roman" w:cs="Times New Roman"/>
          <w:bCs/>
          <w:sz w:val="24"/>
          <w:szCs w:val="24"/>
        </w:rPr>
        <w:t xml:space="preserve">quarterly. </w:t>
      </w:r>
    </w:p>
    <w:p w14:paraId="4C9C5045" w14:textId="7F8CC16D" w:rsidR="00F94CFB" w:rsidRPr="00AF455E" w:rsidRDefault="008919E8"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bCs/>
          <w:sz w:val="24"/>
          <w:szCs w:val="24"/>
        </w:rPr>
        <w:t xml:space="preserve">For a given quarter, the market value will be the value as at the end of the previous quarter (that is, the value heading into a given quarter). However, for a product that is first established </w:t>
      </w:r>
      <w:proofErr w:type="gramStart"/>
      <w:r w:rsidRPr="00AF455E">
        <w:rPr>
          <w:rFonts w:ascii="Times New Roman" w:eastAsia="Calibri" w:hAnsi="Times New Roman" w:cs="Times New Roman"/>
          <w:bCs/>
          <w:sz w:val="24"/>
          <w:szCs w:val="24"/>
        </w:rPr>
        <w:t>in a given</w:t>
      </w:r>
      <w:proofErr w:type="gramEnd"/>
      <w:r w:rsidRPr="00AF455E">
        <w:rPr>
          <w:rFonts w:ascii="Times New Roman" w:eastAsia="Calibri" w:hAnsi="Times New Roman" w:cs="Times New Roman"/>
          <w:bCs/>
          <w:sz w:val="24"/>
          <w:szCs w:val="24"/>
        </w:rPr>
        <w:t xml:space="preserve"> quarter, there may be no market value at the end of the previous quarter. In such a case, the market values to be used in working out the ‘</w:t>
      </w:r>
      <w:proofErr w:type="spellStart"/>
      <w:r w:rsidRPr="00AF455E">
        <w:rPr>
          <w:rFonts w:ascii="Times New Roman" w:eastAsia="Calibri" w:hAnsi="Times New Roman" w:cs="Times New Roman"/>
          <w:bCs/>
          <w:sz w:val="24"/>
          <w:szCs w:val="24"/>
        </w:rPr>
        <w:t>lifestage</w:t>
      </w:r>
      <w:proofErr w:type="spellEnd"/>
      <w:r w:rsidRPr="00AF455E">
        <w:rPr>
          <w:rFonts w:ascii="Times New Roman" w:eastAsia="Calibri" w:hAnsi="Times New Roman" w:cs="Times New Roman"/>
          <w:bCs/>
          <w:sz w:val="24"/>
          <w:szCs w:val="24"/>
        </w:rPr>
        <w:t xml:space="preserve"> weight’ for the </w:t>
      </w:r>
      <w:proofErr w:type="spellStart"/>
      <w:r w:rsidRPr="00AF455E">
        <w:rPr>
          <w:rFonts w:ascii="Times New Roman" w:eastAsia="Calibri" w:hAnsi="Times New Roman" w:cs="Times New Roman"/>
          <w:bCs/>
          <w:sz w:val="24"/>
          <w:szCs w:val="24"/>
        </w:rPr>
        <w:t>lifestage</w:t>
      </w:r>
      <w:proofErr w:type="spellEnd"/>
      <w:r w:rsidR="0009190B" w:rsidRPr="00AF455E">
        <w:rPr>
          <w:rFonts w:ascii="Times New Roman" w:eastAsia="Calibri" w:hAnsi="Times New Roman" w:cs="Times New Roman"/>
          <w:bCs/>
          <w:sz w:val="24"/>
          <w:szCs w:val="24"/>
        </w:rPr>
        <w:t xml:space="preserve"> will be the value at the end of the given quarter (rather than the value at the end of the previous quarter). </w:t>
      </w:r>
      <w:r w:rsidRPr="00AF455E">
        <w:rPr>
          <w:rFonts w:ascii="Times New Roman" w:eastAsia="Calibri" w:hAnsi="Times New Roman" w:cs="Times New Roman"/>
          <w:bCs/>
          <w:sz w:val="24"/>
          <w:szCs w:val="24"/>
        </w:rPr>
        <w:t xml:space="preserve"> </w:t>
      </w:r>
    </w:p>
    <w:p w14:paraId="54E73549" w14:textId="43765AC0" w:rsidR="00F11482" w:rsidRPr="00AF455E" w:rsidRDefault="00F11482" w:rsidP="00F11482">
      <w:pPr>
        <w:widowControl w:val="0"/>
        <w:adjustRightInd w:val="0"/>
        <w:jc w:val="both"/>
        <w:textAlignment w:val="baseline"/>
        <w:rPr>
          <w:rFonts w:ascii="Times New Roman" w:eastAsia="Calibri" w:hAnsi="Times New Roman" w:cs="Times New Roman"/>
          <w:i/>
          <w:sz w:val="24"/>
          <w:szCs w:val="24"/>
        </w:rPr>
      </w:pPr>
      <w:r w:rsidRPr="00AF455E">
        <w:rPr>
          <w:rFonts w:ascii="Times New Roman" w:eastAsia="Calibri" w:hAnsi="Times New Roman" w:cs="Times New Roman"/>
          <w:sz w:val="24"/>
          <w:szCs w:val="24"/>
        </w:rPr>
        <w:t xml:space="preserve">The </w:t>
      </w:r>
      <w:r w:rsidR="000D1356" w:rsidRPr="00AF455E">
        <w:rPr>
          <w:rFonts w:ascii="Times New Roman" w:eastAsia="Calibri" w:hAnsi="Times New Roman" w:cs="Times New Roman"/>
          <w:sz w:val="24"/>
          <w:szCs w:val="24"/>
        </w:rPr>
        <w:t>proposed Regulations</w:t>
      </w:r>
      <w:r w:rsidRPr="00AF455E">
        <w:rPr>
          <w:rFonts w:ascii="Times New Roman" w:eastAsia="Calibri" w:hAnsi="Times New Roman" w:cs="Times New Roman"/>
          <w:sz w:val="24"/>
          <w:szCs w:val="24"/>
        </w:rPr>
        <w:t xml:space="preserve"> provide the formula for calculating </w:t>
      </w:r>
      <w:r w:rsidR="008258F3" w:rsidRPr="00AF455E">
        <w:rPr>
          <w:rFonts w:ascii="Times New Roman" w:eastAsia="Calibri" w:hAnsi="Times New Roman" w:cs="Times New Roman"/>
          <w:sz w:val="24"/>
          <w:szCs w:val="24"/>
        </w:rPr>
        <w:t xml:space="preserve">the </w:t>
      </w:r>
      <w:r w:rsidRPr="00AF455E">
        <w:rPr>
          <w:rFonts w:ascii="Times New Roman" w:eastAsia="Calibri" w:hAnsi="Times New Roman" w:cs="Times New Roman"/>
          <w:sz w:val="24"/>
          <w:szCs w:val="24"/>
        </w:rPr>
        <w:t xml:space="preserve">‘benchmark </w:t>
      </w:r>
      <w:r w:rsidR="008258F3" w:rsidRPr="00AF455E">
        <w:rPr>
          <w:rFonts w:ascii="Times New Roman" w:eastAsia="Calibri" w:hAnsi="Times New Roman" w:cs="Times New Roman"/>
          <w:sz w:val="24"/>
          <w:szCs w:val="24"/>
        </w:rPr>
        <w:t>r</w:t>
      </w:r>
      <w:r w:rsidRPr="00AF455E">
        <w:rPr>
          <w:rFonts w:ascii="Times New Roman" w:eastAsia="Calibri" w:hAnsi="Times New Roman" w:cs="Times New Roman"/>
          <w:sz w:val="24"/>
          <w:szCs w:val="24"/>
        </w:rPr>
        <w:t>eturn’ for a lifecycle Part 6A product.</w:t>
      </w:r>
      <w:r w:rsidRPr="00AF455E">
        <w:rPr>
          <w:rFonts w:ascii="Times New Roman" w:eastAsia="Calibri" w:hAnsi="Times New Roman" w:cs="Times New Roman"/>
          <w:i/>
          <w:sz w:val="24"/>
          <w:szCs w:val="24"/>
        </w:rPr>
        <w:t xml:space="preserve"> </w:t>
      </w:r>
    </w:p>
    <w:p w14:paraId="44F427AE" w14:textId="634665FD"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The variables in the formula include ‘n’, ‘t’, ‘j’, ‘J’</w:t>
      </w:r>
      <w:r w:rsidR="004C2794" w:rsidRPr="00AF455E">
        <w:rPr>
          <w:rFonts w:ascii="Times New Roman" w:eastAsia="Calibri" w:hAnsi="Times New Roman" w:cs="Times New Roman"/>
          <w:sz w:val="24"/>
          <w:szCs w:val="24"/>
        </w:rPr>
        <w:t>,</w:t>
      </w:r>
      <w:r w:rsidRPr="00AF455E" w:rsidDel="004C2794">
        <w:rPr>
          <w:rFonts w:ascii="Times New Roman" w:eastAsia="Calibri" w:hAnsi="Times New Roman" w:cs="Times New Roman"/>
          <w:sz w:val="24"/>
          <w:szCs w:val="24"/>
        </w:rPr>
        <w:t xml:space="preserve"> </w:t>
      </w:r>
      <w:r w:rsidR="00C02C1F" w:rsidRPr="00AF455E">
        <w:rPr>
          <w:rFonts w:ascii="Times New Roman" w:eastAsia="Calibri" w:hAnsi="Times New Roman" w:cs="Times New Roman"/>
          <w:sz w:val="24"/>
          <w:szCs w:val="24"/>
        </w:rPr>
        <w:t xml:space="preserve">and </w:t>
      </w:r>
      <w:r w:rsidRPr="00AF455E">
        <w:rPr>
          <w:rFonts w:ascii="Times New Roman" w:eastAsia="Calibri" w:hAnsi="Times New Roman" w:cs="Times New Roman"/>
          <w:sz w:val="24"/>
          <w:szCs w:val="24"/>
        </w:rPr>
        <w:t>‘</w:t>
      </w:r>
      <w:proofErr w:type="spellStart"/>
      <w:r w:rsidR="000841A8" w:rsidRPr="00AF455E">
        <w:rPr>
          <w:rFonts w:ascii="Times New Roman" w:eastAsia="Calibri" w:hAnsi="Times New Roman" w:cs="Times New Roman"/>
          <w:sz w:val="24"/>
          <w:szCs w:val="24"/>
        </w:rPr>
        <w:t>lifestage</w:t>
      </w:r>
      <w:proofErr w:type="spellEnd"/>
      <w:r w:rsidR="000841A8" w:rsidRPr="00AF455E">
        <w:rPr>
          <w:rFonts w:ascii="Times New Roman" w:eastAsia="Calibri" w:hAnsi="Times New Roman" w:cs="Times New Roman"/>
          <w:sz w:val="24"/>
          <w:szCs w:val="24"/>
        </w:rPr>
        <w:t xml:space="preserve"> weight</w:t>
      </w:r>
      <w:r w:rsidRPr="00AF455E">
        <w:rPr>
          <w:rFonts w:ascii="Times New Roman" w:eastAsia="Calibri" w:hAnsi="Times New Roman" w:cs="Times New Roman"/>
          <w:sz w:val="24"/>
          <w:szCs w:val="24"/>
        </w:rPr>
        <w:t xml:space="preserve">’ which have the same meaning as in the formula for calculating </w:t>
      </w:r>
      <w:r w:rsidR="00571B47" w:rsidRPr="00AF455E">
        <w:rPr>
          <w:rFonts w:ascii="Times New Roman" w:eastAsia="Calibri" w:hAnsi="Times New Roman" w:cs="Times New Roman"/>
          <w:sz w:val="24"/>
          <w:szCs w:val="24"/>
        </w:rPr>
        <w:t xml:space="preserve">the </w:t>
      </w:r>
      <w:r w:rsidRPr="00AF455E">
        <w:rPr>
          <w:rFonts w:ascii="Times New Roman" w:eastAsia="Calibri" w:hAnsi="Times New Roman" w:cs="Times New Roman"/>
          <w:sz w:val="24"/>
          <w:szCs w:val="24"/>
        </w:rPr>
        <w:t>‘</w:t>
      </w:r>
      <w:r w:rsidR="00571B47" w:rsidRPr="00AF455E">
        <w:rPr>
          <w:rFonts w:ascii="Times New Roman" w:eastAsia="Calibri" w:hAnsi="Times New Roman" w:cs="Times New Roman"/>
          <w:sz w:val="24"/>
          <w:szCs w:val="24"/>
        </w:rPr>
        <w:t>actual</w:t>
      </w:r>
      <w:r w:rsidRPr="00AF455E">
        <w:rPr>
          <w:rFonts w:ascii="Times New Roman" w:eastAsia="Calibri" w:hAnsi="Times New Roman" w:cs="Times New Roman"/>
          <w:sz w:val="24"/>
          <w:szCs w:val="24"/>
        </w:rPr>
        <w:t xml:space="preserve"> return’ for a lifecycle Part 6A product. See above. </w:t>
      </w:r>
    </w:p>
    <w:p w14:paraId="65A32935" w14:textId="22488938"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The variables in the formula also include ‘a’, ‘A’, ‘ART’, ‘fee’, ‘index’</w:t>
      </w:r>
      <w:r w:rsidR="00E76978" w:rsidRPr="00AF455E">
        <w:rPr>
          <w:rFonts w:ascii="Times New Roman" w:eastAsia="Calibri" w:hAnsi="Times New Roman" w:cs="Times New Roman"/>
          <w:sz w:val="24"/>
          <w:szCs w:val="24"/>
        </w:rPr>
        <w:t>,</w:t>
      </w:r>
      <w:r w:rsidRPr="00AF455E" w:rsidDel="00E76978">
        <w:rPr>
          <w:rFonts w:ascii="Times New Roman" w:eastAsia="Calibri" w:hAnsi="Times New Roman" w:cs="Times New Roman"/>
          <w:sz w:val="24"/>
          <w:szCs w:val="24"/>
        </w:rPr>
        <w:t xml:space="preserve"> </w:t>
      </w:r>
      <w:r w:rsidR="00C15DDE" w:rsidRPr="00AF455E">
        <w:rPr>
          <w:rFonts w:ascii="Times New Roman" w:eastAsia="Calibri" w:hAnsi="Times New Roman" w:cs="Times New Roman"/>
          <w:sz w:val="24"/>
          <w:szCs w:val="24"/>
        </w:rPr>
        <w:t xml:space="preserve">and </w:t>
      </w:r>
      <w:r w:rsidRPr="00AF455E">
        <w:rPr>
          <w:rFonts w:ascii="Times New Roman" w:eastAsia="Calibri" w:hAnsi="Times New Roman" w:cs="Times New Roman"/>
          <w:sz w:val="24"/>
          <w:szCs w:val="24"/>
        </w:rPr>
        <w:t xml:space="preserve">‘SAA’, which have the same meaning as in the formula for calculating </w:t>
      </w:r>
      <w:r w:rsidR="00571B47" w:rsidRPr="00AF455E">
        <w:rPr>
          <w:rFonts w:ascii="Times New Roman" w:eastAsia="Calibri" w:hAnsi="Times New Roman" w:cs="Times New Roman"/>
          <w:sz w:val="24"/>
          <w:szCs w:val="24"/>
        </w:rPr>
        <w:t xml:space="preserve">the </w:t>
      </w:r>
      <w:r w:rsidRPr="00AF455E">
        <w:rPr>
          <w:rFonts w:ascii="Times New Roman" w:eastAsia="Calibri" w:hAnsi="Times New Roman" w:cs="Times New Roman"/>
          <w:sz w:val="24"/>
          <w:szCs w:val="24"/>
        </w:rPr>
        <w:t>‘</w:t>
      </w:r>
      <w:r w:rsidR="00571B47" w:rsidRPr="00AF455E">
        <w:rPr>
          <w:rFonts w:ascii="Times New Roman" w:eastAsia="Calibri" w:hAnsi="Times New Roman" w:cs="Times New Roman"/>
          <w:sz w:val="24"/>
          <w:szCs w:val="24"/>
        </w:rPr>
        <w:t xml:space="preserve">benchmark </w:t>
      </w:r>
      <w:r w:rsidRPr="00AF455E">
        <w:rPr>
          <w:rFonts w:ascii="Times New Roman" w:eastAsia="Calibri" w:hAnsi="Times New Roman" w:cs="Times New Roman"/>
          <w:sz w:val="24"/>
          <w:szCs w:val="24"/>
        </w:rPr>
        <w:t xml:space="preserve">return’ for a standard Part 6A product. See above. </w:t>
      </w:r>
    </w:p>
    <w:p w14:paraId="5A0D3CDD" w14:textId="77777777" w:rsidR="001A482C" w:rsidRPr="00AF455E" w:rsidRDefault="009074D1" w:rsidP="009074D1">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In some cases, a product may have changed character in its lookback period (from a lifecycle Part 6A product to a standard Part 6A product or vice versa). In such a case, the amendments ensure the set of lifecycle formulas apply for the product for the product’s entire lookback period. That is, if a product has been a lifecycle Part 6A product at any time in its lookback period, it will be in the lifecycle Part 6A product </w:t>
      </w:r>
      <w:r w:rsidRPr="00AF455E">
        <w:rPr>
          <w:rFonts w:ascii="Times New Roman" w:eastAsia="Calibri" w:hAnsi="Times New Roman" w:cs="Times New Roman"/>
          <w:sz w:val="24"/>
          <w:szCs w:val="24"/>
        </w:rPr>
        <w:lastRenderedPageBreak/>
        <w:t xml:space="preserve">class. </w:t>
      </w:r>
    </w:p>
    <w:p w14:paraId="24721DDC" w14:textId="16FCFD72" w:rsidR="00160A65" w:rsidRPr="00AF455E" w:rsidRDefault="00160A65" w:rsidP="009074D1">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Where a product changes character during a quarter, APRA may </w:t>
      </w:r>
      <w:proofErr w:type="gramStart"/>
      <w:r w:rsidRPr="00AF455E">
        <w:rPr>
          <w:rFonts w:ascii="Times New Roman" w:eastAsia="Calibri" w:hAnsi="Times New Roman" w:cs="Times New Roman"/>
          <w:sz w:val="24"/>
          <w:szCs w:val="24"/>
        </w:rPr>
        <w:t>make a determination</w:t>
      </w:r>
      <w:proofErr w:type="gramEnd"/>
      <w:r w:rsidRPr="00AF455E">
        <w:rPr>
          <w:rFonts w:ascii="Times New Roman" w:eastAsia="Calibri" w:hAnsi="Times New Roman" w:cs="Times New Roman"/>
          <w:sz w:val="24"/>
          <w:szCs w:val="24"/>
        </w:rPr>
        <w:t xml:space="preserve"> for that particular product and the quarter during which the product changed character</w:t>
      </w:r>
      <w:r w:rsidR="001969FA" w:rsidRPr="00AF455E">
        <w:rPr>
          <w:rFonts w:ascii="Times New Roman" w:eastAsia="Calibri" w:hAnsi="Times New Roman" w:cs="Times New Roman"/>
          <w:sz w:val="24"/>
          <w:szCs w:val="24"/>
        </w:rPr>
        <w:t xml:space="preserve">, </w:t>
      </w:r>
      <w:r w:rsidRPr="00AF455E">
        <w:rPr>
          <w:rFonts w:ascii="Times New Roman" w:eastAsia="Calibri" w:hAnsi="Times New Roman" w:cs="Times New Roman"/>
          <w:sz w:val="24"/>
          <w:szCs w:val="24"/>
        </w:rPr>
        <w:t xml:space="preserve">to modify the formula for a benchmark return for a lifecycle Part 6A product. APRA may specify modifications that APRA considers reasonably necessary to reflect the circumstances of the change in character during a quarter. In such a case, the amendments ensure the information </w:t>
      </w:r>
      <w:r w:rsidR="00E75589" w:rsidRPr="00AF455E">
        <w:rPr>
          <w:rFonts w:ascii="Times New Roman" w:eastAsia="Calibri" w:hAnsi="Times New Roman" w:cs="Times New Roman"/>
          <w:sz w:val="24"/>
          <w:szCs w:val="24"/>
        </w:rPr>
        <w:t xml:space="preserve">that applies for the part quarter </w:t>
      </w:r>
      <w:r w:rsidRPr="00AF455E">
        <w:rPr>
          <w:rFonts w:ascii="Times New Roman" w:eastAsia="Calibri" w:hAnsi="Times New Roman" w:cs="Times New Roman"/>
          <w:sz w:val="24"/>
          <w:szCs w:val="24"/>
        </w:rPr>
        <w:t xml:space="preserve">before </w:t>
      </w:r>
      <w:r w:rsidR="00E75589" w:rsidRPr="00AF455E">
        <w:rPr>
          <w:rFonts w:ascii="Times New Roman" w:eastAsia="Calibri" w:hAnsi="Times New Roman" w:cs="Times New Roman"/>
          <w:sz w:val="24"/>
          <w:szCs w:val="24"/>
        </w:rPr>
        <w:t xml:space="preserve">the change and the part quarter </w:t>
      </w:r>
      <w:r w:rsidRPr="00AF455E">
        <w:rPr>
          <w:rFonts w:ascii="Times New Roman" w:eastAsia="Calibri" w:hAnsi="Times New Roman" w:cs="Times New Roman"/>
          <w:sz w:val="24"/>
          <w:szCs w:val="24"/>
        </w:rPr>
        <w:t xml:space="preserve">after the change may be </w:t>
      </w:r>
      <w:proofErr w:type="gramStart"/>
      <w:r w:rsidR="00905478" w:rsidRPr="00AF455E">
        <w:rPr>
          <w:rFonts w:ascii="Times New Roman" w:eastAsia="Calibri" w:hAnsi="Times New Roman" w:cs="Times New Roman"/>
          <w:sz w:val="24"/>
          <w:szCs w:val="24"/>
        </w:rPr>
        <w:t>taken into account</w:t>
      </w:r>
      <w:proofErr w:type="gramEnd"/>
      <w:r w:rsidRPr="00AF455E">
        <w:rPr>
          <w:rFonts w:ascii="Times New Roman" w:eastAsia="Calibri" w:hAnsi="Times New Roman" w:cs="Times New Roman"/>
          <w:sz w:val="24"/>
          <w:szCs w:val="24"/>
        </w:rPr>
        <w:t>.</w:t>
      </w:r>
      <w:r w:rsidR="0095246D" w:rsidRPr="00AF455E">
        <w:rPr>
          <w:rFonts w:ascii="Times New Roman" w:eastAsia="Calibri" w:hAnsi="Times New Roman" w:cs="Times New Roman"/>
          <w:sz w:val="24"/>
          <w:szCs w:val="24"/>
        </w:rPr>
        <w:t xml:space="preserve"> APRA must give a notice of the determination to the specified superannuation entity. The notice must be in writing an include a copy of the determination.  </w:t>
      </w:r>
    </w:p>
    <w:p w14:paraId="3BF84985" w14:textId="06436332" w:rsidR="009074D1" w:rsidRPr="00AF455E" w:rsidRDefault="009074D1" w:rsidP="009074D1">
      <w:pPr>
        <w:widowControl w:val="0"/>
        <w:adjustRightInd w:val="0"/>
        <w:jc w:val="both"/>
        <w:textAlignment w:val="baseline"/>
        <w:rPr>
          <w:rFonts w:ascii="Times New Roman" w:eastAsia="Calibri" w:hAnsi="Times New Roman" w:cs="Times New Roman"/>
          <w:sz w:val="24"/>
          <w:szCs w:val="24"/>
        </w:rPr>
      </w:pPr>
      <w:proofErr w:type="gramStart"/>
      <w:r w:rsidRPr="00AF455E">
        <w:rPr>
          <w:rFonts w:ascii="Times New Roman" w:eastAsia="Calibri" w:hAnsi="Times New Roman" w:cs="Times New Roman"/>
          <w:sz w:val="24"/>
          <w:szCs w:val="24"/>
        </w:rPr>
        <w:t>In order to</w:t>
      </w:r>
      <w:proofErr w:type="gramEnd"/>
      <w:r w:rsidRPr="00AF455E">
        <w:rPr>
          <w:rFonts w:ascii="Times New Roman" w:eastAsia="Calibri" w:hAnsi="Times New Roman" w:cs="Times New Roman"/>
          <w:sz w:val="24"/>
          <w:szCs w:val="24"/>
        </w:rPr>
        <w:t xml:space="preserve"> ensure the lifecycle formula work</w:t>
      </w:r>
      <w:r w:rsidR="00F874DE" w:rsidRPr="00AF455E">
        <w:rPr>
          <w:rFonts w:ascii="Times New Roman" w:eastAsia="Calibri" w:hAnsi="Times New Roman" w:cs="Times New Roman"/>
          <w:sz w:val="24"/>
          <w:szCs w:val="24"/>
        </w:rPr>
        <w:t>s</w:t>
      </w:r>
      <w:r w:rsidRPr="00AF455E">
        <w:rPr>
          <w:rFonts w:ascii="Times New Roman" w:eastAsia="Calibri" w:hAnsi="Times New Roman" w:cs="Times New Roman"/>
          <w:sz w:val="24"/>
          <w:szCs w:val="24"/>
        </w:rPr>
        <w:t xml:space="preserve"> as intended</w:t>
      </w:r>
      <w:r w:rsidR="001A482C" w:rsidRPr="00AF455E">
        <w:rPr>
          <w:rFonts w:ascii="Times New Roman" w:eastAsia="Calibri" w:hAnsi="Times New Roman" w:cs="Times New Roman"/>
          <w:sz w:val="24"/>
          <w:szCs w:val="24"/>
        </w:rPr>
        <w:t xml:space="preserve"> for a product that has changed character</w:t>
      </w:r>
      <w:r w:rsidRPr="00AF455E">
        <w:rPr>
          <w:rFonts w:ascii="Times New Roman" w:eastAsia="Calibri" w:hAnsi="Times New Roman" w:cs="Times New Roman"/>
          <w:sz w:val="24"/>
          <w:szCs w:val="24"/>
        </w:rPr>
        <w:t xml:space="preserve">, </w:t>
      </w:r>
      <w:r w:rsidR="001A482C" w:rsidRPr="00AF455E">
        <w:rPr>
          <w:rFonts w:ascii="Times New Roman" w:eastAsia="Calibri" w:hAnsi="Times New Roman" w:cs="Times New Roman"/>
          <w:sz w:val="24"/>
          <w:szCs w:val="24"/>
        </w:rPr>
        <w:t xml:space="preserve">for certain quarters, the product will be treated as having one </w:t>
      </w:r>
      <w:proofErr w:type="spellStart"/>
      <w:r w:rsidR="001A482C" w:rsidRPr="00AF455E">
        <w:rPr>
          <w:rFonts w:ascii="Times New Roman" w:eastAsia="Calibri" w:hAnsi="Times New Roman" w:cs="Times New Roman"/>
          <w:sz w:val="24"/>
          <w:szCs w:val="24"/>
        </w:rPr>
        <w:t>lifestage</w:t>
      </w:r>
      <w:proofErr w:type="spellEnd"/>
      <w:r w:rsidR="001A482C" w:rsidRPr="00AF455E">
        <w:rPr>
          <w:rFonts w:ascii="Times New Roman" w:eastAsia="Calibri" w:hAnsi="Times New Roman" w:cs="Times New Roman"/>
          <w:sz w:val="24"/>
          <w:szCs w:val="24"/>
        </w:rPr>
        <w:t xml:space="preserve">. Generally, the quarters subject to this rule (one </w:t>
      </w:r>
      <w:proofErr w:type="spellStart"/>
      <w:r w:rsidR="001A482C" w:rsidRPr="00AF455E">
        <w:rPr>
          <w:rFonts w:ascii="Times New Roman" w:eastAsia="Calibri" w:hAnsi="Times New Roman" w:cs="Times New Roman"/>
          <w:sz w:val="24"/>
          <w:szCs w:val="24"/>
        </w:rPr>
        <w:t>lifestage</w:t>
      </w:r>
      <w:proofErr w:type="spellEnd"/>
      <w:r w:rsidR="001A482C" w:rsidRPr="00AF455E">
        <w:rPr>
          <w:rFonts w:ascii="Times New Roman" w:eastAsia="Calibri" w:hAnsi="Times New Roman" w:cs="Times New Roman"/>
          <w:sz w:val="24"/>
          <w:szCs w:val="24"/>
        </w:rPr>
        <w:t xml:space="preserve"> quarter) will be those following a quarter (the previous quarter) in which the product was reported to APRA as a standard product. However, a one </w:t>
      </w:r>
      <w:proofErr w:type="spellStart"/>
      <w:r w:rsidR="001A482C" w:rsidRPr="00AF455E">
        <w:rPr>
          <w:rFonts w:ascii="Times New Roman" w:eastAsia="Calibri" w:hAnsi="Times New Roman" w:cs="Times New Roman"/>
          <w:sz w:val="24"/>
          <w:szCs w:val="24"/>
        </w:rPr>
        <w:t>lifestage</w:t>
      </w:r>
      <w:proofErr w:type="spellEnd"/>
      <w:r w:rsidR="001A482C" w:rsidRPr="00AF455E">
        <w:rPr>
          <w:rFonts w:ascii="Times New Roman" w:eastAsia="Calibri" w:hAnsi="Times New Roman" w:cs="Times New Roman"/>
          <w:sz w:val="24"/>
          <w:szCs w:val="24"/>
        </w:rPr>
        <w:t xml:space="preserve"> quarter may also be the first quarter in relation to which net returns are reported for the product (the initial quarter) to overcome issues with there not being (or not being enough reported data in relation to) a previous quarter.</w:t>
      </w:r>
      <w:r w:rsidR="00C03803" w:rsidRPr="00AF455E">
        <w:rPr>
          <w:rFonts w:ascii="Times New Roman" w:eastAsia="Calibri" w:hAnsi="Times New Roman" w:cs="Times New Roman"/>
          <w:sz w:val="24"/>
          <w:szCs w:val="24"/>
        </w:rPr>
        <w:t xml:space="preserve"> Where APRA has </w:t>
      </w:r>
      <w:proofErr w:type="gramStart"/>
      <w:r w:rsidR="00C03803" w:rsidRPr="00AF455E">
        <w:rPr>
          <w:rFonts w:ascii="Times New Roman" w:eastAsia="Calibri" w:hAnsi="Times New Roman" w:cs="Times New Roman"/>
          <w:sz w:val="24"/>
          <w:szCs w:val="24"/>
        </w:rPr>
        <w:t>made a determination</w:t>
      </w:r>
      <w:proofErr w:type="gramEnd"/>
      <w:r w:rsidR="00C03803" w:rsidRPr="00AF455E">
        <w:rPr>
          <w:rFonts w:ascii="Times New Roman" w:eastAsia="Calibri" w:hAnsi="Times New Roman" w:cs="Times New Roman"/>
          <w:sz w:val="24"/>
          <w:szCs w:val="24"/>
        </w:rPr>
        <w:t xml:space="preserve"> to modify the formula for benchmark return for a quarter during which the product changed character, that particular quarter cannot be a one </w:t>
      </w:r>
      <w:proofErr w:type="spellStart"/>
      <w:r w:rsidR="00C03803" w:rsidRPr="00AF455E">
        <w:rPr>
          <w:rFonts w:ascii="Times New Roman" w:eastAsia="Calibri" w:hAnsi="Times New Roman" w:cs="Times New Roman"/>
          <w:sz w:val="24"/>
          <w:szCs w:val="24"/>
        </w:rPr>
        <w:t>lifestage</w:t>
      </w:r>
      <w:proofErr w:type="spellEnd"/>
      <w:r w:rsidR="00C03803" w:rsidRPr="00AF455E">
        <w:rPr>
          <w:rFonts w:ascii="Times New Roman" w:eastAsia="Calibri" w:hAnsi="Times New Roman" w:cs="Times New Roman"/>
          <w:sz w:val="24"/>
          <w:szCs w:val="24"/>
        </w:rPr>
        <w:t xml:space="preserve"> quarter</w:t>
      </w:r>
      <w:r w:rsidR="006D3345" w:rsidRPr="00AF455E">
        <w:rPr>
          <w:rFonts w:ascii="Times New Roman" w:eastAsia="Calibri" w:hAnsi="Times New Roman" w:cs="Times New Roman"/>
          <w:sz w:val="24"/>
          <w:szCs w:val="24"/>
        </w:rPr>
        <w:t xml:space="preserve"> (as for part of that quarter</w:t>
      </w:r>
      <w:r w:rsidR="003F14D0" w:rsidRPr="00AF455E">
        <w:rPr>
          <w:rFonts w:ascii="Times New Roman" w:eastAsia="Calibri" w:hAnsi="Times New Roman" w:cs="Times New Roman"/>
          <w:sz w:val="24"/>
          <w:szCs w:val="24"/>
        </w:rPr>
        <w:t>, it is appropriate that APRA treat</w:t>
      </w:r>
      <w:r w:rsidR="006D3345" w:rsidRPr="00AF455E">
        <w:rPr>
          <w:rFonts w:ascii="Times New Roman" w:eastAsia="Calibri" w:hAnsi="Times New Roman" w:cs="Times New Roman"/>
          <w:sz w:val="24"/>
          <w:szCs w:val="24"/>
        </w:rPr>
        <w:t xml:space="preserve"> the product </w:t>
      </w:r>
      <w:r w:rsidR="003F14D0" w:rsidRPr="00AF455E">
        <w:rPr>
          <w:rFonts w:ascii="Times New Roman" w:eastAsia="Calibri" w:hAnsi="Times New Roman" w:cs="Times New Roman"/>
          <w:sz w:val="24"/>
          <w:szCs w:val="24"/>
        </w:rPr>
        <w:t xml:space="preserve">as having more than one </w:t>
      </w:r>
      <w:proofErr w:type="spellStart"/>
      <w:r w:rsidR="003F14D0" w:rsidRPr="00AF455E">
        <w:rPr>
          <w:rFonts w:ascii="Times New Roman" w:eastAsia="Calibri" w:hAnsi="Times New Roman" w:cs="Times New Roman"/>
          <w:sz w:val="24"/>
          <w:szCs w:val="24"/>
        </w:rPr>
        <w:t>lifestage</w:t>
      </w:r>
      <w:proofErr w:type="spellEnd"/>
      <w:r w:rsidR="003F14D0" w:rsidRPr="00AF455E">
        <w:rPr>
          <w:rFonts w:ascii="Times New Roman" w:eastAsia="Calibri" w:hAnsi="Times New Roman" w:cs="Times New Roman"/>
          <w:sz w:val="24"/>
          <w:szCs w:val="24"/>
        </w:rPr>
        <w:t>)</w:t>
      </w:r>
      <w:r w:rsidR="00C03803" w:rsidRPr="00AF455E">
        <w:rPr>
          <w:rFonts w:ascii="Times New Roman" w:eastAsia="Calibri" w:hAnsi="Times New Roman" w:cs="Times New Roman"/>
          <w:sz w:val="24"/>
          <w:szCs w:val="24"/>
        </w:rPr>
        <w:t>.</w:t>
      </w:r>
    </w:p>
    <w:p w14:paraId="55250DA2" w14:textId="78A1CABE" w:rsidR="009074D1" w:rsidRPr="00AF455E" w:rsidRDefault="009074D1" w:rsidP="009074D1">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This means that when interpretating aspects of the lifecycle formula that require a calculation to be repeated for all </w:t>
      </w:r>
      <w:proofErr w:type="spellStart"/>
      <w:r w:rsidRPr="00AF455E">
        <w:rPr>
          <w:rFonts w:ascii="Times New Roman" w:eastAsia="Calibri" w:hAnsi="Times New Roman" w:cs="Times New Roman"/>
          <w:sz w:val="24"/>
          <w:szCs w:val="24"/>
        </w:rPr>
        <w:t>lifestages</w:t>
      </w:r>
      <w:proofErr w:type="spellEnd"/>
      <w:r w:rsidRPr="00AF455E">
        <w:rPr>
          <w:rFonts w:ascii="Times New Roman" w:eastAsia="Calibri" w:hAnsi="Times New Roman" w:cs="Times New Roman"/>
          <w:sz w:val="24"/>
          <w:szCs w:val="24"/>
        </w:rPr>
        <w:t xml:space="preserve"> and the sum of those results to be calculated, the calculation is just done once for the one </w:t>
      </w:r>
      <w:proofErr w:type="spellStart"/>
      <w:r w:rsidRPr="00AF455E">
        <w:rPr>
          <w:rFonts w:ascii="Times New Roman" w:eastAsia="Calibri" w:hAnsi="Times New Roman" w:cs="Times New Roman"/>
          <w:sz w:val="24"/>
          <w:szCs w:val="24"/>
        </w:rPr>
        <w:t>lifestage</w:t>
      </w:r>
      <w:proofErr w:type="spellEnd"/>
      <w:r w:rsidRPr="00AF455E">
        <w:rPr>
          <w:rFonts w:ascii="Times New Roman" w:eastAsia="Calibri" w:hAnsi="Times New Roman" w:cs="Times New Roman"/>
          <w:sz w:val="24"/>
          <w:szCs w:val="24"/>
        </w:rPr>
        <w:t>. This will also mean that for those quarters, the ‘</w:t>
      </w:r>
      <w:proofErr w:type="spellStart"/>
      <w:r w:rsidRPr="00AF455E">
        <w:rPr>
          <w:rFonts w:ascii="Times New Roman" w:eastAsia="Calibri" w:hAnsi="Times New Roman" w:cs="Times New Roman"/>
          <w:sz w:val="24"/>
          <w:szCs w:val="24"/>
        </w:rPr>
        <w:t>lifestage</w:t>
      </w:r>
      <w:proofErr w:type="spellEnd"/>
      <w:r w:rsidRPr="00AF455E">
        <w:rPr>
          <w:rFonts w:ascii="Times New Roman" w:eastAsia="Calibri" w:hAnsi="Times New Roman" w:cs="Times New Roman"/>
          <w:sz w:val="24"/>
          <w:szCs w:val="24"/>
        </w:rPr>
        <w:t xml:space="preserve"> weight’ will be equal to one, as for a product with only one </w:t>
      </w:r>
      <w:proofErr w:type="spellStart"/>
      <w:r w:rsidRPr="00AF455E">
        <w:rPr>
          <w:rFonts w:ascii="Times New Roman" w:eastAsia="Calibri" w:hAnsi="Times New Roman" w:cs="Times New Roman"/>
          <w:sz w:val="24"/>
          <w:szCs w:val="24"/>
        </w:rPr>
        <w:t>lifestage</w:t>
      </w:r>
      <w:proofErr w:type="spellEnd"/>
      <w:r w:rsidRPr="00AF455E">
        <w:rPr>
          <w:rFonts w:ascii="Times New Roman" w:eastAsia="Calibri" w:hAnsi="Times New Roman" w:cs="Times New Roman"/>
          <w:sz w:val="24"/>
          <w:szCs w:val="24"/>
        </w:rPr>
        <w:t>, the numerator and denominator in the definition of ‘</w:t>
      </w:r>
      <w:proofErr w:type="spellStart"/>
      <w:r w:rsidRPr="00AF455E">
        <w:rPr>
          <w:rFonts w:ascii="Times New Roman" w:eastAsia="Calibri" w:hAnsi="Times New Roman" w:cs="Times New Roman"/>
          <w:sz w:val="24"/>
          <w:szCs w:val="24"/>
        </w:rPr>
        <w:t>lifestage</w:t>
      </w:r>
      <w:proofErr w:type="spellEnd"/>
      <w:r w:rsidRPr="00AF455E">
        <w:rPr>
          <w:rFonts w:ascii="Times New Roman" w:eastAsia="Calibri" w:hAnsi="Times New Roman" w:cs="Times New Roman"/>
          <w:sz w:val="24"/>
          <w:szCs w:val="24"/>
        </w:rPr>
        <w:t xml:space="preserve"> weight’ will be equal. As a number multiplied by one is equal to the original number, this ensures that when applying the lifecycle formula, effectively there is no </w:t>
      </w:r>
      <w:proofErr w:type="spellStart"/>
      <w:r w:rsidRPr="00AF455E">
        <w:rPr>
          <w:rFonts w:ascii="Times New Roman" w:eastAsia="Calibri" w:hAnsi="Times New Roman" w:cs="Times New Roman"/>
          <w:sz w:val="24"/>
          <w:szCs w:val="24"/>
        </w:rPr>
        <w:t>lifestage</w:t>
      </w:r>
      <w:proofErr w:type="spellEnd"/>
      <w:r w:rsidRPr="00AF455E">
        <w:rPr>
          <w:rFonts w:ascii="Times New Roman" w:eastAsia="Calibri" w:hAnsi="Times New Roman" w:cs="Times New Roman"/>
          <w:sz w:val="24"/>
          <w:szCs w:val="24"/>
        </w:rPr>
        <w:t xml:space="preserve"> weight being applied. </w:t>
      </w:r>
    </w:p>
    <w:p w14:paraId="3F70BEC7" w14:textId="77777777" w:rsidR="00F11482" w:rsidRPr="00AF455E" w:rsidRDefault="00F11482" w:rsidP="00F11482">
      <w:pPr>
        <w:widowControl w:val="0"/>
        <w:adjustRightInd w:val="0"/>
        <w:jc w:val="both"/>
        <w:textAlignment w:val="baseline"/>
        <w:rPr>
          <w:rFonts w:ascii="Times New Roman" w:eastAsia="Calibri" w:hAnsi="Times New Roman" w:cs="Times New Roman"/>
          <w:i/>
          <w:sz w:val="24"/>
          <w:szCs w:val="24"/>
        </w:rPr>
      </w:pPr>
    </w:p>
    <w:p w14:paraId="1F219A4A" w14:textId="74230194" w:rsidR="00F11482" w:rsidRPr="00AF455E" w:rsidRDefault="00F11482" w:rsidP="00F11482">
      <w:pPr>
        <w:widowControl w:val="0"/>
        <w:adjustRightInd w:val="0"/>
        <w:jc w:val="both"/>
        <w:textAlignment w:val="baseline"/>
        <w:rPr>
          <w:rFonts w:ascii="Times New Roman" w:eastAsia="Calibri" w:hAnsi="Times New Roman" w:cs="Times New Roman"/>
          <w:b/>
          <w:sz w:val="24"/>
          <w:szCs w:val="24"/>
        </w:rPr>
      </w:pPr>
      <w:r w:rsidRPr="00AF455E">
        <w:rPr>
          <w:rFonts w:ascii="Times New Roman" w:eastAsia="Calibri" w:hAnsi="Times New Roman" w:cs="Times New Roman"/>
          <w:b/>
          <w:sz w:val="24"/>
          <w:szCs w:val="24"/>
        </w:rPr>
        <w:t xml:space="preserve">Items </w:t>
      </w:r>
      <w:r w:rsidR="00B57F23" w:rsidRPr="00AF455E">
        <w:rPr>
          <w:rFonts w:ascii="Times New Roman" w:eastAsia="Calibri" w:hAnsi="Times New Roman" w:cs="Times New Roman"/>
          <w:b/>
          <w:sz w:val="24"/>
          <w:szCs w:val="24"/>
        </w:rPr>
        <w:t>4</w:t>
      </w:r>
      <w:r w:rsidR="007C77D9" w:rsidRPr="00AF455E">
        <w:rPr>
          <w:rFonts w:ascii="Times New Roman" w:eastAsia="Calibri" w:hAnsi="Times New Roman" w:cs="Times New Roman"/>
          <w:b/>
          <w:sz w:val="24"/>
          <w:szCs w:val="24"/>
        </w:rPr>
        <w:t xml:space="preserve"> and </w:t>
      </w:r>
      <w:r w:rsidR="00B57F23" w:rsidRPr="00AF455E">
        <w:rPr>
          <w:rFonts w:ascii="Times New Roman" w:eastAsia="Calibri" w:hAnsi="Times New Roman" w:cs="Times New Roman"/>
          <w:b/>
          <w:sz w:val="24"/>
          <w:szCs w:val="24"/>
        </w:rPr>
        <w:t>6</w:t>
      </w:r>
      <w:r w:rsidR="00F34A88" w:rsidRPr="00AF455E">
        <w:rPr>
          <w:rFonts w:ascii="Times New Roman" w:eastAsia="Calibri" w:hAnsi="Times New Roman" w:cs="Times New Roman"/>
          <w:b/>
          <w:sz w:val="24"/>
          <w:szCs w:val="24"/>
        </w:rPr>
        <w:t xml:space="preserve"> </w:t>
      </w:r>
      <w:r w:rsidR="009411AA" w:rsidRPr="00AF455E">
        <w:rPr>
          <w:rFonts w:ascii="Times New Roman" w:eastAsia="Calibri" w:hAnsi="Times New Roman" w:cs="Times New Roman"/>
          <w:b/>
          <w:sz w:val="24"/>
          <w:szCs w:val="24"/>
        </w:rPr>
        <w:t>–</w:t>
      </w:r>
      <w:r w:rsidR="00995E09" w:rsidRPr="00AF455E">
        <w:rPr>
          <w:rFonts w:ascii="Times New Roman" w:eastAsia="Calibri" w:hAnsi="Times New Roman" w:cs="Times New Roman"/>
          <w:b/>
          <w:sz w:val="24"/>
          <w:szCs w:val="24"/>
        </w:rPr>
        <w:t xml:space="preserve"> </w:t>
      </w:r>
      <w:r w:rsidR="009411AA" w:rsidRPr="00AF455E">
        <w:rPr>
          <w:rFonts w:ascii="Times New Roman" w:eastAsia="Calibri" w:hAnsi="Times New Roman" w:cs="Times New Roman"/>
          <w:b/>
          <w:sz w:val="24"/>
          <w:szCs w:val="24"/>
        </w:rPr>
        <w:t>(proposed r</w:t>
      </w:r>
      <w:r w:rsidR="00F34A88" w:rsidRPr="00AF455E">
        <w:rPr>
          <w:rFonts w:ascii="Times New Roman" w:eastAsia="Calibri" w:hAnsi="Times New Roman" w:cs="Times New Roman"/>
          <w:b/>
          <w:sz w:val="24"/>
          <w:szCs w:val="24"/>
        </w:rPr>
        <w:t xml:space="preserve">egulation 9AB.19 and Schedule </w:t>
      </w:r>
      <w:r w:rsidR="004B5BA8" w:rsidRPr="00AF455E">
        <w:rPr>
          <w:rFonts w:ascii="Times New Roman" w:eastAsia="Calibri" w:hAnsi="Times New Roman" w:cs="Times New Roman"/>
          <w:b/>
          <w:sz w:val="24"/>
          <w:szCs w:val="24"/>
        </w:rPr>
        <w:t xml:space="preserve">2A </w:t>
      </w:r>
      <w:r w:rsidR="009411AA" w:rsidRPr="00AF455E">
        <w:rPr>
          <w:rFonts w:ascii="Times New Roman" w:eastAsia="Calibri" w:hAnsi="Times New Roman" w:cs="Times New Roman"/>
          <w:b/>
          <w:sz w:val="24"/>
          <w:szCs w:val="24"/>
        </w:rPr>
        <w:t>of the SIS Regs)</w:t>
      </w:r>
      <w:r w:rsidR="004B5BA8" w:rsidRPr="00AF455E">
        <w:rPr>
          <w:rFonts w:ascii="Times New Roman" w:eastAsia="Calibri" w:hAnsi="Times New Roman" w:cs="Times New Roman"/>
          <w:b/>
          <w:sz w:val="24"/>
          <w:szCs w:val="24"/>
        </w:rPr>
        <w:t xml:space="preserve"> - Form</w:t>
      </w:r>
      <w:r w:rsidRPr="00AF455E">
        <w:rPr>
          <w:rFonts w:ascii="Times New Roman" w:eastAsia="Calibri" w:hAnsi="Times New Roman" w:cs="Times New Roman"/>
          <w:b/>
          <w:sz w:val="24"/>
          <w:szCs w:val="24"/>
        </w:rPr>
        <w:t xml:space="preserve"> and content requirements for trustee notification to beneficiaries</w:t>
      </w:r>
    </w:p>
    <w:p w14:paraId="6728D3CF" w14:textId="53C4E848"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If APRA has determined a Part 6A product has failed the performance test, APRA will notify the trustee of the entity that offers the product. </w:t>
      </w:r>
      <w:r w:rsidR="001337B9" w:rsidRPr="00AF455E">
        <w:rPr>
          <w:rFonts w:ascii="Times New Roman" w:eastAsia="Calibri" w:hAnsi="Times New Roman" w:cs="Times New Roman"/>
          <w:sz w:val="24"/>
          <w:szCs w:val="24"/>
        </w:rPr>
        <w:t>S</w:t>
      </w:r>
      <w:r w:rsidRPr="00AF455E">
        <w:rPr>
          <w:rFonts w:ascii="Times New Roman" w:eastAsia="Calibri" w:hAnsi="Times New Roman" w:cs="Times New Roman"/>
          <w:sz w:val="24"/>
          <w:szCs w:val="24"/>
        </w:rPr>
        <w:t>ection 60E of the SIS</w:t>
      </w:r>
      <w:r w:rsidR="00C13FB8" w:rsidRPr="00AF455E">
        <w:rPr>
          <w:rFonts w:ascii="Times New Roman" w:eastAsia="Calibri" w:hAnsi="Times New Roman" w:cs="Times New Roman"/>
          <w:sz w:val="24"/>
          <w:szCs w:val="24"/>
        </w:rPr>
        <w:t> </w:t>
      </w:r>
      <w:r w:rsidRPr="00AF455E">
        <w:rPr>
          <w:rFonts w:ascii="Times New Roman" w:eastAsia="Calibri" w:hAnsi="Times New Roman" w:cs="Times New Roman"/>
          <w:sz w:val="24"/>
          <w:szCs w:val="24"/>
        </w:rPr>
        <w:t xml:space="preserve">Act requires the trustee of the entity to provide a notice to each beneficiary of the entity who holds the product, within 28 days of </w:t>
      </w:r>
      <w:r w:rsidR="000E1C55" w:rsidRPr="00AF455E">
        <w:rPr>
          <w:rFonts w:ascii="Times New Roman" w:eastAsia="Calibri" w:hAnsi="Times New Roman" w:cs="Times New Roman"/>
          <w:sz w:val="24"/>
          <w:szCs w:val="24"/>
        </w:rPr>
        <w:t xml:space="preserve">APRA giving </w:t>
      </w:r>
      <w:r w:rsidRPr="00AF455E">
        <w:rPr>
          <w:rFonts w:ascii="Times New Roman" w:eastAsia="Calibri" w:hAnsi="Times New Roman" w:cs="Times New Roman"/>
          <w:sz w:val="24"/>
          <w:szCs w:val="24"/>
        </w:rPr>
        <w:t>notice of the assessment, that the product has failed the performance test.</w:t>
      </w:r>
    </w:p>
    <w:p w14:paraId="24529E9E" w14:textId="3B4DBB3C" w:rsidR="00F11482" w:rsidRPr="00AF455E" w:rsidRDefault="00817A71"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S</w:t>
      </w:r>
      <w:r w:rsidR="00F11482" w:rsidRPr="00AF455E">
        <w:rPr>
          <w:rFonts w:ascii="Times New Roman" w:eastAsia="Calibri" w:hAnsi="Times New Roman" w:cs="Times New Roman"/>
          <w:sz w:val="24"/>
          <w:szCs w:val="24"/>
        </w:rPr>
        <w:t>ubsection 60</w:t>
      </w:r>
      <w:proofErr w:type="gramStart"/>
      <w:r w:rsidR="00F11482" w:rsidRPr="00AF455E">
        <w:rPr>
          <w:rFonts w:ascii="Times New Roman" w:eastAsia="Calibri" w:hAnsi="Times New Roman" w:cs="Times New Roman"/>
          <w:sz w:val="24"/>
          <w:szCs w:val="24"/>
        </w:rPr>
        <w:t>E(</w:t>
      </w:r>
      <w:proofErr w:type="gramEnd"/>
      <w:r w:rsidR="00F11482" w:rsidRPr="00AF455E">
        <w:rPr>
          <w:rFonts w:ascii="Times New Roman" w:eastAsia="Calibri" w:hAnsi="Times New Roman" w:cs="Times New Roman"/>
          <w:sz w:val="24"/>
          <w:szCs w:val="24"/>
        </w:rPr>
        <w:t>5) of the SIS Act provides that notices must be provided by post to the beneficiary’s last known address, and via email to each beneficiary’s email address</w:t>
      </w:r>
      <w:r w:rsidR="00156B66" w:rsidRPr="00AF455E">
        <w:rPr>
          <w:rFonts w:ascii="Times New Roman" w:eastAsia="Calibri" w:hAnsi="Times New Roman" w:cs="Times New Roman"/>
          <w:sz w:val="24"/>
          <w:szCs w:val="24"/>
        </w:rPr>
        <w:t xml:space="preserve"> (if there is a nominated email address)</w:t>
      </w:r>
      <w:r w:rsidR="00F11482" w:rsidRPr="00AF455E">
        <w:rPr>
          <w:rFonts w:ascii="Times New Roman" w:eastAsia="Calibri" w:hAnsi="Times New Roman" w:cs="Times New Roman"/>
          <w:sz w:val="24"/>
          <w:szCs w:val="24"/>
        </w:rPr>
        <w:t>.</w:t>
      </w:r>
      <w:r w:rsidR="00156B66" w:rsidRPr="00AF455E">
        <w:rPr>
          <w:rFonts w:ascii="Times New Roman" w:eastAsia="Calibri" w:hAnsi="Times New Roman" w:cs="Times New Roman"/>
          <w:sz w:val="24"/>
          <w:szCs w:val="24"/>
        </w:rPr>
        <w:t xml:space="preserve"> </w:t>
      </w:r>
      <w:r w:rsidR="00F11482" w:rsidRPr="00AF455E">
        <w:rPr>
          <w:rFonts w:ascii="Times New Roman" w:eastAsia="Calibri" w:hAnsi="Times New Roman" w:cs="Times New Roman"/>
          <w:sz w:val="24"/>
          <w:szCs w:val="24"/>
        </w:rPr>
        <w:t xml:space="preserve"> </w:t>
      </w:r>
    </w:p>
    <w:p w14:paraId="109BD4E4" w14:textId="3014B1BB" w:rsidR="00F11482" w:rsidRPr="00AF455E" w:rsidRDefault="00817A71"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S</w:t>
      </w:r>
      <w:r w:rsidR="00F11482" w:rsidRPr="00AF455E">
        <w:rPr>
          <w:rFonts w:ascii="Times New Roman" w:eastAsia="Calibri" w:hAnsi="Times New Roman" w:cs="Times New Roman"/>
          <w:sz w:val="24"/>
          <w:szCs w:val="24"/>
        </w:rPr>
        <w:t>ubsection 60</w:t>
      </w:r>
      <w:proofErr w:type="gramStart"/>
      <w:r w:rsidR="00F11482" w:rsidRPr="00AF455E">
        <w:rPr>
          <w:rFonts w:ascii="Times New Roman" w:eastAsia="Calibri" w:hAnsi="Times New Roman" w:cs="Times New Roman"/>
          <w:sz w:val="24"/>
          <w:szCs w:val="24"/>
        </w:rPr>
        <w:t>E(</w:t>
      </w:r>
      <w:proofErr w:type="gramEnd"/>
      <w:r w:rsidR="00F11482" w:rsidRPr="00AF455E">
        <w:rPr>
          <w:rFonts w:ascii="Times New Roman" w:eastAsia="Calibri" w:hAnsi="Times New Roman" w:cs="Times New Roman"/>
          <w:sz w:val="24"/>
          <w:szCs w:val="24"/>
        </w:rPr>
        <w:t>6) of the SIS Act states that the notice must be in the form</w:t>
      </w:r>
      <w:r w:rsidR="007A6266" w:rsidRPr="00AF455E">
        <w:rPr>
          <w:rFonts w:ascii="Times New Roman" w:eastAsia="Calibri" w:hAnsi="Times New Roman" w:cs="Times New Roman"/>
          <w:sz w:val="24"/>
          <w:szCs w:val="24"/>
        </w:rPr>
        <w:t xml:space="preserve"> and contain information of a kind</w:t>
      </w:r>
      <w:r w:rsidR="00F11482" w:rsidRPr="00AF455E">
        <w:rPr>
          <w:rFonts w:ascii="Times New Roman" w:eastAsia="Calibri" w:hAnsi="Times New Roman" w:cs="Times New Roman"/>
          <w:sz w:val="24"/>
          <w:szCs w:val="24"/>
        </w:rPr>
        <w:t xml:space="preserve"> specified in regulations. These amendments </w:t>
      </w:r>
      <w:r w:rsidR="00B12E6B" w:rsidRPr="00AF455E">
        <w:rPr>
          <w:rFonts w:ascii="Times New Roman" w:eastAsia="Calibri" w:hAnsi="Times New Roman" w:cs="Times New Roman"/>
          <w:sz w:val="24"/>
          <w:szCs w:val="24"/>
        </w:rPr>
        <w:t xml:space="preserve">set out </w:t>
      </w:r>
      <w:r w:rsidR="00F11482" w:rsidRPr="00AF455E">
        <w:rPr>
          <w:rFonts w:ascii="Times New Roman" w:eastAsia="Calibri" w:hAnsi="Times New Roman" w:cs="Times New Roman"/>
          <w:sz w:val="24"/>
          <w:szCs w:val="24"/>
        </w:rPr>
        <w:t xml:space="preserve">the </w:t>
      </w:r>
      <w:r w:rsidR="00B12E6B" w:rsidRPr="00AF455E">
        <w:rPr>
          <w:rFonts w:ascii="Times New Roman" w:eastAsia="Calibri" w:hAnsi="Times New Roman" w:cs="Times New Roman"/>
          <w:sz w:val="24"/>
          <w:szCs w:val="24"/>
        </w:rPr>
        <w:t xml:space="preserve">standard </w:t>
      </w:r>
      <w:r w:rsidR="00B12E6B" w:rsidRPr="00AF455E">
        <w:rPr>
          <w:rFonts w:ascii="Times New Roman" w:eastAsia="Calibri" w:hAnsi="Times New Roman" w:cs="Times New Roman"/>
          <w:sz w:val="24"/>
          <w:szCs w:val="24"/>
        </w:rPr>
        <w:lastRenderedPageBreak/>
        <w:t xml:space="preserve">words and </w:t>
      </w:r>
      <w:r w:rsidR="00F11482" w:rsidRPr="00AF455E">
        <w:rPr>
          <w:rFonts w:ascii="Times New Roman" w:eastAsia="Calibri" w:hAnsi="Times New Roman" w:cs="Times New Roman"/>
          <w:sz w:val="24"/>
          <w:szCs w:val="24"/>
        </w:rPr>
        <w:t>form</w:t>
      </w:r>
      <w:r w:rsidR="00B12E6B" w:rsidRPr="00AF455E">
        <w:rPr>
          <w:rFonts w:ascii="Times New Roman" w:eastAsia="Calibri" w:hAnsi="Times New Roman" w:cs="Times New Roman"/>
          <w:sz w:val="24"/>
          <w:szCs w:val="24"/>
        </w:rPr>
        <w:t>s</w:t>
      </w:r>
      <w:r w:rsidR="00F11482" w:rsidRPr="00AF455E">
        <w:rPr>
          <w:rFonts w:ascii="Times New Roman" w:eastAsia="Calibri" w:hAnsi="Times New Roman" w:cs="Times New Roman"/>
          <w:sz w:val="24"/>
          <w:szCs w:val="24"/>
        </w:rPr>
        <w:t xml:space="preserve"> that </w:t>
      </w:r>
      <w:r w:rsidR="00B12E6B" w:rsidRPr="00AF455E">
        <w:rPr>
          <w:rFonts w:ascii="Times New Roman" w:eastAsia="Calibri" w:hAnsi="Times New Roman" w:cs="Times New Roman"/>
          <w:sz w:val="24"/>
          <w:szCs w:val="24"/>
        </w:rPr>
        <w:t>are</w:t>
      </w:r>
      <w:r w:rsidR="00F11482" w:rsidRPr="00AF455E">
        <w:rPr>
          <w:rFonts w:ascii="Times New Roman" w:eastAsia="Calibri" w:hAnsi="Times New Roman" w:cs="Times New Roman"/>
          <w:sz w:val="24"/>
          <w:szCs w:val="24"/>
        </w:rPr>
        <w:t xml:space="preserve"> to be used by trustees when informing beneficiaries of a failed performance test. </w:t>
      </w:r>
    </w:p>
    <w:p w14:paraId="4542D8DD" w14:textId="4155ACB1"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The standard words and form</w:t>
      </w:r>
      <w:r w:rsidR="00B12E6B" w:rsidRPr="00AF455E">
        <w:rPr>
          <w:rFonts w:ascii="Times New Roman" w:eastAsia="Calibri" w:hAnsi="Times New Roman" w:cs="Times New Roman"/>
          <w:sz w:val="24"/>
          <w:szCs w:val="24"/>
        </w:rPr>
        <w:t>s</w:t>
      </w:r>
      <w:r w:rsidRPr="00AF455E">
        <w:rPr>
          <w:rFonts w:ascii="Times New Roman" w:eastAsia="Calibri" w:hAnsi="Times New Roman" w:cs="Times New Roman"/>
          <w:sz w:val="24"/>
          <w:szCs w:val="24"/>
        </w:rPr>
        <w:t xml:space="preserve"> of the beneficiary notification ensure that notice of underperformance is presented to </w:t>
      </w:r>
      <w:r w:rsidR="00B473B6" w:rsidRPr="00AF455E">
        <w:rPr>
          <w:rFonts w:ascii="Times New Roman" w:eastAsia="Calibri" w:hAnsi="Times New Roman" w:cs="Times New Roman"/>
          <w:sz w:val="24"/>
          <w:szCs w:val="24"/>
        </w:rPr>
        <w:t xml:space="preserve">all </w:t>
      </w:r>
      <w:r w:rsidRPr="00AF455E">
        <w:rPr>
          <w:rFonts w:ascii="Times New Roman" w:eastAsia="Calibri" w:hAnsi="Times New Roman" w:cs="Times New Roman"/>
          <w:sz w:val="24"/>
          <w:szCs w:val="24"/>
        </w:rPr>
        <w:t>beneficiaries in a</w:t>
      </w:r>
      <w:r w:rsidR="00965E72" w:rsidRPr="00AF455E">
        <w:rPr>
          <w:rFonts w:ascii="Times New Roman" w:eastAsia="Calibri" w:hAnsi="Times New Roman" w:cs="Times New Roman"/>
          <w:sz w:val="24"/>
          <w:szCs w:val="24"/>
        </w:rPr>
        <w:t xml:space="preserve"> </w:t>
      </w:r>
      <w:r w:rsidR="00B473B6" w:rsidRPr="00AF455E">
        <w:rPr>
          <w:rFonts w:ascii="Times New Roman" w:eastAsia="Calibri" w:hAnsi="Times New Roman" w:cs="Times New Roman"/>
          <w:sz w:val="24"/>
          <w:szCs w:val="24"/>
        </w:rPr>
        <w:t>consistent,</w:t>
      </w:r>
      <w:r w:rsidR="00965E72" w:rsidRPr="00AF455E">
        <w:rPr>
          <w:rFonts w:ascii="Times New Roman" w:eastAsia="Calibri" w:hAnsi="Times New Roman" w:cs="Times New Roman"/>
          <w:sz w:val="24"/>
          <w:szCs w:val="24"/>
        </w:rPr>
        <w:t xml:space="preserve"> clear, </w:t>
      </w:r>
      <w:proofErr w:type="gramStart"/>
      <w:r w:rsidR="00965E72" w:rsidRPr="00AF455E">
        <w:rPr>
          <w:rFonts w:ascii="Times New Roman" w:eastAsia="Calibri" w:hAnsi="Times New Roman" w:cs="Times New Roman"/>
          <w:sz w:val="24"/>
          <w:szCs w:val="24"/>
        </w:rPr>
        <w:t>concise</w:t>
      </w:r>
      <w:proofErr w:type="gramEnd"/>
      <w:r w:rsidR="00965E72" w:rsidRPr="00AF455E">
        <w:rPr>
          <w:rFonts w:ascii="Times New Roman" w:eastAsia="Calibri" w:hAnsi="Times New Roman" w:cs="Times New Roman"/>
          <w:sz w:val="24"/>
          <w:szCs w:val="24"/>
        </w:rPr>
        <w:t xml:space="preserve"> and effective</w:t>
      </w:r>
      <w:r w:rsidRPr="00AF455E">
        <w:rPr>
          <w:rFonts w:ascii="Times New Roman" w:eastAsia="Calibri" w:hAnsi="Times New Roman" w:cs="Times New Roman"/>
          <w:sz w:val="24"/>
          <w:szCs w:val="24"/>
        </w:rPr>
        <w:t xml:space="preserve"> manner. </w:t>
      </w:r>
    </w:p>
    <w:p w14:paraId="30866C4E" w14:textId="4410022D"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All beneficiary notifications must explain to the member that their superannuation product has performed poorly, and that the member should consider moving their interest into a different </w:t>
      </w:r>
      <w:r w:rsidR="00970DDD" w:rsidRPr="00AF455E">
        <w:rPr>
          <w:rFonts w:ascii="Times New Roman" w:eastAsia="Calibri" w:hAnsi="Times New Roman" w:cs="Times New Roman"/>
          <w:sz w:val="24"/>
          <w:szCs w:val="24"/>
        </w:rPr>
        <w:t>product</w:t>
      </w:r>
      <w:r w:rsidRPr="00AF455E">
        <w:rPr>
          <w:rFonts w:ascii="Times New Roman" w:eastAsia="Calibri" w:hAnsi="Times New Roman" w:cs="Times New Roman"/>
          <w:sz w:val="24"/>
          <w:szCs w:val="24"/>
        </w:rPr>
        <w:t xml:space="preserve">. The notification gives details of the test applied to determine the product’s underperformance, </w:t>
      </w:r>
      <w:proofErr w:type="gramStart"/>
      <w:r w:rsidRPr="00AF455E">
        <w:rPr>
          <w:rFonts w:ascii="Times New Roman" w:eastAsia="Calibri" w:hAnsi="Times New Roman" w:cs="Times New Roman"/>
          <w:sz w:val="24"/>
          <w:szCs w:val="24"/>
        </w:rPr>
        <w:t>and also</w:t>
      </w:r>
      <w:proofErr w:type="gramEnd"/>
      <w:r w:rsidRPr="00AF455E">
        <w:rPr>
          <w:rFonts w:ascii="Times New Roman" w:eastAsia="Calibri" w:hAnsi="Times New Roman" w:cs="Times New Roman"/>
          <w:sz w:val="24"/>
          <w:szCs w:val="24"/>
        </w:rPr>
        <w:t xml:space="preserve"> provides beneficiaries with information on how to change to a superannuation product that may perform better than the current product they hold. </w:t>
      </w:r>
      <w:r w:rsidR="00900055" w:rsidRPr="00AF455E">
        <w:rPr>
          <w:rFonts w:ascii="Times New Roman" w:eastAsia="Calibri" w:hAnsi="Times New Roman" w:cs="Times New Roman"/>
          <w:sz w:val="24"/>
          <w:szCs w:val="24"/>
        </w:rPr>
        <w:t xml:space="preserve">The notification also directs beneficiaries to the </w:t>
      </w:r>
      <w:proofErr w:type="spellStart"/>
      <w:r w:rsidR="00900055" w:rsidRPr="00AF455E">
        <w:rPr>
          <w:rFonts w:ascii="Times New Roman" w:eastAsia="Calibri" w:hAnsi="Times New Roman" w:cs="Times New Roman"/>
          <w:sz w:val="24"/>
          <w:szCs w:val="24"/>
        </w:rPr>
        <w:t>YourSuper</w:t>
      </w:r>
      <w:proofErr w:type="spellEnd"/>
      <w:r w:rsidR="00900055" w:rsidRPr="00AF455E">
        <w:rPr>
          <w:rFonts w:ascii="Times New Roman" w:eastAsia="Calibri" w:hAnsi="Times New Roman" w:cs="Times New Roman"/>
          <w:sz w:val="24"/>
          <w:szCs w:val="24"/>
        </w:rPr>
        <w:t xml:space="preserve"> comparison tool for information on products that have met the requirements of the performance test. </w:t>
      </w:r>
    </w:p>
    <w:p w14:paraId="2FF5B3E5" w14:textId="17170705"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notification </w:t>
      </w:r>
      <w:r w:rsidR="00757B4C" w:rsidRPr="00AF455E">
        <w:rPr>
          <w:rFonts w:ascii="Times New Roman" w:eastAsia="Calibri" w:hAnsi="Times New Roman" w:cs="Times New Roman"/>
          <w:sz w:val="24"/>
          <w:szCs w:val="24"/>
        </w:rPr>
        <w:t xml:space="preserve">includes standard words covering </w:t>
      </w:r>
      <w:r w:rsidRPr="00AF455E">
        <w:rPr>
          <w:rFonts w:ascii="Times New Roman" w:eastAsia="Calibri" w:hAnsi="Times New Roman" w:cs="Times New Roman"/>
          <w:sz w:val="24"/>
          <w:szCs w:val="24"/>
        </w:rPr>
        <w:t>question</w:t>
      </w:r>
      <w:r w:rsidR="00757B4C" w:rsidRPr="00AF455E">
        <w:rPr>
          <w:rFonts w:ascii="Times New Roman" w:eastAsia="Calibri" w:hAnsi="Times New Roman" w:cs="Times New Roman"/>
          <w:sz w:val="24"/>
          <w:szCs w:val="24"/>
        </w:rPr>
        <w:t>s</w:t>
      </w:r>
      <w:r w:rsidRPr="00AF455E">
        <w:rPr>
          <w:rFonts w:ascii="Times New Roman" w:eastAsia="Calibri" w:hAnsi="Times New Roman" w:cs="Times New Roman"/>
          <w:sz w:val="24"/>
          <w:szCs w:val="24"/>
        </w:rPr>
        <w:t xml:space="preserve"> and answer</w:t>
      </w:r>
      <w:r w:rsidR="00757B4C" w:rsidRPr="00AF455E">
        <w:rPr>
          <w:rFonts w:ascii="Times New Roman" w:eastAsia="Calibri" w:hAnsi="Times New Roman" w:cs="Times New Roman"/>
          <w:sz w:val="24"/>
          <w:szCs w:val="24"/>
        </w:rPr>
        <w:t>s</w:t>
      </w:r>
      <w:r w:rsidRPr="00AF455E">
        <w:rPr>
          <w:rFonts w:ascii="Times New Roman" w:eastAsia="Calibri" w:hAnsi="Times New Roman" w:cs="Times New Roman"/>
          <w:sz w:val="24"/>
          <w:szCs w:val="24"/>
        </w:rPr>
        <w:t xml:space="preserve"> on why the member has received th</w:t>
      </w:r>
      <w:r w:rsidR="00C15BE5" w:rsidRPr="00AF455E">
        <w:rPr>
          <w:rFonts w:ascii="Times New Roman" w:eastAsia="Calibri" w:hAnsi="Times New Roman" w:cs="Times New Roman"/>
          <w:sz w:val="24"/>
          <w:szCs w:val="24"/>
        </w:rPr>
        <w:t>e</w:t>
      </w:r>
      <w:r w:rsidRPr="00AF455E">
        <w:rPr>
          <w:rFonts w:ascii="Times New Roman" w:eastAsia="Calibri" w:hAnsi="Times New Roman" w:cs="Times New Roman"/>
          <w:sz w:val="24"/>
          <w:szCs w:val="24"/>
        </w:rPr>
        <w:t xml:space="preserve"> notification, and how poor performance of a superannuation product can negatively affect their retirement income. </w:t>
      </w:r>
    </w:p>
    <w:p w14:paraId="129271E3" w14:textId="77777777"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p>
    <w:p w14:paraId="07311DE5" w14:textId="7E0071F1" w:rsidR="00F11482" w:rsidRPr="00AF455E" w:rsidRDefault="006E371C" w:rsidP="00F11482">
      <w:pPr>
        <w:widowControl w:val="0"/>
        <w:adjustRightInd w:val="0"/>
        <w:jc w:val="both"/>
        <w:textAlignment w:val="baseline"/>
        <w:rPr>
          <w:rFonts w:ascii="Times New Roman" w:eastAsia="Calibri" w:hAnsi="Times New Roman" w:cs="Times New Roman"/>
          <w:b/>
          <w:sz w:val="24"/>
          <w:szCs w:val="24"/>
        </w:rPr>
      </w:pPr>
      <w:r w:rsidRPr="00AF455E">
        <w:rPr>
          <w:rFonts w:ascii="Times New Roman" w:eastAsia="Calibri" w:hAnsi="Times New Roman" w:cs="Times New Roman"/>
          <w:b/>
          <w:sz w:val="24"/>
          <w:szCs w:val="24"/>
        </w:rPr>
        <w:t xml:space="preserve">Item </w:t>
      </w:r>
      <w:r w:rsidR="00B57F23" w:rsidRPr="00AF455E">
        <w:rPr>
          <w:rFonts w:ascii="Times New Roman" w:eastAsia="Calibri" w:hAnsi="Times New Roman" w:cs="Times New Roman"/>
          <w:b/>
          <w:sz w:val="24"/>
          <w:szCs w:val="24"/>
        </w:rPr>
        <w:t>2</w:t>
      </w:r>
      <w:r w:rsidRPr="00AF455E">
        <w:rPr>
          <w:rFonts w:ascii="Times New Roman" w:eastAsia="Calibri" w:hAnsi="Times New Roman" w:cs="Times New Roman"/>
          <w:b/>
          <w:sz w:val="24"/>
          <w:szCs w:val="24"/>
        </w:rPr>
        <w:t xml:space="preserve"> (proposed paragraph 2.38(</w:t>
      </w:r>
      <w:proofErr w:type="gramStart"/>
      <w:r w:rsidRPr="00AF455E">
        <w:rPr>
          <w:rFonts w:ascii="Times New Roman" w:eastAsia="Calibri" w:hAnsi="Times New Roman" w:cs="Times New Roman"/>
          <w:b/>
          <w:sz w:val="24"/>
          <w:szCs w:val="24"/>
        </w:rPr>
        <w:t>2)(</w:t>
      </w:r>
      <w:proofErr w:type="spellStart"/>
      <w:proofErr w:type="gramEnd"/>
      <w:r w:rsidRPr="00AF455E">
        <w:rPr>
          <w:rFonts w:ascii="Times New Roman" w:eastAsia="Calibri" w:hAnsi="Times New Roman" w:cs="Times New Roman"/>
          <w:b/>
          <w:sz w:val="24"/>
          <w:szCs w:val="24"/>
        </w:rPr>
        <w:t>ea</w:t>
      </w:r>
      <w:proofErr w:type="spellEnd"/>
      <w:r w:rsidRPr="00AF455E">
        <w:rPr>
          <w:rFonts w:ascii="Times New Roman" w:eastAsia="Calibri" w:hAnsi="Times New Roman" w:cs="Times New Roman"/>
          <w:b/>
          <w:sz w:val="24"/>
          <w:szCs w:val="24"/>
        </w:rPr>
        <w:t>)</w:t>
      </w:r>
      <w:r w:rsidR="00267DF8" w:rsidRPr="00AF455E">
        <w:rPr>
          <w:rFonts w:ascii="Times New Roman" w:eastAsia="Calibri" w:hAnsi="Times New Roman" w:cs="Times New Roman"/>
          <w:b/>
          <w:sz w:val="24"/>
          <w:szCs w:val="24"/>
        </w:rPr>
        <w:t xml:space="preserve"> of the SIS Regs</w:t>
      </w:r>
      <w:r w:rsidR="00F34A88" w:rsidRPr="00AF455E">
        <w:rPr>
          <w:rFonts w:ascii="Times New Roman" w:eastAsia="Calibri" w:hAnsi="Times New Roman" w:cs="Times New Roman"/>
          <w:b/>
          <w:sz w:val="24"/>
          <w:szCs w:val="24"/>
        </w:rPr>
        <w:t>)</w:t>
      </w:r>
      <w:r w:rsidR="00F11482" w:rsidRPr="00AF455E">
        <w:rPr>
          <w:rFonts w:ascii="Times New Roman" w:eastAsia="Calibri" w:hAnsi="Times New Roman" w:cs="Times New Roman"/>
          <w:b/>
          <w:sz w:val="24"/>
          <w:szCs w:val="24"/>
        </w:rPr>
        <w:t xml:space="preserve"> - Requirement for RSE licensee to make information about fail test result publicly available</w:t>
      </w:r>
    </w:p>
    <w:p w14:paraId="02549E15" w14:textId="61E4C856" w:rsidR="00F11482" w:rsidRPr="00AF455E" w:rsidRDefault="00F11482" w:rsidP="00F11482">
      <w:pPr>
        <w:widowControl w:val="0"/>
        <w:adjustRightInd w:val="0"/>
        <w:jc w:val="both"/>
        <w:textAlignment w:val="baseline"/>
        <w:rPr>
          <w:rFonts w:ascii="Times New Roman" w:eastAsia="Calibri" w:hAnsi="Times New Roman" w:cs="Times New Roman"/>
          <w:bCs/>
          <w:sz w:val="24"/>
          <w:szCs w:val="24"/>
        </w:rPr>
      </w:pPr>
      <w:r w:rsidRPr="00AF455E">
        <w:rPr>
          <w:rFonts w:ascii="Times New Roman" w:eastAsia="Calibri" w:hAnsi="Times New Roman" w:cs="Times New Roman"/>
          <w:sz w:val="24"/>
          <w:szCs w:val="24"/>
        </w:rPr>
        <w:t xml:space="preserve">Paragraph 29QB(1)(b) of the SIS Act allows regulations to prescribe information or documents that a RSE licensee must ensure is made publicly available and kept up to date on the </w:t>
      </w:r>
      <w:r w:rsidR="000B1C88" w:rsidRPr="00AF455E">
        <w:rPr>
          <w:rFonts w:ascii="Times New Roman" w:eastAsia="Calibri" w:hAnsi="Times New Roman" w:cs="Times New Roman"/>
          <w:sz w:val="24"/>
          <w:szCs w:val="24"/>
        </w:rPr>
        <w:t xml:space="preserve">RSE’s </w:t>
      </w:r>
      <w:r w:rsidRPr="00AF455E">
        <w:rPr>
          <w:rFonts w:ascii="Times New Roman" w:eastAsia="Calibri" w:hAnsi="Times New Roman" w:cs="Times New Roman"/>
          <w:sz w:val="24"/>
          <w:szCs w:val="24"/>
        </w:rPr>
        <w:t xml:space="preserve">website. This regulation making power supports the existing list of information and documents prescribed in </w:t>
      </w:r>
      <w:proofErr w:type="spellStart"/>
      <w:r w:rsidRPr="00AF455E">
        <w:rPr>
          <w:rFonts w:ascii="Times New Roman" w:eastAsia="Calibri" w:hAnsi="Times New Roman" w:cs="Times New Roman"/>
          <w:bCs/>
          <w:sz w:val="24"/>
          <w:szCs w:val="24"/>
        </w:rPr>
        <w:t>subregulation</w:t>
      </w:r>
      <w:proofErr w:type="spellEnd"/>
      <w:r w:rsidRPr="00AF455E">
        <w:rPr>
          <w:rFonts w:ascii="Times New Roman" w:eastAsia="Calibri" w:hAnsi="Times New Roman" w:cs="Times New Roman"/>
          <w:bCs/>
          <w:sz w:val="24"/>
          <w:szCs w:val="24"/>
        </w:rPr>
        <w:t xml:space="preserve"> 2.38(2) of </w:t>
      </w:r>
      <w:r w:rsidR="00894C19" w:rsidRPr="00AF455E">
        <w:rPr>
          <w:rFonts w:ascii="Times New Roman" w:eastAsia="Calibri" w:hAnsi="Times New Roman" w:cs="Times New Roman"/>
          <w:bCs/>
          <w:sz w:val="24"/>
          <w:szCs w:val="24"/>
        </w:rPr>
        <w:t xml:space="preserve">the </w:t>
      </w:r>
      <w:r w:rsidRPr="00AF455E">
        <w:rPr>
          <w:rFonts w:ascii="Times New Roman" w:eastAsia="Calibri" w:hAnsi="Times New Roman" w:cs="Times New Roman"/>
          <w:bCs/>
          <w:sz w:val="24"/>
          <w:szCs w:val="24"/>
        </w:rPr>
        <w:t>SIS Regs.</w:t>
      </w:r>
    </w:p>
    <w:p w14:paraId="0958B35B" w14:textId="7755FA55" w:rsidR="000B1C88" w:rsidRPr="00AF455E" w:rsidRDefault="000B1C88" w:rsidP="00F11482">
      <w:pPr>
        <w:widowControl w:val="0"/>
        <w:adjustRightInd w:val="0"/>
        <w:jc w:val="both"/>
        <w:textAlignment w:val="baseline"/>
        <w:rPr>
          <w:rFonts w:ascii="Times New Roman" w:eastAsia="Calibri" w:hAnsi="Times New Roman" w:cs="Times New Roman"/>
          <w:bCs/>
          <w:sz w:val="24"/>
          <w:szCs w:val="24"/>
        </w:rPr>
      </w:pPr>
      <w:r w:rsidRPr="00AF455E">
        <w:rPr>
          <w:rFonts w:ascii="Times New Roman" w:eastAsia="Calibri" w:hAnsi="Times New Roman" w:cs="Times New Roman"/>
          <w:bCs/>
          <w:sz w:val="24"/>
          <w:szCs w:val="24"/>
        </w:rPr>
        <w:t xml:space="preserve">Where a product does not pass the performance test </w:t>
      </w:r>
      <w:r w:rsidR="002F541A" w:rsidRPr="00AF455E">
        <w:rPr>
          <w:rFonts w:ascii="Times New Roman" w:eastAsia="Calibri" w:hAnsi="Times New Roman" w:cs="Times New Roman"/>
          <w:bCs/>
          <w:sz w:val="24"/>
          <w:szCs w:val="24"/>
        </w:rPr>
        <w:t xml:space="preserve">for the first time, the RSE licensee must ensure that </w:t>
      </w:r>
      <w:r w:rsidR="0001214B" w:rsidRPr="00AF455E">
        <w:rPr>
          <w:rFonts w:ascii="Times New Roman" w:eastAsia="Calibri" w:hAnsi="Times New Roman" w:cs="Times New Roman"/>
          <w:bCs/>
          <w:sz w:val="24"/>
          <w:szCs w:val="24"/>
        </w:rPr>
        <w:t>a description of the circumstances</w:t>
      </w:r>
      <w:r w:rsidR="002F541A" w:rsidRPr="00AF455E">
        <w:rPr>
          <w:rFonts w:ascii="Times New Roman" w:eastAsia="Calibri" w:hAnsi="Times New Roman" w:cs="Times New Roman"/>
          <w:bCs/>
          <w:sz w:val="24"/>
          <w:szCs w:val="24"/>
        </w:rPr>
        <w:t xml:space="preserve"> is made available on the RSE’s publicly available website. The RSE </w:t>
      </w:r>
      <w:r w:rsidR="00642DDD" w:rsidRPr="00AF455E">
        <w:rPr>
          <w:rFonts w:ascii="Times New Roman" w:eastAsia="Calibri" w:hAnsi="Times New Roman" w:cs="Times New Roman"/>
          <w:bCs/>
          <w:sz w:val="24"/>
          <w:szCs w:val="24"/>
        </w:rPr>
        <w:t xml:space="preserve">licensee </w:t>
      </w:r>
      <w:r w:rsidR="002F541A" w:rsidRPr="00AF455E">
        <w:rPr>
          <w:rFonts w:ascii="Times New Roman" w:eastAsia="Calibri" w:hAnsi="Times New Roman" w:cs="Times New Roman"/>
          <w:bCs/>
          <w:sz w:val="24"/>
          <w:szCs w:val="24"/>
        </w:rPr>
        <w:t>must also take this step where the product has failed the performance test previously, but it is not the product’s second consecutive failure, in which case the product is close</w:t>
      </w:r>
      <w:r w:rsidR="00505935" w:rsidRPr="00AF455E">
        <w:rPr>
          <w:rFonts w:ascii="Times New Roman" w:eastAsia="Calibri" w:hAnsi="Times New Roman" w:cs="Times New Roman"/>
          <w:bCs/>
          <w:sz w:val="24"/>
          <w:szCs w:val="24"/>
        </w:rPr>
        <w:t>d</w:t>
      </w:r>
      <w:r w:rsidR="002F541A" w:rsidRPr="00AF455E">
        <w:rPr>
          <w:rFonts w:ascii="Times New Roman" w:eastAsia="Calibri" w:hAnsi="Times New Roman" w:cs="Times New Roman"/>
          <w:bCs/>
          <w:sz w:val="24"/>
          <w:szCs w:val="24"/>
        </w:rPr>
        <w:t xml:space="preserve"> to new members. </w:t>
      </w:r>
    </w:p>
    <w:p w14:paraId="76A09D31" w14:textId="22747542" w:rsidR="00F11482" w:rsidRPr="00AF455E" w:rsidRDefault="00F11482" w:rsidP="00F11482">
      <w:pPr>
        <w:widowControl w:val="0"/>
        <w:adjustRightInd w:val="0"/>
        <w:jc w:val="both"/>
        <w:textAlignment w:val="baseline"/>
        <w:rPr>
          <w:rFonts w:ascii="Times New Roman" w:eastAsia="Calibri" w:hAnsi="Times New Roman" w:cs="Times New Roman"/>
          <w:bCs/>
          <w:sz w:val="24"/>
          <w:szCs w:val="24"/>
        </w:rPr>
      </w:pPr>
      <w:r w:rsidRPr="00AF455E">
        <w:rPr>
          <w:rFonts w:ascii="Times New Roman" w:eastAsia="Calibri" w:hAnsi="Times New Roman" w:cs="Times New Roman"/>
          <w:bCs/>
          <w:sz w:val="24"/>
          <w:szCs w:val="24"/>
        </w:rPr>
        <w:t>The purpose of this</w:t>
      </w:r>
      <w:r w:rsidR="002F541A" w:rsidRPr="00AF455E">
        <w:rPr>
          <w:rFonts w:ascii="Times New Roman" w:eastAsia="Calibri" w:hAnsi="Times New Roman" w:cs="Times New Roman"/>
          <w:bCs/>
          <w:sz w:val="24"/>
          <w:szCs w:val="24"/>
        </w:rPr>
        <w:t xml:space="preserve"> requirement</w:t>
      </w:r>
      <w:r w:rsidRPr="00AF455E">
        <w:rPr>
          <w:rFonts w:ascii="Times New Roman" w:eastAsia="Calibri" w:hAnsi="Times New Roman" w:cs="Times New Roman"/>
          <w:bCs/>
          <w:sz w:val="24"/>
          <w:szCs w:val="24"/>
        </w:rPr>
        <w:t xml:space="preserve"> is to warn prospective beneficiaries when a product (which remains open) has been assessed as underperforming in the latest financial year. There is no need for </w:t>
      </w:r>
      <w:r w:rsidR="002F541A" w:rsidRPr="00AF455E">
        <w:rPr>
          <w:rFonts w:ascii="Times New Roman" w:eastAsia="Calibri" w:hAnsi="Times New Roman" w:cs="Times New Roman"/>
          <w:bCs/>
          <w:sz w:val="24"/>
          <w:szCs w:val="24"/>
        </w:rPr>
        <w:t xml:space="preserve">this </w:t>
      </w:r>
      <w:r w:rsidRPr="00AF455E">
        <w:rPr>
          <w:rFonts w:ascii="Times New Roman" w:eastAsia="Calibri" w:hAnsi="Times New Roman" w:cs="Times New Roman"/>
          <w:bCs/>
          <w:sz w:val="24"/>
          <w:szCs w:val="24"/>
        </w:rPr>
        <w:t>information</w:t>
      </w:r>
      <w:r w:rsidR="002F541A" w:rsidRPr="00AF455E">
        <w:rPr>
          <w:rFonts w:ascii="Times New Roman" w:eastAsia="Calibri" w:hAnsi="Times New Roman" w:cs="Times New Roman"/>
          <w:bCs/>
          <w:sz w:val="24"/>
          <w:szCs w:val="24"/>
        </w:rPr>
        <w:t xml:space="preserve"> to be</w:t>
      </w:r>
      <w:r w:rsidRPr="00AF455E">
        <w:rPr>
          <w:rFonts w:ascii="Times New Roman" w:eastAsia="Calibri" w:hAnsi="Times New Roman" w:cs="Times New Roman"/>
          <w:bCs/>
          <w:sz w:val="24"/>
          <w:szCs w:val="24"/>
        </w:rPr>
        <w:t xml:space="preserve"> published on the website if the product is closed to new beneficiaries (as a </w:t>
      </w:r>
      <w:proofErr w:type="gramStart"/>
      <w:r w:rsidRPr="00AF455E">
        <w:rPr>
          <w:rFonts w:ascii="Times New Roman" w:eastAsia="Calibri" w:hAnsi="Times New Roman" w:cs="Times New Roman"/>
          <w:bCs/>
          <w:sz w:val="24"/>
          <w:szCs w:val="24"/>
        </w:rPr>
        <w:t>consequences</w:t>
      </w:r>
      <w:proofErr w:type="gramEnd"/>
      <w:r w:rsidRPr="00AF455E">
        <w:rPr>
          <w:rFonts w:ascii="Times New Roman" w:eastAsia="Calibri" w:hAnsi="Times New Roman" w:cs="Times New Roman"/>
          <w:bCs/>
          <w:sz w:val="24"/>
          <w:szCs w:val="24"/>
        </w:rPr>
        <w:t xml:space="preserve"> of two consecutive fails) as there cannot be prospective beneficiaries to warn because the product is closed to new members. </w:t>
      </w:r>
    </w:p>
    <w:p w14:paraId="4E464C8E" w14:textId="77777777"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p>
    <w:p w14:paraId="79F3B867" w14:textId="72201FF6"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b/>
          <w:sz w:val="24"/>
          <w:szCs w:val="24"/>
        </w:rPr>
        <w:t xml:space="preserve">Item </w:t>
      </w:r>
      <w:r w:rsidR="006331C2" w:rsidRPr="00AF455E">
        <w:rPr>
          <w:rFonts w:ascii="Times New Roman" w:eastAsia="Calibri" w:hAnsi="Times New Roman" w:cs="Times New Roman"/>
          <w:b/>
          <w:sz w:val="24"/>
          <w:szCs w:val="24"/>
        </w:rPr>
        <w:t>4</w:t>
      </w:r>
      <w:r w:rsidRPr="00AF455E">
        <w:rPr>
          <w:rFonts w:ascii="Times New Roman" w:eastAsia="Calibri" w:hAnsi="Times New Roman" w:cs="Times New Roman"/>
          <w:b/>
          <w:sz w:val="24"/>
          <w:szCs w:val="24"/>
        </w:rPr>
        <w:t xml:space="preserve"> </w:t>
      </w:r>
      <w:r w:rsidR="00735BCF" w:rsidRPr="00AF455E">
        <w:rPr>
          <w:rFonts w:ascii="Times New Roman" w:eastAsia="Calibri" w:hAnsi="Times New Roman" w:cs="Times New Roman"/>
          <w:b/>
          <w:sz w:val="24"/>
          <w:szCs w:val="24"/>
        </w:rPr>
        <w:t xml:space="preserve">(proposed </w:t>
      </w:r>
      <w:r w:rsidR="00582CA5" w:rsidRPr="00AF455E">
        <w:rPr>
          <w:rFonts w:ascii="Times New Roman" w:eastAsia="Calibri" w:hAnsi="Times New Roman" w:cs="Times New Roman"/>
          <w:b/>
          <w:sz w:val="24"/>
          <w:szCs w:val="24"/>
        </w:rPr>
        <w:t>regulation</w:t>
      </w:r>
      <w:r w:rsidR="00735BCF" w:rsidRPr="00AF455E">
        <w:rPr>
          <w:rFonts w:ascii="Times New Roman" w:eastAsia="Calibri" w:hAnsi="Times New Roman" w:cs="Times New Roman"/>
          <w:b/>
          <w:sz w:val="24"/>
          <w:szCs w:val="24"/>
        </w:rPr>
        <w:t xml:space="preserve"> </w:t>
      </w:r>
      <w:r w:rsidR="004B5BA8" w:rsidRPr="00AF455E">
        <w:rPr>
          <w:rFonts w:ascii="Times New Roman" w:eastAsia="Calibri" w:hAnsi="Times New Roman" w:cs="Times New Roman"/>
          <w:b/>
          <w:sz w:val="24"/>
          <w:szCs w:val="24"/>
        </w:rPr>
        <w:t xml:space="preserve">9AB.20 </w:t>
      </w:r>
      <w:r w:rsidR="00735BCF" w:rsidRPr="00AF455E">
        <w:rPr>
          <w:rFonts w:ascii="Times New Roman" w:eastAsia="Calibri" w:hAnsi="Times New Roman" w:cs="Times New Roman"/>
          <w:b/>
          <w:sz w:val="24"/>
          <w:szCs w:val="24"/>
        </w:rPr>
        <w:t xml:space="preserve">of the SIS Regs) </w:t>
      </w:r>
      <w:r w:rsidRPr="00AF455E">
        <w:rPr>
          <w:rFonts w:ascii="Times New Roman" w:eastAsia="Calibri" w:hAnsi="Times New Roman" w:cs="Times New Roman"/>
          <w:b/>
          <w:sz w:val="24"/>
          <w:szCs w:val="24"/>
        </w:rPr>
        <w:t>- APRA determination to lift prohibition</w:t>
      </w:r>
      <w:r w:rsidRPr="00AF455E">
        <w:rPr>
          <w:rFonts w:ascii="Times New Roman" w:eastAsia="Calibri" w:hAnsi="Times New Roman" w:cs="Times New Roman"/>
          <w:sz w:val="24"/>
          <w:szCs w:val="24"/>
        </w:rPr>
        <w:t xml:space="preserve"> </w:t>
      </w:r>
    </w:p>
    <w:p w14:paraId="15F638F0" w14:textId="45F20C36" w:rsidR="00F11482" w:rsidRPr="00AF455E" w:rsidRDefault="00B0404C"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S</w:t>
      </w:r>
      <w:r w:rsidR="00F11482" w:rsidRPr="00AF455E">
        <w:rPr>
          <w:rFonts w:ascii="Times New Roman" w:eastAsia="Calibri" w:hAnsi="Times New Roman" w:cs="Times New Roman"/>
          <w:sz w:val="24"/>
          <w:szCs w:val="24"/>
        </w:rPr>
        <w:t xml:space="preserve">ection 60F of the SIS Act allows regulations to specify the requirements that a product must meet for APRA to be allowed to </w:t>
      </w:r>
      <w:proofErr w:type="gramStart"/>
      <w:r w:rsidR="00F11482" w:rsidRPr="00AF455E">
        <w:rPr>
          <w:rFonts w:ascii="Times New Roman" w:eastAsia="Calibri" w:hAnsi="Times New Roman" w:cs="Times New Roman"/>
          <w:sz w:val="24"/>
          <w:szCs w:val="24"/>
        </w:rPr>
        <w:t>make a determination</w:t>
      </w:r>
      <w:proofErr w:type="gramEnd"/>
      <w:r w:rsidR="00F11482" w:rsidRPr="00AF455E">
        <w:rPr>
          <w:rFonts w:ascii="Times New Roman" w:eastAsia="Calibri" w:hAnsi="Times New Roman" w:cs="Times New Roman"/>
          <w:sz w:val="24"/>
          <w:szCs w:val="24"/>
        </w:rPr>
        <w:t xml:space="preserve"> to lift the prohibition from accepting new beneficiaries into products. </w:t>
      </w:r>
    </w:p>
    <w:p w14:paraId="4308214D" w14:textId="20F10F27"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These amendments provide that </w:t>
      </w:r>
      <w:r w:rsidR="00551013" w:rsidRPr="00AF455E">
        <w:rPr>
          <w:rFonts w:ascii="Times New Roman" w:eastAsia="Calibri" w:hAnsi="Times New Roman" w:cs="Times New Roman"/>
          <w:sz w:val="24"/>
          <w:szCs w:val="24"/>
        </w:rPr>
        <w:t xml:space="preserve">APRA may </w:t>
      </w:r>
      <w:proofErr w:type="gramStart"/>
      <w:r w:rsidR="00551013" w:rsidRPr="00AF455E">
        <w:rPr>
          <w:rFonts w:ascii="Times New Roman" w:eastAsia="Calibri" w:hAnsi="Times New Roman" w:cs="Times New Roman"/>
          <w:sz w:val="24"/>
          <w:szCs w:val="24"/>
        </w:rPr>
        <w:t>make a determination</w:t>
      </w:r>
      <w:proofErr w:type="gramEnd"/>
      <w:r w:rsidR="00551013" w:rsidRPr="00AF455E">
        <w:rPr>
          <w:rFonts w:ascii="Times New Roman" w:eastAsia="Calibri" w:hAnsi="Times New Roman" w:cs="Times New Roman"/>
          <w:sz w:val="24"/>
          <w:szCs w:val="24"/>
        </w:rPr>
        <w:t xml:space="preserve"> for </w:t>
      </w:r>
      <w:r w:rsidRPr="00AF455E">
        <w:rPr>
          <w:rFonts w:ascii="Times New Roman" w:eastAsia="Calibri" w:hAnsi="Times New Roman" w:cs="Times New Roman"/>
          <w:sz w:val="24"/>
          <w:szCs w:val="24"/>
        </w:rPr>
        <w:t xml:space="preserve">a product </w:t>
      </w:r>
      <w:r w:rsidR="00551013" w:rsidRPr="00AF455E">
        <w:rPr>
          <w:rFonts w:ascii="Times New Roman" w:eastAsia="Calibri" w:hAnsi="Times New Roman" w:cs="Times New Roman"/>
          <w:sz w:val="24"/>
          <w:szCs w:val="24"/>
        </w:rPr>
        <w:t>to</w:t>
      </w:r>
      <w:r w:rsidRPr="00AF455E">
        <w:rPr>
          <w:rFonts w:ascii="Times New Roman" w:eastAsia="Calibri" w:hAnsi="Times New Roman" w:cs="Times New Roman"/>
          <w:sz w:val="24"/>
          <w:szCs w:val="24"/>
        </w:rPr>
        <w:t xml:space="preserve"> </w:t>
      </w:r>
      <w:r w:rsidRPr="00AF455E">
        <w:rPr>
          <w:rFonts w:ascii="Times New Roman" w:eastAsia="Calibri" w:hAnsi="Times New Roman" w:cs="Times New Roman"/>
          <w:sz w:val="24"/>
          <w:szCs w:val="24"/>
        </w:rPr>
        <w:lastRenderedPageBreak/>
        <w:t xml:space="preserve">reopen to accept new beneficiaries, if </w:t>
      </w:r>
      <w:r w:rsidR="0087209E" w:rsidRPr="00AF455E">
        <w:rPr>
          <w:rFonts w:ascii="Times New Roman" w:eastAsia="Calibri" w:hAnsi="Times New Roman" w:cs="Times New Roman"/>
          <w:sz w:val="24"/>
          <w:szCs w:val="24"/>
        </w:rPr>
        <w:t xml:space="preserve">the product </w:t>
      </w:r>
      <w:r w:rsidRPr="00AF455E">
        <w:rPr>
          <w:rFonts w:ascii="Times New Roman" w:eastAsia="Calibri" w:hAnsi="Times New Roman" w:cs="Times New Roman"/>
          <w:sz w:val="24"/>
          <w:szCs w:val="24"/>
        </w:rPr>
        <w:t xml:space="preserve">passes </w:t>
      </w:r>
      <w:r w:rsidR="005F2DBA" w:rsidRPr="00AF455E">
        <w:rPr>
          <w:rFonts w:ascii="Times New Roman" w:eastAsia="Calibri" w:hAnsi="Times New Roman" w:cs="Times New Roman"/>
          <w:sz w:val="24"/>
          <w:szCs w:val="24"/>
        </w:rPr>
        <w:t>the</w:t>
      </w:r>
      <w:r w:rsidRPr="00AF455E">
        <w:rPr>
          <w:rFonts w:ascii="Times New Roman" w:eastAsia="Calibri" w:hAnsi="Times New Roman" w:cs="Times New Roman"/>
          <w:sz w:val="24"/>
          <w:szCs w:val="24"/>
        </w:rPr>
        <w:t xml:space="preserve"> </w:t>
      </w:r>
      <w:r w:rsidR="00057399" w:rsidRPr="00AF455E">
        <w:rPr>
          <w:rFonts w:ascii="Times New Roman" w:eastAsia="Calibri" w:hAnsi="Times New Roman" w:cs="Times New Roman"/>
          <w:sz w:val="24"/>
          <w:szCs w:val="24"/>
        </w:rPr>
        <w:t>annual performance test</w:t>
      </w:r>
      <w:r w:rsidR="004F65DF" w:rsidRPr="00AF455E">
        <w:rPr>
          <w:rFonts w:ascii="Times New Roman" w:eastAsia="Calibri" w:hAnsi="Times New Roman" w:cs="Times New Roman"/>
          <w:sz w:val="24"/>
          <w:szCs w:val="24"/>
        </w:rPr>
        <w:t xml:space="preserve"> in a subsequent financial year</w:t>
      </w:r>
      <w:r w:rsidRPr="00AF455E">
        <w:rPr>
          <w:rFonts w:ascii="Times New Roman" w:eastAsia="Calibri" w:hAnsi="Times New Roman" w:cs="Times New Roman"/>
          <w:sz w:val="24"/>
          <w:szCs w:val="24"/>
        </w:rPr>
        <w:t>.</w:t>
      </w:r>
      <w:r w:rsidR="00152398" w:rsidRPr="00AF455E">
        <w:rPr>
          <w:rFonts w:ascii="Times New Roman" w:eastAsia="Calibri" w:hAnsi="Times New Roman" w:cs="Times New Roman"/>
          <w:sz w:val="24"/>
          <w:szCs w:val="24"/>
        </w:rPr>
        <w:t xml:space="preserve"> The requirements for the annual performance test are described above.</w:t>
      </w:r>
    </w:p>
    <w:p w14:paraId="7912EE1D" w14:textId="77777777" w:rsidR="00F10D33" w:rsidRPr="00AF455E" w:rsidRDefault="00F10D33" w:rsidP="00F11482">
      <w:pPr>
        <w:widowControl w:val="0"/>
        <w:adjustRightInd w:val="0"/>
        <w:jc w:val="both"/>
        <w:textAlignment w:val="baseline"/>
        <w:rPr>
          <w:rFonts w:ascii="Times New Roman" w:eastAsia="Calibri" w:hAnsi="Times New Roman" w:cs="Times New Roman"/>
          <w:b/>
          <w:sz w:val="24"/>
          <w:szCs w:val="24"/>
        </w:rPr>
      </w:pPr>
    </w:p>
    <w:p w14:paraId="29F27232" w14:textId="09540921" w:rsidR="00F11482" w:rsidRPr="00AF455E" w:rsidRDefault="00F11482" w:rsidP="00F11482">
      <w:pPr>
        <w:widowControl w:val="0"/>
        <w:adjustRightInd w:val="0"/>
        <w:jc w:val="both"/>
        <w:textAlignment w:val="baseline"/>
        <w:rPr>
          <w:rFonts w:ascii="Times New Roman" w:eastAsia="Calibri" w:hAnsi="Times New Roman" w:cs="Times New Roman"/>
          <w:b/>
          <w:sz w:val="24"/>
          <w:szCs w:val="24"/>
        </w:rPr>
      </w:pPr>
      <w:r w:rsidRPr="00AF455E">
        <w:rPr>
          <w:rFonts w:ascii="Times New Roman" w:eastAsia="Calibri" w:hAnsi="Times New Roman" w:cs="Times New Roman"/>
          <w:b/>
          <w:sz w:val="24"/>
          <w:szCs w:val="24"/>
        </w:rPr>
        <w:t xml:space="preserve">Item </w:t>
      </w:r>
      <w:r w:rsidR="006331C2" w:rsidRPr="00AF455E">
        <w:rPr>
          <w:rFonts w:ascii="Times New Roman" w:eastAsia="Calibri" w:hAnsi="Times New Roman" w:cs="Times New Roman"/>
          <w:b/>
          <w:sz w:val="24"/>
          <w:szCs w:val="24"/>
        </w:rPr>
        <w:t>4</w:t>
      </w:r>
      <w:r w:rsidRPr="00AF455E">
        <w:rPr>
          <w:rFonts w:ascii="Times New Roman" w:eastAsia="Calibri" w:hAnsi="Times New Roman" w:cs="Times New Roman"/>
          <w:b/>
          <w:sz w:val="24"/>
          <w:szCs w:val="24"/>
        </w:rPr>
        <w:t xml:space="preserve"> </w:t>
      </w:r>
      <w:r w:rsidR="000525F8" w:rsidRPr="00AF455E">
        <w:rPr>
          <w:rFonts w:ascii="Times New Roman" w:eastAsia="Calibri" w:hAnsi="Times New Roman" w:cs="Times New Roman"/>
          <w:b/>
          <w:sz w:val="24"/>
          <w:szCs w:val="24"/>
        </w:rPr>
        <w:t xml:space="preserve">(proposed </w:t>
      </w:r>
      <w:r w:rsidR="00861E90" w:rsidRPr="00AF455E">
        <w:rPr>
          <w:rFonts w:ascii="Times New Roman" w:eastAsia="Calibri" w:hAnsi="Times New Roman" w:cs="Times New Roman"/>
          <w:b/>
          <w:sz w:val="24"/>
          <w:szCs w:val="24"/>
        </w:rPr>
        <w:t>regulation</w:t>
      </w:r>
      <w:r w:rsidR="000525F8" w:rsidRPr="00AF455E">
        <w:rPr>
          <w:rFonts w:ascii="Times New Roman" w:eastAsia="Calibri" w:hAnsi="Times New Roman" w:cs="Times New Roman"/>
          <w:b/>
          <w:sz w:val="24"/>
          <w:szCs w:val="24"/>
        </w:rPr>
        <w:t xml:space="preserve"> </w:t>
      </w:r>
      <w:r w:rsidR="004B5BA8" w:rsidRPr="00AF455E">
        <w:rPr>
          <w:rFonts w:ascii="Times New Roman" w:eastAsia="Calibri" w:hAnsi="Times New Roman" w:cs="Times New Roman"/>
          <w:b/>
          <w:sz w:val="24"/>
          <w:szCs w:val="24"/>
        </w:rPr>
        <w:t>9AB.</w:t>
      </w:r>
      <w:r w:rsidR="00471468" w:rsidRPr="00AF455E">
        <w:rPr>
          <w:rFonts w:ascii="Times New Roman" w:eastAsia="Calibri" w:hAnsi="Times New Roman" w:cs="Times New Roman"/>
          <w:b/>
          <w:sz w:val="24"/>
          <w:szCs w:val="24"/>
        </w:rPr>
        <w:t>7</w:t>
      </w:r>
      <w:r w:rsidR="000525F8" w:rsidRPr="00AF455E">
        <w:rPr>
          <w:rFonts w:ascii="Times New Roman" w:eastAsia="Calibri" w:hAnsi="Times New Roman" w:cs="Times New Roman"/>
          <w:b/>
          <w:sz w:val="24"/>
          <w:szCs w:val="24"/>
        </w:rPr>
        <w:t xml:space="preserve"> of the SIS Regs) </w:t>
      </w:r>
      <w:r w:rsidRPr="00AF455E">
        <w:rPr>
          <w:rFonts w:ascii="Times New Roman" w:eastAsia="Calibri" w:hAnsi="Times New Roman" w:cs="Times New Roman"/>
          <w:b/>
          <w:sz w:val="24"/>
          <w:szCs w:val="24"/>
        </w:rPr>
        <w:t>- Circumstances where products treated as combined</w:t>
      </w:r>
    </w:p>
    <w:p w14:paraId="0C244EB5" w14:textId="32507325" w:rsidR="00F11482" w:rsidRPr="00AF455E" w:rsidRDefault="00B0404C" w:rsidP="00026364">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S</w:t>
      </w:r>
      <w:r w:rsidR="00F11482" w:rsidRPr="00AF455E">
        <w:rPr>
          <w:rFonts w:ascii="Times New Roman" w:eastAsia="Calibri" w:hAnsi="Times New Roman" w:cs="Times New Roman"/>
          <w:sz w:val="24"/>
          <w:szCs w:val="24"/>
        </w:rPr>
        <w:t>ection 60G of the SIS Act allows regulations to specify one or more kind</w:t>
      </w:r>
      <w:r w:rsidR="00F86554" w:rsidRPr="00AF455E">
        <w:rPr>
          <w:rFonts w:ascii="Times New Roman" w:eastAsia="Calibri" w:hAnsi="Times New Roman" w:cs="Times New Roman"/>
          <w:sz w:val="24"/>
          <w:szCs w:val="24"/>
        </w:rPr>
        <w:t>s</w:t>
      </w:r>
      <w:r w:rsidR="00F11482" w:rsidRPr="00AF455E">
        <w:rPr>
          <w:rFonts w:ascii="Times New Roman" w:eastAsia="Calibri" w:hAnsi="Times New Roman" w:cs="Times New Roman"/>
          <w:sz w:val="24"/>
          <w:szCs w:val="24"/>
        </w:rPr>
        <w:t xml:space="preserve"> of circumstances that multiple Part 6A products may be treated as combined. Specified kinds of circumstances may allow for</w:t>
      </w:r>
      <w:r w:rsidR="002F7DF9" w:rsidRPr="00AF455E">
        <w:rPr>
          <w:rFonts w:ascii="Times New Roman" w:eastAsia="Calibri" w:hAnsi="Times New Roman" w:cs="Times New Roman"/>
          <w:sz w:val="24"/>
          <w:szCs w:val="24"/>
        </w:rPr>
        <w:t xml:space="preserve"> m</w:t>
      </w:r>
      <w:r w:rsidR="00F11482" w:rsidRPr="00AF455E">
        <w:rPr>
          <w:rFonts w:ascii="Times New Roman" w:eastAsia="Calibri" w:hAnsi="Times New Roman" w:cs="Times New Roman"/>
          <w:sz w:val="24"/>
          <w:szCs w:val="24"/>
        </w:rPr>
        <w:t xml:space="preserve">ultiple Part 6A products to be treated as </w:t>
      </w:r>
      <w:r w:rsidR="00CB0343" w:rsidRPr="00AF455E">
        <w:rPr>
          <w:rFonts w:ascii="Times New Roman" w:eastAsia="Calibri" w:hAnsi="Times New Roman" w:cs="Times New Roman"/>
          <w:sz w:val="24"/>
          <w:szCs w:val="24"/>
        </w:rPr>
        <w:t xml:space="preserve">being </w:t>
      </w:r>
      <w:r w:rsidR="00F11482" w:rsidRPr="00AF455E">
        <w:rPr>
          <w:rFonts w:ascii="Times New Roman" w:eastAsia="Calibri" w:hAnsi="Times New Roman" w:cs="Times New Roman"/>
          <w:sz w:val="24"/>
          <w:szCs w:val="24"/>
        </w:rPr>
        <w:t xml:space="preserve">one Part 6A </w:t>
      </w:r>
      <w:proofErr w:type="gramStart"/>
      <w:r w:rsidR="00F11482" w:rsidRPr="00AF455E">
        <w:rPr>
          <w:rFonts w:ascii="Times New Roman" w:eastAsia="Calibri" w:hAnsi="Times New Roman" w:cs="Times New Roman"/>
          <w:sz w:val="24"/>
          <w:szCs w:val="24"/>
        </w:rPr>
        <w:t>product;</w:t>
      </w:r>
      <w:proofErr w:type="gramEnd"/>
      <w:r w:rsidR="00F11482" w:rsidRPr="00AF455E">
        <w:rPr>
          <w:rFonts w:ascii="Times New Roman" w:eastAsia="Calibri" w:hAnsi="Times New Roman" w:cs="Times New Roman"/>
          <w:sz w:val="24"/>
          <w:szCs w:val="24"/>
        </w:rPr>
        <w:t xml:space="preserve"> </w:t>
      </w:r>
    </w:p>
    <w:p w14:paraId="67EC361D" w14:textId="77777777" w:rsidR="00F11482" w:rsidRPr="00AF455E" w:rsidRDefault="00F11482" w:rsidP="006F0569">
      <w:pPr>
        <w:pStyle w:val="Dotpoint"/>
        <w:rPr>
          <w:rFonts w:eastAsia="Calibri"/>
        </w:rPr>
      </w:pPr>
      <w:r w:rsidRPr="00AF455E">
        <w:rPr>
          <w:rFonts w:eastAsia="Calibri"/>
        </w:rPr>
        <w:t xml:space="preserve">treating anything that happened in relation to a single Part 6A product as having happened in relation to the combined Part 6A product; and </w:t>
      </w:r>
    </w:p>
    <w:p w14:paraId="6BE4F7DC" w14:textId="77777777" w:rsidR="00F11482" w:rsidRPr="00AF455E" w:rsidRDefault="00F11482" w:rsidP="006F0569">
      <w:pPr>
        <w:pStyle w:val="Dotpoint"/>
        <w:rPr>
          <w:rFonts w:eastAsia="Calibri"/>
        </w:rPr>
      </w:pPr>
      <w:r w:rsidRPr="00AF455E">
        <w:rPr>
          <w:rFonts w:eastAsia="Calibri"/>
        </w:rPr>
        <w:t>treating a person who holds a single Part 6A product as holding the combined Part 6A product.</w:t>
      </w:r>
    </w:p>
    <w:p w14:paraId="4A05A064" w14:textId="5F68313B" w:rsidR="00F11482" w:rsidRPr="00AF455E" w:rsidRDefault="00B0404C"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S</w:t>
      </w:r>
      <w:r w:rsidR="00F11482" w:rsidRPr="00AF455E">
        <w:rPr>
          <w:rFonts w:ascii="Times New Roman" w:eastAsia="Calibri" w:hAnsi="Times New Roman" w:cs="Times New Roman"/>
          <w:sz w:val="24"/>
          <w:szCs w:val="24"/>
        </w:rPr>
        <w:t xml:space="preserve">ection 60G of the SIS Act also allows regulations to specify matters that APRA must </w:t>
      </w:r>
      <w:proofErr w:type="gramStart"/>
      <w:r w:rsidR="00F11482" w:rsidRPr="00AF455E">
        <w:rPr>
          <w:rFonts w:ascii="Times New Roman" w:eastAsia="Calibri" w:hAnsi="Times New Roman" w:cs="Times New Roman"/>
          <w:sz w:val="24"/>
          <w:szCs w:val="24"/>
        </w:rPr>
        <w:t>take into account</w:t>
      </w:r>
      <w:proofErr w:type="gramEnd"/>
      <w:r w:rsidR="00F11482" w:rsidRPr="00AF455E">
        <w:rPr>
          <w:rFonts w:ascii="Times New Roman" w:eastAsia="Calibri" w:hAnsi="Times New Roman" w:cs="Times New Roman"/>
          <w:sz w:val="24"/>
          <w:szCs w:val="24"/>
        </w:rPr>
        <w:t xml:space="preserve"> in exercising its discretion to make a declaration that products are to be treated as combined. </w:t>
      </w:r>
    </w:p>
    <w:p w14:paraId="54E704B4" w14:textId="1299C32D" w:rsidR="00F11482" w:rsidRPr="00AF455E" w:rsidRDefault="00B8704F"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amendments provide that if APRA considers that </w:t>
      </w:r>
      <w:proofErr w:type="gramStart"/>
      <w:r w:rsidRPr="00AF455E">
        <w:rPr>
          <w:rFonts w:ascii="Times New Roman" w:eastAsia="Calibri" w:hAnsi="Times New Roman" w:cs="Times New Roman"/>
          <w:sz w:val="24"/>
          <w:szCs w:val="24"/>
        </w:rPr>
        <w:t>making a determination</w:t>
      </w:r>
      <w:proofErr w:type="gramEnd"/>
      <w:r w:rsidRPr="00AF455E">
        <w:rPr>
          <w:rFonts w:ascii="Times New Roman" w:eastAsia="Calibri" w:hAnsi="Times New Roman" w:cs="Times New Roman"/>
          <w:sz w:val="24"/>
          <w:szCs w:val="24"/>
        </w:rPr>
        <w:t xml:space="preserve"> is appropriate in the circumstances, APRA may make a determination in writing that 2 or more specified Part 6A products offered by one or more specified regulated superannuation funds should be treated as combined. APRA must give </w:t>
      </w:r>
      <w:r w:rsidR="00DA0E63" w:rsidRPr="00AF455E">
        <w:rPr>
          <w:rFonts w:ascii="Times New Roman" w:eastAsia="Calibri" w:hAnsi="Times New Roman" w:cs="Times New Roman"/>
          <w:sz w:val="24"/>
          <w:szCs w:val="24"/>
        </w:rPr>
        <w:t xml:space="preserve">a </w:t>
      </w:r>
      <w:r w:rsidRPr="00AF455E">
        <w:rPr>
          <w:rFonts w:ascii="Times New Roman" w:eastAsia="Calibri" w:hAnsi="Times New Roman" w:cs="Times New Roman"/>
          <w:sz w:val="24"/>
          <w:szCs w:val="24"/>
        </w:rPr>
        <w:t xml:space="preserve">notice of the determination to </w:t>
      </w:r>
      <w:r w:rsidR="004430AD" w:rsidRPr="00AF455E">
        <w:rPr>
          <w:rFonts w:ascii="Times New Roman" w:eastAsia="Calibri" w:hAnsi="Times New Roman" w:cs="Times New Roman"/>
          <w:sz w:val="24"/>
          <w:szCs w:val="24"/>
        </w:rPr>
        <w:t>each</w:t>
      </w:r>
      <w:r w:rsidRPr="00AF455E">
        <w:rPr>
          <w:rFonts w:ascii="Times New Roman" w:eastAsia="Calibri" w:hAnsi="Times New Roman" w:cs="Times New Roman"/>
          <w:sz w:val="24"/>
          <w:szCs w:val="24"/>
        </w:rPr>
        <w:t xml:space="preserve"> </w:t>
      </w:r>
      <w:r w:rsidR="00CC241F" w:rsidRPr="00AF455E">
        <w:rPr>
          <w:rFonts w:ascii="Times New Roman" w:eastAsia="Calibri" w:hAnsi="Times New Roman" w:cs="Times New Roman"/>
          <w:sz w:val="24"/>
          <w:szCs w:val="24"/>
        </w:rPr>
        <w:t>t</w:t>
      </w:r>
      <w:r w:rsidR="004430AD" w:rsidRPr="00AF455E">
        <w:rPr>
          <w:rFonts w:ascii="Times New Roman" w:eastAsia="Calibri" w:hAnsi="Times New Roman" w:cs="Times New Roman"/>
          <w:sz w:val="24"/>
          <w:szCs w:val="24"/>
        </w:rPr>
        <w:t xml:space="preserve">rustee </w:t>
      </w:r>
      <w:r w:rsidR="00CC241F" w:rsidRPr="00AF455E">
        <w:rPr>
          <w:rFonts w:ascii="Times New Roman" w:eastAsia="Calibri" w:hAnsi="Times New Roman" w:cs="Times New Roman"/>
          <w:sz w:val="24"/>
          <w:szCs w:val="24"/>
        </w:rPr>
        <w:t xml:space="preserve">of the </w:t>
      </w:r>
      <w:r w:rsidRPr="00AF455E">
        <w:rPr>
          <w:rFonts w:ascii="Times New Roman" w:eastAsia="Calibri" w:hAnsi="Times New Roman" w:cs="Times New Roman"/>
          <w:sz w:val="24"/>
          <w:szCs w:val="24"/>
        </w:rPr>
        <w:t xml:space="preserve">regulated </w:t>
      </w:r>
      <w:r w:rsidR="006E4141" w:rsidRPr="00AF455E">
        <w:rPr>
          <w:rFonts w:ascii="Times New Roman" w:eastAsia="Calibri" w:hAnsi="Times New Roman" w:cs="Times New Roman"/>
          <w:sz w:val="24"/>
          <w:szCs w:val="24"/>
        </w:rPr>
        <w:t>superannuation</w:t>
      </w:r>
      <w:r w:rsidRPr="00AF455E">
        <w:rPr>
          <w:rFonts w:ascii="Times New Roman" w:eastAsia="Calibri" w:hAnsi="Times New Roman" w:cs="Times New Roman"/>
          <w:sz w:val="24"/>
          <w:szCs w:val="24"/>
        </w:rPr>
        <w:t xml:space="preserve"> funds specified in the determination</w:t>
      </w:r>
      <w:r w:rsidR="006E4141" w:rsidRPr="00AF455E">
        <w:rPr>
          <w:rFonts w:ascii="Times New Roman" w:eastAsia="Calibri" w:hAnsi="Times New Roman" w:cs="Times New Roman"/>
          <w:sz w:val="24"/>
          <w:szCs w:val="24"/>
        </w:rPr>
        <w:t xml:space="preserve">. </w:t>
      </w:r>
      <w:r w:rsidR="00DA0E63" w:rsidRPr="00AF455E">
        <w:rPr>
          <w:rFonts w:ascii="Times New Roman" w:eastAsia="Calibri" w:hAnsi="Times New Roman" w:cs="Times New Roman"/>
          <w:sz w:val="24"/>
          <w:szCs w:val="24"/>
        </w:rPr>
        <w:t xml:space="preserve">The notice must </w:t>
      </w:r>
      <w:r w:rsidR="00565DE5" w:rsidRPr="00AF455E">
        <w:rPr>
          <w:rFonts w:ascii="Times New Roman" w:eastAsia="Calibri" w:hAnsi="Times New Roman" w:cs="Times New Roman"/>
          <w:sz w:val="24"/>
          <w:szCs w:val="24"/>
        </w:rPr>
        <w:t>be</w:t>
      </w:r>
      <w:r w:rsidR="00DA0E63" w:rsidRPr="00AF455E">
        <w:rPr>
          <w:rFonts w:ascii="Times New Roman" w:eastAsia="Calibri" w:hAnsi="Times New Roman" w:cs="Times New Roman"/>
          <w:sz w:val="24"/>
          <w:szCs w:val="24"/>
        </w:rPr>
        <w:t xml:space="preserve"> in writing and include a copy of the determination. </w:t>
      </w:r>
    </w:p>
    <w:p w14:paraId="3DAC4834" w14:textId="77EEFC5E"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The purpose of this is to allow the performance test to be appropriately applied in a range of situations where products should be assessed together</w:t>
      </w:r>
      <w:r w:rsidR="008958BC" w:rsidRPr="00AF455E">
        <w:rPr>
          <w:rFonts w:ascii="Times New Roman" w:eastAsia="Calibri" w:hAnsi="Times New Roman" w:cs="Times New Roman"/>
          <w:sz w:val="24"/>
          <w:szCs w:val="24"/>
        </w:rPr>
        <w:t xml:space="preserve">, </w:t>
      </w:r>
      <w:proofErr w:type="spellStart"/>
      <w:r w:rsidR="008958BC" w:rsidRPr="00AF455E">
        <w:rPr>
          <w:rFonts w:ascii="Times New Roman" w:eastAsia="Calibri" w:hAnsi="Times New Roman" w:cs="Times New Roman"/>
          <w:sz w:val="24"/>
          <w:szCs w:val="24"/>
        </w:rPr>
        <w:t>including</w:t>
      </w:r>
      <w:r w:rsidRPr="00AF455E">
        <w:rPr>
          <w:rFonts w:ascii="Times New Roman" w:eastAsia="Calibri" w:hAnsi="Times New Roman" w:cs="Times New Roman"/>
          <w:sz w:val="24"/>
          <w:szCs w:val="24"/>
        </w:rPr>
        <w:t>circumstances</w:t>
      </w:r>
      <w:proofErr w:type="spellEnd"/>
      <w:r w:rsidRPr="00AF455E">
        <w:rPr>
          <w:rFonts w:ascii="Times New Roman" w:eastAsia="Calibri" w:hAnsi="Times New Roman" w:cs="Times New Roman"/>
          <w:sz w:val="24"/>
          <w:szCs w:val="24"/>
        </w:rPr>
        <w:t xml:space="preserve"> where trustees have intentionally closed a product </w:t>
      </w:r>
      <w:r w:rsidR="002560D3" w:rsidRPr="00AF455E">
        <w:rPr>
          <w:rFonts w:ascii="Times New Roman" w:eastAsia="Calibri" w:hAnsi="Times New Roman" w:cs="Times New Roman"/>
          <w:sz w:val="24"/>
          <w:szCs w:val="24"/>
        </w:rPr>
        <w:t>or opened</w:t>
      </w:r>
      <w:r w:rsidRPr="00AF455E">
        <w:rPr>
          <w:rFonts w:ascii="Times New Roman" w:eastAsia="Calibri" w:hAnsi="Times New Roman" w:cs="Times New Roman"/>
          <w:sz w:val="24"/>
          <w:szCs w:val="24"/>
        </w:rPr>
        <w:t xml:space="preserve"> a new but similar product </w:t>
      </w:r>
      <w:proofErr w:type="gramStart"/>
      <w:r w:rsidRPr="00AF455E">
        <w:rPr>
          <w:rFonts w:ascii="Times New Roman" w:eastAsia="Calibri" w:hAnsi="Times New Roman" w:cs="Times New Roman"/>
          <w:sz w:val="24"/>
          <w:szCs w:val="24"/>
        </w:rPr>
        <w:t>in order to</w:t>
      </w:r>
      <w:proofErr w:type="gramEnd"/>
      <w:r w:rsidRPr="00AF455E">
        <w:rPr>
          <w:rFonts w:ascii="Times New Roman" w:eastAsia="Calibri" w:hAnsi="Times New Roman" w:cs="Times New Roman"/>
          <w:sz w:val="24"/>
          <w:szCs w:val="24"/>
        </w:rPr>
        <w:t xml:space="preserve"> bypass the consequences of failing one or more performance tests. </w:t>
      </w:r>
    </w:p>
    <w:p w14:paraId="155AD26D" w14:textId="31C70B5A" w:rsidR="00F11482" w:rsidRPr="00AF455E" w:rsidRDefault="00F11482"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If products are treated as a combined product or the performance history of one product </w:t>
      </w:r>
      <w:r w:rsidR="008803D7" w:rsidRPr="00AF455E">
        <w:rPr>
          <w:rFonts w:ascii="Times New Roman" w:eastAsia="Calibri" w:hAnsi="Times New Roman" w:cs="Times New Roman"/>
          <w:sz w:val="24"/>
          <w:szCs w:val="24"/>
        </w:rPr>
        <w:t xml:space="preserve">is </w:t>
      </w:r>
      <w:r w:rsidRPr="00AF455E">
        <w:rPr>
          <w:rFonts w:ascii="Times New Roman" w:eastAsia="Calibri" w:hAnsi="Times New Roman" w:cs="Times New Roman"/>
          <w:sz w:val="24"/>
          <w:szCs w:val="24"/>
        </w:rPr>
        <w:t xml:space="preserve">attributed to another product, a product may be found to have failed the performance </w:t>
      </w:r>
      <w:proofErr w:type="gramStart"/>
      <w:r w:rsidRPr="00AF455E">
        <w:rPr>
          <w:rFonts w:ascii="Times New Roman" w:eastAsia="Calibri" w:hAnsi="Times New Roman" w:cs="Times New Roman"/>
          <w:sz w:val="24"/>
          <w:szCs w:val="24"/>
        </w:rPr>
        <w:t>test, or</w:t>
      </w:r>
      <w:proofErr w:type="gramEnd"/>
      <w:r w:rsidRPr="00AF455E">
        <w:rPr>
          <w:rFonts w:ascii="Times New Roman" w:eastAsia="Calibri" w:hAnsi="Times New Roman" w:cs="Times New Roman"/>
          <w:sz w:val="24"/>
          <w:szCs w:val="24"/>
        </w:rPr>
        <w:t xml:space="preserve"> failed the performance test in two consecutive years. As a </w:t>
      </w:r>
      <w:proofErr w:type="gramStart"/>
      <w:r w:rsidRPr="00AF455E">
        <w:rPr>
          <w:rFonts w:ascii="Times New Roman" w:eastAsia="Calibri" w:hAnsi="Times New Roman" w:cs="Times New Roman"/>
          <w:sz w:val="24"/>
          <w:szCs w:val="24"/>
        </w:rPr>
        <w:t>consequence</w:t>
      </w:r>
      <w:proofErr w:type="gramEnd"/>
      <w:r w:rsidRPr="00AF455E">
        <w:rPr>
          <w:rFonts w:ascii="Times New Roman" w:eastAsia="Calibri" w:hAnsi="Times New Roman" w:cs="Times New Roman"/>
          <w:sz w:val="24"/>
          <w:szCs w:val="24"/>
        </w:rPr>
        <w:t xml:space="preserve"> a Part</w:t>
      </w:r>
      <w:r w:rsidR="00CB0343" w:rsidRPr="00AF455E">
        <w:rPr>
          <w:rFonts w:ascii="Times New Roman" w:eastAsia="Calibri" w:hAnsi="Times New Roman" w:cs="Times New Roman"/>
          <w:sz w:val="24"/>
          <w:szCs w:val="24"/>
        </w:rPr>
        <w:t> </w:t>
      </w:r>
      <w:r w:rsidRPr="00AF455E">
        <w:rPr>
          <w:rFonts w:ascii="Times New Roman" w:eastAsia="Calibri" w:hAnsi="Times New Roman" w:cs="Times New Roman"/>
          <w:sz w:val="24"/>
          <w:szCs w:val="24"/>
        </w:rPr>
        <w:t xml:space="preserve">6A product may be prohibited from accepting new beneficiaries.  </w:t>
      </w:r>
    </w:p>
    <w:p w14:paraId="584769C7" w14:textId="25D41BD9" w:rsidR="00F11482" w:rsidRPr="00AF455E" w:rsidRDefault="00200E15"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APRA’s determination is not a legislative instrument within the meaning of subsection</w:t>
      </w:r>
      <w:r w:rsidR="006118C8" w:rsidRPr="00AF455E">
        <w:rPr>
          <w:rFonts w:ascii="Times New Roman" w:eastAsia="Calibri" w:hAnsi="Times New Roman" w:cs="Times New Roman"/>
          <w:sz w:val="24"/>
          <w:szCs w:val="24"/>
        </w:rPr>
        <w:t> </w:t>
      </w:r>
      <w:r w:rsidRPr="00AF455E">
        <w:rPr>
          <w:rFonts w:ascii="Times New Roman" w:eastAsia="Calibri" w:hAnsi="Times New Roman" w:cs="Times New Roman"/>
          <w:sz w:val="24"/>
          <w:szCs w:val="24"/>
        </w:rPr>
        <w:t xml:space="preserve">8(1) of the </w:t>
      </w:r>
      <w:r w:rsidRPr="00AF455E">
        <w:rPr>
          <w:rFonts w:ascii="Times New Roman" w:eastAsia="Calibri" w:hAnsi="Times New Roman" w:cs="Times New Roman"/>
          <w:i/>
          <w:sz w:val="24"/>
          <w:szCs w:val="24"/>
        </w:rPr>
        <w:t>Legislation Act 2003</w:t>
      </w:r>
      <w:r w:rsidRPr="00AF455E">
        <w:rPr>
          <w:rFonts w:ascii="Times New Roman" w:eastAsia="Calibri" w:hAnsi="Times New Roman" w:cs="Times New Roman"/>
          <w:sz w:val="24"/>
          <w:szCs w:val="24"/>
        </w:rPr>
        <w:t>.</w:t>
      </w:r>
    </w:p>
    <w:p w14:paraId="2142F7C5" w14:textId="77777777" w:rsidR="00200E15" w:rsidRPr="00AF455E" w:rsidRDefault="00200E15" w:rsidP="00F11482">
      <w:pPr>
        <w:widowControl w:val="0"/>
        <w:adjustRightInd w:val="0"/>
        <w:jc w:val="both"/>
        <w:textAlignment w:val="baseline"/>
        <w:rPr>
          <w:rFonts w:ascii="Times New Roman" w:eastAsia="Calibri" w:hAnsi="Times New Roman" w:cs="Times New Roman"/>
          <w:sz w:val="24"/>
          <w:szCs w:val="24"/>
        </w:rPr>
      </w:pPr>
    </w:p>
    <w:p w14:paraId="46B1CA63" w14:textId="190A5B41" w:rsidR="00F11482" w:rsidRPr="00AF455E" w:rsidRDefault="00F11482" w:rsidP="00F11482">
      <w:pPr>
        <w:widowControl w:val="0"/>
        <w:adjustRightInd w:val="0"/>
        <w:jc w:val="both"/>
        <w:textAlignment w:val="baseline"/>
        <w:rPr>
          <w:rFonts w:ascii="Times New Roman" w:eastAsia="Calibri" w:hAnsi="Times New Roman" w:cs="Times New Roman"/>
          <w:b/>
          <w:sz w:val="24"/>
          <w:szCs w:val="24"/>
        </w:rPr>
      </w:pPr>
      <w:r w:rsidRPr="00AF455E">
        <w:rPr>
          <w:rFonts w:ascii="Times New Roman" w:eastAsia="Calibri" w:hAnsi="Times New Roman" w:cs="Times New Roman"/>
          <w:b/>
          <w:sz w:val="24"/>
          <w:szCs w:val="24"/>
        </w:rPr>
        <w:t xml:space="preserve">Item </w:t>
      </w:r>
      <w:r w:rsidR="003B5064" w:rsidRPr="00AF455E">
        <w:rPr>
          <w:rFonts w:ascii="Times New Roman" w:eastAsia="Calibri" w:hAnsi="Times New Roman" w:cs="Times New Roman"/>
          <w:b/>
          <w:sz w:val="24"/>
          <w:szCs w:val="24"/>
        </w:rPr>
        <w:t>4</w:t>
      </w:r>
      <w:r w:rsidR="004B5BA8" w:rsidRPr="00AF455E">
        <w:rPr>
          <w:rFonts w:ascii="Times New Roman" w:eastAsia="Calibri" w:hAnsi="Times New Roman" w:cs="Times New Roman"/>
          <w:b/>
          <w:sz w:val="24"/>
          <w:szCs w:val="24"/>
        </w:rPr>
        <w:t xml:space="preserve"> </w:t>
      </w:r>
      <w:r w:rsidR="00341709" w:rsidRPr="00AF455E">
        <w:rPr>
          <w:rFonts w:ascii="Times New Roman" w:eastAsia="Calibri" w:hAnsi="Times New Roman" w:cs="Times New Roman"/>
          <w:b/>
          <w:sz w:val="24"/>
          <w:szCs w:val="24"/>
        </w:rPr>
        <w:t>(proposed regulations 9AB.21</w:t>
      </w:r>
      <w:r w:rsidR="00720199" w:rsidRPr="00AF455E">
        <w:rPr>
          <w:rFonts w:ascii="Times New Roman" w:eastAsia="Calibri" w:hAnsi="Times New Roman" w:cs="Times New Roman"/>
          <w:b/>
          <w:sz w:val="24"/>
          <w:szCs w:val="24"/>
        </w:rPr>
        <w:t xml:space="preserve"> to </w:t>
      </w:r>
      <w:r w:rsidR="00341709" w:rsidRPr="00AF455E">
        <w:rPr>
          <w:rFonts w:ascii="Times New Roman" w:eastAsia="Calibri" w:hAnsi="Times New Roman" w:cs="Times New Roman"/>
          <w:b/>
          <w:sz w:val="24"/>
          <w:szCs w:val="24"/>
        </w:rPr>
        <w:t>9AB.</w:t>
      </w:r>
      <w:r w:rsidR="00765603" w:rsidRPr="00AF455E">
        <w:rPr>
          <w:rFonts w:ascii="Times New Roman" w:eastAsia="Calibri" w:hAnsi="Times New Roman" w:cs="Times New Roman"/>
          <w:b/>
          <w:sz w:val="24"/>
          <w:szCs w:val="24"/>
        </w:rPr>
        <w:t>25</w:t>
      </w:r>
      <w:r w:rsidR="00720199" w:rsidRPr="00AF455E">
        <w:rPr>
          <w:rFonts w:ascii="Times New Roman" w:eastAsia="Calibri" w:hAnsi="Times New Roman" w:cs="Times New Roman"/>
          <w:b/>
          <w:sz w:val="24"/>
          <w:szCs w:val="24"/>
        </w:rPr>
        <w:t xml:space="preserve"> and Division 9AB.3 of the SIS Regs</w:t>
      </w:r>
      <w:r w:rsidR="00341709" w:rsidRPr="00AF455E">
        <w:rPr>
          <w:rFonts w:ascii="Times New Roman" w:eastAsia="Calibri" w:hAnsi="Times New Roman" w:cs="Times New Roman"/>
          <w:b/>
          <w:sz w:val="24"/>
          <w:szCs w:val="24"/>
        </w:rPr>
        <w:t>)</w:t>
      </w:r>
      <w:r w:rsidR="00995E09" w:rsidRPr="00AF455E">
        <w:rPr>
          <w:rFonts w:ascii="Times New Roman" w:eastAsia="Calibri" w:hAnsi="Times New Roman" w:cs="Times New Roman"/>
          <w:b/>
          <w:sz w:val="24"/>
          <w:szCs w:val="24"/>
        </w:rPr>
        <w:t xml:space="preserve"> - </w:t>
      </w:r>
      <w:r w:rsidRPr="00AF455E">
        <w:rPr>
          <w:rFonts w:ascii="Times New Roman" w:eastAsia="Calibri" w:hAnsi="Times New Roman" w:cs="Times New Roman"/>
          <w:b/>
          <w:sz w:val="24"/>
          <w:szCs w:val="24"/>
        </w:rPr>
        <w:t xml:space="preserve">Amendments to support implementation of </w:t>
      </w:r>
      <w:proofErr w:type="spellStart"/>
      <w:r w:rsidRPr="00AF455E">
        <w:rPr>
          <w:rFonts w:ascii="Times New Roman" w:eastAsia="Calibri" w:hAnsi="Times New Roman" w:cs="Times New Roman"/>
          <w:b/>
          <w:sz w:val="24"/>
          <w:szCs w:val="24"/>
        </w:rPr>
        <w:t>YourSuper</w:t>
      </w:r>
      <w:proofErr w:type="spellEnd"/>
      <w:r w:rsidRPr="00AF455E">
        <w:rPr>
          <w:rFonts w:ascii="Times New Roman" w:eastAsia="Calibri" w:hAnsi="Times New Roman" w:cs="Times New Roman"/>
          <w:b/>
          <w:sz w:val="24"/>
          <w:szCs w:val="24"/>
        </w:rPr>
        <w:t xml:space="preserve"> comparison tool</w:t>
      </w:r>
    </w:p>
    <w:p w14:paraId="4E46DD7D" w14:textId="7C5514F5" w:rsidR="004A0969" w:rsidRPr="00AF455E" w:rsidRDefault="004A0969" w:rsidP="004A0969">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w:t>
      </w:r>
      <w:proofErr w:type="spellStart"/>
      <w:r w:rsidRPr="00AF455E">
        <w:rPr>
          <w:rFonts w:ascii="Times New Roman" w:eastAsia="Calibri" w:hAnsi="Times New Roman" w:cs="Times New Roman"/>
          <w:sz w:val="24"/>
          <w:szCs w:val="24"/>
        </w:rPr>
        <w:t>YourSuper</w:t>
      </w:r>
      <w:proofErr w:type="spellEnd"/>
      <w:r w:rsidRPr="00AF455E">
        <w:rPr>
          <w:rFonts w:ascii="Times New Roman" w:eastAsia="Calibri" w:hAnsi="Times New Roman" w:cs="Times New Roman"/>
          <w:sz w:val="24"/>
          <w:szCs w:val="24"/>
        </w:rPr>
        <w:t xml:space="preserve"> comparison tool will be available on an interactive website designed to make it easy for beneficiaries to choose a superannuation product based on fees and performance information. </w:t>
      </w:r>
    </w:p>
    <w:p w14:paraId="2DAE22AA" w14:textId="79B22BA2" w:rsidR="00F11482" w:rsidRPr="00AF455E" w:rsidRDefault="00B0404C" w:rsidP="004A0969">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lastRenderedPageBreak/>
        <w:t>S</w:t>
      </w:r>
      <w:r w:rsidR="00F11482" w:rsidRPr="00AF455E">
        <w:rPr>
          <w:rFonts w:ascii="Times New Roman" w:eastAsia="Calibri" w:hAnsi="Times New Roman" w:cs="Times New Roman"/>
          <w:sz w:val="24"/>
          <w:szCs w:val="24"/>
        </w:rPr>
        <w:t xml:space="preserve">ection 60J </w:t>
      </w:r>
      <w:r w:rsidR="001F4263" w:rsidRPr="00AF455E">
        <w:rPr>
          <w:rFonts w:ascii="Times New Roman" w:eastAsia="Calibri" w:hAnsi="Times New Roman" w:cs="Times New Roman"/>
          <w:sz w:val="24"/>
          <w:szCs w:val="24"/>
        </w:rPr>
        <w:t xml:space="preserve">of the SIS Act </w:t>
      </w:r>
      <w:r w:rsidR="00F11482" w:rsidRPr="00AF455E">
        <w:rPr>
          <w:rFonts w:ascii="Times New Roman" w:eastAsia="Calibri" w:hAnsi="Times New Roman" w:cs="Times New Roman"/>
          <w:sz w:val="24"/>
          <w:szCs w:val="24"/>
        </w:rPr>
        <w:t xml:space="preserve">allows regulations to specify formulas </w:t>
      </w:r>
      <w:r w:rsidR="005979E9" w:rsidRPr="00AF455E">
        <w:rPr>
          <w:rFonts w:ascii="Times New Roman" w:eastAsia="Calibri" w:hAnsi="Times New Roman" w:cs="Times New Roman"/>
          <w:sz w:val="24"/>
          <w:szCs w:val="24"/>
        </w:rPr>
        <w:t xml:space="preserve">and methods </w:t>
      </w:r>
      <w:r w:rsidR="00F11482" w:rsidRPr="00AF455E">
        <w:rPr>
          <w:rFonts w:ascii="Times New Roman" w:eastAsia="Calibri" w:hAnsi="Times New Roman" w:cs="Times New Roman"/>
          <w:sz w:val="24"/>
          <w:szCs w:val="24"/>
        </w:rPr>
        <w:t xml:space="preserve">by which </w:t>
      </w:r>
      <w:r w:rsidR="005979E9" w:rsidRPr="00AF455E">
        <w:rPr>
          <w:rFonts w:ascii="Times New Roman" w:eastAsia="Calibri" w:hAnsi="Times New Roman" w:cs="Times New Roman"/>
          <w:sz w:val="24"/>
          <w:szCs w:val="24"/>
        </w:rPr>
        <w:t xml:space="preserve">Part </w:t>
      </w:r>
      <w:r w:rsidR="00F11482" w:rsidRPr="00AF455E">
        <w:rPr>
          <w:rFonts w:ascii="Times New Roman" w:eastAsia="Calibri" w:hAnsi="Times New Roman" w:cs="Times New Roman"/>
          <w:sz w:val="24"/>
          <w:szCs w:val="24"/>
        </w:rPr>
        <w:t xml:space="preserve">6A products can be comparatively </w:t>
      </w:r>
      <w:proofErr w:type="gramStart"/>
      <w:r w:rsidR="00F11482" w:rsidRPr="00AF455E">
        <w:rPr>
          <w:rFonts w:ascii="Times New Roman" w:eastAsia="Calibri" w:hAnsi="Times New Roman" w:cs="Times New Roman"/>
          <w:sz w:val="24"/>
          <w:szCs w:val="24"/>
        </w:rPr>
        <w:t>ranked, and</w:t>
      </w:r>
      <w:proofErr w:type="gramEnd"/>
      <w:r w:rsidR="00F11482" w:rsidRPr="00AF455E">
        <w:rPr>
          <w:rFonts w:ascii="Times New Roman" w:eastAsia="Calibri" w:hAnsi="Times New Roman" w:cs="Times New Roman"/>
          <w:sz w:val="24"/>
          <w:szCs w:val="24"/>
        </w:rPr>
        <w:t xml:space="preserve"> allows APRA to pass the information necessary for ranking products on to the ATO to publish on a website maintained by the Commissioner of Taxation.</w:t>
      </w:r>
      <w:r w:rsidR="000748FF" w:rsidRPr="00AF455E">
        <w:rPr>
          <w:rFonts w:ascii="Times New Roman" w:eastAsia="Calibri" w:hAnsi="Times New Roman" w:cs="Times New Roman"/>
          <w:sz w:val="24"/>
          <w:szCs w:val="24"/>
        </w:rPr>
        <w:t xml:space="preserve"> The</w:t>
      </w:r>
      <w:r w:rsidR="001E2BF1" w:rsidRPr="00AF455E">
        <w:rPr>
          <w:rFonts w:ascii="Times New Roman" w:eastAsia="Calibri" w:hAnsi="Times New Roman" w:cs="Times New Roman"/>
          <w:sz w:val="24"/>
          <w:szCs w:val="24"/>
        </w:rPr>
        <w:t> </w:t>
      </w:r>
      <w:r w:rsidRPr="00AF455E">
        <w:rPr>
          <w:rFonts w:ascii="Times New Roman" w:eastAsia="Calibri" w:hAnsi="Times New Roman" w:cs="Times New Roman"/>
          <w:sz w:val="24"/>
          <w:szCs w:val="24"/>
        </w:rPr>
        <w:t>YFYS Act</w:t>
      </w:r>
      <w:r w:rsidR="000748FF" w:rsidRPr="00AF455E">
        <w:rPr>
          <w:rFonts w:ascii="Times New Roman" w:eastAsia="Calibri" w:hAnsi="Times New Roman" w:cs="Times New Roman"/>
          <w:sz w:val="24"/>
          <w:szCs w:val="24"/>
        </w:rPr>
        <w:t xml:space="preserve"> provides that the ATO must publish this information to the extent that it relates to Part</w:t>
      </w:r>
      <w:r w:rsidR="001E2BF1" w:rsidRPr="00AF455E">
        <w:rPr>
          <w:rFonts w:ascii="Times New Roman" w:eastAsia="Calibri" w:hAnsi="Times New Roman" w:cs="Times New Roman"/>
          <w:sz w:val="24"/>
          <w:szCs w:val="24"/>
        </w:rPr>
        <w:t> </w:t>
      </w:r>
      <w:r w:rsidR="000748FF" w:rsidRPr="00AF455E">
        <w:rPr>
          <w:rFonts w:ascii="Times New Roman" w:eastAsia="Calibri" w:hAnsi="Times New Roman" w:cs="Times New Roman"/>
          <w:sz w:val="24"/>
          <w:szCs w:val="24"/>
        </w:rPr>
        <w:t xml:space="preserve">6A products that are </w:t>
      </w:r>
      <w:proofErr w:type="spellStart"/>
      <w:r w:rsidR="000748FF" w:rsidRPr="00AF455E">
        <w:rPr>
          <w:rFonts w:ascii="Times New Roman" w:eastAsia="Calibri" w:hAnsi="Times New Roman" w:cs="Times New Roman"/>
          <w:sz w:val="24"/>
          <w:szCs w:val="24"/>
        </w:rPr>
        <w:t>MySuper</w:t>
      </w:r>
      <w:proofErr w:type="spellEnd"/>
      <w:r w:rsidR="000748FF" w:rsidRPr="00AF455E">
        <w:rPr>
          <w:rFonts w:ascii="Times New Roman" w:eastAsia="Calibri" w:hAnsi="Times New Roman" w:cs="Times New Roman"/>
          <w:sz w:val="24"/>
          <w:szCs w:val="24"/>
        </w:rPr>
        <w:t xml:space="preserve"> products. </w:t>
      </w:r>
      <w:r w:rsidR="0062666C" w:rsidRPr="00AF455E">
        <w:rPr>
          <w:rFonts w:ascii="Times New Roman" w:eastAsia="Calibri" w:hAnsi="Times New Roman" w:cs="Times New Roman"/>
          <w:sz w:val="24"/>
          <w:szCs w:val="24"/>
        </w:rPr>
        <w:t xml:space="preserve">Whilst the proposed </w:t>
      </w:r>
      <w:r w:rsidR="001E2BF1" w:rsidRPr="00AF455E">
        <w:rPr>
          <w:rFonts w:ascii="Times New Roman" w:eastAsia="Calibri" w:hAnsi="Times New Roman" w:cs="Times New Roman"/>
          <w:sz w:val="24"/>
          <w:szCs w:val="24"/>
        </w:rPr>
        <w:t>R</w:t>
      </w:r>
      <w:r w:rsidR="00D40343" w:rsidRPr="00AF455E">
        <w:rPr>
          <w:rFonts w:ascii="Times New Roman" w:eastAsia="Calibri" w:hAnsi="Times New Roman" w:cs="Times New Roman"/>
          <w:sz w:val="24"/>
          <w:szCs w:val="24"/>
        </w:rPr>
        <w:t xml:space="preserve">egulations made for this purpose provide transparency about the basis </w:t>
      </w:r>
      <w:r w:rsidR="009331B1" w:rsidRPr="00AF455E">
        <w:rPr>
          <w:rFonts w:ascii="Times New Roman" w:eastAsia="Calibri" w:hAnsi="Times New Roman" w:cs="Times New Roman"/>
          <w:sz w:val="24"/>
          <w:szCs w:val="24"/>
        </w:rPr>
        <w:t>on</w:t>
      </w:r>
      <w:r w:rsidR="00D40343" w:rsidRPr="00AF455E">
        <w:rPr>
          <w:rFonts w:ascii="Times New Roman" w:eastAsia="Calibri" w:hAnsi="Times New Roman" w:cs="Times New Roman"/>
          <w:sz w:val="24"/>
          <w:szCs w:val="24"/>
        </w:rPr>
        <w:t xml:space="preserve"> which superannuation products will be ranked on the </w:t>
      </w:r>
      <w:proofErr w:type="spellStart"/>
      <w:r w:rsidR="00D40343" w:rsidRPr="00AF455E">
        <w:rPr>
          <w:rFonts w:ascii="Times New Roman" w:eastAsia="Calibri" w:hAnsi="Times New Roman" w:cs="Times New Roman"/>
          <w:sz w:val="24"/>
          <w:szCs w:val="24"/>
        </w:rPr>
        <w:t>YourSuper</w:t>
      </w:r>
      <w:proofErr w:type="spellEnd"/>
      <w:r w:rsidR="00D40343" w:rsidRPr="00AF455E">
        <w:rPr>
          <w:rFonts w:ascii="Times New Roman" w:eastAsia="Calibri" w:hAnsi="Times New Roman" w:cs="Times New Roman"/>
          <w:sz w:val="24"/>
          <w:szCs w:val="24"/>
        </w:rPr>
        <w:t xml:space="preserve"> website</w:t>
      </w:r>
      <w:r w:rsidR="0062666C" w:rsidRPr="00AF455E">
        <w:rPr>
          <w:rFonts w:ascii="Times New Roman" w:eastAsia="Calibri" w:hAnsi="Times New Roman" w:cs="Times New Roman"/>
          <w:sz w:val="24"/>
          <w:szCs w:val="24"/>
        </w:rPr>
        <w:t xml:space="preserve">, the </w:t>
      </w:r>
      <w:r w:rsidR="003C217D" w:rsidRPr="00AF455E">
        <w:rPr>
          <w:rFonts w:ascii="Times New Roman" w:eastAsia="Calibri" w:hAnsi="Times New Roman" w:cs="Times New Roman"/>
          <w:sz w:val="24"/>
          <w:szCs w:val="24"/>
        </w:rPr>
        <w:t xml:space="preserve">proposed </w:t>
      </w:r>
      <w:r w:rsidR="002F0D03" w:rsidRPr="00AF455E">
        <w:rPr>
          <w:rFonts w:ascii="Times New Roman" w:eastAsia="Calibri" w:hAnsi="Times New Roman" w:cs="Times New Roman"/>
          <w:sz w:val="24"/>
          <w:szCs w:val="24"/>
        </w:rPr>
        <w:t>R</w:t>
      </w:r>
      <w:r w:rsidR="0062666C" w:rsidRPr="00AF455E">
        <w:rPr>
          <w:rFonts w:ascii="Times New Roman" w:eastAsia="Calibri" w:hAnsi="Times New Roman" w:cs="Times New Roman"/>
          <w:sz w:val="24"/>
          <w:szCs w:val="24"/>
        </w:rPr>
        <w:t>egula</w:t>
      </w:r>
      <w:r w:rsidR="003C217D" w:rsidRPr="00AF455E">
        <w:rPr>
          <w:rFonts w:ascii="Times New Roman" w:eastAsia="Calibri" w:hAnsi="Times New Roman" w:cs="Times New Roman"/>
          <w:sz w:val="24"/>
          <w:szCs w:val="24"/>
        </w:rPr>
        <w:t xml:space="preserve">tions do not </w:t>
      </w:r>
      <w:r w:rsidR="00020BB5" w:rsidRPr="00AF455E">
        <w:rPr>
          <w:rFonts w:ascii="Times New Roman" w:eastAsia="Calibri" w:hAnsi="Times New Roman" w:cs="Times New Roman"/>
          <w:sz w:val="24"/>
          <w:szCs w:val="24"/>
        </w:rPr>
        <w:t xml:space="preserve">prescribe </w:t>
      </w:r>
      <w:r w:rsidR="003C217D" w:rsidRPr="00AF455E">
        <w:rPr>
          <w:rFonts w:ascii="Times New Roman" w:eastAsia="Calibri" w:hAnsi="Times New Roman" w:cs="Times New Roman"/>
          <w:sz w:val="24"/>
          <w:szCs w:val="24"/>
        </w:rPr>
        <w:t xml:space="preserve">the </w:t>
      </w:r>
      <w:r w:rsidR="0062666C" w:rsidRPr="00AF455E">
        <w:rPr>
          <w:rFonts w:ascii="Times New Roman" w:eastAsia="Calibri" w:hAnsi="Times New Roman" w:cs="Times New Roman"/>
          <w:sz w:val="24"/>
          <w:szCs w:val="24"/>
        </w:rPr>
        <w:t>specific layout and design of the website</w:t>
      </w:r>
      <w:r w:rsidR="00D40343" w:rsidRPr="00AF455E">
        <w:rPr>
          <w:rFonts w:ascii="Times New Roman" w:eastAsia="Calibri" w:hAnsi="Times New Roman" w:cs="Times New Roman"/>
          <w:sz w:val="24"/>
          <w:szCs w:val="24"/>
        </w:rPr>
        <w:t>.</w:t>
      </w:r>
    </w:p>
    <w:p w14:paraId="5BC07A01" w14:textId="18FE3C4B" w:rsidR="006643D9" w:rsidRPr="00AF455E" w:rsidRDefault="006643D9"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w:t>
      </w:r>
      <w:r w:rsidR="00DD7337" w:rsidRPr="00AF455E">
        <w:rPr>
          <w:rFonts w:ascii="Times New Roman" w:eastAsia="Calibri" w:hAnsi="Times New Roman" w:cs="Times New Roman"/>
          <w:sz w:val="24"/>
          <w:szCs w:val="24"/>
        </w:rPr>
        <w:t>proposed R</w:t>
      </w:r>
      <w:r w:rsidRPr="00AF455E">
        <w:rPr>
          <w:rFonts w:ascii="Times New Roman" w:eastAsia="Calibri" w:hAnsi="Times New Roman" w:cs="Times New Roman"/>
          <w:sz w:val="24"/>
          <w:szCs w:val="24"/>
        </w:rPr>
        <w:t xml:space="preserve">egulations </w:t>
      </w:r>
      <w:r w:rsidR="0087050B" w:rsidRPr="00AF455E">
        <w:rPr>
          <w:rFonts w:ascii="Times New Roman" w:eastAsia="Calibri" w:hAnsi="Times New Roman" w:cs="Times New Roman"/>
          <w:sz w:val="24"/>
          <w:szCs w:val="24"/>
        </w:rPr>
        <w:t>allow</w:t>
      </w:r>
      <w:r w:rsidRPr="00AF455E">
        <w:rPr>
          <w:rFonts w:ascii="Times New Roman" w:eastAsia="Calibri" w:hAnsi="Times New Roman" w:cs="Times New Roman"/>
          <w:sz w:val="24"/>
          <w:szCs w:val="24"/>
        </w:rPr>
        <w:t xml:space="preserve"> Part 6A products</w:t>
      </w:r>
      <w:r w:rsidR="007A1C88" w:rsidRPr="00AF455E">
        <w:rPr>
          <w:rFonts w:ascii="Times New Roman" w:eastAsia="Calibri" w:hAnsi="Times New Roman" w:cs="Times New Roman"/>
          <w:sz w:val="24"/>
          <w:szCs w:val="24"/>
        </w:rPr>
        <w:t xml:space="preserve">, including </w:t>
      </w:r>
      <w:proofErr w:type="spellStart"/>
      <w:r w:rsidR="007A1C88" w:rsidRPr="00AF455E">
        <w:rPr>
          <w:rFonts w:ascii="Times New Roman" w:eastAsia="Calibri" w:hAnsi="Times New Roman" w:cs="Times New Roman"/>
          <w:sz w:val="24"/>
          <w:szCs w:val="24"/>
        </w:rPr>
        <w:t>lifestages</w:t>
      </w:r>
      <w:proofErr w:type="spellEnd"/>
      <w:r w:rsidR="007A1C88" w:rsidRPr="00AF455E">
        <w:rPr>
          <w:rFonts w:ascii="Times New Roman" w:eastAsia="Calibri" w:hAnsi="Times New Roman" w:cs="Times New Roman"/>
          <w:sz w:val="24"/>
          <w:szCs w:val="24"/>
        </w:rPr>
        <w:t xml:space="preserve"> of products that are lifecycle products,</w:t>
      </w:r>
      <w:r w:rsidRPr="00AF455E">
        <w:rPr>
          <w:rFonts w:ascii="Times New Roman" w:eastAsia="Calibri" w:hAnsi="Times New Roman" w:cs="Times New Roman"/>
          <w:sz w:val="24"/>
          <w:szCs w:val="24"/>
        </w:rPr>
        <w:t xml:space="preserve"> </w:t>
      </w:r>
      <w:r w:rsidR="0087050B" w:rsidRPr="00AF455E">
        <w:rPr>
          <w:rFonts w:ascii="Times New Roman" w:eastAsia="Calibri" w:hAnsi="Times New Roman" w:cs="Times New Roman"/>
          <w:sz w:val="24"/>
          <w:szCs w:val="24"/>
        </w:rPr>
        <w:t xml:space="preserve">to </w:t>
      </w:r>
      <w:r w:rsidRPr="00AF455E">
        <w:rPr>
          <w:rFonts w:ascii="Times New Roman" w:eastAsia="Calibri" w:hAnsi="Times New Roman" w:cs="Times New Roman"/>
          <w:sz w:val="24"/>
          <w:szCs w:val="24"/>
        </w:rPr>
        <w:t xml:space="preserve">be ranked in </w:t>
      </w:r>
      <w:r w:rsidR="0087050B" w:rsidRPr="00AF455E">
        <w:rPr>
          <w:rFonts w:ascii="Times New Roman" w:eastAsia="Calibri" w:hAnsi="Times New Roman" w:cs="Times New Roman"/>
          <w:sz w:val="24"/>
          <w:szCs w:val="24"/>
        </w:rPr>
        <w:t xml:space="preserve">the prescribed </w:t>
      </w:r>
      <w:r w:rsidRPr="00AF455E">
        <w:rPr>
          <w:rFonts w:ascii="Times New Roman" w:eastAsia="Calibri" w:hAnsi="Times New Roman" w:cs="Times New Roman"/>
          <w:sz w:val="24"/>
          <w:szCs w:val="24"/>
        </w:rPr>
        <w:t xml:space="preserve">ways. </w:t>
      </w:r>
      <w:r w:rsidR="000748FF" w:rsidRPr="00AF455E">
        <w:rPr>
          <w:rFonts w:ascii="Times New Roman" w:eastAsia="Calibri" w:hAnsi="Times New Roman" w:cs="Times New Roman"/>
          <w:sz w:val="24"/>
          <w:szCs w:val="24"/>
        </w:rPr>
        <w:t xml:space="preserve">It is intended that initially only </w:t>
      </w:r>
      <w:proofErr w:type="spellStart"/>
      <w:r w:rsidR="000748FF" w:rsidRPr="00AF455E">
        <w:rPr>
          <w:rFonts w:ascii="Times New Roman" w:eastAsia="Calibri" w:hAnsi="Times New Roman" w:cs="Times New Roman"/>
          <w:sz w:val="24"/>
          <w:szCs w:val="24"/>
        </w:rPr>
        <w:t>MySuper</w:t>
      </w:r>
      <w:proofErr w:type="spellEnd"/>
      <w:r w:rsidR="000748FF" w:rsidRPr="00AF455E">
        <w:rPr>
          <w:rFonts w:ascii="Times New Roman" w:eastAsia="Calibri" w:hAnsi="Times New Roman" w:cs="Times New Roman"/>
          <w:sz w:val="24"/>
          <w:szCs w:val="24"/>
        </w:rPr>
        <w:t xml:space="preserve"> products will be ranked. </w:t>
      </w:r>
      <w:r w:rsidR="00F925A6" w:rsidRPr="00AF455E">
        <w:rPr>
          <w:rFonts w:ascii="Times New Roman" w:eastAsia="Calibri" w:hAnsi="Times New Roman" w:cs="Times New Roman"/>
          <w:sz w:val="24"/>
          <w:szCs w:val="24"/>
        </w:rPr>
        <w:t xml:space="preserve"> These products are</w:t>
      </w:r>
      <w:r w:rsidRPr="00AF455E">
        <w:rPr>
          <w:rFonts w:ascii="Times New Roman" w:eastAsia="Calibri" w:hAnsi="Times New Roman" w:cs="Times New Roman"/>
          <w:sz w:val="24"/>
          <w:szCs w:val="24"/>
        </w:rPr>
        <w:t xml:space="preserve"> the default product for most members, and therefore most common type of superannuation interest. </w:t>
      </w:r>
      <w:r w:rsidR="001E2BF1" w:rsidRPr="00AF455E">
        <w:rPr>
          <w:rFonts w:ascii="Times New Roman" w:eastAsia="Calibri" w:hAnsi="Times New Roman" w:cs="Times New Roman"/>
          <w:sz w:val="24"/>
          <w:szCs w:val="24"/>
        </w:rPr>
        <w:t xml:space="preserve">As </w:t>
      </w:r>
      <w:proofErr w:type="spellStart"/>
      <w:r w:rsidRPr="00AF455E">
        <w:rPr>
          <w:rFonts w:ascii="Times New Roman" w:eastAsia="Calibri" w:hAnsi="Times New Roman" w:cs="Times New Roman"/>
          <w:sz w:val="24"/>
          <w:szCs w:val="24"/>
        </w:rPr>
        <w:t>MySuper</w:t>
      </w:r>
      <w:proofErr w:type="spellEnd"/>
      <w:r w:rsidRPr="00AF455E">
        <w:rPr>
          <w:rFonts w:ascii="Times New Roman" w:eastAsia="Calibri" w:hAnsi="Times New Roman" w:cs="Times New Roman"/>
          <w:sz w:val="24"/>
          <w:szCs w:val="24"/>
        </w:rPr>
        <w:t xml:space="preserve"> products are also generally held by the most disengaged members, it is therefore important that comparing products is easy, </w:t>
      </w:r>
      <w:proofErr w:type="gramStart"/>
      <w:r w:rsidRPr="00AF455E">
        <w:rPr>
          <w:rFonts w:ascii="Times New Roman" w:eastAsia="Calibri" w:hAnsi="Times New Roman" w:cs="Times New Roman"/>
          <w:sz w:val="24"/>
          <w:szCs w:val="24"/>
        </w:rPr>
        <w:t>clear</w:t>
      </w:r>
      <w:proofErr w:type="gramEnd"/>
      <w:r w:rsidRPr="00AF455E">
        <w:rPr>
          <w:rFonts w:ascii="Times New Roman" w:eastAsia="Calibri" w:hAnsi="Times New Roman" w:cs="Times New Roman"/>
          <w:sz w:val="24"/>
          <w:szCs w:val="24"/>
        </w:rPr>
        <w:t xml:space="preserve"> and intuitive so that </w:t>
      </w:r>
      <w:proofErr w:type="spellStart"/>
      <w:r w:rsidRPr="00AF455E">
        <w:rPr>
          <w:rFonts w:ascii="Times New Roman" w:eastAsia="Calibri" w:hAnsi="Times New Roman" w:cs="Times New Roman"/>
          <w:sz w:val="24"/>
          <w:szCs w:val="24"/>
        </w:rPr>
        <w:t>MySuper</w:t>
      </w:r>
      <w:proofErr w:type="spellEnd"/>
      <w:r w:rsidRPr="00AF455E">
        <w:rPr>
          <w:rFonts w:ascii="Times New Roman" w:eastAsia="Calibri" w:hAnsi="Times New Roman" w:cs="Times New Roman"/>
          <w:sz w:val="24"/>
          <w:szCs w:val="24"/>
        </w:rPr>
        <w:t xml:space="preserve"> product holders can see if their product is meeting their needs. </w:t>
      </w:r>
    </w:p>
    <w:p w14:paraId="1AAF1CCA" w14:textId="371CBE1F" w:rsidR="00B14099" w:rsidRPr="00AF455E" w:rsidRDefault="000748FF"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Part 6A </w:t>
      </w:r>
      <w:r w:rsidR="006643D9" w:rsidRPr="00AF455E">
        <w:rPr>
          <w:rFonts w:ascii="Times New Roman" w:eastAsia="Calibri" w:hAnsi="Times New Roman" w:cs="Times New Roman"/>
          <w:sz w:val="24"/>
          <w:szCs w:val="24"/>
        </w:rPr>
        <w:t xml:space="preserve">products should be ranked </w:t>
      </w:r>
      <w:r w:rsidR="00C91180" w:rsidRPr="00AF455E">
        <w:rPr>
          <w:rFonts w:ascii="Times New Roman" w:eastAsia="Calibri" w:hAnsi="Times New Roman" w:cs="Times New Roman"/>
          <w:sz w:val="24"/>
          <w:szCs w:val="24"/>
        </w:rPr>
        <w:t xml:space="preserve">according to </w:t>
      </w:r>
      <w:r w:rsidR="008A5E1C" w:rsidRPr="00AF455E">
        <w:rPr>
          <w:rFonts w:ascii="Times New Roman" w:eastAsia="Calibri" w:hAnsi="Times New Roman" w:cs="Times New Roman"/>
          <w:sz w:val="24"/>
          <w:szCs w:val="24"/>
        </w:rPr>
        <w:t xml:space="preserve">two </w:t>
      </w:r>
      <w:r w:rsidR="00C91180" w:rsidRPr="00AF455E">
        <w:rPr>
          <w:rFonts w:ascii="Times New Roman" w:eastAsia="Calibri" w:hAnsi="Times New Roman" w:cs="Times New Roman"/>
          <w:sz w:val="24"/>
          <w:szCs w:val="24"/>
        </w:rPr>
        <w:t>methods. First</w:t>
      </w:r>
      <w:r w:rsidR="00AA3BA0" w:rsidRPr="00AF455E">
        <w:rPr>
          <w:rFonts w:ascii="Times New Roman" w:eastAsia="Calibri" w:hAnsi="Times New Roman" w:cs="Times New Roman"/>
          <w:sz w:val="24"/>
          <w:szCs w:val="24"/>
        </w:rPr>
        <w:t>, products</w:t>
      </w:r>
      <w:r w:rsidR="00C91180" w:rsidRPr="00AF455E">
        <w:rPr>
          <w:rFonts w:ascii="Times New Roman" w:eastAsia="Calibri" w:hAnsi="Times New Roman" w:cs="Times New Roman"/>
          <w:sz w:val="24"/>
          <w:szCs w:val="24"/>
        </w:rPr>
        <w:t xml:space="preserve"> should be ranked by </w:t>
      </w:r>
      <w:r w:rsidR="00A83204" w:rsidRPr="00AF455E">
        <w:rPr>
          <w:rFonts w:ascii="Times New Roman" w:eastAsia="Calibri" w:hAnsi="Times New Roman" w:cs="Times New Roman"/>
          <w:sz w:val="24"/>
          <w:szCs w:val="24"/>
        </w:rPr>
        <w:t>n</w:t>
      </w:r>
      <w:r w:rsidR="00C91180" w:rsidRPr="00AF455E">
        <w:rPr>
          <w:rFonts w:ascii="Times New Roman" w:eastAsia="Calibri" w:hAnsi="Times New Roman" w:cs="Times New Roman"/>
          <w:sz w:val="24"/>
          <w:szCs w:val="24"/>
        </w:rPr>
        <w:t xml:space="preserve">et </w:t>
      </w:r>
      <w:r w:rsidR="00A83204" w:rsidRPr="00AF455E">
        <w:rPr>
          <w:rFonts w:ascii="Times New Roman" w:eastAsia="Calibri" w:hAnsi="Times New Roman" w:cs="Times New Roman"/>
          <w:sz w:val="24"/>
          <w:szCs w:val="24"/>
        </w:rPr>
        <w:t>r</w:t>
      </w:r>
      <w:r w:rsidR="00C91180" w:rsidRPr="00AF455E">
        <w:rPr>
          <w:rFonts w:ascii="Times New Roman" w:eastAsia="Calibri" w:hAnsi="Times New Roman" w:cs="Times New Roman"/>
          <w:sz w:val="24"/>
          <w:szCs w:val="24"/>
        </w:rPr>
        <w:t xml:space="preserve">eturns. Ranking products by </w:t>
      </w:r>
      <w:r w:rsidR="00A83204" w:rsidRPr="00AF455E">
        <w:rPr>
          <w:rFonts w:ascii="Times New Roman" w:eastAsia="Calibri" w:hAnsi="Times New Roman" w:cs="Times New Roman"/>
          <w:sz w:val="24"/>
          <w:szCs w:val="24"/>
        </w:rPr>
        <w:t>n</w:t>
      </w:r>
      <w:r w:rsidR="00C91180" w:rsidRPr="00AF455E">
        <w:rPr>
          <w:rFonts w:ascii="Times New Roman" w:eastAsia="Calibri" w:hAnsi="Times New Roman" w:cs="Times New Roman"/>
          <w:sz w:val="24"/>
          <w:szCs w:val="24"/>
        </w:rPr>
        <w:t xml:space="preserve">et </w:t>
      </w:r>
      <w:r w:rsidR="00A83204" w:rsidRPr="00AF455E">
        <w:rPr>
          <w:rFonts w:ascii="Times New Roman" w:eastAsia="Calibri" w:hAnsi="Times New Roman" w:cs="Times New Roman"/>
          <w:sz w:val="24"/>
          <w:szCs w:val="24"/>
        </w:rPr>
        <w:t>r</w:t>
      </w:r>
      <w:r w:rsidR="00C91180" w:rsidRPr="00AF455E">
        <w:rPr>
          <w:rFonts w:ascii="Times New Roman" w:eastAsia="Calibri" w:hAnsi="Times New Roman" w:cs="Times New Roman"/>
          <w:sz w:val="24"/>
          <w:szCs w:val="24"/>
        </w:rPr>
        <w:t xml:space="preserve">eturns will allow members to assess the return their investment is generating in comparison to the returns of other products. </w:t>
      </w:r>
      <w:r w:rsidR="00F93311" w:rsidRPr="00AF455E">
        <w:rPr>
          <w:rFonts w:ascii="Times New Roman" w:eastAsia="Calibri" w:hAnsi="Times New Roman" w:cs="Times New Roman"/>
          <w:sz w:val="24"/>
          <w:szCs w:val="24"/>
        </w:rPr>
        <w:t xml:space="preserve">Second, products are ranked by total annual fees. Using this method, members </w:t>
      </w:r>
      <w:proofErr w:type="gramStart"/>
      <w:r w:rsidR="00F93311" w:rsidRPr="00AF455E">
        <w:rPr>
          <w:rFonts w:ascii="Times New Roman" w:eastAsia="Calibri" w:hAnsi="Times New Roman" w:cs="Times New Roman"/>
          <w:sz w:val="24"/>
          <w:szCs w:val="24"/>
        </w:rPr>
        <w:t>are able to</w:t>
      </w:r>
      <w:proofErr w:type="gramEnd"/>
      <w:r w:rsidR="00F93311" w:rsidRPr="00AF455E">
        <w:rPr>
          <w:rFonts w:ascii="Times New Roman" w:eastAsia="Calibri" w:hAnsi="Times New Roman" w:cs="Times New Roman"/>
          <w:sz w:val="24"/>
          <w:szCs w:val="24"/>
        </w:rPr>
        <w:t xml:space="preserve"> see the fees charged by their </w:t>
      </w:r>
      <w:r w:rsidR="00CB0343" w:rsidRPr="00AF455E">
        <w:rPr>
          <w:rFonts w:ascii="Times New Roman" w:eastAsia="Calibri" w:hAnsi="Times New Roman" w:cs="Times New Roman"/>
          <w:sz w:val="24"/>
          <w:szCs w:val="24"/>
        </w:rPr>
        <w:t>superannuation</w:t>
      </w:r>
      <w:r w:rsidR="00F93311" w:rsidRPr="00AF455E">
        <w:rPr>
          <w:rFonts w:ascii="Times New Roman" w:eastAsia="Calibri" w:hAnsi="Times New Roman" w:cs="Times New Roman"/>
          <w:sz w:val="24"/>
          <w:szCs w:val="24"/>
        </w:rPr>
        <w:t xml:space="preserve"> fund in comparison to other products managed by other </w:t>
      </w:r>
      <w:r w:rsidR="00CB0343" w:rsidRPr="00AF455E">
        <w:rPr>
          <w:rFonts w:ascii="Times New Roman" w:eastAsia="Calibri" w:hAnsi="Times New Roman" w:cs="Times New Roman"/>
          <w:sz w:val="24"/>
          <w:szCs w:val="24"/>
        </w:rPr>
        <w:t>superannuation</w:t>
      </w:r>
      <w:r w:rsidR="00F93311" w:rsidRPr="00AF455E">
        <w:rPr>
          <w:rFonts w:ascii="Times New Roman" w:eastAsia="Calibri" w:hAnsi="Times New Roman" w:cs="Times New Roman"/>
          <w:sz w:val="24"/>
          <w:szCs w:val="24"/>
        </w:rPr>
        <w:t xml:space="preserve"> funds. </w:t>
      </w:r>
      <w:r w:rsidR="00B14099" w:rsidRPr="00AF455E">
        <w:rPr>
          <w:rFonts w:ascii="Times New Roman" w:eastAsia="Calibri" w:hAnsi="Times New Roman" w:cs="Times New Roman"/>
          <w:sz w:val="24"/>
          <w:szCs w:val="24"/>
        </w:rPr>
        <w:t>This comparison will allow members to make informed judgements on the value of the fees that they pay and promote competition between superannuation funds.</w:t>
      </w:r>
    </w:p>
    <w:p w14:paraId="261BFC78" w14:textId="64B67750" w:rsidR="006643D9" w:rsidRPr="00AF455E" w:rsidRDefault="00B14099" w:rsidP="00F11482">
      <w:pPr>
        <w:widowControl w:val="0"/>
        <w:adjustRightInd w:val="0"/>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When products are ranked according to the </w:t>
      </w:r>
      <w:r w:rsidR="0029614B" w:rsidRPr="00AF455E">
        <w:rPr>
          <w:rFonts w:ascii="Times New Roman" w:eastAsia="Calibri" w:hAnsi="Times New Roman" w:cs="Times New Roman"/>
          <w:sz w:val="24"/>
          <w:szCs w:val="24"/>
        </w:rPr>
        <w:t xml:space="preserve">two </w:t>
      </w:r>
      <w:r w:rsidRPr="00AF455E">
        <w:rPr>
          <w:rFonts w:ascii="Times New Roman" w:eastAsia="Calibri" w:hAnsi="Times New Roman" w:cs="Times New Roman"/>
          <w:sz w:val="24"/>
          <w:szCs w:val="24"/>
        </w:rPr>
        <w:t>methods articulated above</w:t>
      </w:r>
      <w:r w:rsidR="00505207" w:rsidRPr="00AF455E">
        <w:rPr>
          <w:rFonts w:ascii="Times New Roman" w:eastAsia="Calibri" w:hAnsi="Times New Roman" w:cs="Times New Roman"/>
          <w:sz w:val="24"/>
          <w:szCs w:val="24"/>
        </w:rPr>
        <w:t xml:space="preserve">, </w:t>
      </w:r>
      <w:r w:rsidR="00965E72" w:rsidRPr="00AF455E">
        <w:rPr>
          <w:rFonts w:ascii="Times New Roman" w:eastAsia="Calibri" w:hAnsi="Times New Roman" w:cs="Times New Roman"/>
          <w:sz w:val="24"/>
          <w:szCs w:val="24"/>
        </w:rPr>
        <w:t>the information for each product will include</w:t>
      </w:r>
      <w:r w:rsidR="009E0201" w:rsidRPr="00AF455E">
        <w:rPr>
          <w:rFonts w:ascii="Times New Roman" w:eastAsia="Calibri" w:hAnsi="Times New Roman" w:cs="Times New Roman"/>
          <w:sz w:val="24"/>
          <w:szCs w:val="24"/>
        </w:rPr>
        <w:t xml:space="preserve"> </w:t>
      </w:r>
      <w:r w:rsidR="00505207" w:rsidRPr="00AF455E">
        <w:rPr>
          <w:rFonts w:ascii="Times New Roman" w:eastAsia="Calibri" w:hAnsi="Times New Roman" w:cs="Times New Roman"/>
          <w:sz w:val="24"/>
          <w:szCs w:val="24"/>
        </w:rPr>
        <w:t xml:space="preserve">the result of the most recent performance test </w:t>
      </w:r>
      <w:r w:rsidR="009E0201" w:rsidRPr="00AF455E">
        <w:rPr>
          <w:rFonts w:ascii="Times New Roman" w:eastAsia="Calibri" w:hAnsi="Times New Roman" w:cs="Times New Roman"/>
          <w:sz w:val="24"/>
          <w:szCs w:val="24"/>
        </w:rPr>
        <w:t>with products</w:t>
      </w:r>
      <w:r w:rsidR="002B07A4" w:rsidRPr="00AF455E">
        <w:rPr>
          <w:rFonts w:ascii="Times New Roman" w:eastAsia="Calibri" w:hAnsi="Times New Roman" w:cs="Times New Roman"/>
          <w:sz w:val="24"/>
          <w:szCs w:val="24"/>
        </w:rPr>
        <w:t xml:space="preserve"> that passed the test</w:t>
      </w:r>
      <w:r w:rsidR="009E0201" w:rsidRPr="00AF455E">
        <w:rPr>
          <w:rFonts w:ascii="Times New Roman" w:eastAsia="Calibri" w:hAnsi="Times New Roman" w:cs="Times New Roman"/>
          <w:sz w:val="24"/>
          <w:szCs w:val="24"/>
        </w:rPr>
        <w:t xml:space="preserve"> ranked </w:t>
      </w:r>
      <w:r w:rsidR="0030737B" w:rsidRPr="00AF455E">
        <w:rPr>
          <w:rFonts w:ascii="Times New Roman" w:eastAsia="Calibri" w:hAnsi="Times New Roman" w:cs="Times New Roman"/>
          <w:sz w:val="24"/>
          <w:szCs w:val="24"/>
        </w:rPr>
        <w:t>separately</w:t>
      </w:r>
      <w:r w:rsidR="00AA3BA0" w:rsidRPr="00AF455E">
        <w:rPr>
          <w:rFonts w:ascii="Times New Roman" w:eastAsia="Calibri" w:hAnsi="Times New Roman" w:cs="Times New Roman"/>
          <w:sz w:val="24"/>
          <w:szCs w:val="24"/>
        </w:rPr>
        <w:t xml:space="preserve"> to </w:t>
      </w:r>
      <w:r w:rsidR="009E0201" w:rsidRPr="00AF455E">
        <w:rPr>
          <w:rFonts w:ascii="Times New Roman" w:eastAsia="Calibri" w:hAnsi="Times New Roman" w:cs="Times New Roman"/>
          <w:sz w:val="24"/>
          <w:szCs w:val="24"/>
        </w:rPr>
        <w:t>products</w:t>
      </w:r>
      <w:r w:rsidR="002B07A4" w:rsidRPr="00AF455E">
        <w:rPr>
          <w:rFonts w:ascii="Times New Roman" w:eastAsia="Calibri" w:hAnsi="Times New Roman" w:cs="Times New Roman"/>
          <w:sz w:val="24"/>
          <w:szCs w:val="24"/>
        </w:rPr>
        <w:t xml:space="preserve"> that failed the test</w:t>
      </w:r>
      <w:r w:rsidR="00505207" w:rsidRPr="00AF455E">
        <w:rPr>
          <w:rFonts w:ascii="Times New Roman" w:eastAsia="Calibri" w:hAnsi="Times New Roman" w:cs="Times New Roman"/>
          <w:sz w:val="24"/>
          <w:szCs w:val="24"/>
        </w:rPr>
        <w:t xml:space="preserve">. </w:t>
      </w:r>
      <w:r w:rsidR="007A1C88" w:rsidRPr="00AF455E">
        <w:rPr>
          <w:rFonts w:ascii="Times New Roman" w:eastAsia="Calibri" w:hAnsi="Times New Roman" w:cs="Times New Roman"/>
          <w:sz w:val="24"/>
          <w:szCs w:val="24"/>
        </w:rPr>
        <w:t xml:space="preserve">For </w:t>
      </w:r>
      <w:proofErr w:type="spellStart"/>
      <w:r w:rsidR="007A1C88" w:rsidRPr="00AF455E">
        <w:rPr>
          <w:rFonts w:ascii="Times New Roman" w:eastAsia="Calibri" w:hAnsi="Times New Roman" w:cs="Times New Roman"/>
          <w:sz w:val="24"/>
          <w:szCs w:val="24"/>
        </w:rPr>
        <w:t>lifestages</w:t>
      </w:r>
      <w:proofErr w:type="spellEnd"/>
      <w:r w:rsidR="007A1C88" w:rsidRPr="00AF455E">
        <w:rPr>
          <w:rFonts w:ascii="Times New Roman" w:eastAsia="Calibri" w:hAnsi="Times New Roman" w:cs="Times New Roman"/>
          <w:sz w:val="24"/>
          <w:szCs w:val="24"/>
        </w:rPr>
        <w:t xml:space="preserve"> of lifecycle products, the result of the most recent performance test will be the result for the whole lifecycle product. </w:t>
      </w:r>
      <w:r w:rsidR="007F6C70" w:rsidRPr="00AF455E">
        <w:rPr>
          <w:rFonts w:ascii="Times New Roman" w:eastAsia="Calibri" w:hAnsi="Times New Roman" w:cs="Times New Roman"/>
          <w:sz w:val="24"/>
          <w:szCs w:val="24"/>
        </w:rPr>
        <w:t xml:space="preserve">Members will be able to clearly </w:t>
      </w:r>
      <w:r w:rsidR="002B07A4" w:rsidRPr="00AF455E">
        <w:rPr>
          <w:rFonts w:ascii="Times New Roman" w:eastAsia="Calibri" w:hAnsi="Times New Roman" w:cs="Times New Roman"/>
          <w:sz w:val="24"/>
          <w:szCs w:val="24"/>
        </w:rPr>
        <w:t>d</w:t>
      </w:r>
      <w:r w:rsidR="009E0201" w:rsidRPr="00AF455E">
        <w:rPr>
          <w:rFonts w:ascii="Times New Roman" w:eastAsia="Calibri" w:hAnsi="Times New Roman" w:cs="Times New Roman"/>
          <w:sz w:val="24"/>
          <w:szCs w:val="24"/>
        </w:rPr>
        <w:t xml:space="preserve">ifferentiate between those products that </w:t>
      </w:r>
      <w:r w:rsidR="003A66C3" w:rsidRPr="00AF455E">
        <w:rPr>
          <w:rFonts w:ascii="Times New Roman" w:eastAsia="Calibri" w:hAnsi="Times New Roman" w:cs="Times New Roman"/>
          <w:sz w:val="24"/>
          <w:szCs w:val="24"/>
        </w:rPr>
        <w:t xml:space="preserve">are performing and those that are underperforming. </w:t>
      </w:r>
    </w:p>
    <w:p w14:paraId="469F2C8B" w14:textId="5CF2E59B" w:rsidR="002468B3" w:rsidRPr="00AF455E" w:rsidRDefault="005B5221" w:rsidP="00B3714E">
      <w:pPr>
        <w:widowControl w:val="0"/>
        <w:adjustRightInd w:val="0"/>
        <w:jc w:val="both"/>
        <w:textAlignment w:val="baseline"/>
        <w:rPr>
          <w:rFonts w:ascii="Times New Roman" w:eastAsia="Calibri" w:hAnsi="Times New Roman" w:cs="Times New Roman"/>
          <w:i/>
          <w:sz w:val="24"/>
          <w:szCs w:val="24"/>
        </w:rPr>
      </w:pPr>
      <w:r w:rsidRPr="00AF455E">
        <w:rPr>
          <w:rFonts w:ascii="Times New Roman" w:eastAsia="Calibri" w:hAnsi="Times New Roman" w:cs="Times New Roman"/>
          <w:sz w:val="24"/>
          <w:szCs w:val="24"/>
        </w:rPr>
        <w:t xml:space="preserve">The information necessary for the rankings </w:t>
      </w:r>
      <w:r w:rsidR="00850242" w:rsidRPr="00AF455E">
        <w:rPr>
          <w:rFonts w:ascii="Times New Roman" w:eastAsia="Calibri" w:hAnsi="Times New Roman" w:cs="Times New Roman"/>
          <w:sz w:val="24"/>
          <w:szCs w:val="24"/>
        </w:rPr>
        <w:t>is</w:t>
      </w:r>
      <w:r w:rsidRPr="00AF455E">
        <w:rPr>
          <w:rFonts w:ascii="Times New Roman" w:eastAsia="Calibri" w:hAnsi="Times New Roman" w:cs="Times New Roman"/>
          <w:sz w:val="24"/>
          <w:szCs w:val="24"/>
        </w:rPr>
        <w:t xml:space="preserve"> reported to APRA under the </w:t>
      </w:r>
      <w:r w:rsidRPr="00AF455E">
        <w:rPr>
          <w:rFonts w:ascii="Times New Roman" w:eastAsia="Calibri" w:hAnsi="Times New Roman" w:cs="Times New Roman"/>
          <w:i/>
          <w:sz w:val="24"/>
          <w:szCs w:val="24"/>
        </w:rPr>
        <w:t>Financial Sector (Collection of Data) (reporting standard) determination No. 41 of 2015.</w:t>
      </w:r>
      <w:r w:rsidRPr="00AF455E">
        <w:rPr>
          <w:rFonts w:ascii="Times New Roman" w:eastAsia="Calibri" w:hAnsi="Times New Roman" w:cs="Times New Roman"/>
          <w:sz w:val="24"/>
          <w:szCs w:val="24"/>
        </w:rPr>
        <w:t xml:space="preserve"> </w:t>
      </w:r>
      <w:r w:rsidR="00850242" w:rsidRPr="00AF455E">
        <w:rPr>
          <w:rFonts w:ascii="Times New Roman" w:eastAsia="Calibri" w:hAnsi="Times New Roman" w:cs="Times New Roman"/>
          <w:sz w:val="24"/>
          <w:szCs w:val="24"/>
        </w:rPr>
        <w:t xml:space="preserve">The proposed Regulations incorporate </w:t>
      </w:r>
      <w:r w:rsidR="0029614B" w:rsidRPr="00AF455E">
        <w:rPr>
          <w:rFonts w:ascii="Times New Roman" w:eastAsia="Calibri" w:hAnsi="Times New Roman" w:cs="Times New Roman"/>
          <w:sz w:val="24"/>
          <w:szCs w:val="24"/>
        </w:rPr>
        <w:t xml:space="preserve">this </w:t>
      </w:r>
      <w:r w:rsidR="00850242" w:rsidRPr="00AF455E">
        <w:rPr>
          <w:rFonts w:ascii="Times New Roman" w:eastAsia="Calibri" w:hAnsi="Times New Roman" w:cs="Times New Roman"/>
          <w:sz w:val="24"/>
          <w:szCs w:val="24"/>
        </w:rPr>
        <w:t>instrument as in force at the commencement of the instrument</w:t>
      </w:r>
      <w:r w:rsidR="00850242" w:rsidRPr="00AF455E">
        <w:rPr>
          <w:rFonts w:ascii="Times New Roman" w:eastAsia="Calibri" w:hAnsi="Times New Roman" w:cs="Times New Roman"/>
          <w:i/>
          <w:sz w:val="24"/>
          <w:szCs w:val="24"/>
        </w:rPr>
        <w:t xml:space="preserve">, </w:t>
      </w:r>
      <w:r w:rsidR="00850242" w:rsidRPr="00AF455E">
        <w:rPr>
          <w:rFonts w:ascii="Times New Roman" w:eastAsia="Calibri" w:hAnsi="Times New Roman" w:cs="Times New Roman"/>
          <w:sz w:val="24"/>
          <w:szCs w:val="24"/>
        </w:rPr>
        <w:t xml:space="preserve">and analogous past and future instruments. </w:t>
      </w:r>
      <w:r w:rsidR="002F0CBD" w:rsidRPr="00AF455E">
        <w:rPr>
          <w:rFonts w:ascii="Times New Roman" w:eastAsia="Calibri" w:hAnsi="Times New Roman" w:cs="Times New Roman"/>
          <w:sz w:val="24"/>
          <w:szCs w:val="24"/>
        </w:rPr>
        <w:t xml:space="preserve">Such instruments are defined as the ‘fees standard’ in the proposed Regulations. </w:t>
      </w:r>
      <w:r w:rsidRPr="00AF455E">
        <w:rPr>
          <w:rFonts w:ascii="Times New Roman" w:eastAsia="Calibri" w:hAnsi="Times New Roman" w:cs="Times New Roman"/>
          <w:sz w:val="24"/>
          <w:szCs w:val="24"/>
        </w:rPr>
        <w:t xml:space="preserve">The incorporated determinations, past, </w:t>
      </w:r>
      <w:proofErr w:type="gramStart"/>
      <w:r w:rsidRPr="00AF455E">
        <w:rPr>
          <w:rFonts w:ascii="Times New Roman" w:eastAsia="Calibri" w:hAnsi="Times New Roman" w:cs="Times New Roman"/>
          <w:sz w:val="24"/>
          <w:szCs w:val="24"/>
        </w:rPr>
        <w:t>present</w:t>
      </w:r>
      <w:proofErr w:type="gramEnd"/>
      <w:r w:rsidRPr="00AF455E">
        <w:rPr>
          <w:rFonts w:ascii="Times New Roman" w:eastAsia="Calibri" w:hAnsi="Times New Roman" w:cs="Times New Roman"/>
          <w:sz w:val="24"/>
          <w:szCs w:val="24"/>
        </w:rPr>
        <w:t xml:space="preserve"> and future, are freely and publicly available or will be available on the Federal Register of Legislation. </w:t>
      </w:r>
    </w:p>
    <w:p w14:paraId="6D834DE5" w14:textId="77777777" w:rsidR="00B3714E" w:rsidRPr="00AF455E" w:rsidRDefault="00B3714E" w:rsidP="00B3714E">
      <w:pPr>
        <w:widowControl w:val="0"/>
        <w:adjustRightInd w:val="0"/>
        <w:jc w:val="both"/>
        <w:textAlignment w:val="baseline"/>
        <w:rPr>
          <w:rFonts w:ascii="Times New Roman" w:eastAsia="Calibri" w:hAnsi="Times New Roman" w:cs="Times New Roman"/>
          <w:i/>
          <w:sz w:val="24"/>
          <w:szCs w:val="24"/>
        </w:rPr>
      </w:pPr>
    </w:p>
    <w:p w14:paraId="0C622CF9" w14:textId="3D5B8842" w:rsidR="00F11482" w:rsidRPr="00AF455E" w:rsidRDefault="00117732" w:rsidP="00F11482">
      <w:pPr>
        <w:widowControl w:val="0"/>
        <w:adjustRightInd w:val="0"/>
        <w:spacing w:before="240" w:after="120" w:line="240" w:lineRule="auto"/>
        <w:jc w:val="both"/>
        <w:textAlignment w:val="baseline"/>
        <w:rPr>
          <w:rFonts w:ascii="Times New Roman" w:eastAsia="Calibri" w:hAnsi="Times New Roman" w:cs="Times New Roman"/>
          <w:b/>
          <w:sz w:val="24"/>
          <w:szCs w:val="24"/>
        </w:rPr>
      </w:pPr>
      <w:r w:rsidRPr="00AF455E">
        <w:rPr>
          <w:rFonts w:ascii="Times New Roman" w:eastAsia="Calibri" w:hAnsi="Times New Roman" w:cs="Times New Roman"/>
          <w:b/>
          <w:sz w:val="24"/>
          <w:szCs w:val="24"/>
        </w:rPr>
        <w:t xml:space="preserve">Item </w:t>
      </w:r>
      <w:r w:rsidR="00BA5313" w:rsidRPr="00AF455E">
        <w:rPr>
          <w:rFonts w:ascii="Times New Roman" w:eastAsia="Calibri" w:hAnsi="Times New Roman" w:cs="Times New Roman"/>
          <w:b/>
          <w:sz w:val="24"/>
          <w:szCs w:val="24"/>
        </w:rPr>
        <w:t>4</w:t>
      </w:r>
      <w:r w:rsidRPr="00AF455E">
        <w:rPr>
          <w:rFonts w:ascii="Times New Roman" w:eastAsia="Calibri" w:hAnsi="Times New Roman" w:cs="Times New Roman"/>
          <w:b/>
          <w:sz w:val="24"/>
          <w:szCs w:val="24"/>
        </w:rPr>
        <w:t xml:space="preserve"> (proposed </w:t>
      </w:r>
      <w:r w:rsidR="00C40CFC" w:rsidRPr="00AF455E">
        <w:rPr>
          <w:rFonts w:ascii="Times New Roman" w:eastAsia="Calibri" w:hAnsi="Times New Roman" w:cs="Times New Roman"/>
          <w:b/>
          <w:sz w:val="24"/>
          <w:szCs w:val="24"/>
        </w:rPr>
        <w:t xml:space="preserve">regulation 9AB.1 </w:t>
      </w:r>
      <w:r w:rsidR="005D6EB0" w:rsidRPr="00AF455E">
        <w:rPr>
          <w:rFonts w:ascii="Times New Roman" w:eastAsia="Calibri" w:hAnsi="Times New Roman" w:cs="Times New Roman"/>
          <w:b/>
          <w:sz w:val="24"/>
          <w:szCs w:val="24"/>
        </w:rPr>
        <w:t>and Part 9A</w:t>
      </w:r>
      <w:r w:rsidR="00F50318" w:rsidRPr="00AF455E">
        <w:rPr>
          <w:rFonts w:ascii="Times New Roman" w:eastAsia="Calibri" w:hAnsi="Times New Roman" w:cs="Times New Roman"/>
          <w:b/>
          <w:sz w:val="24"/>
          <w:szCs w:val="24"/>
        </w:rPr>
        <w:t>B</w:t>
      </w:r>
      <w:r w:rsidR="005D6EB0" w:rsidRPr="00AF455E">
        <w:rPr>
          <w:rFonts w:ascii="Times New Roman" w:eastAsia="Calibri" w:hAnsi="Times New Roman" w:cs="Times New Roman"/>
          <w:b/>
          <w:sz w:val="24"/>
          <w:szCs w:val="24"/>
        </w:rPr>
        <w:t xml:space="preserve"> </w:t>
      </w:r>
      <w:r w:rsidRPr="00AF455E">
        <w:rPr>
          <w:rFonts w:ascii="Times New Roman" w:eastAsia="Calibri" w:hAnsi="Times New Roman" w:cs="Times New Roman"/>
          <w:b/>
          <w:sz w:val="24"/>
          <w:szCs w:val="24"/>
        </w:rPr>
        <w:t xml:space="preserve">of the SIS Regs) - Consequential amendments </w:t>
      </w:r>
    </w:p>
    <w:p w14:paraId="079D6C65" w14:textId="5828D342" w:rsidR="00117732" w:rsidRPr="00AF455E" w:rsidRDefault="007241B0" w:rsidP="00F11482">
      <w:pPr>
        <w:widowControl w:val="0"/>
        <w:adjustRightInd w:val="0"/>
        <w:spacing w:before="240" w:after="120" w:line="240" w:lineRule="auto"/>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proposed Regulations insert a new Part 9AB of the SIS Regs, setting out the requirements for the annual performance test and amendments supporting the </w:t>
      </w:r>
      <w:r w:rsidRPr="00AF455E">
        <w:rPr>
          <w:rFonts w:ascii="Times New Roman" w:eastAsia="Calibri" w:hAnsi="Times New Roman" w:cs="Times New Roman"/>
          <w:sz w:val="24"/>
          <w:szCs w:val="24"/>
        </w:rPr>
        <w:lastRenderedPageBreak/>
        <w:t xml:space="preserve">implementation of the </w:t>
      </w:r>
      <w:proofErr w:type="spellStart"/>
      <w:r w:rsidR="001E2BF1" w:rsidRPr="00AF455E">
        <w:rPr>
          <w:rFonts w:ascii="Times New Roman" w:eastAsia="Calibri" w:hAnsi="Times New Roman" w:cs="Times New Roman"/>
          <w:sz w:val="24"/>
          <w:szCs w:val="24"/>
        </w:rPr>
        <w:t>YourSuper</w:t>
      </w:r>
      <w:proofErr w:type="spellEnd"/>
      <w:r w:rsidR="001E2BF1" w:rsidRPr="00AF455E">
        <w:rPr>
          <w:rFonts w:ascii="Times New Roman" w:eastAsia="Calibri" w:hAnsi="Times New Roman" w:cs="Times New Roman"/>
          <w:sz w:val="24"/>
          <w:szCs w:val="24"/>
        </w:rPr>
        <w:t xml:space="preserve"> </w:t>
      </w:r>
      <w:r w:rsidRPr="00AF455E">
        <w:rPr>
          <w:rFonts w:ascii="Times New Roman" w:eastAsia="Calibri" w:hAnsi="Times New Roman" w:cs="Times New Roman"/>
          <w:sz w:val="24"/>
          <w:szCs w:val="24"/>
        </w:rPr>
        <w:t xml:space="preserve">comparison tool.  </w:t>
      </w:r>
    </w:p>
    <w:p w14:paraId="729D749E" w14:textId="4EBE4F5E" w:rsidR="00C40CFC" w:rsidRPr="00AF455E" w:rsidRDefault="00AB4137" w:rsidP="00F11482">
      <w:pPr>
        <w:widowControl w:val="0"/>
        <w:adjustRightInd w:val="0"/>
        <w:spacing w:before="240" w:after="120" w:line="240" w:lineRule="auto"/>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Consequential amendments are made to insert relevant headings and an interpretation provision for the new Part, containing </w:t>
      </w:r>
      <w:r w:rsidR="00E54A00" w:rsidRPr="00AF455E">
        <w:rPr>
          <w:rFonts w:ascii="Times New Roman" w:eastAsia="Calibri" w:hAnsi="Times New Roman" w:cs="Times New Roman"/>
          <w:sz w:val="24"/>
          <w:szCs w:val="24"/>
        </w:rPr>
        <w:t>supporting</w:t>
      </w:r>
      <w:r w:rsidRPr="00AF455E">
        <w:rPr>
          <w:rFonts w:ascii="Times New Roman" w:eastAsia="Calibri" w:hAnsi="Times New Roman" w:cs="Times New Roman"/>
          <w:sz w:val="24"/>
          <w:szCs w:val="24"/>
        </w:rPr>
        <w:t xml:space="preserve"> definitions. </w:t>
      </w:r>
    </w:p>
    <w:p w14:paraId="2484D015" w14:textId="77777777" w:rsidR="00117732" w:rsidRPr="00AF455E" w:rsidRDefault="00117732" w:rsidP="00F11482">
      <w:pPr>
        <w:widowControl w:val="0"/>
        <w:adjustRightInd w:val="0"/>
        <w:spacing w:before="240" w:after="120" w:line="240" w:lineRule="auto"/>
        <w:jc w:val="both"/>
        <w:textAlignment w:val="baseline"/>
        <w:rPr>
          <w:rFonts w:ascii="Times New Roman" w:eastAsia="Calibri" w:hAnsi="Times New Roman" w:cs="Times New Roman"/>
          <w:sz w:val="24"/>
          <w:szCs w:val="24"/>
        </w:rPr>
      </w:pPr>
    </w:p>
    <w:p w14:paraId="207B6830" w14:textId="11729571" w:rsidR="00F11482" w:rsidRPr="00AF455E" w:rsidRDefault="00781D97" w:rsidP="00F11482">
      <w:pPr>
        <w:widowControl w:val="0"/>
        <w:adjustRightInd w:val="0"/>
        <w:jc w:val="both"/>
        <w:textAlignment w:val="baseline"/>
        <w:rPr>
          <w:rFonts w:ascii="Times New Roman" w:eastAsia="Calibri" w:hAnsi="Times New Roman" w:cs="Times New Roman"/>
          <w:b/>
          <w:sz w:val="24"/>
          <w:szCs w:val="24"/>
        </w:rPr>
      </w:pPr>
      <w:r w:rsidRPr="00AF455E">
        <w:rPr>
          <w:rFonts w:ascii="Times New Roman" w:eastAsia="Calibri" w:hAnsi="Times New Roman" w:cs="Times New Roman"/>
          <w:b/>
          <w:sz w:val="24"/>
          <w:szCs w:val="24"/>
        </w:rPr>
        <w:t xml:space="preserve">Item </w:t>
      </w:r>
      <w:r w:rsidR="00EF4DE3" w:rsidRPr="00AF455E">
        <w:rPr>
          <w:rFonts w:ascii="Times New Roman" w:eastAsia="Calibri" w:hAnsi="Times New Roman" w:cs="Times New Roman"/>
          <w:b/>
          <w:sz w:val="24"/>
          <w:szCs w:val="24"/>
        </w:rPr>
        <w:t>5</w:t>
      </w:r>
      <w:r w:rsidRPr="00AF455E">
        <w:rPr>
          <w:rFonts w:ascii="Times New Roman" w:eastAsia="Calibri" w:hAnsi="Times New Roman" w:cs="Times New Roman"/>
          <w:b/>
          <w:sz w:val="24"/>
          <w:szCs w:val="24"/>
        </w:rPr>
        <w:t xml:space="preserve"> (proposed </w:t>
      </w:r>
      <w:r w:rsidR="003E79A4" w:rsidRPr="00AF455E">
        <w:rPr>
          <w:rFonts w:ascii="Times New Roman" w:eastAsia="Calibri" w:hAnsi="Times New Roman" w:cs="Times New Roman"/>
          <w:b/>
          <w:sz w:val="24"/>
          <w:szCs w:val="24"/>
        </w:rPr>
        <w:t>regulation</w:t>
      </w:r>
      <w:r w:rsidRPr="00AF455E">
        <w:rPr>
          <w:rFonts w:ascii="Times New Roman" w:eastAsia="Calibri" w:hAnsi="Times New Roman" w:cs="Times New Roman"/>
          <w:b/>
          <w:sz w:val="24"/>
          <w:szCs w:val="24"/>
        </w:rPr>
        <w:t xml:space="preserve"> 14.</w:t>
      </w:r>
      <w:r w:rsidR="007238C2" w:rsidRPr="00AF455E">
        <w:rPr>
          <w:rFonts w:ascii="Times New Roman" w:eastAsia="Calibri" w:hAnsi="Times New Roman" w:cs="Times New Roman"/>
          <w:b/>
          <w:sz w:val="24"/>
          <w:szCs w:val="24"/>
        </w:rPr>
        <w:t>28</w:t>
      </w:r>
      <w:r w:rsidRPr="00AF455E">
        <w:rPr>
          <w:rFonts w:ascii="Times New Roman" w:eastAsia="Calibri" w:hAnsi="Times New Roman" w:cs="Times New Roman"/>
          <w:b/>
          <w:sz w:val="24"/>
          <w:szCs w:val="24"/>
        </w:rPr>
        <w:t xml:space="preserve"> </w:t>
      </w:r>
      <w:r w:rsidR="002E3D5C" w:rsidRPr="00AF455E">
        <w:rPr>
          <w:rFonts w:ascii="Times New Roman" w:eastAsia="Calibri" w:hAnsi="Times New Roman" w:cs="Times New Roman"/>
          <w:b/>
          <w:sz w:val="24"/>
          <w:szCs w:val="24"/>
        </w:rPr>
        <w:t>and Division 14.</w:t>
      </w:r>
      <w:r w:rsidR="007238C2" w:rsidRPr="00AF455E">
        <w:rPr>
          <w:rFonts w:ascii="Times New Roman" w:eastAsia="Calibri" w:hAnsi="Times New Roman" w:cs="Times New Roman"/>
          <w:b/>
          <w:sz w:val="24"/>
          <w:szCs w:val="24"/>
        </w:rPr>
        <w:t>27</w:t>
      </w:r>
      <w:r w:rsidR="002E3D5C" w:rsidRPr="00AF455E">
        <w:rPr>
          <w:rFonts w:ascii="Times New Roman" w:eastAsia="Calibri" w:hAnsi="Times New Roman" w:cs="Times New Roman"/>
          <w:b/>
          <w:sz w:val="24"/>
          <w:szCs w:val="24"/>
        </w:rPr>
        <w:t xml:space="preserve"> </w:t>
      </w:r>
      <w:r w:rsidRPr="00AF455E">
        <w:rPr>
          <w:rFonts w:ascii="Times New Roman" w:eastAsia="Calibri" w:hAnsi="Times New Roman" w:cs="Times New Roman"/>
          <w:b/>
          <w:sz w:val="24"/>
          <w:szCs w:val="24"/>
        </w:rPr>
        <w:t xml:space="preserve">of the SIS Regs) - </w:t>
      </w:r>
      <w:r w:rsidR="00F11482" w:rsidRPr="00AF455E">
        <w:rPr>
          <w:rFonts w:ascii="Times New Roman" w:eastAsia="Calibri" w:hAnsi="Times New Roman" w:cs="Times New Roman"/>
          <w:b/>
          <w:sz w:val="24"/>
          <w:szCs w:val="24"/>
        </w:rPr>
        <w:t xml:space="preserve">Application </w:t>
      </w:r>
      <w:r w:rsidR="00C55CF5" w:rsidRPr="00AF455E">
        <w:rPr>
          <w:rFonts w:ascii="Times New Roman" w:eastAsia="Calibri" w:hAnsi="Times New Roman" w:cs="Times New Roman"/>
          <w:b/>
          <w:sz w:val="24"/>
          <w:szCs w:val="24"/>
        </w:rPr>
        <w:t xml:space="preserve">and transitional </w:t>
      </w:r>
      <w:r w:rsidR="00F11482" w:rsidRPr="00AF455E">
        <w:rPr>
          <w:rFonts w:ascii="Times New Roman" w:eastAsia="Calibri" w:hAnsi="Times New Roman" w:cs="Times New Roman"/>
          <w:b/>
          <w:sz w:val="24"/>
          <w:szCs w:val="24"/>
        </w:rPr>
        <w:t>rules</w:t>
      </w:r>
    </w:p>
    <w:p w14:paraId="076FDDEF" w14:textId="3F638556" w:rsidR="00C40CFC" w:rsidRPr="00AF455E" w:rsidRDefault="00C40CFC" w:rsidP="00C40CFC">
      <w:pPr>
        <w:widowControl w:val="0"/>
        <w:adjustRightInd w:val="0"/>
        <w:spacing w:before="240" w:after="120" w:line="240" w:lineRule="auto"/>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The amendments insert a new Division 14.2</w:t>
      </w:r>
      <w:r w:rsidR="002E3D5C" w:rsidRPr="00AF455E">
        <w:rPr>
          <w:rFonts w:ascii="Times New Roman" w:eastAsia="Calibri" w:hAnsi="Times New Roman" w:cs="Times New Roman"/>
          <w:sz w:val="24"/>
          <w:szCs w:val="24"/>
        </w:rPr>
        <w:t>8</w:t>
      </w:r>
      <w:r w:rsidRPr="00AF455E">
        <w:rPr>
          <w:rFonts w:ascii="Times New Roman" w:eastAsia="Calibri" w:hAnsi="Times New Roman" w:cs="Times New Roman"/>
          <w:sz w:val="24"/>
          <w:szCs w:val="24"/>
        </w:rPr>
        <w:t xml:space="preserve"> of the SIS Regs to deal with application and transitional rules.</w:t>
      </w:r>
    </w:p>
    <w:p w14:paraId="0F0AB97C" w14:textId="6C3C49CF" w:rsidR="0026128A" w:rsidRPr="00AF455E" w:rsidRDefault="00F11482" w:rsidP="00AB7E29">
      <w:pPr>
        <w:widowControl w:val="0"/>
        <w:adjustRightInd w:val="0"/>
        <w:spacing w:before="240" w:after="120" w:line="240" w:lineRule="auto"/>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The amendments relating to the new annual performance test </w:t>
      </w:r>
      <w:r w:rsidR="000F06B9" w:rsidRPr="00AF455E">
        <w:rPr>
          <w:rFonts w:ascii="Times New Roman" w:eastAsia="Calibri" w:hAnsi="Times New Roman" w:cs="Times New Roman"/>
          <w:sz w:val="24"/>
          <w:szCs w:val="24"/>
        </w:rPr>
        <w:t xml:space="preserve">and supporting implementation of the comparison tool </w:t>
      </w:r>
      <w:r w:rsidRPr="00AF455E">
        <w:rPr>
          <w:rFonts w:ascii="Times New Roman" w:eastAsia="Calibri" w:hAnsi="Times New Roman" w:cs="Times New Roman"/>
          <w:sz w:val="24"/>
          <w:szCs w:val="24"/>
        </w:rPr>
        <w:t xml:space="preserve">apply in relation to </w:t>
      </w:r>
      <w:proofErr w:type="spellStart"/>
      <w:r w:rsidRPr="00AF455E">
        <w:rPr>
          <w:rFonts w:ascii="Times New Roman" w:eastAsia="Calibri" w:hAnsi="Times New Roman" w:cs="Times New Roman"/>
          <w:sz w:val="24"/>
          <w:szCs w:val="24"/>
        </w:rPr>
        <w:t>MySuper</w:t>
      </w:r>
      <w:proofErr w:type="spellEnd"/>
      <w:r w:rsidRPr="00AF455E">
        <w:rPr>
          <w:rFonts w:ascii="Times New Roman" w:eastAsia="Calibri" w:hAnsi="Times New Roman" w:cs="Times New Roman"/>
          <w:sz w:val="24"/>
          <w:szCs w:val="24"/>
        </w:rPr>
        <w:t xml:space="preserve"> products on and after 1 July 2021 and in relation trustee-directed products on and after 1 July 2022.</w:t>
      </w:r>
      <w:r w:rsidR="00244EE7" w:rsidRPr="00AF455E">
        <w:rPr>
          <w:rFonts w:ascii="Times New Roman" w:eastAsia="Calibri" w:hAnsi="Times New Roman" w:cs="Times New Roman"/>
          <w:sz w:val="24"/>
          <w:szCs w:val="24"/>
        </w:rPr>
        <w:t xml:space="preserve"> The </w:t>
      </w:r>
      <w:proofErr w:type="spellStart"/>
      <w:r w:rsidR="004D6E3F" w:rsidRPr="00AF455E">
        <w:rPr>
          <w:rFonts w:ascii="Times New Roman" w:eastAsia="Calibri" w:hAnsi="Times New Roman" w:cs="Times New Roman"/>
          <w:sz w:val="24"/>
          <w:szCs w:val="24"/>
        </w:rPr>
        <w:t>YourSuper</w:t>
      </w:r>
      <w:proofErr w:type="spellEnd"/>
      <w:r w:rsidR="00244EE7" w:rsidRPr="00AF455E">
        <w:rPr>
          <w:rFonts w:ascii="Times New Roman" w:eastAsia="Calibri" w:hAnsi="Times New Roman" w:cs="Times New Roman"/>
          <w:sz w:val="24"/>
          <w:szCs w:val="24"/>
        </w:rPr>
        <w:t xml:space="preserve"> comparison tool will cover </w:t>
      </w:r>
      <w:proofErr w:type="spellStart"/>
      <w:r w:rsidR="00244EE7" w:rsidRPr="00AF455E">
        <w:rPr>
          <w:rFonts w:ascii="Times New Roman" w:eastAsia="Calibri" w:hAnsi="Times New Roman" w:cs="Times New Roman"/>
          <w:sz w:val="24"/>
          <w:szCs w:val="24"/>
        </w:rPr>
        <w:t>MySuper</w:t>
      </w:r>
      <w:proofErr w:type="spellEnd"/>
      <w:r w:rsidR="00244EE7" w:rsidRPr="00AF455E">
        <w:rPr>
          <w:rFonts w:ascii="Times New Roman" w:eastAsia="Calibri" w:hAnsi="Times New Roman" w:cs="Times New Roman"/>
          <w:sz w:val="24"/>
          <w:szCs w:val="24"/>
        </w:rPr>
        <w:t xml:space="preserve"> products.</w:t>
      </w:r>
      <w:r w:rsidR="0026128A" w:rsidRPr="00AF455E">
        <w:rPr>
          <w:rFonts w:ascii="Times New Roman" w:eastAsia="Calibri" w:hAnsi="Times New Roman" w:cs="Times New Roman"/>
          <w:sz w:val="24"/>
          <w:szCs w:val="24"/>
        </w:rPr>
        <w:t xml:space="preserve"> </w:t>
      </w:r>
    </w:p>
    <w:p w14:paraId="38DDA525" w14:textId="6D96F88B" w:rsidR="00F11482" w:rsidRPr="00AF455E" w:rsidRDefault="0026128A" w:rsidP="00AB7E29">
      <w:pPr>
        <w:widowControl w:val="0"/>
        <w:adjustRightInd w:val="0"/>
        <w:spacing w:before="240" w:after="120" w:line="240" w:lineRule="auto"/>
        <w:jc w:val="both"/>
        <w:textAlignment w:val="baseline"/>
        <w:rPr>
          <w:rFonts w:ascii="Times New Roman" w:eastAsia="Calibri" w:hAnsi="Times New Roman" w:cs="Times New Roman"/>
          <w:sz w:val="24"/>
          <w:szCs w:val="24"/>
        </w:rPr>
      </w:pPr>
      <w:r w:rsidRPr="00AF455E">
        <w:rPr>
          <w:rFonts w:ascii="Times New Roman" w:eastAsia="Calibri" w:hAnsi="Times New Roman" w:cs="Times New Roman"/>
          <w:sz w:val="24"/>
          <w:szCs w:val="24"/>
        </w:rPr>
        <w:t xml:space="preserve">A transitional rule is provided for the first performance assessment, which is conducted for the financial year 2020-21, such that </w:t>
      </w:r>
      <w:r w:rsidR="00BB6C86" w:rsidRPr="00AF455E">
        <w:rPr>
          <w:rFonts w:ascii="Times New Roman" w:eastAsia="Calibri" w:hAnsi="Times New Roman" w:cs="Times New Roman"/>
          <w:sz w:val="24"/>
          <w:szCs w:val="24"/>
        </w:rPr>
        <w:t>the lookback period will commence no earlier than the 1 July that is 6 years before 1 July 202</w:t>
      </w:r>
      <w:r w:rsidR="008660AD" w:rsidRPr="00AF455E">
        <w:rPr>
          <w:rFonts w:ascii="Times New Roman" w:eastAsia="Calibri" w:hAnsi="Times New Roman" w:cs="Times New Roman"/>
          <w:sz w:val="24"/>
          <w:szCs w:val="24"/>
        </w:rPr>
        <w:t>0</w:t>
      </w:r>
      <w:r w:rsidR="00BB6C86" w:rsidRPr="00AF455E">
        <w:rPr>
          <w:rFonts w:ascii="Times New Roman" w:eastAsia="Calibri" w:hAnsi="Times New Roman" w:cs="Times New Roman"/>
          <w:sz w:val="24"/>
          <w:szCs w:val="24"/>
        </w:rPr>
        <w:t xml:space="preserve"> (being 1 July </w:t>
      </w:r>
      <w:r w:rsidR="006F7473" w:rsidRPr="00AF455E">
        <w:rPr>
          <w:rFonts w:ascii="Times New Roman" w:eastAsia="Calibri" w:hAnsi="Times New Roman" w:cs="Times New Roman"/>
          <w:sz w:val="24"/>
          <w:szCs w:val="24"/>
        </w:rPr>
        <w:t>2014</w:t>
      </w:r>
      <w:r w:rsidR="00BB6C86" w:rsidRPr="00AF455E">
        <w:rPr>
          <w:rFonts w:ascii="Times New Roman" w:eastAsia="Calibri" w:hAnsi="Times New Roman" w:cs="Times New Roman"/>
          <w:sz w:val="24"/>
          <w:szCs w:val="24"/>
        </w:rPr>
        <w:t xml:space="preserve">). This means </w:t>
      </w:r>
      <w:r w:rsidRPr="00AF455E">
        <w:rPr>
          <w:rFonts w:ascii="Times New Roman" w:eastAsia="Calibri" w:hAnsi="Times New Roman" w:cs="Times New Roman"/>
          <w:sz w:val="24"/>
          <w:szCs w:val="24"/>
        </w:rPr>
        <w:t xml:space="preserve">a maximum of 7 financial years of performance history is included in the lookback period. This aligns the lookback period with available APRA data.    </w:t>
      </w:r>
    </w:p>
    <w:p w14:paraId="53C9ED39" w14:textId="57FE8895" w:rsidR="006900C0" w:rsidRPr="00AF455E" w:rsidRDefault="006900C0" w:rsidP="00944108">
      <w:pPr>
        <w:widowControl w:val="0"/>
        <w:tabs>
          <w:tab w:val="left" w:pos="2835"/>
        </w:tabs>
        <w:adjustRightInd w:val="0"/>
        <w:spacing w:before="240" w:after="120" w:line="360" w:lineRule="atLeast"/>
        <w:ind w:right="91"/>
        <w:jc w:val="both"/>
        <w:textAlignment w:val="baseline"/>
        <w:rPr>
          <w:rFonts w:ascii="Times New Roman" w:eastAsia="Times New Roman" w:hAnsi="Times New Roman" w:cs="Times New Roman"/>
          <w:b/>
          <w:kern w:val="28"/>
          <w:sz w:val="24"/>
          <w:szCs w:val="24"/>
          <w:lang w:eastAsia="en-AU"/>
        </w:rPr>
      </w:pPr>
    </w:p>
    <w:p w14:paraId="5ACAA0FB" w14:textId="0463305E" w:rsidR="006900C0" w:rsidRPr="00AF455E" w:rsidRDefault="006900C0" w:rsidP="00944108">
      <w:pPr>
        <w:widowControl w:val="0"/>
        <w:tabs>
          <w:tab w:val="left" w:pos="2835"/>
        </w:tabs>
        <w:adjustRightInd w:val="0"/>
        <w:spacing w:before="240" w:after="120" w:line="360" w:lineRule="atLeast"/>
        <w:ind w:right="91"/>
        <w:jc w:val="both"/>
        <w:textAlignment w:val="baseline"/>
        <w:rPr>
          <w:rFonts w:ascii="Times New Roman" w:eastAsia="Times New Roman" w:hAnsi="Times New Roman" w:cs="Times New Roman"/>
          <w:b/>
          <w:kern w:val="28"/>
          <w:sz w:val="24"/>
          <w:szCs w:val="24"/>
          <w:lang w:eastAsia="en-AU"/>
        </w:rPr>
      </w:pPr>
    </w:p>
    <w:p w14:paraId="6C433F8B" w14:textId="103B10D2" w:rsidR="006900C0" w:rsidRPr="00AF455E" w:rsidRDefault="006900C0" w:rsidP="00944108">
      <w:pPr>
        <w:widowControl w:val="0"/>
        <w:tabs>
          <w:tab w:val="left" w:pos="2835"/>
        </w:tabs>
        <w:adjustRightInd w:val="0"/>
        <w:spacing w:before="240" w:after="120" w:line="360" w:lineRule="atLeast"/>
        <w:ind w:right="91"/>
        <w:jc w:val="both"/>
        <w:textAlignment w:val="baseline"/>
        <w:rPr>
          <w:rFonts w:ascii="Times New Roman" w:eastAsia="Times New Roman" w:hAnsi="Times New Roman" w:cs="Times New Roman"/>
          <w:b/>
          <w:kern w:val="28"/>
          <w:sz w:val="24"/>
          <w:szCs w:val="24"/>
          <w:lang w:eastAsia="en-AU"/>
        </w:rPr>
      </w:pPr>
    </w:p>
    <w:p w14:paraId="45010342" w14:textId="397A2EC8" w:rsidR="006900C0" w:rsidRPr="00AF455E" w:rsidRDefault="006900C0" w:rsidP="00944108">
      <w:pPr>
        <w:widowControl w:val="0"/>
        <w:tabs>
          <w:tab w:val="left" w:pos="2835"/>
        </w:tabs>
        <w:adjustRightInd w:val="0"/>
        <w:spacing w:before="240" w:after="120" w:line="360" w:lineRule="atLeast"/>
        <w:ind w:right="91"/>
        <w:jc w:val="both"/>
        <w:textAlignment w:val="baseline"/>
        <w:rPr>
          <w:rFonts w:ascii="Times New Roman" w:eastAsia="Times New Roman" w:hAnsi="Times New Roman" w:cs="Times New Roman"/>
          <w:b/>
          <w:kern w:val="28"/>
          <w:sz w:val="24"/>
          <w:szCs w:val="24"/>
          <w:lang w:eastAsia="en-AU"/>
        </w:rPr>
      </w:pPr>
    </w:p>
    <w:p w14:paraId="1F617E4F" w14:textId="28089A19" w:rsidR="006900C0" w:rsidRPr="00AF455E" w:rsidRDefault="006900C0" w:rsidP="00944108">
      <w:pPr>
        <w:widowControl w:val="0"/>
        <w:tabs>
          <w:tab w:val="left" w:pos="2835"/>
        </w:tabs>
        <w:adjustRightInd w:val="0"/>
        <w:spacing w:before="240" w:after="120" w:line="360" w:lineRule="atLeast"/>
        <w:ind w:right="91"/>
        <w:jc w:val="both"/>
        <w:textAlignment w:val="baseline"/>
        <w:rPr>
          <w:rFonts w:ascii="Times New Roman" w:eastAsia="Times New Roman" w:hAnsi="Times New Roman" w:cs="Times New Roman"/>
          <w:b/>
          <w:kern w:val="28"/>
          <w:sz w:val="24"/>
          <w:szCs w:val="24"/>
          <w:lang w:eastAsia="en-AU"/>
        </w:rPr>
      </w:pPr>
    </w:p>
    <w:p w14:paraId="6D0C8659" w14:textId="5077E5C9" w:rsidR="006900C0" w:rsidRPr="00AF455E" w:rsidRDefault="006900C0" w:rsidP="00944108">
      <w:pPr>
        <w:widowControl w:val="0"/>
        <w:tabs>
          <w:tab w:val="left" w:pos="2835"/>
        </w:tabs>
        <w:adjustRightInd w:val="0"/>
        <w:spacing w:before="240" w:after="120" w:line="360" w:lineRule="atLeast"/>
        <w:ind w:right="91"/>
        <w:jc w:val="both"/>
        <w:textAlignment w:val="baseline"/>
        <w:rPr>
          <w:rFonts w:ascii="Times New Roman" w:eastAsia="Times New Roman" w:hAnsi="Times New Roman" w:cs="Times New Roman"/>
          <w:b/>
          <w:kern w:val="28"/>
          <w:sz w:val="24"/>
          <w:szCs w:val="24"/>
          <w:lang w:eastAsia="en-AU"/>
        </w:rPr>
      </w:pPr>
    </w:p>
    <w:p w14:paraId="2D0988E6" w14:textId="033D12A5" w:rsidR="006900C0" w:rsidRPr="00AF455E" w:rsidRDefault="006900C0" w:rsidP="006900C0">
      <w:pPr>
        <w:pageBreakBefore/>
        <w:spacing w:before="240" w:after="120" w:line="240" w:lineRule="auto"/>
        <w:jc w:val="right"/>
        <w:rPr>
          <w:rFonts w:ascii="Times New Roman" w:eastAsia="Times New Roman" w:hAnsi="Times New Roman" w:cs="Times New Roman"/>
          <w:b/>
          <w:sz w:val="24"/>
          <w:szCs w:val="20"/>
          <w:u w:val="single"/>
          <w:lang w:eastAsia="en-AU"/>
        </w:rPr>
      </w:pPr>
      <w:r w:rsidRPr="00AF455E">
        <w:rPr>
          <w:rFonts w:ascii="Times New Roman" w:eastAsia="Times New Roman" w:hAnsi="Times New Roman" w:cs="Times New Roman"/>
          <w:b/>
          <w:sz w:val="24"/>
          <w:szCs w:val="20"/>
          <w:u w:val="single"/>
          <w:lang w:eastAsia="en-AU"/>
        </w:rPr>
        <w:lastRenderedPageBreak/>
        <w:t xml:space="preserve">ATTACHMENT </w:t>
      </w:r>
      <w:r w:rsidR="00BB3348" w:rsidRPr="00AF455E">
        <w:rPr>
          <w:rFonts w:ascii="Times New Roman" w:eastAsia="Times New Roman" w:hAnsi="Times New Roman" w:cs="Times New Roman"/>
          <w:b/>
          <w:sz w:val="24"/>
          <w:szCs w:val="20"/>
          <w:u w:val="single"/>
          <w:lang w:eastAsia="en-AU"/>
        </w:rPr>
        <w:t>B</w:t>
      </w:r>
    </w:p>
    <w:p w14:paraId="61D5BD4A" w14:textId="77777777" w:rsidR="006900C0" w:rsidRPr="00AF455E" w:rsidRDefault="006900C0" w:rsidP="006900C0">
      <w:pPr>
        <w:keepNext/>
        <w:tabs>
          <w:tab w:val="left" w:pos="1987"/>
        </w:tabs>
        <w:spacing w:before="240" w:after="120" w:line="240" w:lineRule="auto"/>
        <w:outlineLvl w:val="2"/>
        <w:rPr>
          <w:rFonts w:ascii="Times New Roman" w:eastAsia="Times New Roman" w:hAnsi="Times New Roman" w:cs="Times New Roman"/>
          <w:b/>
          <w:kern w:val="28"/>
          <w:sz w:val="24"/>
          <w:szCs w:val="20"/>
          <w:lang w:eastAsia="en-AU"/>
        </w:rPr>
      </w:pPr>
      <w:r w:rsidRPr="00AF455E">
        <w:rPr>
          <w:rFonts w:ascii="Times New Roman" w:eastAsia="Times New Roman" w:hAnsi="Times New Roman" w:cs="Times New Roman"/>
          <w:b/>
          <w:kern w:val="28"/>
          <w:sz w:val="24"/>
          <w:szCs w:val="20"/>
          <w:lang w:eastAsia="en-AU"/>
        </w:rPr>
        <w:t>Statement of Compatibility with Human Rights</w:t>
      </w:r>
    </w:p>
    <w:p w14:paraId="5FCBA2A3" w14:textId="77777777" w:rsidR="006900C0" w:rsidRPr="00AF455E" w:rsidRDefault="006900C0" w:rsidP="006900C0">
      <w:pPr>
        <w:spacing w:before="240" w:after="120" w:line="240" w:lineRule="auto"/>
        <w:jc w:val="center"/>
        <w:rPr>
          <w:rFonts w:ascii="Times New Roman" w:eastAsia="Times New Roman" w:hAnsi="Times New Roman" w:cs="Times New Roman"/>
          <w:i/>
          <w:sz w:val="24"/>
          <w:szCs w:val="20"/>
          <w:lang w:eastAsia="en-AU"/>
        </w:rPr>
      </w:pPr>
      <w:r w:rsidRPr="00AF455E">
        <w:rPr>
          <w:rFonts w:ascii="Times New Roman" w:eastAsia="Times New Roman" w:hAnsi="Times New Roman" w:cs="Times New Roman"/>
          <w:i/>
          <w:sz w:val="24"/>
          <w:szCs w:val="20"/>
          <w:lang w:eastAsia="en-AU"/>
        </w:rPr>
        <w:t>Prepared in accordance with Part 3 of the Human Rights (Parliamentary Scrutiny) Act 2011</w:t>
      </w:r>
    </w:p>
    <w:p w14:paraId="222B307E" w14:textId="77777777" w:rsidR="006900C0" w:rsidRPr="00AF455E" w:rsidRDefault="006900C0" w:rsidP="006900C0">
      <w:pPr>
        <w:keepNext/>
        <w:tabs>
          <w:tab w:val="left" w:pos="1987"/>
        </w:tabs>
        <w:spacing w:before="240" w:after="120" w:line="240" w:lineRule="auto"/>
        <w:jc w:val="center"/>
        <w:outlineLvl w:val="2"/>
        <w:rPr>
          <w:rFonts w:ascii="Times New Roman" w:eastAsia="Times New Roman" w:hAnsi="Times New Roman" w:cs="Times New Roman"/>
          <w:b/>
          <w:kern w:val="28"/>
          <w:sz w:val="24"/>
          <w:szCs w:val="20"/>
          <w:lang w:eastAsia="en-AU"/>
        </w:rPr>
      </w:pPr>
      <w:r w:rsidRPr="00AF455E">
        <w:rPr>
          <w:rFonts w:ascii="Times New Roman" w:eastAsia="Times New Roman" w:hAnsi="Times New Roman" w:cs="Times New Roman"/>
          <w:b/>
          <w:kern w:val="28"/>
          <w:sz w:val="24"/>
          <w:szCs w:val="20"/>
          <w:lang w:eastAsia="en-AU"/>
        </w:rPr>
        <w:fldChar w:fldCharType="begin"/>
      </w:r>
      <w:r w:rsidRPr="00AF455E">
        <w:rPr>
          <w:rFonts w:ascii="Times New Roman" w:eastAsia="Times New Roman" w:hAnsi="Times New Roman" w:cs="Times New Roman"/>
          <w:b/>
          <w:kern w:val="28"/>
          <w:sz w:val="24"/>
          <w:szCs w:val="20"/>
          <w:lang w:eastAsia="en-AU"/>
        </w:rPr>
        <w:instrText xml:space="preserve"> macrobutton nomacro Insert Title of Regulation</w:instrText>
      </w:r>
      <w:r w:rsidRPr="00AF455E">
        <w:rPr>
          <w:rFonts w:ascii="Times New Roman" w:eastAsia="Times New Roman" w:hAnsi="Times New Roman" w:cs="Times New Roman"/>
          <w:b/>
          <w:kern w:val="28"/>
          <w:sz w:val="24"/>
          <w:szCs w:val="20"/>
          <w:lang w:eastAsia="en-AU"/>
        </w:rPr>
        <w:fldChar w:fldCharType="end"/>
      </w:r>
    </w:p>
    <w:p w14:paraId="6DF00D1D" w14:textId="77777777" w:rsidR="006900C0" w:rsidRPr="00AF455E" w:rsidRDefault="006900C0" w:rsidP="006900C0">
      <w:pPr>
        <w:spacing w:before="240" w:after="120" w:line="240" w:lineRule="auto"/>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 xml:space="preserve">This Legislative Instrument is compatible with the human rights and freedoms recognised or declared in the international instruments listed in section 3 of the </w:t>
      </w:r>
      <w:r w:rsidRPr="00AF455E">
        <w:rPr>
          <w:rFonts w:ascii="Times New Roman" w:eastAsia="Times New Roman" w:hAnsi="Times New Roman" w:cs="Times New Roman"/>
          <w:i/>
          <w:sz w:val="24"/>
          <w:szCs w:val="20"/>
          <w:lang w:eastAsia="en-AU"/>
        </w:rPr>
        <w:t>Human Rights (Parliamentary Scrutiny) Act 2011</w:t>
      </w:r>
      <w:r w:rsidRPr="00AF455E">
        <w:rPr>
          <w:rFonts w:ascii="Times New Roman" w:eastAsia="Times New Roman" w:hAnsi="Times New Roman" w:cs="Times New Roman"/>
          <w:sz w:val="24"/>
          <w:szCs w:val="20"/>
          <w:lang w:eastAsia="en-AU"/>
        </w:rPr>
        <w:t>.</w:t>
      </w:r>
    </w:p>
    <w:p w14:paraId="2D340C58" w14:textId="77777777" w:rsidR="006900C0" w:rsidRPr="00AF455E" w:rsidRDefault="006900C0" w:rsidP="006900C0">
      <w:pPr>
        <w:keepNext/>
        <w:tabs>
          <w:tab w:val="left" w:pos="1987"/>
        </w:tabs>
        <w:spacing w:before="240" w:after="120" w:line="240" w:lineRule="auto"/>
        <w:outlineLvl w:val="2"/>
        <w:rPr>
          <w:rFonts w:ascii="Times New Roman" w:eastAsia="Times New Roman" w:hAnsi="Times New Roman" w:cs="Times New Roman"/>
          <w:b/>
          <w:kern w:val="28"/>
          <w:sz w:val="24"/>
          <w:szCs w:val="20"/>
          <w:lang w:eastAsia="en-AU"/>
        </w:rPr>
      </w:pPr>
      <w:r w:rsidRPr="00AF455E">
        <w:rPr>
          <w:rFonts w:ascii="Times New Roman" w:eastAsia="Times New Roman" w:hAnsi="Times New Roman" w:cs="Times New Roman"/>
          <w:b/>
          <w:kern w:val="28"/>
          <w:sz w:val="24"/>
          <w:szCs w:val="20"/>
          <w:lang w:eastAsia="en-AU"/>
        </w:rPr>
        <w:t>Overview of the Legislative Instrument</w:t>
      </w:r>
    </w:p>
    <w:p w14:paraId="3CEC4201" w14:textId="5D7AFD9B" w:rsidR="00D03B3A" w:rsidRPr="00AF455E" w:rsidRDefault="00D03B3A" w:rsidP="00D03B3A">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The purpose of the</w:t>
      </w:r>
      <w:r w:rsidR="001A4DBD" w:rsidRPr="00AF455E">
        <w:rPr>
          <w:rFonts w:ascii="Times New Roman" w:eastAsia="Times New Roman" w:hAnsi="Times New Roman" w:cs="Times New Roman"/>
          <w:sz w:val="24"/>
          <w:szCs w:val="20"/>
          <w:lang w:eastAsia="en-AU"/>
        </w:rPr>
        <w:t xml:space="preserve"> </w:t>
      </w:r>
      <w:r w:rsidR="001A4DBD" w:rsidRPr="00AF455E">
        <w:rPr>
          <w:rFonts w:ascii="Times New Roman" w:eastAsia="Times New Roman" w:hAnsi="Times New Roman" w:cs="Times New Roman"/>
          <w:i/>
          <w:iCs/>
          <w:sz w:val="24"/>
          <w:szCs w:val="20"/>
          <w:lang w:eastAsia="en-AU"/>
        </w:rPr>
        <w:t>Treasury Laws Amendment (Your Future, Your Super—Addressing Underperformance in Superannuation) Regulations 2021</w:t>
      </w:r>
      <w:r w:rsidR="001A4DBD" w:rsidRPr="00AF455E">
        <w:rPr>
          <w:rFonts w:ascii="Times New Roman" w:eastAsia="Times New Roman" w:hAnsi="Times New Roman" w:cs="Times New Roman"/>
          <w:sz w:val="24"/>
          <w:szCs w:val="20"/>
          <w:lang w:eastAsia="en-AU"/>
        </w:rPr>
        <w:t xml:space="preserve"> </w:t>
      </w:r>
      <w:r w:rsidRPr="00AF455E">
        <w:rPr>
          <w:rFonts w:ascii="Times New Roman" w:eastAsia="Times New Roman" w:hAnsi="Times New Roman" w:cs="Times New Roman"/>
          <w:sz w:val="24"/>
          <w:szCs w:val="20"/>
          <w:lang w:eastAsia="en-AU"/>
        </w:rPr>
        <w:t xml:space="preserve">(the proposed Regulations) is to make amendments supporting the implementation of Schedule 2 to the </w:t>
      </w:r>
      <w:r w:rsidRPr="00AF455E">
        <w:rPr>
          <w:rFonts w:ascii="Times New Roman" w:eastAsia="Times New Roman" w:hAnsi="Times New Roman" w:cs="Times New Roman"/>
          <w:i/>
          <w:sz w:val="24"/>
          <w:szCs w:val="20"/>
          <w:lang w:val="en-US" w:eastAsia="en-AU"/>
        </w:rPr>
        <w:t>Treasury Laws Amendment (Your Future, Your Super) Act 2021</w:t>
      </w:r>
      <w:r w:rsidRPr="00AF455E">
        <w:rPr>
          <w:rFonts w:ascii="Times New Roman" w:eastAsia="Times New Roman" w:hAnsi="Times New Roman" w:cs="Times New Roman"/>
          <w:sz w:val="24"/>
          <w:szCs w:val="20"/>
          <w:lang w:eastAsia="en-AU"/>
        </w:rPr>
        <w:t xml:space="preserve"> (the YFYS Act). </w:t>
      </w:r>
    </w:p>
    <w:p w14:paraId="4EACE782" w14:textId="77777777" w:rsidR="00D03B3A" w:rsidRPr="00AF455E" w:rsidRDefault="00D03B3A" w:rsidP="00D03B3A">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 xml:space="preserve">Schedule 2 to the YFYS Act amends the SIS Act to require the Australian Prudential Regulation Authority (APRA) to conduct an annual performance test for ‘Part 6A products’, which include </w:t>
      </w:r>
      <w:proofErr w:type="spellStart"/>
      <w:r w:rsidRPr="00AF455E">
        <w:rPr>
          <w:rFonts w:ascii="Times New Roman" w:eastAsia="Times New Roman" w:hAnsi="Times New Roman" w:cs="Times New Roman"/>
          <w:sz w:val="24"/>
          <w:szCs w:val="20"/>
          <w:lang w:eastAsia="en-AU"/>
        </w:rPr>
        <w:t>MySuper</w:t>
      </w:r>
      <w:proofErr w:type="spellEnd"/>
      <w:r w:rsidRPr="00AF455E">
        <w:rPr>
          <w:rFonts w:ascii="Times New Roman" w:eastAsia="Times New Roman" w:hAnsi="Times New Roman" w:cs="Times New Roman"/>
          <w:sz w:val="24"/>
          <w:szCs w:val="20"/>
          <w:lang w:eastAsia="en-AU"/>
        </w:rPr>
        <w:t xml:space="preserve"> products and other products if specified in regulations. A trustee providing such products will be required to give notice to its beneficiaries who hold a product that has failed the performance test. Where a product has failed the performance test in two consecutive years, the trustee is prohibited from accepting new beneficiaries into that product. APRA may lift the prohibition if circumstances specified in regulations are satisfied.</w:t>
      </w:r>
    </w:p>
    <w:p w14:paraId="5A3A3ECA" w14:textId="77777777" w:rsidR="00D03B3A" w:rsidRPr="00AF455E" w:rsidRDefault="00D03B3A" w:rsidP="00D03B3A">
      <w:pPr>
        <w:widowControl w:val="0"/>
        <w:adjustRightInd w:val="0"/>
        <w:spacing w:before="240" w:after="120" w:line="360" w:lineRule="atLeast"/>
        <w:jc w:val="both"/>
        <w:textAlignment w:val="baseline"/>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The proposed Regulations include amendments that support implementation of Schedule 2 to the YFYS Act by specifying:</w:t>
      </w:r>
    </w:p>
    <w:p w14:paraId="0787C00D" w14:textId="77777777" w:rsidR="00D03B3A" w:rsidRPr="00AF455E" w:rsidRDefault="00D03B3A" w:rsidP="00D03B3A">
      <w:pPr>
        <w:pStyle w:val="Dotpoint"/>
      </w:pPr>
      <w:r w:rsidRPr="00AF455E">
        <w:rPr>
          <w:szCs w:val="23"/>
        </w:rPr>
        <w:t xml:space="preserve">when APRA must conduct the annual performance test, </w:t>
      </w:r>
      <w:r w:rsidRPr="00AF455E">
        <w:t xml:space="preserve">which products are subject to the annual performance test and the requirements for the annual performance </w:t>
      </w:r>
      <w:proofErr w:type="gramStart"/>
      <w:r w:rsidRPr="00AF455E">
        <w:t>test;</w:t>
      </w:r>
      <w:proofErr w:type="gramEnd"/>
    </w:p>
    <w:p w14:paraId="7DDF5F14" w14:textId="77777777" w:rsidR="00D03B3A" w:rsidRPr="00AF455E" w:rsidRDefault="00D03B3A" w:rsidP="00D03B3A">
      <w:pPr>
        <w:pStyle w:val="Dotpoint"/>
      </w:pPr>
      <w:r w:rsidRPr="00AF455E">
        <w:t xml:space="preserve">the circumstances where products are to be treated as combined for the purposes of the amendments in the YFYS Act, such as the performance test and triggering the prohibition on a trustee from accepting new beneficiaries into an underperforming </w:t>
      </w:r>
      <w:proofErr w:type="gramStart"/>
      <w:r w:rsidRPr="00AF455E">
        <w:t>product</w:t>
      </w:r>
      <w:r w:rsidRPr="00AF455E">
        <w:rPr>
          <w:szCs w:val="23"/>
        </w:rPr>
        <w:t>;</w:t>
      </w:r>
      <w:proofErr w:type="gramEnd"/>
    </w:p>
    <w:p w14:paraId="7D4F707B" w14:textId="77777777" w:rsidR="00D03B3A" w:rsidRPr="00AF455E" w:rsidRDefault="00D03B3A" w:rsidP="00D03B3A">
      <w:pPr>
        <w:pStyle w:val="Dotpoint"/>
      </w:pPr>
      <w:r w:rsidRPr="00AF455E">
        <w:rPr>
          <w:szCs w:val="23"/>
        </w:rPr>
        <w:t xml:space="preserve">the form and content requirements for the notice a trustee is required to give to beneficiaries who hold a product that has failed the performance </w:t>
      </w:r>
      <w:proofErr w:type="gramStart"/>
      <w:r w:rsidRPr="00AF455E">
        <w:rPr>
          <w:szCs w:val="23"/>
        </w:rPr>
        <w:t>test;</w:t>
      </w:r>
      <w:proofErr w:type="gramEnd"/>
    </w:p>
    <w:p w14:paraId="6B9B2660" w14:textId="77777777" w:rsidR="00D03B3A" w:rsidRPr="00AF455E" w:rsidRDefault="00D03B3A" w:rsidP="00D03B3A">
      <w:pPr>
        <w:pStyle w:val="Dotpoint"/>
        <w:rPr>
          <w:szCs w:val="23"/>
        </w:rPr>
      </w:pPr>
      <w:r w:rsidRPr="00AF455E">
        <w:rPr>
          <w:szCs w:val="23"/>
        </w:rPr>
        <w:t xml:space="preserve">that an RSE licensee is required to make information about a failed annual performance test result in relation to a product it offers publicly available on its </w:t>
      </w:r>
      <w:proofErr w:type="gramStart"/>
      <w:r w:rsidRPr="00AF455E">
        <w:rPr>
          <w:szCs w:val="23"/>
        </w:rPr>
        <w:lastRenderedPageBreak/>
        <w:t>website;</w:t>
      </w:r>
      <w:proofErr w:type="gramEnd"/>
    </w:p>
    <w:p w14:paraId="3AF17EE2" w14:textId="77777777" w:rsidR="00D03B3A" w:rsidRPr="00AF455E" w:rsidRDefault="00D03B3A" w:rsidP="004E6AC5">
      <w:pPr>
        <w:pStyle w:val="Dotpoint"/>
        <w:rPr>
          <w:rFonts w:ascii="Calibri" w:eastAsia="Calibri" w:hAnsi="Calibri"/>
          <w:b/>
        </w:rPr>
      </w:pPr>
      <w:r w:rsidRPr="00AF455E">
        <w:t>the circumstances where APRA may lift a prohibition on a trustee from accepting new beneficiaries into an underperforming product;</w:t>
      </w:r>
      <w:r w:rsidRPr="00AF455E">
        <w:rPr>
          <w:szCs w:val="23"/>
        </w:rPr>
        <w:t xml:space="preserve"> and</w:t>
      </w:r>
    </w:p>
    <w:p w14:paraId="40CA5AB8" w14:textId="4C42D4FB" w:rsidR="006900C0" w:rsidRPr="00AF455E" w:rsidRDefault="00D03B3A" w:rsidP="004E6AC5">
      <w:pPr>
        <w:pStyle w:val="Dotpoint"/>
        <w:rPr>
          <w:rFonts w:ascii="Calibri" w:eastAsia="Calibri" w:hAnsi="Calibri"/>
          <w:b/>
        </w:rPr>
      </w:pPr>
      <w:r w:rsidRPr="00AF455E">
        <w:t xml:space="preserve">formulas as a basis for, or methods for, ranking Part 6A products, which under the amendments in the YFYS Act, APRA may give to the Australian Taxation Office (ATO) to enable the implementation of the </w:t>
      </w:r>
      <w:proofErr w:type="spellStart"/>
      <w:r w:rsidRPr="00AF455E">
        <w:t>YourSuper</w:t>
      </w:r>
      <w:proofErr w:type="spellEnd"/>
      <w:r w:rsidRPr="00AF455E">
        <w:t xml:space="preserve"> comparison tool</w:t>
      </w:r>
      <w:r w:rsidRPr="00AF455E">
        <w:rPr>
          <w:szCs w:val="23"/>
        </w:rPr>
        <w:t xml:space="preserve"> announced by the Government as part of the Your Future, Your Super reforms</w:t>
      </w:r>
      <w:r w:rsidRPr="00AF455E">
        <w:t>.</w:t>
      </w:r>
    </w:p>
    <w:p w14:paraId="2E071B03" w14:textId="77777777" w:rsidR="006900C0" w:rsidRPr="00AF455E" w:rsidRDefault="006900C0" w:rsidP="006900C0">
      <w:pPr>
        <w:keepNext/>
        <w:tabs>
          <w:tab w:val="left" w:pos="1987"/>
        </w:tabs>
        <w:spacing w:before="240" w:after="120" w:line="240" w:lineRule="auto"/>
        <w:outlineLvl w:val="2"/>
        <w:rPr>
          <w:rFonts w:ascii="Times New Roman" w:eastAsia="Times New Roman" w:hAnsi="Times New Roman" w:cs="Times New Roman"/>
          <w:b/>
          <w:kern w:val="28"/>
          <w:sz w:val="24"/>
          <w:szCs w:val="20"/>
          <w:lang w:eastAsia="en-AU"/>
        </w:rPr>
      </w:pPr>
      <w:r w:rsidRPr="00AF455E">
        <w:rPr>
          <w:rFonts w:ascii="Times New Roman" w:eastAsia="Times New Roman" w:hAnsi="Times New Roman" w:cs="Times New Roman"/>
          <w:b/>
          <w:kern w:val="28"/>
          <w:sz w:val="24"/>
          <w:szCs w:val="20"/>
          <w:lang w:eastAsia="en-AU"/>
        </w:rPr>
        <w:t>Human rights implications</w:t>
      </w:r>
    </w:p>
    <w:p w14:paraId="61A41795" w14:textId="77777777" w:rsidR="006900C0" w:rsidRPr="00AF455E" w:rsidRDefault="006900C0" w:rsidP="006900C0">
      <w:pPr>
        <w:spacing w:before="240" w:after="120" w:line="240" w:lineRule="auto"/>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This Legislative Instrument does not engage any of the applicable rights or freedoms.</w:t>
      </w:r>
    </w:p>
    <w:p w14:paraId="6F2992A2" w14:textId="77777777" w:rsidR="006900C0" w:rsidRPr="00AF455E" w:rsidRDefault="006900C0" w:rsidP="006900C0">
      <w:pPr>
        <w:keepNext/>
        <w:tabs>
          <w:tab w:val="left" w:pos="1987"/>
        </w:tabs>
        <w:spacing w:before="240" w:after="120" w:line="240" w:lineRule="auto"/>
        <w:outlineLvl w:val="2"/>
        <w:rPr>
          <w:rFonts w:ascii="Times New Roman" w:eastAsia="Times New Roman" w:hAnsi="Times New Roman" w:cs="Times New Roman"/>
          <w:b/>
          <w:kern w:val="28"/>
          <w:sz w:val="24"/>
          <w:szCs w:val="20"/>
          <w:lang w:eastAsia="en-AU"/>
        </w:rPr>
      </w:pPr>
      <w:r w:rsidRPr="00AF455E">
        <w:rPr>
          <w:rFonts w:ascii="Times New Roman" w:eastAsia="Times New Roman" w:hAnsi="Times New Roman" w:cs="Times New Roman"/>
          <w:b/>
          <w:kern w:val="28"/>
          <w:sz w:val="24"/>
          <w:szCs w:val="20"/>
          <w:lang w:eastAsia="en-AU"/>
        </w:rPr>
        <w:t>Conclusion</w:t>
      </w:r>
    </w:p>
    <w:p w14:paraId="084E1056" w14:textId="72C6BF45" w:rsidR="006900C0" w:rsidRPr="00AF455E" w:rsidRDefault="006900C0" w:rsidP="00AF455E">
      <w:pPr>
        <w:spacing w:before="240" w:after="120" w:line="240" w:lineRule="auto"/>
        <w:rPr>
          <w:rFonts w:ascii="Times New Roman" w:eastAsia="Times New Roman" w:hAnsi="Times New Roman" w:cs="Times New Roman"/>
          <w:sz w:val="24"/>
          <w:szCs w:val="20"/>
          <w:lang w:eastAsia="en-AU"/>
        </w:rPr>
      </w:pPr>
      <w:r w:rsidRPr="00AF455E">
        <w:rPr>
          <w:rFonts w:ascii="Times New Roman" w:eastAsia="Times New Roman" w:hAnsi="Times New Roman" w:cs="Times New Roman"/>
          <w:sz w:val="24"/>
          <w:szCs w:val="20"/>
          <w:lang w:eastAsia="en-AU"/>
        </w:rPr>
        <w:t>This Legislative Instrument is compatible with human rights as it does not raise any human rights issues.</w:t>
      </w:r>
    </w:p>
    <w:sectPr w:rsidR="006900C0" w:rsidRPr="00AF455E" w:rsidSect="0029420F">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6FF80" w14:textId="77777777" w:rsidR="00237CA0" w:rsidRDefault="00237CA0">
      <w:pPr>
        <w:spacing w:after="0" w:line="240" w:lineRule="auto"/>
      </w:pPr>
      <w:r>
        <w:separator/>
      </w:r>
    </w:p>
  </w:endnote>
  <w:endnote w:type="continuationSeparator" w:id="0">
    <w:p w14:paraId="615F6F6A" w14:textId="77777777" w:rsidR="00237CA0" w:rsidRDefault="00237CA0">
      <w:pPr>
        <w:spacing w:after="0" w:line="240" w:lineRule="auto"/>
      </w:pPr>
      <w:r>
        <w:continuationSeparator/>
      </w:r>
    </w:p>
  </w:endnote>
  <w:endnote w:type="continuationNotice" w:id="1">
    <w:p w14:paraId="721FDD54" w14:textId="77777777" w:rsidR="00237CA0" w:rsidRDefault="00237C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88AA7FB" w14:textId="5B75309A" w:rsidR="00237CA0" w:rsidRDefault="00237CA0" w:rsidP="0029420F">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19</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19</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F15D7" w14:textId="77777777" w:rsidR="00237CA0" w:rsidRDefault="00237CA0">
      <w:pPr>
        <w:spacing w:after="0" w:line="240" w:lineRule="auto"/>
      </w:pPr>
      <w:r>
        <w:separator/>
      </w:r>
    </w:p>
  </w:footnote>
  <w:footnote w:type="continuationSeparator" w:id="0">
    <w:p w14:paraId="5453F265" w14:textId="77777777" w:rsidR="00237CA0" w:rsidRDefault="00237CA0">
      <w:pPr>
        <w:spacing w:after="0" w:line="240" w:lineRule="auto"/>
      </w:pPr>
      <w:r>
        <w:continuationSeparator/>
      </w:r>
    </w:p>
  </w:footnote>
  <w:footnote w:type="continuationNotice" w:id="1">
    <w:p w14:paraId="5974BF02" w14:textId="77777777" w:rsidR="00237CA0" w:rsidRDefault="00237C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7CC9"/>
    <w:multiLevelType w:val="multilevel"/>
    <w:tmpl w:val="F0DAA3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709051A"/>
    <w:multiLevelType w:val="hybridMultilevel"/>
    <w:tmpl w:val="AADE9F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0741761"/>
    <w:multiLevelType w:val="multilevel"/>
    <w:tmpl w:val="C6DC83B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21E66B5"/>
    <w:multiLevelType w:val="multilevel"/>
    <w:tmpl w:val="D54C85AC"/>
    <w:name w:val="ExampleDotPointList"/>
    <w:lvl w:ilvl="0">
      <w:start w:val="1"/>
      <w:numFmt w:val="bullet"/>
      <w:lvlRestart w:val="0"/>
      <w:lvlText w:val="•"/>
      <w:lvlJc w:val="left"/>
      <w:pPr>
        <w:tabs>
          <w:tab w:val="num" w:pos="2517"/>
        </w:tabs>
        <w:ind w:left="2517" w:hanging="357"/>
      </w:pPr>
      <w:rPr>
        <w:b w:val="0"/>
        <w:i w:val="0"/>
        <w:color w:val="000000"/>
      </w:rPr>
    </w:lvl>
    <w:lvl w:ilvl="1">
      <w:start w:val="1"/>
      <w:numFmt w:val="bullet"/>
      <w:lvlText w:val="–"/>
      <w:lvlJc w:val="left"/>
      <w:pPr>
        <w:tabs>
          <w:tab w:val="num" w:pos="3237"/>
        </w:tabs>
        <w:ind w:left="3237"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67A43C0B"/>
    <w:multiLevelType w:val="multilevel"/>
    <w:tmpl w:val="E2101FE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82"/>
    <w:rsid w:val="00000730"/>
    <w:rsid w:val="00000F42"/>
    <w:rsid w:val="00003D1B"/>
    <w:rsid w:val="00003FB7"/>
    <w:rsid w:val="0000415A"/>
    <w:rsid w:val="000050B2"/>
    <w:rsid w:val="000056DC"/>
    <w:rsid w:val="00005EAD"/>
    <w:rsid w:val="00006840"/>
    <w:rsid w:val="00006CC6"/>
    <w:rsid w:val="00010B0F"/>
    <w:rsid w:val="00010E5E"/>
    <w:rsid w:val="0001139F"/>
    <w:rsid w:val="00011868"/>
    <w:rsid w:val="000118EE"/>
    <w:rsid w:val="0001214B"/>
    <w:rsid w:val="00012F2C"/>
    <w:rsid w:val="0001337D"/>
    <w:rsid w:val="00013F08"/>
    <w:rsid w:val="00014FDC"/>
    <w:rsid w:val="0001601E"/>
    <w:rsid w:val="00020BB5"/>
    <w:rsid w:val="00021263"/>
    <w:rsid w:val="0002197C"/>
    <w:rsid w:val="00024A7E"/>
    <w:rsid w:val="00024DEA"/>
    <w:rsid w:val="00025386"/>
    <w:rsid w:val="00025CCC"/>
    <w:rsid w:val="00026364"/>
    <w:rsid w:val="00026C95"/>
    <w:rsid w:val="00026F25"/>
    <w:rsid w:val="00031010"/>
    <w:rsid w:val="000311C9"/>
    <w:rsid w:val="00031A4B"/>
    <w:rsid w:val="00031BFC"/>
    <w:rsid w:val="000338A2"/>
    <w:rsid w:val="00033C25"/>
    <w:rsid w:val="00034330"/>
    <w:rsid w:val="0003484D"/>
    <w:rsid w:val="00034978"/>
    <w:rsid w:val="000405A7"/>
    <w:rsid w:val="000418FB"/>
    <w:rsid w:val="00042DE7"/>
    <w:rsid w:val="00044A9B"/>
    <w:rsid w:val="00044F84"/>
    <w:rsid w:val="00045018"/>
    <w:rsid w:val="00045846"/>
    <w:rsid w:val="000461AE"/>
    <w:rsid w:val="00047BAD"/>
    <w:rsid w:val="00050537"/>
    <w:rsid w:val="00050FD7"/>
    <w:rsid w:val="000512F8"/>
    <w:rsid w:val="00052183"/>
    <w:rsid w:val="000525F8"/>
    <w:rsid w:val="00052BA2"/>
    <w:rsid w:val="00052DD4"/>
    <w:rsid w:val="00052F62"/>
    <w:rsid w:val="000543DC"/>
    <w:rsid w:val="0005464F"/>
    <w:rsid w:val="00055E02"/>
    <w:rsid w:val="00056289"/>
    <w:rsid w:val="0005660A"/>
    <w:rsid w:val="000568FE"/>
    <w:rsid w:val="00056F51"/>
    <w:rsid w:val="00057399"/>
    <w:rsid w:val="0006045F"/>
    <w:rsid w:val="00060FD4"/>
    <w:rsid w:val="00061D1C"/>
    <w:rsid w:val="00062B64"/>
    <w:rsid w:val="00064C04"/>
    <w:rsid w:val="00064FE8"/>
    <w:rsid w:val="00065436"/>
    <w:rsid w:val="000657A2"/>
    <w:rsid w:val="000664F7"/>
    <w:rsid w:val="00066CAA"/>
    <w:rsid w:val="0007041B"/>
    <w:rsid w:val="00071929"/>
    <w:rsid w:val="00072065"/>
    <w:rsid w:val="00072383"/>
    <w:rsid w:val="00072466"/>
    <w:rsid w:val="00072A65"/>
    <w:rsid w:val="00073237"/>
    <w:rsid w:val="000748FF"/>
    <w:rsid w:val="000754BD"/>
    <w:rsid w:val="000758A2"/>
    <w:rsid w:val="00075CFD"/>
    <w:rsid w:val="000771AE"/>
    <w:rsid w:val="0007722C"/>
    <w:rsid w:val="000804D8"/>
    <w:rsid w:val="0008085C"/>
    <w:rsid w:val="00080B95"/>
    <w:rsid w:val="00080CC9"/>
    <w:rsid w:val="00080E4D"/>
    <w:rsid w:val="00082576"/>
    <w:rsid w:val="000835CE"/>
    <w:rsid w:val="000835F9"/>
    <w:rsid w:val="000841A8"/>
    <w:rsid w:val="0008669E"/>
    <w:rsid w:val="00087137"/>
    <w:rsid w:val="000902E3"/>
    <w:rsid w:val="00090836"/>
    <w:rsid w:val="0009098F"/>
    <w:rsid w:val="00090ABC"/>
    <w:rsid w:val="00090B42"/>
    <w:rsid w:val="00090F0B"/>
    <w:rsid w:val="0009190B"/>
    <w:rsid w:val="00091DBD"/>
    <w:rsid w:val="000928A7"/>
    <w:rsid w:val="00092D3E"/>
    <w:rsid w:val="000938D0"/>
    <w:rsid w:val="00094843"/>
    <w:rsid w:val="00095128"/>
    <w:rsid w:val="000954CC"/>
    <w:rsid w:val="000957DC"/>
    <w:rsid w:val="000A0166"/>
    <w:rsid w:val="000A038F"/>
    <w:rsid w:val="000A0A0A"/>
    <w:rsid w:val="000A12C9"/>
    <w:rsid w:val="000A2435"/>
    <w:rsid w:val="000A246B"/>
    <w:rsid w:val="000A2556"/>
    <w:rsid w:val="000A25AE"/>
    <w:rsid w:val="000A291B"/>
    <w:rsid w:val="000A5F9E"/>
    <w:rsid w:val="000A63CC"/>
    <w:rsid w:val="000A6C3E"/>
    <w:rsid w:val="000A6D36"/>
    <w:rsid w:val="000B03B1"/>
    <w:rsid w:val="000B0A25"/>
    <w:rsid w:val="000B0F90"/>
    <w:rsid w:val="000B1098"/>
    <w:rsid w:val="000B1A1B"/>
    <w:rsid w:val="000B1C88"/>
    <w:rsid w:val="000B204B"/>
    <w:rsid w:val="000B23C4"/>
    <w:rsid w:val="000B2651"/>
    <w:rsid w:val="000B2979"/>
    <w:rsid w:val="000B2B91"/>
    <w:rsid w:val="000B3132"/>
    <w:rsid w:val="000B392E"/>
    <w:rsid w:val="000B417E"/>
    <w:rsid w:val="000B4437"/>
    <w:rsid w:val="000B4591"/>
    <w:rsid w:val="000B4910"/>
    <w:rsid w:val="000B55A6"/>
    <w:rsid w:val="000B569A"/>
    <w:rsid w:val="000B5FD2"/>
    <w:rsid w:val="000B67E9"/>
    <w:rsid w:val="000B757C"/>
    <w:rsid w:val="000C0E52"/>
    <w:rsid w:val="000C0F97"/>
    <w:rsid w:val="000C152E"/>
    <w:rsid w:val="000C2A16"/>
    <w:rsid w:val="000C336E"/>
    <w:rsid w:val="000C4494"/>
    <w:rsid w:val="000C4499"/>
    <w:rsid w:val="000C54B6"/>
    <w:rsid w:val="000C5690"/>
    <w:rsid w:val="000C58F2"/>
    <w:rsid w:val="000C679A"/>
    <w:rsid w:val="000C6B89"/>
    <w:rsid w:val="000C6BDD"/>
    <w:rsid w:val="000D028B"/>
    <w:rsid w:val="000D037A"/>
    <w:rsid w:val="000D0B13"/>
    <w:rsid w:val="000D1254"/>
    <w:rsid w:val="000D1356"/>
    <w:rsid w:val="000D23A5"/>
    <w:rsid w:val="000D2BE1"/>
    <w:rsid w:val="000D3481"/>
    <w:rsid w:val="000D3B1A"/>
    <w:rsid w:val="000D3DE9"/>
    <w:rsid w:val="000D3FDC"/>
    <w:rsid w:val="000D4190"/>
    <w:rsid w:val="000D4199"/>
    <w:rsid w:val="000D456B"/>
    <w:rsid w:val="000D469E"/>
    <w:rsid w:val="000D46D5"/>
    <w:rsid w:val="000D49E1"/>
    <w:rsid w:val="000D4CAA"/>
    <w:rsid w:val="000D544C"/>
    <w:rsid w:val="000D586D"/>
    <w:rsid w:val="000D59ED"/>
    <w:rsid w:val="000D6DC7"/>
    <w:rsid w:val="000D71D3"/>
    <w:rsid w:val="000D73B4"/>
    <w:rsid w:val="000D7D6B"/>
    <w:rsid w:val="000E1C55"/>
    <w:rsid w:val="000E1E1A"/>
    <w:rsid w:val="000E2066"/>
    <w:rsid w:val="000E20A8"/>
    <w:rsid w:val="000E2BC9"/>
    <w:rsid w:val="000E3585"/>
    <w:rsid w:val="000E3923"/>
    <w:rsid w:val="000E3D18"/>
    <w:rsid w:val="000E469D"/>
    <w:rsid w:val="000E6971"/>
    <w:rsid w:val="000E7F78"/>
    <w:rsid w:val="000F06B9"/>
    <w:rsid w:val="000F0FC3"/>
    <w:rsid w:val="000F1C36"/>
    <w:rsid w:val="000F28BE"/>
    <w:rsid w:val="000F2F26"/>
    <w:rsid w:val="000F3CCA"/>
    <w:rsid w:val="000F3F0F"/>
    <w:rsid w:val="000F43D8"/>
    <w:rsid w:val="000F46B5"/>
    <w:rsid w:val="000F48E2"/>
    <w:rsid w:val="000F632D"/>
    <w:rsid w:val="000F64BC"/>
    <w:rsid w:val="000F64BF"/>
    <w:rsid w:val="000F678C"/>
    <w:rsid w:val="000F6CB6"/>
    <w:rsid w:val="000F6DCB"/>
    <w:rsid w:val="000F75D0"/>
    <w:rsid w:val="000F76B6"/>
    <w:rsid w:val="000F7844"/>
    <w:rsid w:val="00100179"/>
    <w:rsid w:val="001005B0"/>
    <w:rsid w:val="001011C6"/>
    <w:rsid w:val="001024DC"/>
    <w:rsid w:val="00103F28"/>
    <w:rsid w:val="00105D7D"/>
    <w:rsid w:val="00106191"/>
    <w:rsid w:val="00106925"/>
    <w:rsid w:val="00107194"/>
    <w:rsid w:val="001074DB"/>
    <w:rsid w:val="001107B5"/>
    <w:rsid w:val="00111106"/>
    <w:rsid w:val="001115A6"/>
    <w:rsid w:val="00111964"/>
    <w:rsid w:val="00111E11"/>
    <w:rsid w:val="001125B9"/>
    <w:rsid w:val="00112711"/>
    <w:rsid w:val="00112BDC"/>
    <w:rsid w:val="0011349F"/>
    <w:rsid w:val="00114E7F"/>
    <w:rsid w:val="00114FB6"/>
    <w:rsid w:val="00116B55"/>
    <w:rsid w:val="00117185"/>
    <w:rsid w:val="00117298"/>
    <w:rsid w:val="00117732"/>
    <w:rsid w:val="001208E1"/>
    <w:rsid w:val="001209DA"/>
    <w:rsid w:val="00120A8D"/>
    <w:rsid w:val="00120AAB"/>
    <w:rsid w:val="00120AF3"/>
    <w:rsid w:val="00121589"/>
    <w:rsid w:val="00121690"/>
    <w:rsid w:val="00121F82"/>
    <w:rsid w:val="00122558"/>
    <w:rsid w:val="00122899"/>
    <w:rsid w:val="0012292A"/>
    <w:rsid w:val="00122AE5"/>
    <w:rsid w:val="00125A7E"/>
    <w:rsid w:val="0012604B"/>
    <w:rsid w:val="00126426"/>
    <w:rsid w:val="001270F1"/>
    <w:rsid w:val="001272E0"/>
    <w:rsid w:val="001302CC"/>
    <w:rsid w:val="00131DD0"/>
    <w:rsid w:val="00132F51"/>
    <w:rsid w:val="001337B9"/>
    <w:rsid w:val="00134E01"/>
    <w:rsid w:val="00135906"/>
    <w:rsid w:val="001360E9"/>
    <w:rsid w:val="001361F1"/>
    <w:rsid w:val="001378E3"/>
    <w:rsid w:val="00141128"/>
    <w:rsid w:val="00141FC3"/>
    <w:rsid w:val="0014265B"/>
    <w:rsid w:val="00142B93"/>
    <w:rsid w:val="00143B03"/>
    <w:rsid w:val="00143EB8"/>
    <w:rsid w:val="00143F77"/>
    <w:rsid w:val="001445B8"/>
    <w:rsid w:val="00144C3D"/>
    <w:rsid w:val="00145798"/>
    <w:rsid w:val="00145C20"/>
    <w:rsid w:val="0014650C"/>
    <w:rsid w:val="001508A8"/>
    <w:rsid w:val="00151F9F"/>
    <w:rsid w:val="00152398"/>
    <w:rsid w:val="00153759"/>
    <w:rsid w:val="001542CD"/>
    <w:rsid w:val="001544B9"/>
    <w:rsid w:val="00154602"/>
    <w:rsid w:val="001548C0"/>
    <w:rsid w:val="0015495C"/>
    <w:rsid w:val="00155374"/>
    <w:rsid w:val="00156255"/>
    <w:rsid w:val="00156B66"/>
    <w:rsid w:val="00156E07"/>
    <w:rsid w:val="00157983"/>
    <w:rsid w:val="00157E90"/>
    <w:rsid w:val="001608E5"/>
    <w:rsid w:val="00160A65"/>
    <w:rsid w:val="00161E3A"/>
    <w:rsid w:val="00162887"/>
    <w:rsid w:val="00163192"/>
    <w:rsid w:val="00164127"/>
    <w:rsid w:val="001643A1"/>
    <w:rsid w:val="0016441A"/>
    <w:rsid w:val="0016474A"/>
    <w:rsid w:val="00165367"/>
    <w:rsid w:val="00165CDF"/>
    <w:rsid w:val="0016636A"/>
    <w:rsid w:val="001673C8"/>
    <w:rsid w:val="0017310A"/>
    <w:rsid w:val="0017390D"/>
    <w:rsid w:val="001743C6"/>
    <w:rsid w:val="00174DBA"/>
    <w:rsid w:val="0017513F"/>
    <w:rsid w:val="0017563D"/>
    <w:rsid w:val="00175AAD"/>
    <w:rsid w:val="00176E94"/>
    <w:rsid w:val="001779DA"/>
    <w:rsid w:val="00180215"/>
    <w:rsid w:val="00180718"/>
    <w:rsid w:val="001815C2"/>
    <w:rsid w:val="0018248B"/>
    <w:rsid w:val="00182B22"/>
    <w:rsid w:val="00183FE3"/>
    <w:rsid w:val="001847C7"/>
    <w:rsid w:val="00184FF2"/>
    <w:rsid w:val="00185D98"/>
    <w:rsid w:val="00186783"/>
    <w:rsid w:val="00186898"/>
    <w:rsid w:val="00190235"/>
    <w:rsid w:val="00190601"/>
    <w:rsid w:val="0019069F"/>
    <w:rsid w:val="001915C0"/>
    <w:rsid w:val="001916A6"/>
    <w:rsid w:val="00191F22"/>
    <w:rsid w:val="00192613"/>
    <w:rsid w:val="001928E4"/>
    <w:rsid w:val="00192A75"/>
    <w:rsid w:val="00193745"/>
    <w:rsid w:val="00193DF1"/>
    <w:rsid w:val="00194259"/>
    <w:rsid w:val="00194B2E"/>
    <w:rsid w:val="00195278"/>
    <w:rsid w:val="001954DD"/>
    <w:rsid w:val="00196590"/>
    <w:rsid w:val="001969FA"/>
    <w:rsid w:val="00196C47"/>
    <w:rsid w:val="00196F74"/>
    <w:rsid w:val="00197147"/>
    <w:rsid w:val="00197886"/>
    <w:rsid w:val="001A093C"/>
    <w:rsid w:val="001A0BB6"/>
    <w:rsid w:val="001A0CA6"/>
    <w:rsid w:val="001A145A"/>
    <w:rsid w:val="001A2416"/>
    <w:rsid w:val="001A273D"/>
    <w:rsid w:val="001A2833"/>
    <w:rsid w:val="001A2A9D"/>
    <w:rsid w:val="001A34A7"/>
    <w:rsid w:val="001A420B"/>
    <w:rsid w:val="001A4461"/>
    <w:rsid w:val="001A472B"/>
    <w:rsid w:val="001A482C"/>
    <w:rsid w:val="001A48C7"/>
    <w:rsid w:val="001A4D7C"/>
    <w:rsid w:val="001A4DBD"/>
    <w:rsid w:val="001A4E08"/>
    <w:rsid w:val="001A5AED"/>
    <w:rsid w:val="001A5E8B"/>
    <w:rsid w:val="001A6EE2"/>
    <w:rsid w:val="001A6F04"/>
    <w:rsid w:val="001B0711"/>
    <w:rsid w:val="001B0C86"/>
    <w:rsid w:val="001B1236"/>
    <w:rsid w:val="001B182D"/>
    <w:rsid w:val="001B1E21"/>
    <w:rsid w:val="001B3271"/>
    <w:rsid w:val="001B42A0"/>
    <w:rsid w:val="001B4C08"/>
    <w:rsid w:val="001B4FAE"/>
    <w:rsid w:val="001B5F65"/>
    <w:rsid w:val="001B6026"/>
    <w:rsid w:val="001B6361"/>
    <w:rsid w:val="001B63F6"/>
    <w:rsid w:val="001B6690"/>
    <w:rsid w:val="001B6696"/>
    <w:rsid w:val="001B6D6A"/>
    <w:rsid w:val="001B753C"/>
    <w:rsid w:val="001B7BF2"/>
    <w:rsid w:val="001C0CAC"/>
    <w:rsid w:val="001C12EA"/>
    <w:rsid w:val="001C1CB4"/>
    <w:rsid w:val="001C2733"/>
    <w:rsid w:val="001C2C79"/>
    <w:rsid w:val="001C3BBB"/>
    <w:rsid w:val="001C421B"/>
    <w:rsid w:val="001C6958"/>
    <w:rsid w:val="001C6BA8"/>
    <w:rsid w:val="001C7938"/>
    <w:rsid w:val="001C7D96"/>
    <w:rsid w:val="001D0B0D"/>
    <w:rsid w:val="001D0BD7"/>
    <w:rsid w:val="001D1469"/>
    <w:rsid w:val="001D16DA"/>
    <w:rsid w:val="001D219E"/>
    <w:rsid w:val="001D29B9"/>
    <w:rsid w:val="001D302A"/>
    <w:rsid w:val="001D32EC"/>
    <w:rsid w:val="001D486E"/>
    <w:rsid w:val="001D4A40"/>
    <w:rsid w:val="001D4D4D"/>
    <w:rsid w:val="001D5854"/>
    <w:rsid w:val="001D64D2"/>
    <w:rsid w:val="001D7F92"/>
    <w:rsid w:val="001E1073"/>
    <w:rsid w:val="001E1330"/>
    <w:rsid w:val="001E1AFE"/>
    <w:rsid w:val="001E1EEF"/>
    <w:rsid w:val="001E2BF1"/>
    <w:rsid w:val="001E32CD"/>
    <w:rsid w:val="001E4CCB"/>
    <w:rsid w:val="001E5002"/>
    <w:rsid w:val="001E55BA"/>
    <w:rsid w:val="001E66BA"/>
    <w:rsid w:val="001E688D"/>
    <w:rsid w:val="001E6AA9"/>
    <w:rsid w:val="001F041F"/>
    <w:rsid w:val="001F31A2"/>
    <w:rsid w:val="001F3500"/>
    <w:rsid w:val="001F41F3"/>
    <w:rsid w:val="001F4263"/>
    <w:rsid w:val="00200152"/>
    <w:rsid w:val="00200E15"/>
    <w:rsid w:val="0020102B"/>
    <w:rsid w:val="00202D85"/>
    <w:rsid w:val="002030C3"/>
    <w:rsid w:val="002030C8"/>
    <w:rsid w:val="0020317D"/>
    <w:rsid w:val="00205CDD"/>
    <w:rsid w:val="0020600C"/>
    <w:rsid w:val="00206522"/>
    <w:rsid w:val="00206A40"/>
    <w:rsid w:val="002072B9"/>
    <w:rsid w:val="0020740B"/>
    <w:rsid w:val="00210570"/>
    <w:rsid w:val="002105D1"/>
    <w:rsid w:val="00211C0C"/>
    <w:rsid w:val="00211EB4"/>
    <w:rsid w:val="00213299"/>
    <w:rsid w:val="00213F2A"/>
    <w:rsid w:val="002142CF"/>
    <w:rsid w:val="002151BC"/>
    <w:rsid w:val="00215B95"/>
    <w:rsid w:val="0021657C"/>
    <w:rsid w:val="002209A7"/>
    <w:rsid w:val="0022208E"/>
    <w:rsid w:val="00223F5E"/>
    <w:rsid w:val="002242CD"/>
    <w:rsid w:val="00224B9C"/>
    <w:rsid w:val="00225290"/>
    <w:rsid w:val="00225516"/>
    <w:rsid w:val="00225A1F"/>
    <w:rsid w:val="002265F5"/>
    <w:rsid w:val="00230C86"/>
    <w:rsid w:val="00230CBF"/>
    <w:rsid w:val="00230DEA"/>
    <w:rsid w:val="00231517"/>
    <w:rsid w:val="00231CF5"/>
    <w:rsid w:val="002320C7"/>
    <w:rsid w:val="00232271"/>
    <w:rsid w:val="002334DE"/>
    <w:rsid w:val="00233F93"/>
    <w:rsid w:val="002345BC"/>
    <w:rsid w:val="00234AE7"/>
    <w:rsid w:val="00234CC8"/>
    <w:rsid w:val="00236495"/>
    <w:rsid w:val="00237CA0"/>
    <w:rsid w:val="00237FFE"/>
    <w:rsid w:val="002404A4"/>
    <w:rsid w:val="002409FC"/>
    <w:rsid w:val="00240BC9"/>
    <w:rsid w:val="00241076"/>
    <w:rsid w:val="002412AE"/>
    <w:rsid w:val="00242BA3"/>
    <w:rsid w:val="00244C7E"/>
    <w:rsid w:val="00244D8C"/>
    <w:rsid w:val="00244EE7"/>
    <w:rsid w:val="002458C4"/>
    <w:rsid w:val="002459C7"/>
    <w:rsid w:val="002460F0"/>
    <w:rsid w:val="002461CD"/>
    <w:rsid w:val="002468B3"/>
    <w:rsid w:val="00247DB2"/>
    <w:rsid w:val="002513F7"/>
    <w:rsid w:val="00252B6B"/>
    <w:rsid w:val="0025377B"/>
    <w:rsid w:val="00253DF7"/>
    <w:rsid w:val="00253FB9"/>
    <w:rsid w:val="00254047"/>
    <w:rsid w:val="0025489D"/>
    <w:rsid w:val="00254C82"/>
    <w:rsid w:val="00255CC8"/>
    <w:rsid w:val="00256045"/>
    <w:rsid w:val="00256060"/>
    <w:rsid w:val="002560AD"/>
    <w:rsid w:val="002560D3"/>
    <w:rsid w:val="002562CA"/>
    <w:rsid w:val="002564D7"/>
    <w:rsid w:val="00257CCE"/>
    <w:rsid w:val="002601F0"/>
    <w:rsid w:val="00261025"/>
    <w:rsid w:val="0026128A"/>
    <w:rsid w:val="00261486"/>
    <w:rsid w:val="0026187B"/>
    <w:rsid w:val="00261E62"/>
    <w:rsid w:val="00262215"/>
    <w:rsid w:val="0026301B"/>
    <w:rsid w:val="00263ADD"/>
    <w:rsid w:val="00263F34"/>
    <w:rsid w:val="00264254"/>
    <w:rsid w:val="002643B1"/>
    <w:rsid w:val="0026466D"/>
    <w:rsid w:val="00264DCD"/>
    <w:rsid w:val="00266A69"/>
    <w:rsid w:val="00266E57"/>
    <w:rsid w:val="0026726B"/>
    <w:rsid w:val="00267DF8"/>
    <w:rsid w:val="002705B6"/>
    <w:rsid w:val="00270745"/>
    <w:rsid w:val="00271A06"/>
    <w:rsid w:val="00271E70"/>
    <w:rsid w:val="00272268"/>
    <w:rsid w:val="00272C04"/>
    <w:rsid w:val="00272E22"/>
    <w:rsid w:val="002737E5"/>
    <w:rsid w:val="00274646"/>
    <w:rsid w:val="0027488A"/>
    <w:rsid w:val="00274C8F"/>
    <w:rsid w:val="002754A4"/>
    <w:rsid w:val="00277565"/>
    <w:rsid w:val="0027793D"/>
    <w:rsid w:val="00277B12"/>
    <w:rsid w:val="00277DCB"/>
    <w:rsid w:val="0028142F"/>
    <w:rsid w:val="00281C86"/>
    <w:rsid w:val="00282B74"/>
    <w:rsid w:val="00284A0F"/>
    <w:rsid w:val="0028535A"/>
    <w:rsid w:val="00285FC0"/>
    <w:rsid w:val="00286238"/>
    <w:rsid w:val="0028684D"/>
    <w:rsid w:val="00286EFD"/>
    <w:rsid w:val="002875A3"/>
    <w:rsid w:val="002906F5"/>
    <w:rsid w:val="00291D36"/>
    <w:rsid w:val="00291FE8"/>
    <w:rsid w:val="0029387C"/>
    <w:rsid w:val="0029420F"/>
    <w:rsid w:val="00294225"/>
    <w:rsid w:val="0029448F"/>
    <w:rsid w:val="00295386"/>
    <w:rsid w:val="00295453"/>
    <w:rsid w:val="002959D5"/>
    <w:rsid w:val="00295E50"/>
    <w:rsid w:val="0029614B"/>
    <w:rsid w:val="0029633B"/>
    <w:rsid w:val="00297099"/>
    <w:rsid w:val="002A0538"/>
    <w:rsid w:val="002A10F3"/>
    <w:rsid w:val="002A366B"/>
    <w:rsid w:val="002A4713"/>
    <w:rsid w:val="002A547A"/>
    <w:rsid w:val="002A584C"/>
    <w:rsid w:val="002A653A"/>
    <w:rsid w:val="002A69EA"/>
    <w:rsid w:val="002A6D4E"/>
    <w:rsid w:val="002A707A"/>
    <w:rsid w:val="002B02A5"/>
    <w:rsid w:val="002B03A8"/>
    <w:rsid w:val="002B07A4"/>
    <w:rsid w:val="002B0A66"/>
    <w:rsid w:val="002B19D5"/>
    <w:rsid w:val="002B209C"/>
    <w:rsid w:val="002B23FD"/>
    <w:rsid w:val="002B28BF"/>
    <w:rsid w:val="002B28C4"/>
    <w:rsid w:val="002B2D69"/>
    <w:rsid w:val="002B3656"/>
    <w:rsid w:val="002B3FCD"/>
    <w:rsid w:val="002B57D6"/>
    <w:rsid w:val="002B5DE9"/>
    <w:rsid w:val="002B735D"/>
    <w:rsid w:val="002B749D"/>
    <w:rsid w:val="002B74F3"/>
    <w:rsid w:val="002B7893"/>
    <w:rsid w:val="002C0237"/>
    <w:rsid w:val="002C12B3"/>
    <w:rsid w:val="002C1B18"/>
    <w:rsid w:val="002C26AA"/>
    <w:rsid w:val="002C2839"/>
    <w:rsid w:val="002C3A36"/>
    <w:rsid w:val="002C3A88"/>
    <w:rsid w:val="002C456F"/>
    <w:rsid w:val="002C4AD1"/>
    <w:rsid w:val="002C4C98"/>
    <w:rsid w:val="002C5E50"/>
    <w:rsid w:val="002D1547"/>
    <w:rsid w:val="002D2988"/>
    <w:rsid w:val="002D2DC1"/>
    <w:rsid w:val="002D32A2"/>
    <w:rsid w:val="002D3959"/>
    <w:rsid w:val="002D4076"/>
    <w:rsid w:val="002D422D"/>
    <w:rsid w:val="002D7644"/>
    <w:rsid w:val="002E00E6"/>
    <w:rsid w:val="002E0C9F"/>
    <w:rsid w:val="002E0E58"/>
    <w:rsid w:val="002E1128"/>
    <w:rsid w:val="002E1471"/>
    <w:rsid w:val="002E2884"/>
    <w:rsid w:val="002E3D5C"/>
    <w:rsid w:val="002E4015"/>
    <w:rsid w:val="002E4C4D"/>
    <w:rsid w:val="002E525E"/>
    <w:rsid w:val="002E5A76"/>
    <w:rsid w:val="002E6115"/>
    <w:rsid w:val="002E706F"/>
    <w:rsid w:val="002E73AB"/>
    <w:rsid w:val="002E7486"/>
    <w:rsid w:val="002E786E"/>
    <w:rsid w:val="002E7B4F"/>
    <w:rsid w:val="002F05C6"/>
    <w:rsid w:val="002F08DB"/>
    <w:rsid w:val="002F0CBD"/>
    <w:rsid w:val="002F0D03"/>
    <w:rsid w:val="002F0D1A"/>
    <w:rsid w:val="002F1389"/>
    <w:rsid w:val="002F1582"/>
    <w:rsid w:val="002F27FF"/>
    <w:rsid w:val="002F2C0E"/>
    <w:rsid w:val="002F37AC"/>
    <w:rsid w:val="002F419F"/>
    <w:rsid w:val="002F4626"/>
    <w:rsid w:val="002F533D"/>
    <w:rsid w:val="002F541A"/>
    <w:rsid w:val="002F5B93"/>
    <w:rsid w:val="002F6192"/>
    <w:rsid w:val="002F6EC7"/>
    <w:rsid w:val="002F7A5A"/>
    <w:rsid w:val="002F7C05"/>
    <w:rsid w:val="002F7DF9"/>
    <w:rsid w:val="003015C6"/>
    <w:rsid w:val="003015F9"/>
    <w:rsid w:val="00301EF1"/>
    <w:rsid w:val="0030237B"/>
    <w:rsid w:val="00302556"/>
    <w:rsid w:val="003051E0"/>
    <w:rsid w:val="00305CC5"/>
    <w:rsid w:val="00305CC8"/>
    <w:rsid w:val="00306A31"/>
    <w:rsid w:val="00306C53"/>
    <w:rsid w:val="00306CAB"/>
    <w:rsid w:val="0030737B"/>
    <w:rsid w:val="003108E7"/>
    <w:rsid w:val="00310AFB"/>
    <w:rsid w:val="003110A4"/>
    <w:rsid w:val="00311681"/>
    <w:rsid w:val="0031199F"/>
    <w:rsid w:val="00311CBA"/>
    <w:rsid w:val="00311E46"/>
    <w:rsid w:val="003124B7"/>
    <w:rsid w:val="0031524D"/>
    <w:rsid w:val="00315FEF"/>
    <w:rsid w:val="00316294"/>
    <w:rsid w:val="00316C44"/>
    <w:rsid w:val="00320534"/>
    <w:rsid w:val="00320C5B"/>
    <w:rsid w:val="0032130E"/>
    <w:rsid w:val="003219B5"/>
    <w:rsid w:val="00321A19"/>
    <w:rsid w:val="0032291B"/>
    <w:rsid w:val="00323247"/>
    <w:rsid w:val="00323405"/>
    <w:rsid w:val="00323485"/>
    <w:rsid w:val="00323BD7"/>
    <w:rsid w:val="00325DE0"/>
    <w:rsid w:val="00326352"/>
    <w:rsid w:val="0032647E"/>
    <w:rsid w:val="00326ACC"/>
    <w:rsid w:val="00331050"/>
    <w:rsid w:val="00332C30"/>
    <w:rsid w:val="00333C87"/>
    <w:rsid w:val="00334ACF"/>
    <w:rsid w:val="00335812"/>
    <w:rsid w:val="00335842"/>
    <w:rsid w:val="00337948"/>
    <w:rsid w:val="00340EE8"/>
    <w:rsid w:val="00341694"/>
    <w:rsid w:val="00341709"/>
    <w:rsid w:val="00343060"/>
    <w:rsid w:val="003433C0"/>
    <w:rsid w:val="003449B9"/>
    <w:rsid w:val="00344F71"/>
    <w:rsid w:val="00345AF0"/>
    <w:rsid w:val="00345B99"/>
    <w:rsid w:val="00346DAE"/>
    <w:rsid w:val="00347A73"/>
    <w:rsid w:val="0035072B"/>
    <w:rsid w:val="00350FC2"/>
    <w:rsid w:val="00352F78"/>
    <w:rsid w:val="003535AC"/>
    <w:rsid w:val="003542AF"/>
    <w:rsid w:val="003553C2"/>
    <w:rsid w:val="00356172"/>
    <w:rsid w:val="00357150"/>
    <w:rsid w:val="00357227"/>
    <w:rsid w:val="00357A4B"/>
    <w:rsid w:val="00360E0D"/>
    <w:rsid w:val="0036119F"/>
    <w:rsid w:val="003613D9"/>
    <w:rsid w:val="00361855"/>
    <w:rsid w:val="00363671"/>
    <w:rsid w:val="003649E9"/>
    <w:rsid w:val="00364AC4"/>
    <w:rsid w:val="00364E45"/>
    <w:rsid w:val="00365310"/>
    <w:rsid w:val="0036536C"/>
    <w:rsid w:val="00366D11"/>
    <w:rsid w:val="0036779C"/>
    <w:rsid w:val="00367927"/>
    <w:rsid w:val="003706A2"/>
    <w:rsid w:val="00371B9A"/>
    <w:rsid w:val="00372D0E"/>
    <w:rsid w:val="00374EEF"/>
    <w:rsid w:val="00374F59"/>
    <w:rsid w:val="00376E1E"/>
    <w:rsid w:val="00377109"/>
    <w:rsid w:val="00377BF5"/>
    <w:rsid w:val="00377D94"/>
    <w:rsid w:val="00377F7F"/>
    <w:rsid w:val="00380C6B"/>
    <w:rsid w:val="00381D1B"/>
    <w:rsid w:val="00382F92"/>
    <w:rsid w:val="003838A8"/>
    <w:rsid w:val="0038517E"/>
    <w:rsid w:val="00385446"/>
    <w:rsid w:val="0038589A"/>
    <w:rsid w:val="00386DD4"/>
    <w:rsid w:val="00387014"/>
    <w:rsid w:val="00387D39"/>
    <w:rsid w:val="00387F1E"/>
    <w:rsid w:val="0039073B"/>
    <w:rsid w:val="003913AD"/>
    <w:rsid w:val="0039154F"/>
    <w:rsid w:val="003915B3"/>
    <w:rsid w:val="00392D30"/>
    <w:rsid w:val="00393364"/>
    <w:rsid w:val="0039436E"/>
    <w:rsid w:val="0039469A"/>
    <w:rsid w:val="003949DF"/>
    <w:rsid w:val="00396A15"/>
    <w:rsid w:val="00396A46"/>
    <w:rsid w:val="00396FC5"/>
    <w:rsid w:val="003A039B"/>
    <w:rsid w:val="003A1259"/>
    <w:rsid w:val="003A1AF1"/>
    <w:rsid w:val="003A3D57"/>
    <w:rsid w:val="003A3EF8"/>
    <w:rsid w:val="003A4B26"/>
    <w:rsid w:val="003A545D"/>
    <w:rsid w:val="003A59D1"/>
    <w:rsid w:val="003A6673"/>
    <w:rsid w:val="003A66C3"/>
    <w:rsid w:val="003A72E4"/>
    <w:rsid w:val="003A76F9"/>
    <w:rsid w:val="003A7EE2"/>
    <w:rsid w:val="003B0036"/>
    <w:rsid w:val="003B0A5E"/>
    <w:rsid w:val="003B166C"/>
    <w:rsid w:val="003B2D7E"/>
    <w:rsid w:val="003B380C"/>
    <w:rsid w:val="003B395C"/>
    <w:rsid w:val="003B486D"/>
    <w:rsid w:val="003B5064"/>
    <w:rsid w:val="003B5AF1"/>
    <w:rsid w:val="003B5D96"/>
    <w:rsid w:val="003B638D"/>
    <w:rsid w:val="003C217D"/>
    <w:rsid w:val="003C27B7"/>
    <w:rsid w:val="003C32C6"/>
    <w:rsid w:val="003C3516"/>
    <w:rsid w:val="003C3956"/>
    <w:rsid w:val="003C3A96"/>
    <w:rsid w:val="003C40B8"/>
    <w:rsid w:val="003C469F"/>
    <w:rsid w:val="003C4D96"/>
    <w:rsid w:val="003C4FA7"/>
    <w:rsid w:val="003C53D1"/>
    <w:rsid w:val="003C5A79"/>
    <w:rsid w:val="003C62A2"/>
    <w:rsid w:val="003C6836"/>
    <w:rsid w:val="003C6AB3"/>
    <w:rsid w:val="003D03DF"/>
    <w:rsid w:val="003D0B3C"/>
    <w:rsid w:val="003D11D0"/>
    <w:rsid w:val="003D3701"/>
    <w:rsid w:val="003D42D2"/>
    <w:rsid w:val="003D42EA"/>
    <w:rsid w:val="003D4AC8"/>
    <w:rsid w:val="003D508F"/>
    <w:rsid w:val="003D5339"/>
    <w:rsid w:val="003D58E0"/>
    <w:rsid w:val="003D62F8"/>
    <w:rsid w:val="003D677D"/>
    <w:rsid w:val="003D68B3"/>
    <w:rsid w:val="003D6BA9"/>
    <w:rsid w:val="003D6F57"/>
    <w:rsid w:val="003E0BFB"/>
    <w:rsid w:val="003E1007"/>
    <w:rsid w:val="003E17CF"/>
    <w:rsid w:val="003E1A46"/>
    <w:rsid w:val="003E1CF0"/>
    <w:rsid w:val="003E29B1"/>
    <w:rsid w:val="003E4FB0"/>
    <w:rsid w:val="003E5028"/>
    <w:rsid w:val="003E5615"/>
    <w:rsid w:val="003E57EC"/>
    <w:rsid w:val="003E5AB8"/>
    <w:rsid w:val="003E5AC0"/>
    <w:rsid w:val="003E5B02"/>
    <w:rsid w:val="003E5E6E"/>
    <w:rsid w:val="003E6497"/>
    <w:rsid w:val="003E6FFB"/>
    <w:rsid w:val="003E72C7"/>
    <w:rsid w:val="003E7574"/>
    <w:rsid w:val="003E79A4"/>
    <w:rsid w:val="003E7C38"/>
    <w:rsid w:val="003E7F0B"/>
    <w:rsid w:val="003F04E9"/>
    <w:rsid w:val="003F0611"/>
    <w:rsid w:val="003F0D28"/>
    <w:rsid w:val="003F1390"/>
    <w:rsid w:val="003F14D0"/>
    <w:rsid w:val="003F1D40"/>
    <w:rsid w:val="003F2280"/>
    <w:rsid w:val="003F2456"/>
    <w:rsid w:val="003F3899"/>
    <w:rsid w:val="003F3C66"/>
    <w:rsid w:val="003F4420"/>
    <w:rsid w:val="003F6403"/>
    <w:rsid w:val="003F6AC1"/>
    <w:rsid w:val="003F6B95"/>
    <w:rsid w:val="003F702B"/>
    <w:rsid w:val="003F7467"/>
    <w:rsid w:val="003F7B2F"/>
    <w:rsid w:val="00400143"/>
    <w:rsid w:val="00401A88"/>
    <w:rsid w:val="0040261B"/>
    <w:rsid w:val="004026E7"/>
    <w:rsid w:val="004027F5"/>
    <w:rsid w:val="00402AAB"/>
    <w:rsid w:val="00404649"/>
    <w:rsid w:val="004064F5"/>
    <w:rsid w:val="004068DB"/>
    <w:rsid w:val="00407434"/>
    <w:rsid w:val="00407699"/>
    <w:rsid w:val="00407AEF"/>
    <w:rsid w:val="00410D08"/>
    <w:rsid w:val="00410F86"/>
    <w:rsid w:val="00412561"/>
    <w:rsid w:val="0041331E"/>
    <w:rsid w:val="00413AEB"/>
    <w:rsid w:val="004143F8"/>
    <w:rsid w:val="00414F67"/>
    <w:rsid w:val="00415901"/>
    <w:rsid w:val="004168E0"/>
    <w:rsid w:val="00416B9B"/>
    <w:rsid w:val="00416E37"/>
    <w:rsid w:val="00416F66"/>
    <w:rsid w:val="004175CD"/>
    <w:rsid w:val="0041799F"/>
    <w:rsid w:val="00421537"/>
    <w:rsid w:val="00421D19"/>
    <w:rsid w:val="00422DE2"/>
    <w:rsid w:val="0042313D"/>
    <w:rsid w:val="004239E8"/>
    <w:rsid w:val="00423C5A"/>
    <w:rsid w:val="00423EB4"/>
    <w:rsid w:val="00424ADF"/>
    <w:rsid w:val="00424DDC"/>
    <w:rsid w:val="00425B3D"/>
    <w:rsid w:val="00425D72"/>
    <w:rsid w:val="00425F54"/>
    <w:rsid w:val="00426EF2"/>
    <w:rsid w:val="00427034"/>
    <w:rsid w:val="00427F28"/>
    <w:rsid w:val="004300A1"/>
    <w:rsid w:val="00430266"/>
    <w:rsid w:val="004302EF"/>
    <w:rsid w:val="004307FB"/>
    <w:rsid w:val="00430A4F"/>
    <w:rsid w:val="00430AE3"/>
    <w:rsid w:val="00431951"/>
    <w:rsid w:val="00432717"/>
    <w:rsid w:val="004329C6"/>
    <w:rsid w:val="0043313B"/>
    <w:rsid w:val="004336B0"/>
    <w:rsid w:val="00433A05"/>
    <w:rsid w:val="00433BEF"/>
    <w:rsid w:val="0043434A"/>
    <w:rsid w:val="00436255"/>
    <w:rsid w:val="00436534"/>
    <w:rsid w:val="0043686C"/>
    <w:rsid w:val="00436F48"/>
    <w:rsid w:val="00437598"/>
    <w:rsid w:val="00437881"/>
    <w:rsid w:val="00437DA4"/>
    <w:rsid w:val="00440413"/>
    <w:rsid w:val="004404A5"/>
    <w:rsid w:val="004405D8"/>
    <w:rsid w:val="00440912"/>
    <w:rsid w:val="00440AC8"/>
    <w:rsid w:val="00441A02"/>
    <w:rsid w:val="0044234E"/>
    <w:rsid w:val="00442829"/>
    <w:rsid w:val="00442B7C"/>
    <w:rsid w:val="004430AD"/>
    <w:rsid w:val="0044322A"/>
    <w:rsid w:val="00443BC7"/>
    <w:rsid w:val="00444A68"/>
    <w:rsid w:val="00444B9B"/>
    <w:rsid w:val="00444C58"/>
    <w:rsid w:val="004457EF"/>
    <w:rsid w:val="00445BC6"/>
    <w:rsid w:val="00445CDF"/>
    <w:rsid w:val="004461BB"/>
    <w:rsid w:val="0044627A"/>
    <w:rsid w:val="00450544"/>
    <w:rsid w:val="0045089F"/>
    <w:rsid w:val="00450E0E"/>
    <w:rsid w:val="004515F1"/>
    <w:rsid w:val="00452CF4"/>
    <w:rsid w:val="00453320"/>
    <w:rsid w:val="0045486A"/>
    <w:rsid w:val="00455302"/>
    <w:rsid w:val="004558D0"/>
    <w:rsid w:val="00457194"/>
    <w:rsid w:val="00457EE0"/>
    <w:rsid w:val="00460291"/>
    <w:rsid w:val="0046032F"/>
    <w:rsid w:val="00460806"/>
    <w:rsid w:val="00463744"/>
    <w:rsid w:val="00464FC4"/>
    <w:rsid w:val="00464FE2"/>
    <w:rsid w:val="004653BA"/>
    <w:rsid w:val="00465A6C"/>
    <w:rsid w:val="0046709B"/>
    <w:rsid w:val="004707DA"/>
    <w:rsid w:val="004710F3"/>
    <w:rsid w:val="004712A4"/>
    <w:rsid w:val="00471468"/>
    <w:rsid w:val="00471B27"/>
    <w:rsid w:val="00471BAD"/>
    <w:rsid w:val="00471F86"/>
    <w:rsid w:val="004720C7"/>
    <w:rsid w:val="00473414"/>
    <w:rsid w:val="00473A92"/>
    <w:rsid w:val="004763DD"/>
    <w:rsid w:val="004763EC"/>
    <w:rsid w:val="004765EE"/>
    <w:rsid w:val="0047660B"/>
    <w:rsid w:val="00476F0F"/>
    <w:rsid w:val="004771F1"/>
    <w:rsid w:val="00477454"/>
    <w:rsid w:val="0047755E"/>
    <w:rsid w:val="00477FB6"/>
    <w:rsid w:val="0048290B"/>
    <w:rsid w:val="00482961"/>
    <w:rsid w:val="00482A5D"/>
    <w:rsid w:val="0048384B"/>
    <w:rsid w:val="004838D0"/>
    <w:rsid w:val="00483E4C"/>
    <w:rsid w:val="00484435"/>
    <w:rsid w:val="004849ED"/>
    <w:rsid w:val="00484B26"/>
    <w:rsid w:val="00484B50"/>
    <w:rsid w:val="00484B5E"/>
    <w:rsid w:val="004854A2"/>
    <w:rsid w:val="00485EFD"/>
    <w:rsid w:val="00486AC9"/>
    <w:rsid w:val="00490864"/>
    <w:rsid w:val="00491185"/>
    <w:rsid w:val="00491443"/>
    <w:rsid w:val="004915A1"/>
    <w:rsid w:val="004925F8"/>
    <w:rsid w:val="0049370B"/>
    <w:rsid w:val="0049408C"/>
    <w:rsid w:val="004942DD"/>
    <w:rsid w:val="00494621"/>
    <w:rsid w:val="004962AF"/>
    <w:rsid w:val="004966A0"/>
    <w:rsid w:val="0049741D"/>
    <w:rsid w:val="004A02CA"/>
    <w:rsid w:val="004A05FD"/>
    <w:rsid w:val="004A080B"/>
    <w:rsid w:val="004A0969"/>
    <w:rsid w:val="004A0D22"/>
    <w:rsid w:val="004A1647"/>
    <w:rsid w:val="004A215B"/>
    <w:rsid w:val="004A2AEF"/>
    <w:rsid w:val="004A340F"/>
    <w:rsid w:val="004A4CE5"/>
    <w:rsid w:val="004A5990"/>
    <w:rsid w:val="004A5DE0"/>
    <w:rsid w:val="004A5DED"/>
    <w:rsid w:val="004A61E1"/>
    <w:rsid w:val="004A6CDB"/>
    <w:rsid w:val="004B00B8"/>
    <w:rsid w:val="004B0FE8"/>
    <w:rsid w:val="004B1136"/>
    <w:rsid w:val="004B1673"/>
    <w:rsid w:val="004B1771"/>
    <w:rsid w:val="004B218F"/>
    <w:rsid w:val="004B23A3"/>
    <w:rsid w:val="004B257B"/>
    <w:rsid w:val="004B4DA3"/>
    <w:rsid w:val="004B4DDA"/>
    <w:rsid w:val="004B51CE"/>
    <w:rsid w:val="004B5BA8"/>
    <w:rsid w:val="004B5E36"/>
    <w:rsid w:val="004B677A"/>
    <w:rsid w:val="004B7131"/>
    <w:rsid w:val="004B71B7"/>
    <w:rsid w:val="004B73E8"/>
    <w:rsid w:val="004B7A19"/>
    <w:rsid w:val="004C007B"/>
    <w:rsid w:val="004C016C"/>
    <w:rsid w:val="004C033D"/>
    <w:rsid w:val="004C1298"/>
    <w:rsid w:val="004C1DAC"/>
    <w:rsid w:val="004C215D"/>
    <w:rsid w:val="004C2794"/>
    <w:rsid w:val="004C331D"/>
    <w:rsid w:val="004C37A9"/>
    <w:rsid w:val="004C37FC"/>
    <w:rsid w:val="004C38C4"/>
    <w:rsid w:val="004C3B21"/>
    <w:rsid w:val="004C3B8E"/>
    <w:rsid w:val="004C3E1D"/>
    <w:rsid w:val="004C4148"/>
    <w:rsid w:val="004C6EA6"/>
    <w:rsid w:val="004C70B6"/>
    <w:rsid w:val="004C7E17"/>
    <w:rsid w:val="004D0A2D"/>
    <w:rsid w:val="004D134A"/>
    <w:rsid w:val="004D1A51"/>
    <w:rsid w:val="004D2192"/>
    <w:rsid w:val="004D231F"/>
    <w:rsid w:val="004D2A28"/>
    <w:rsid w:val="004D2E00"/>
    <w:rsid w:val="004D2F1E"/>
    <w:rsid w:val="004D3DC2"/>
    <w:rsid w:val="004D3ED2"/>
    <w:rsid w:val="004D5576"/>
    <w:rsid w:val="004D5E79"/>
    <w:rsid w:val="004D6115"/>
    <w:rsid w:val="004D6B91"/>
    <w:rsid w:val="004D6D7E"/>
    <w:rsid w:val="004D6E3F"/>
    <w:rsid w:val="004D73AC"/>
    <w:rsid w:val="004D73FF"/>
    <w:rsid w:val="004D782F"/>
    <w:rsid w:val="004E0297"/>
    <w:rsid w:val="004E04D3"/>
    <w:rsid w:val="004E0850"/>
    <w:rsid w:val="004E09FA"/>
    <w:rsid w:val="004E0D29"/>
    <w:rsid w:val="004E0DBC"/>
    <w:rsid w:val="004E39E0"/>
    <w:rsid w:val="004E3BB8"/>
    <w:rsid w:val="004E3FEE"/>
    <w:rsid w:val="004E43AE"/>
    <w:rsid w:val="004E5485"/>
    <w:rsid w:val="004E5501"/>
    <w:rsid w:val="004E574F"/>
    <w:rsid w:val="004E61F3"/>
    <w:rsid w:val="004E6AC5"/>
    <w:rsid w:val="004E6B26"/>
    <w:rsid w:val="004E7AFD"/>
    <w:rsid w:val="004F08A6"/>
    <w:rsid w:val="004F0B4B"/>
    <w:rsid w:val="004F0FF9"/>
    <w:rsid w:val="004F1167"/>
    <w:rsid w:val="004F139B"/>
    <w:rsid w:val="004F18F7"/>
    <w:rsid w:val="004F1943"/>
    <w:rsid w:val="004F19E1"/>
    <w:rsid w:val="004F1B8E"/>
    <w:rsid w:val="004F1DAF"/>
    <w:rsid w:val="004F2ABF"/>
    <w:rsid w:val="004F3209"/>
    <w:rsid w:val="004F321E"/>
    <w:rsid w:val="004F3F9D"/>
    <w:rsid w:val="004F5221"/>
    <w:rsid w:val="004F5DDA"/>
    <w:rsid w:val="004F62EE"/>
    <w:rsid w:val="004F631E"/>
    <w:rsid w:val="004F65DF"/>
    <w:rsid w:val="004F7F8E"/>
    <w:rsid w:val="00501B75"/>
    <w:rsid w:val="005022CF"/>
    <w:rsid w:val="00503E7A"/>
    <w:rsid w:val="00504EFF"/>
    <w:rsid w:val="00505207"/>
    <w:rsid w:val="00505238"/>
    <w:rsid w:val="005056D9"/>
    <w:rsid w:val="00505935"/>
    <w:rsid w:val="00505940"/>
    <w:rsid w:val="00506114"/>
    <w:rsid w:val="00511067"/>
    <w:rsid w:val="00511AC0"/>
    <w:rsid w:val="00512212"/>
    <w:rsid w:val="00512901"/>
    <w:rsid w:val="00513295"/>
    <w:rsid w:val="005136AB"/>
    <w:rsid w:val="00513B01"/>
    <w:rsid w:val="00514DDA"/>
    <w:rsid w:val="00515F0A"/>
    <w:rsid w:val="0051653F"/>
    <w:rsid w:val="00516E59"/>
    <w:rsid w:val="00516FD1"/>
    <w:rsid w:val="00517BE2"/>
    <w:rsid w:val="00517FD6"/>
    <w:rsid w:val="0052001A"/>
    <w:rsid w:val="0052086E"/>
    <w:rsid w:val="00521093"/>
    <w:rsid w:val="005215A8"/>
    <w:rsid w:val="005217E8"/>
    <w:rsid w:val="00522957"/>
    <w:rsid w:val="00523577"/>
    <w:rsid w:val="00523A52"/>
    <w:rsid w:val="00526B37"/>
    <w:rsid w:val="00527F93"/>
    <w:rsid w:val="00530344"/>
    <w:rsid w:val="00530456"/>
    <w:rsid w:val="00530648"/>
    <w:rsid w:val="00530EDD"/>
    <w:rsid w:val="0053235C"/>
    <w:rsid w:val="00532C7F"/>
    <w:rsid w:val="00534356"/>
    <w:rsid w:val="00534FD9"/>
    <w:rsid w:val="005363A1"/>
    <w:rsid w:val="005366D3"/>
    <w:rsid w:val="005369E3"/>
    <w:rsid w:val="00536BC8"/>
    <w:rsid w:val="00536F29"/>
    <w:rsid w:val="00540A65"/>
    <w:rsid w:val="00541744"/>
    <w:rsid w:val="0054218E"/>
    <w:rsid w:val="00542C87"/>
    <w:rsid w:val="00543773"/>
    <w:rsid w:val="00544C0C"/>
    <w:rsid w:val="005459B5"/>
    <w:rsid w:val="005463CA"/>
    <w:rsid w:val="00547F8A"/>
    <w:rsid w:val="00550824"/>
    <w:rsid w:val="00550914"/>
    <w:rsid w:val="00551013"/>
    <w:rsid w:val="00551C31"/>
    <w:rsid w:val="00553B4E"/>
    <w:rsid w:val="00553CE6"/>
    <w:rsid w:val="00554742"/>
    <w:rsid w:val="00554CDD"/>
    <w:rsid w:val="00554DEB"/>
    <w:rsid w:val="00555D71"/>
    <w:rsid w:val="00556321"/>
    <w:rsid w:val="0055721D"/>
    <w:rsid w:val="0055724B"/>
    <w:rsid w:val="00560237"/>
    <w:rsid w:val="0056024E"/>
    <w:rsid w:val="00560515"/>
    <w:rsid w:val="00560FF1"/>
    <w:rsid w:val="005630F5"/>
    <w:rsid w:val="0056365A"/>
    <w:rsid w:val="00564352"/>
    <w:rsid w:val="00564357"/>
    <w:rsid w:val="005645B5"/>
    <w:rsid w:val="0056472F"/>
    <w:rsid w:val="0056525C"/>
    <w:rsid w:val="00565B1D"/>
    <w:rsid w:val="00565DE5"/>
    <w:rsid w:val="00566450"/>
    <w:rsid w:val="0056655A"/>
    <w:rsid w:val="00570053"/>
    <w:rsid w:val="00570959"/>
    <w:rsid w:val="005711FE"/>
    <w:rsid w:val="0057159A"/>
    <w:rsid w:val="005715CF"/>
    <w:rsid w:val="005719B0"/>
    <w:rsid w:val="00571B47"/>
    <w:rsid w:val="00571CD9"/>
    <w:rsid w:val="00572009"/>
    <w:rsid w:val="00572282"/>
    <w:rsid w:val="005722B0"/>
    <w:rsid w:val="00572375"/>
    <w:rsid w:val="005727F4"/>
    <w:rsid w:val="00573545"/>
    <w:rsid w:val="0057492E"/>
    <w:rsid w:val="00575802"/>
    <w:rsid w:val="00575D6A"/>
    <w:rsid w:val="00576515"/>
    <w:rsid w:val="005769CF"/>
    <w:rsid w:val="005774D4"/>
    <w:rsid w:val="00577CF9"/>
    <w:rsid w:val="00577E4E"/>
    <w:rsid w:val="0058020D"/>
    <w:rsid w:val="0058062C"/>
    <w:rsid w:val="0058125C"/>
    <w:rsid w:val="005812CE"/>
    <w:rsid w:val="0058161C"/>
    <w:rsid w:val="00582627"/>
    <w:rsid w:val="00582CA5"/>
    <w:rsid w:val="00584156"/>
    <w:rsid w:val="00584904"/>
    <w:rsid w:val="005867BF"/>
    <w:rsid w:val="00586F02"/>
    <w:rsid w:val="0058735D"/>
    <w:rsid w:val="00590541"/>
    <w:rsid w:val="00590791"/>
    <w:rsid w:val="005907FF"/>
    <w:rsid w:val="005909D9"/>
    <w:rsid w:val="005920B8"/>
    <w:rsid w:val="005922ED"/>
    <w:rsid w:val="00593579"/>
    <w:rsid w:val="00593B58"/>
    <w:rsid w:val="00594146"/>
    <w:rsid w:val="00594C92"/>
    <w:rsid w:val="00595908"/>
    <w:rsid w:val="00595CD4"/>
    <w:rsid w:val="00596C91"/>
    <w:rsid w:val="005979E9"/>
    <w:rsid w:val="005A018F"/>
    <w:rsid w:val="005A06FB"/>
    <w:rsid w:val="005A0A08"/>
    <w:rsid w:val="005A1052"/>
    <w:rsid w:val="005A1DBC"/>
    <w:rsid w:val="005A2602"/>
    <w:rsid w:val="005A266C"/>
    <w:rsid w:val="005A2B13"/>
    <w:rsid w:val="005A2D0C"/>
    <w:rsid w:val="005A3F9E"/>
    <w:rsid w:val="005A415F"/>
    <w:rsid w:val="005A4263"/>
    <w:rsid w:val="005A4652"/>
    <w:rsid w:val="005A64EB"/>
    <w:rsid w:val="005A74C3"/>
    <w:rsid w:val="005A76BE"/>
    <w:rsid w:val="005B080D"/>
    <w:rsid w:val="005B0EB0"/>
    <w:rsid w:val="005B1090"/>
    <w:rsid w:val="005B172F"/>
    <w:rsid w:val="005B198F"/>
    <w:rsid w:val="005B1BD6"/>
    <w:rsid w:val="005B1E64"/>
    <w:rsid w:val="005B2196"/>
    <w:rsid w:val="005B2318"/>
    <w:rsid w:val="005B2D5E"/>
    <w:rsid w:val="005B3FE7"/>
    <w:rsid w:val="005B5221"/>
    <w:rsid w:val="005B531A"/>
    <w:rsid w:val="005B65A0"/>
    <w:rsid w:val="005B69DC"/>
    <w:rsid w:val="005B6B01"/>
    <w:rsid w:val="005B77B9"/>
    <w:rsid w:val="005C1665"/>
    <w:rsid w:val="005C21FE"/>
    <w:rsid w:val="005C2B6F"/>
    <w:rsid w:val="005C3BE8"/>
    <w:rsid w:val="005C437B"/>
    <w:rsid w:val="005C6470"/>
    <w:rsid w:val="005C699D"/>
    <w:rsid w:val="005C72A4"/>
    <w:rsid w:val="005C786D"/>
    <w:rsid w:val="005D0108"/>
    <w:rsid w:val="005D01DF"/>
    <w:rsid w:val="005D076A"/>
    <w:rsid w:val="005D1AB2"/>
    <w:rsid w:val="005D2B61"/>
    <w:rsid w:val="005D3222"/>
    <w:rsid w:val="005D45B4"/>
    <w:rsid w:val="005D4727"/>
    <w:rsid w:val="005D5EF0"/>
    <w:rsid w:val="005D5F47"/>
    <w:rsid w:val="005D6873"/>
    <w:rsid w:val="005D6A5A"/>
    <w:rsid w:val="005D6EB0"/>
    <w:rsid w:val="005D715D"/>
    <w:rsid w:val="005D7269"/>
    <w:rsid w:val="005D7E08"/>
    <w:rsid w:val="005D7E4E"/>
    <w:rsid w:val="005E013F"/>
    <w:rsid w:val="005E1649"/>
    <w:rsid w:val="005E1F92"/>
    <w:rsid w:val="005E2C37"/>
    <w:rsid w:val="005E3568"/>
    <w:rsid w:val="005E39E5"/>
    <w:rsid w:val="005E3BAE"/>
    <w:rsid w:val="005E55AC"/>
    <w:rsid w:val="005E58D1"/>
    <w:rsid w:val="005E5C1C"/>
    <w:rsid w:val="005E5C68"/>
    <w:rsid w:val="005E5E42"/>
    <w:rsid w:val="005E6303"/>
    <w:rsid w:val="005F0493"/>
    <w:rsid w:val="005F074F"/>
    <w:rsid w:val="005F27CC"/>
    <w:rsid w:val="005F29B7"/>
    <w:rsid w:val="005F2DBA"/>
    <w:rsid w:val="005F37FE"/>
    <w:rsid w:val="005F478E"/>
    <w:rsid w:val="005F5BB7"/>
    <w:rsid w:val="005F6086"/>
    <w:rsid w:val="005F60EC"/>
    <w:rsid w:val="005F6454"/>
    <w:rsid w:val="005F6E48"/>
    <w:rsid w:val="005F6F89"/>
    <w:rsid w:val="005F7A15"/>
    <w:rsid w:val="00600D01"/>
    <w:rsid w:val="00601A34"/>
    <w:rsid w:val="00601DC7"/>
    <w:rsid w:val="0060202B"/>
    <w:rsid w:val="00602413"/>
    <w:rsid w:val="00602D48"/>
    <w:rsid w:val="00605158"/>
    <w:rsid w:val="00607096"/>
    <w:rsid w:val="00607EF5"/>
    <w:rsid w:val="00610107"/>
    <w:rsid w:val="00610A9E"/>
    <w:rsid w:val="00610B24"/>
    <w:rsid w:val="00610C5B"/>
    <w:rsid w:val="0061168D"/>
    <w:rsid w:val="00611855"/>
    <w:rsid w:val="006118C8"/>
    <w:rsid w:val="00611F55"/>
    <w:rsid w:val="00612735"/>
    <w:rsid w:val="00615527"/>
    <w:rsid w:val="00615A41"/>
    <w:rsid w:val="00620B77"/>
    <w:rsid w:val="006210AB"/>
    <w:rsid w:val="006217AF"/>
    <w:rsid w:val="00621E28"/>
    <w:rsid w:val="00621E93"/>
    <w:rsid w:val="00622ACB"/>
    <w:rsid w:val="00624DFF"/>
    <w:rsid w:val="00624E1B"/>
    <w:rsid w:val="00624F5D"/>
    <w:rsid w:val="00625B62"/>
    <w:rsid w:val="00625DB2"/>
    <w:rsid w:val="00625E1D"/>
    <w:rsid w:val="0062666C"/>
    <w:rsid w:val="006274BB"/>
    <w:rsid w:val="00627B3B"/>
    <w:rsid w:val="00630138"/>
    <w:rsid w:val="00630599"/>
    <w:rsid w:val="00631199"/>
    <w:rsid w:val="00631292"/>
    <w:rsid w:val="006331C2"/>
    <w:rsid w:val="00633E6F"/>
    <w:rsid w:val="0063409D"/>
    <w:rsid w:val="00635816"/>
    <w:rsid w:val="0063648A"/>
    <w:rsid w:val="006364E5"/>
    <w:rsid w:val="00636C82"/>
    <w:rsid w:val="00637BE2"/>
    <w:rsid w:val="00637D3B"/>
    <w:rsid w:val="0064076C"/>
    <w:rsid w:val="00640E24"/>
    <w:rsid w:val="00641E6F"/>
    <w:rsid w:val="00642DDD"/>
    <w:rsid w:val="00642F00"/>
    <w:rsid w:val="00643A2B"/>
    <w:rsid w:val="00643FB6"/>
    <w:rsid w:val="00644094"/>
    <w:rsid w:val="00644E21"/>
    <w:rsid w:val="006454C1"/>
    <w:rsid w:val="006454C3"/>
    <w:rsid w:val="006467DE"/>
    <w:rsid w:val="006468B8"/>
    <w:rsid w:val="00647A30"/>
    <w:rsid w:val="006504DC"/>
    <w:rsid w:val="00650B2F"/>
    <w:rsid w:val="00650DCA"/>
    <w:rsid w:val="00652529"/>
    <w:rsid w:val="00653ADE"/>
    <w:rsid w:val="0065456E"/>
    <w:rsid w:val="00656460"/>
    <w:rsid w:val="00656FAB"/>
    <w:rsid w:val="00660AA0"/>
    <w:rsid w:val="006612A8"/>
    <w:rsid w:val="00661FC5"/>
    <w:rsid w:val="006624C9"/>
    <w:rsid w:val="00663747"/>
    <w:rsid w:val="00663E4C"/>
    <w:rsid w:val="006643D9"/>
    <w:rsid w:val="0066443D"/>
    <w:rsid w:val="0066488C"/>
    <w:rsid w:val="006649AA"/>
    <w:rsid w:val="00665383"/>
    <w:rsid w:val="006679A6"/>
    <w:rsid w:val="00667AE8"/>
    <w:rsid w:val="00670622"/>
    <w:rsid w:val="006715A2"/>
    <w:rsid w:val="00672017"/>
    <w:rsid w:val="006723E3"/>
    <w:rsid w:val="006738F2"/>
    <w:rsid w:val="0067409D"/>
    <w:rsid w:val="006742CD"/>
    <w:rsid w:val="00674CF1"/>
    <w:rsid w:val="006755DF"/>
    <w:rsid w:val="006758F0"/>
    <w:rsid w:val="00677221"/>
    <w:rsid w:val="00680131"/>
    <w:rsid w:val="00680B9E"/>
    <w:rsid w:val="00682154"/>
    <w:rsid w:val="00682559"/>
    <w:rsid w:val="00682746"/>
    <w:rsid w:val="00682B01"/>
    <w:rsid w:val="00683CB2"/>
    <w:rsid w:val="00683D2B"/>
    <w:rsid w:val="00683DBB"/>
    <w:rsid w:val="00683E08"/>
    <w:rsid w:val="00684990"/>
    <w:rsid w:val="006850A0"/>
    <w:rsid w:val="0068592F"/>
    <w:rsid w:val="006860DB"/>
    <w:rsid w:val="00686249"/>
    <w:rsid w:val="00687666"/>
    <w:rsid w:val="00687D0A"/>
    <w:rsid w:val="006900C0"/>
    <w:rsid w:val="006903D4"/>
    <w:rsid w:val="00690669"/>
    <w:rsid w:val="00690F89"/>
    <w:rsid w:val="006943E8"/>
    <w:rsid w:val="006974BB"/>
    <w:rsid w:val="006976C0"/>
    <w:rsid w:val="006976DE"/>
    <w:rsid w:val="006979B4"/>
    <w:rsid w:val="006A05EA"/>
    <w:rsid w:val="006A0CFC"/>
    <w:rsid w:val="006A0E89"/>
    <w:rsid w:val="006A14FB"/>
    <w:rsid w:val="006A3A04"/>
    <w:rsid w:val="006A494F"/>
    <w:rsid w:val="006A56F6"/>
    <w:rsid w:val="006A5800"/>
    <w:rsid w:val="006A626E"/>
    <w:rsid w:val="006A690B"/>
    <w:rsid w:val="006A77EF"/>
    <w:rsid w:val="006B091D"/>
    <w:rsid w:val="006B1228"/>
    <w:rsid w:val="006B1AB5"/>
    <w:rsid w:val="006B1B1F"/>
    <w:rsid w:val="006B1D17"/>
    <w:rsid w:val="006B2CC5"/>
    <w:rsid w:val="006B3485"/>
    <w:rsid w:val="006B36D0"/>
    <w:rsid w:val="006B3DBE"/>
    <w:rsid w:val="006B494D"/>
    <w:rsid w:val="006B53B6"/>
    <w:rsid w:val="006B596F"/>
    <w:rsid w:val="006B5B57"/>
    <w:rsid w:val="006B5E79"/>
    <w:rsid w:val="006B6158"/>
    <w:rsid w:val="006C061E"/>
    <w:rsid w:val="006C1433"/>
    <w:rsid w:val="006C1891"/>
    <w:rsid w:val="006C2BE9"/>
    <w:rsid w:val="006C2D79"/>
    <w:rsid w:val="006C32FE"/>
    <w:rsid w:val="006C3B46"/>
    <w:rsid w:val="006C3D44"/>
    <w:rsid w:val="006C4C20"/>
    <w:rsid w:val="006C54D1"/>
    <w:rsid w:val="006C6C37"/>
    <w:rsid w:val="006C6D26"/>
    <w:rsid w:val="006D00DE"/>
    <w:rsid w:val="006D129B"/>
    <w:rsid w:val="006D16A1"/>
    <w:rsid w:val="006D3345"/>
    <w:rsid w:val="006D5773"/>
    <w:rsid w:val="006D590A"/>
    <w:rsid w:val="006D5AFC"/>
    <w:rsid w:val="006D6203"/>
    <w:rsid w:val="006D6298"/>
    <w:rsid w:val="006D6BB5"/>
    <w:rsid w:val="006E165A"/>
    <w:rsid w:val="006E1CD6"/>
    <w:rsid w:val="006E2F55"/>
    <w:rsid w:val="006E371C"/>
    <w:rsid w:val="006E3B6B"/>
    <w:rsid w:val="006E3DC7"/>
    <w:rsid w:val="006E4141"/>
    <w:rsid w:val="006E4C9D"/>
    <w:rsid w:val="006E5214"/>
    <w:rsid w:val="006E5787"/>
    <w:rsid w:val="006E7C5C"/>
    <w:rsid w:val="006F024E"/>
    <w:rsid w:val="006F0569"/>
    <w:rsid w:val="006F06ED"/>
    <w:rsid w:val="006F0B92"/>
    <w:rsid w:val="006F1174"/>
    <w:rsid w:val="006F180D"/>
    <w:rsid w:val="006F2B19"/>
    <w:rsid w:val="006F6FCF"/>
    <w:rsid w:val="006F7473"/>
    <w:rsid w:val="006F75DF"/>
    <w:rsid w:val="006F7C82"/>
    <w:rsid w:val="00700190"/>
    <w:rsid w:val="00700689"/>
    <w:rsid w:val="00701223"/>
    <w:rsid w:val="00701C5F"/>
    <w:rsid w:val="00702594"/>
    <w:rsid w:val="0070280F"/>
    <w:rsid w:val="0070447D"/>
    <w:rsid w:val="00704CBF"/>
    <w:rsid w:val="00704F87"/>
    <w:rsid w:val="00704FD0"/>
    <w:rsid w:val="00705368"/>
    <w:rsid w:val="00705DA4"/>
    <w:rsid w:val="007075A9"/>
    <w:rsid w:val="00707F7C"/>
    <w:rsid w:val="00711C2C"/>
    <w:rsid w:val="00711F70"/>
    <w:rsid w:val="00712A07"/>
    <w:rsid w:val="00712AC6"/>
    <w:rsid w:val="00713941"/>
    <w:rsid w:val="00714029"/>
    <w:rsid w:val="00714C05"/>
    <w:rsid w:val="00714CD0"/>
    <w:rsid w:val="00715673"/>
    <w:rsid w:val="007165CA"/>
    <w:rsid w:val="00716915"/>
    <w:rsid w:val="00716CF9"/>
    <w:rsid w:val="007173FE"/>
    <w:rsid w:val="00717DB6"/>
    <w:rsid w:val="00720199"/>
    <w:rsid w:val="00720CF4"/>
    <w:rsid w:val="00721958"/>
    <w:rsid w:val="00722219"/>
    <w:rsid w:val="00722AD2"/>
    <w:rsid w:val="007238C2"/>
    <w:rsid w:val="007241B0"/>
    <w:rsid w:val="00724416"/>
    <w:rsid w:val="007246C6"/>
    <w:rsid w:val="00724C2F"/>
    <w:rsid w:val="00726081"/>
    <w:rsid w:val="0072652F"/>
    <w:rsid w:val="0072677B"/>
    <w:rsid w:val="0072697C"/>
    <w:rsid w:val="0073000C"/>
    <w:rsid w:val="007303A8"/>
    <w:rsid w:val="007315F5"/>
    <w:rsid w:val="0073279D"/>
    <w:rsid w:val="0073285B"/>
    <w:rsid w:val="00732986"/>
    <w:rsid w:val="0073337C"/>
    <w:rsid w:val="007355D3"/>
    <w:rsid w:val="007357FF"/>
    <w:rsid w:val="00735BCF"/>
    <w:rsid w:val="00736CDF"/>
    <w:rsid w:val="00736D7F"/>
    <w:rsid w:val="0074032C"/>
    <w:rsid w:val="007408D2"/>
    <w:rsid w:val="00741452"/>
    <w:rsid w:val="00741627"/>
    <w:rsid w:val="00742B4D"/>
    <w:rsid w:val="007440DD"/>
    <w:rsid w:val="00744219"/>
    <w:rsid w:val="00744F48"/>
    <w:rsid w:val="00744F71"/>
    <w:rsid w:val="007458ED"/>
    <w:rsid w:val="00750134"/>
    <w:rsid w:val="007507FD"/>
    <w:rsid w:val="00750CBD"/>
    <w:rsid w:val="00751DA4"/>
    <w:rsid w:val="007522FB"/>
    <w:rsid w:val="00752D23"/>
    <w:rsid w:val="0075303B"/>
    <w:rsid w:val="0075364B"/>
    <w:rsid w:val="00753D31"/>
    <w:rsid w:val="007547F7"/>
    <w:rsid w:val="00754BD7"/>
    <w:rsid w:val="00754DDF"/>
    <w:rsid w:val="00754FDB"/>
    <w:rsid w:val="00755513"/>
    <w:rsid w:val="007559AE"/>
    <w:rsid w:val="00755B7E"/>
    <w:rsid w:val="00755F11"/>
    <w:rsid w:val="00757B4C"/>
    <w:rsid w:val="00761276"/>
    <w:rsid w:val="00762045"/>
    <w:rsid w:val="00762B78"/>
    <w:rsid w:val="00762B98"/>
    <w:rsid w:val="00762FE2"/>
    <w:rsid w:val="0076301B"/>
    <w:rsid w:val="007643C0"/>
    <w:rsid w:val="0076466D"/>
    <w:rsid w:val="00764F7B"/>
    <w:rsid w:val="007651A1"/>
    <w:rsid w:val="007655BB"/>
    <w:rsid w:val="00765603"/>
    <w:rsid w:val="00766277"/>
    <w:rsid w:val="00767793"/>
    <w:rsid w:val="007703B5"/>
    <w:rsid w:val="00770611"/>
    <w:rsid w:val="00770D3F"/>
    <w:rsid w:val="00771286"/>
    <w:rsid w:val="00771460"/>
    <w:rsid w:val="00771746"/>
    <w:rsid w:val="007718FB"/>
    <w:rsid w:val="00772D9F"/>
    <w:rsid w:val="007733B3"/>
    <w:rsid w:val="00773ACE"/>
    <w:rsid w:val="007746B5"/>
    <w:rsid w:val="00774971"/>
    <w:rsid w:val="00775AFB"/>
    <w:rsid w:val="00775BFF"/>
    <w:rsid w:val="00776232"/>
    <w:rsid w:val="007764E5"/>
    <w:rsid w:val="0077679F"/>
    <w:rsid w:val="00776EF3"/>
    <w:rsid w:val="00776FB1"/>
    <w:rsid w:val="00777B70"/>
    <w:rsid w:val="00777FED"/>
    <w:rsid w:val="007802C1"/>
    <w:rsid w:val="00780E2A"/>
    <w:rsid w:val="00780E3A"/>
    <w:rsid w:val="00781D97"/>
    <w:rsid w:val="00782615"/>
    <w:rsid w:val="007836D9"/>
    <w:rsid w:val="00784A57"/>
    <w:rsid w:val="007858B9"/>
    <w:rsid w:val="00785A46"/>
    <w:rsid w:val="00785E75"/>
    <w:rsid w:val="00786DA7"/>
    <w:rsid w:val="00787276"/>
    <w:rsid w:val="00790721"/>
    <w:rsid w:val="007908B4"/>
    <w:rsid w:val="00791584"/>
    <w:rsid w:val="00791D45"/>
    <w:rsid w:val="0079224E"/>
    <w:rsid w:val="00792538"/>
    <w:rsid w:val="00792804"/>
    <w:rsid w:val="00792C36"/>
    <w:rsid w:val="00792D7B"/>
    <w:rsid w:val="0079358D"/>
    <w:rsid w:val="00793A0B"/>
    <w:rsid w:val="00793AEB"/>
    <w:rsid w:val="007942EC"/>
    <w:rsid w:val="00794443"/>
    <w:rsid w:val="007947CD"/>
    <w:rsid w:val="00794AF1"/>
    <w:rsid w:val="00795373"/>
    <w:rsid w:val="007959C4"/>
    <w:rsid w:val="007A02B9"/>
    <w:rsid w:val="007A1C88"/>
    <w:rsid w:val="007A23AC"/>
    <w:rsid w:val="007A342F"/>
    <w:rsid w:val="007A3D3C"/>
    <w:rsid w:val="007A45D1"/>
    <w:rsid w:val="007A462D"/>
    <w:rsid w:val="007A6266"/>
    <w:rsid w:val="007A67CB"/>
    <w:rsid w:val="007A6BE0"/>
    <w:rsid w:val="007A6F4F"/>
    <w:rsid w:val="007A7335"/>
    <w:rsid w:val="007B11EB"/>
    <w:rsid w:val="007B1347"/>
    <w:rsid w:val="007B138D"/>
    <w:rsid w:val="007B189B"/>
    <w:rsid w:val="007B2789"/>
    <w:rsid w:val="007B353A"/>
    <w:rsid w:val="007B38BA"/>
    <w:rsid w:val="007B42D1"/>
    <w:rsid w:val="007B4F88"/>
    <w:rsid w:val="007B51D1"/>
    <w:rsid w:val="007B58E2"/>
    <w:rsid w:val="007B70FF"/>
    <w:rsid w:val="007B73EC"/>
    <w:rsid w:val="007C047B"/>
    <w:rsid w:val="007C0D2F"/>
    <w:rsid w:val="007C0E03"/>
    <w:rsid w:val="007C1291"/>
    <w:rsid w:val="007C133B"/>
    <w:rsid w:val="007C21C2"/>
    <w:rsid w:val="007C27E3"/>
    <w:rsid w:val="007C2D78"/>
    <w:rsid w:val="007C4DF4"/>
    <w:rsid w:val="007C4ED4"/>
    <w:rsid w:val="007C5046"/>
    <w:rsid w:val="007C54F5"/>
    <w:rsid w:val="007C6CB5"/>
    <w:rsid w:val="007C6E50"/>
    <w:rsid w:val="007C6F30"/>
    <w:rsid w:val="007C7797"/>
    <w:rsid w:val="007C77D9"/>
    <w:rsid w:val="007C7AA4"/>
    <w:rsid w:val="007C7ACC"/>
    <w:rsid w:val="007D0E28"/>
    <w:rsid w:val="007D1649"/>
    <w:rsid w:val="007D1C44"/>
    <w:rsid w:val="007D4594"/>
    <w:rsid w:val="007D4E82"/>
    <w:rsid w:val="007D529B"/>
    <w:rsid w:val="007D654D"/>
    <w:rsid w:val="007D69F8"/>
    <w:rsid w:val="007D75CF"/>
    <w:rsid w:val="007E0223"/>
    <w:rsid w:val="007E0AA0"/>
    <w:rsid w:val="007E0DB2"/>
    <w:rsid w:val="007E12A6"/>
    <w:rsid w:val="007E1D14"/>
    <w:rsid w:val="007E1F17"/>
    <w:rsid w:val="007E2065"/>
    <w:rsid w:val="007E2343"/>
    <w:rsid w:val="007E2E8B"/>
    <w:rsid w:val="007E3263"/>
    <w:rsid w:val="007E3D0E"/>
    <w:rsid w:val="007E4691"/>
    <w:rsid w:val="007E4CA3"/>
    <w:rsid w:val="007E4ED4"/>
    <w:rsid w:val="007E53EC"/>
    <w:rsid w:val="007E5A9A"/>
    <w:rsid w:val="007E5C86"/>
    <w:rsid w:val="007E5E17"/>
    <w:rsid w:val="007E61F9"/>
    <w:rsid w:val="007E761A"/>
    <w:rsid w:val="007E7DC1"/>
    <w:rsid w:val="007F0B70"/>
    <w:rsid w:val="007F133E"/>
    <w:rsid w:val="007F1F47"/>
    <w:rsid w:val="007F2614"/>
    <w:rsid w:val="007F6A6E"/>
    <w:rsid w:val="007F6C70"/>
    <w:rsid w:val="007F6F91"/>
    <w:rsid w:val="007F7101"/>
    <w:rsid w:val="007F7C6F"/>
    <w:rsid w:val="007F7D89"/>
    <w:rsid w:val="00800A14"/>
    <w:rsid w:val="00800B54"/>
    <w:rsid w:val="00800C90"/>
    <w:rsid w:val="00803402"/>
    <w:rsid w:val="0080413F"/>
    <w:rsid w:val="008048B2"/>
    <w:rsid w:val="00806686"/>
    <w:rsid w:val="008068E1"/>
    <w:rsid w:val="00806ADB"/>
    <w:rsid w:val="00806AE6"/>
    <w:rsid w:val="00806D36"/>
    <w:rsid w:val="0080728A"/>
    <w:rsid w:val="008114E3"/>
    <w:rsid w:val="0081158C"/>
    <w:rsid w:val="00811F52"/>
    <w:rsid w:val="00812086"/>
    <w:rsid w:val="008122DE"/>
    <w:rsid w:val="00812C3F"/>
    <w:rsid w:val="00812F7E"/>
    <w:rsid w:val="0081390D"/>
    <w:rsid w:val="00813CEC"/>
    <w:rsid w:val="0081570B"/>
    <w:rsid w:val="00815D91"/>
    <w:rsid w:val="00815EA0"/>
    <w:rsid w:val="008169BA"/>
    <w:rsid w:val="00816BF7"/>
    <w:rsid w:val="00817547"/>
    <w:rsid w:val="008178B6"/>
    <w:rsid w:val="00817A71"/>
    <w:rsid w:val="00817D62"/>
    <w:rsid w:val="00821F0D"/>
    <w:rsid w:val="0082262E"/>
    <w:rsid w:val="0082326B"/>
    <w:rsid w:val="00823280"/>
    <w:rsid w:val="008234ED"/>
    <w:rsid w:val="00824412"/>
    <w:rsid w:val="008258F3"/>
    <w:rsid w:val="00825BBD"/>
    <w:rsid w:val="00826C63"/>
    <w:rsid w:val="00827BEE"/>
    <w:rsid w:val="00827BFC"/>
    <w:rsid w:val="00830D14"/>
    <w:rsid w:val="00830D76"/>
    <w:rsid w:val="00831342"/>
    <w:rsid w:val="00831A6F"/>
    <w:rsid w:val="00831E07"/>
    <w:rsid w:val="00832349"/>
    <w:rsid w:val="008325C0"/>
    <w:rsid w:val="00832BE2"/>
    <w:rsid w:val="00832DED"/>
    <w:rsid w:val="00834D9A"/>
    <w:rsid w:val="008359E0"/>
    <w:rsid w:val="00835B3E"/>
    <w:rsid w:val="00837EF9"/>
    <w:rsid w:val="008400A6"/>
    <w:rsid w:val="008407CC"/>
    <w:rsid w:val="0084092E"/>
    <w:rsid w:val="00841073"/>
    <w:rsid w:val="0084207E"/>
    <w:rsid w:val="00842614"/>
    <w:rsid w:val="00842649"/>
    <w:rsid w:val="00842E19"/>
    <w:rsid w:val="008437B9"/>
    <w:rsid w:val="00843AF9"/>
    <w:rsid w:val="00843D03"/>
    <w:rsid w:val="00843D65"/>
    <w:rsid w:val="0084668F"/>
    <w:rsid w:val="00846703"/>
    <w:rsid w:val="00846FB7"/>
    <w:rsid w:val="008474A7"/>
    <w:rsid w:val="008474D4"/>
    <w:rsid w:val="008474EA"/>
    <w:rsid w:val="00850242"/>
    <w:rsid w:val="008504A7"/>
    <w:rsid w:val="00851AAF"/>
    <w:rsid w:val="00851C42"/>
    <w:rsid w:val="00852394"/>
    <w:rsid w:val="00853315"/>
    <w:rsid w:val="00854F65"/>
    <w:rsid w:val="00855CDC"/>
    <w:rsid w:val="00855E18"/>
    <w:rsid w:val="00857074"/>
    <w:rsid w:val="00857813"/>
    <w:rsid w:val="00857AE1"/>
    <w:rsid w:val="00860708"/>
    <w:rsid w:val="00860DF9"/>
    <w:rsid w:val="008615FA"/>
    <w:rsid w:val="00861E90"/>
    <w:rsid w:val="008624F6"/>
    <w:rsid w:val="008629D2"/>
    <w:rsid w:val="00863C15"/>
    <w:rsid w:val="00863CC9"/>
    <w:rsid w:val="00864602"/>
    <w:rsid w:val="00865759"/>
    <w:rsid w:val="00865C89"/>
    <w:rsid w:val="008660AD"/>
    <w:rsid w:val="00866604"/>
    <w:rsid w:val="008669BB"/>
    <w:rsid w:val="00866A88"/>
    <w:rsid w:val="00867CB9"/>
    <w:rsid w:val="00867CC3"/>
    <w:rsid w:val="0087050B"/>
    <w:rsid w:val="0087209E"/>
    <w:rsid w:val="00872298"/>
    <w:rsid w:val="008741D2"/>
    <w:rsid w:val="008742F9"/>
    <w:rsid w:val="00874A47"/>
    <w:rsid w:val="00875048"/>
    <w:rsid w:val="008762ED"/>
    <w:rsid w:val="00876366"/>
    <w:rsid w:val="00876D1E"/>
    <w:rsid w:val="00877A55"/>
    <w:rsid w:val="00877BE3"/>
    <w:rsid w:val="00877C11"/>
    <w:rsid w:val="008803D7"/>
    <w:rsid w:val="0088161F"/>
    <w:rsid w:val="00881CBD"/>
    <w:rsid w:val="008846E3"/>
    <w:rsid w:val="00884714"/>
    <w:rsid w:val="00884FE2"/>
    <w:rsid w:val="00885657"/>
    <w:rsid w:val="00885BD0"/>
    <w:rsid w:val="008864B0"/>
    <w:rsid w:val="008871E3"/>
    <w:rsid w:val="008873D1"/>
    <w:rsid w:val="00887607"/>
    <w:rsid w:val="00887CBB"/>
    <w:rsid w:val="0089111E"/>
    <w:rsid w:val="0089164B"/>
    <w:rsid w:val="008919E8"/>
    <w:rsid w:val="00891BED"/>
    <w:rsid w:val="0089282D"/>
    <w:rsid w:val="00893074"/>
    <w:rsid w:val="0089357D"/>
    <w:rsid w:val="00893767"/>
    <w:rsid w:val="00894300"/>
    <w:rsid w:val="00894C19"/>
    <w:rsid w:val="0089526C"/>
    <w:rsid w:val="008958BC"/>
    <w:rsid w:val="00896011"/>
    <w:rsid w:val="00896BEE"/>
    <w:rsid w:val="00896FD6"/>
    <w:rsid w:val="008A0351"/>
    <w:rsid w:val="008A04A9"/>
    <w:rsid w:val="008A05EF"/>
    <w:rsid w:val="008A0D4E"/>
    <w:rsid w:val="008A2CCC"/>
    <w:rsid w:val="008A3562"/>
    <w:rsid w:val="008A485A"/>
    <w:rsid w:val="008A4DA0"/>
    <w:rsid w:val="008A5E1C"/>
    <w:rsid w:val="008A6F91"/>
    <w:rsid w:val="008A70A2"/>
    <w:rsid w:val="008A7316"/>
    <w:rsid w:val="008A7C13"/>
    <w:rsid w:val="008A7DAD"/>
    <w:rsid w:val="008B03B6"/>
    <w:rsid w:val="008B106B"/>
    <w:rsid w:val="008B149F"/>
    <w:rsid w:val="008B1944"/>
    <w:rsid w:val="008B2708"/>
    <w:rsid w:val="008B3555"/>
    <w:rsid w:val="008B42AA"/>
    <w:rsid w:val="008B7206"/>
    <w:rsid w:val="008B78A2"/>
    <w:rsid w:val="008C0FF1"/>
    <w:rsid w:val="008C1279"/>
    <w:rsid w:val="008C14E4"/>
    <w:rsid w:val="008C1A4C"/>
    <w:rsid w:val="008C2F78"/>
    <w:rsid w:val="008C32BF"/>
    <w:rsid w:val="008C3611"/>
    <w:rsid w:val="008C39BD"/>
    <w:rsid w:val="008C3E64"/>
    <w:rsid w:val="008C5996"/>
    <w:rsid w:val="008C5DE2"/>
    <w:rsid w:val="008C5EE9"/>
    <w:rsid w:val="008C63FF"/>
    <w:rsid w:val="008C6702"/>
    <w:rsid w:val="008C72F8"/>
    <w:rsid w:val="008C75A3"/>
    <w:rsid w:val="008C75E4"/>
    <w:rsid w:val="008D0300"/>
    <w:rsid w:val="008D0375"/>
    <w:rsid w:val="008D0A24"/>
    <w:rsid w:val="008D1DBA"/>
    <w:rsid w:val="008D225B"/>
    <w:rsid w:val="008D26F3"/>
    <w:rsid w:val="008D2DDF"/>
    <w:rsid w:val="008D4530"/>
    <w:rsid w:val="008D4A41"/>
    <w:rsid w:val="008D5924"/>
    <w:rsid w:val="008D77A4"/>
    <w:rsid w:val="008D7B30"/>
    <w:rsid w:val="008E1F40"/>
    <w:rsid w:val="008E32C4"/>
    <w:rsid w:val="008E3710"/>
    <w:rsid w:val="008E43EB"/>
    <w:rsid w:val="008E45C2"/>
    <w:rsid w:val="008E48B9"/>
    <w:rsid w:val="008E522E"/>
    <w:rsid w:val="008E52C2"/>
    <w:rsid w:val="008E5D80"/>
    <w:rsid w:val="008E64CB"/>
    <w:rsid w:val="008E6A0D"/>
    <w:rsid w:val="008E6DBB"/>
    <w:rsid w:val="008E754C"/>
    <w:rsid w:val="008E7AF1"/>
    <w:rsid w:val="008E7B14"/>
    <w:rsid w:val="008F1E19"/>
    <w:rsid w:val="008F2AEC"/>
    <w:rsid w:val="008F30B5"/>
    <w:rsid w:val="008F4444"/>
    <w:rsid w:val="008F6CD8"/>
    <w:rsid w:val="008F796D"/>
    <w:rsid w:val="00900055"/>
    <w:rsid w:val="0090007A"/>
    <w:rsid w:val="00901E56"/>
    <w:rsid w:val="0090309C"/>
    <w:rsid w:val="00903931"/>
    <w:rsid w:val="00905478"/>
    <w:rsid w:val="00906557"/>
    <w:rsid w:val="009074D1"/>
    <w:rsid w:val="00907625"/>
    <w:rsid w:val="00907E97"/>
    <w:rsid w:val="00907F25"/>
    <w:rsid w:val="009103B5"/>
    <w:rsid w:val="0091112A"/>
    <w:rsid w:val="00911EA2"/>
    <w:rsid w:val="00913075"/>
    <w:rsid w:val="009136BD"/>
    <w:rsid w:val="00914318"/>
    <w:rsid w:val="00914686"/>
    <w:rsid w:val="00914B7E"/>
    <w:rsid w:val="00915372"/>
    <w:rsid w:val="00915FA5"/>
    <w:rsid w:val="0091687A"/>
    <w:rsid w:val="0091694A"/>
    <w:rsid w:val="00921B5F"/>
    <w:rsid w:val="00922133"/>
    <w:rsid w:val="0092254B"/>
    <w:rsid w:val="00922B78"/>
    <w:rsid w:val="009233FD"/>
    <w:rsid w:val="0092391C"/>
    <w:rsid w:val="00923BFE"/>
    <w:rsid w:val="009240F1"/>
    <w:rsid w:val="0092411C"/>
    <w:rsid w:val="0092416F"/>
    <w:rsid w:val="00924BEA"/>
    <w:rsid w:val="00925902"/>
    <w:rsid w:val="00925ADE"/>
    <w:rsid w:val="0092601E"/>
    <w:rsid w:val="00926422"/>
    <w:rsid w:val="009269CC"/>
    <w:rsid w:val="00926C2A"/>
    <w:rsid w:val="00927858"/>
    <w:rsid w:val="00927896"/>
    <w:rsid w:val="00927BDA"/>
    <w:rsid w:val="00930974"/>
    <w:rsid w:val="00930F2E"/>
    <w:rsid w:val="009316D8"/>
    <w:rsid w:val="00931714"/>
    <w:rsid w:val="0093207F"/>
    <w:rsid w:val="009321F4"/>
    <w:rsid w:val="00932810"/>
    <w:rsid w:val="00932AAB"/>
    <w:rsid w:val="00933034"/>
    <w:rsid w:val="009331B1"/>
    <w:rsid w:val="009336BA"/>
    <w:rsid w:val="00934238"/>
    <w:rsid w:val="00934769"/>
    <w:rsid w:val="00934CEA"/>
    <w:rsid w:val="0093606B"/>
    <w:rsid w:val="00936231"/>
    <w:rsid w:val="00936A21"/>
    <w:rsid w:val="00936ADF"/>
    <w:rsid w:val="00936E73"/>
    <w:rsid w:val="00940194"/>
    <w:rsid w:val="0094068F"/>
    <w:rsid w:val="009408AB"/>
    <w:rsid w:val="009411AA"/>
    <w:rsid w:val="009430E2"/>
    <w:rsid w:val="00943138"/>
    <w:rsid w:val="00943979"/>
    <w:rsid w:val="009439F2"/>
    <w:rsid w:val="00943CC4"/>
    <w:rsid w:val="00944108"/>
    <w:rsid w:val="0094467D"/>
    <w:rsid w:val="00945E00"/>
    <w:rsid w:val="009461A5"/>
    <w:rsid w:val="00946AB5"/>
    <w:rsid w:val="00947E71"/>
    <w:rsid w:val="00950138"/>
    <w:rsid w:val="009502C3"/>
    <w:rsid w:val="00950489"/>
    <w:rsid w:val="009523BA"/>
    <w:rsid w:val="0095246D"/>
    <w:rsid w:val="00952666"/>
    <w:rsid w:val="009527C2"/>
    <w:rsid w:val="009529A2"/>
    <w:rsid w:val="00953E54"/>
    <w:rsid w:val="0095449F"/>
    <w:rsid w:val="009549EF"/>
    <w:rsid w:val="009552F8"/>
    <w:rsid w:val="00955305"/>
    <w:rsid w:val="0095559C"/>
    <w:rsid w:val="009574BB"/>
    <w:rsid w:val="00957E95"/>
    <w:rsid w:val="0096122A"/>
    <w:rsid w:val="0096206D"/>
    <w:rsid w:val="009642ED"/>
    <w:rsid w:val="00964EC6"/>
    <w:rsid w:val="009653D3"/>
    <w:rsid w:val="00965A5A"/>
    <w:rsid w:val="00965E72"/>
    <w:rsid w:val="00965F51"/>
    <w:rsid w:val="0096633B"/>
    <w:rsid w:val="00967CDC"/>
    <w:rsid w:val="009702FE"/>
    <w:rsid w:val="00970DDD"/>
    <w:rsid w:val="009713EF"/>
    <w:rsid w:val="00971F39"/>
    <w:rsid w:val="00972646"/>
    <w:rsid w:val="00972F83"/>
    <w:rsid w:val="009758CF"/>
    <w:rsid w:val="00975CB7"/>
    <w:rsid w:val="00975ED3"/>
    <w:rsid w:val="00976E0A"/>
    <w:rsid w:val="00976E54"/>
    <w:rsid w:val="00977CF5"/>
    <w:rsid w:val="009801D1"/>
    <w:rsid w:val="009811D1"/>
    <w:rsid w:val="009822AB"/>
    <w:rsid w:val="009822B6"/>
    <w:rsid w:val="00982431"/>
    <w:rsid w:val="009825E9"/>
    <w:rsid w:val="009838A7"/>
    <w:rsid w:val="00985FF2"/>
    <w:rsid w:val="0098625F"/>
    <w:rsid w:val="00986421"/>
    <w:rsid w:val="00986591"/>
    <w:rsid w:val="0098759C"/>
    <w:rsid w:val="00990865"/>
    <w:rsid w:val="009908C9"/>
    <w:rsid w:val="00991FBA"/>
    <w:rsid w:val="00992EBA"/>
    <w:rsid w:val="00993D26"/>
    <w:rsid w:val="00993F5E"/>
    <w:rsid w:val="0099421F"/>
    <w:rsid w:val="00994383"/>
    <w:rsid w:val="00994F21"/>
    <w:rsid w:val="00995E09"/>
    <w:rsid w:val="00996BBB"/>
    <w:rsid w:val="009A0420"/>
    <w:rsid w:val="009A07F4"/>
    <w:rsid w:val="009A0958"/>
    <w:rsid w:val="009A0C6B"/>
    <w:rsid w:val="009A1462"/>
    <w:rsid w:val="009A29F0"/>
    <w:rsid w:val="009A33F1"/>
    <w:rsid w:val="009A3B55"/>
    <w:rsid w:val="009A444C"/>
    <w:rsid w:val="009A46A0"/>
    <w:rsid w:val="009A4C68"/>
    <w:rsid w:val="009A5460"/>
    <w:rsid w:val="009A55D1"/>
    <w:rsid w:val="009A6C27"/>
    <w:rsid w:val="009A73D0"/>
    <w:rsid w:val="009A760B"/>
    <w:rsid w:val="009A7B6C"/>
    <w:rsid w:val="009B07B4"/>
    <w:rsid w:val="009B12E1"/>
    <w:rsid w:val="009B14A5"/>
    <w:rsid w:val="009B15DF"/>
    <w:rsid w:val="009B23A7"/>
    <w:rsid w:val="009B3F7A"/>
    <w:rsid w:val="009B6B9A"/>
    <w:rsid w:val="009B7E2E"/>
    <w:rsid w:val="009C03D5"/>
    <w:rsid w:val="009C0AB1"/>
    <w:rsid w:val="009C1FA8"/>
    <w:rsid w:val="009C1FED"/>
    <w:rsid w:val="009C2430"/>
    <w:rsid w:val="009C30A4"/>
    <w:rsid w:val="009C3847"/>
    <w:rsid w:val="009C41EF"/>
    <w:rsid w:val="009C4313"/>
    <w:rsid w:val="009C6130"/>
    <w:rsid w:val="009C6535"/>
    <w:rsid w:val="009C7B11"/>
    <w:rsid w:val="009D09FF"/>
    <w:rsid w:val="009D1DE3"/>
    <w:rsid w:val="009D2139"/>
    <w:rsid w:val="009D2613"/>
    <w:rsid w:val="009D27B0"/>
    <w:rsid w:val="009D4D40"/>
    <w:rsid w:val="009D4D75"/>
    <w:rsid w:val="009D5029"/>
    <w:rsid w:val="009D5F98"/>
    <w:rsid w:val="009D645A"/>
    <w:rsid w:val="009D6B8C"/>
    <w:rsid w:val="009D6B9E"/>
    <w:rsid w:val="009D6BF8"/>
    <w:rsid w:val="009D766A"/>
    <w:rsid w:val="009E0063"/>
    <w:rsid w:val="009E0201"/>
    <w:rsid w:val="009E042A"/>
    <w:rsid w:val="009E084F"/>
    <w:rsid w:val="009E16D0"/>
    <w:rsid w:val="009E1E68"/>
    <w:rsid w:val="009E3989"/>
    <w:rsid w:val="009E47FE"/>
    <w:rsid w:val="009E4B74"/>
    <w:rsid w:val="009E5952"/>
    <w:rsid w:val="009E5FC1"/>
    <w:rsid w:val="009E61FE"/>
    <w:rsid w:val="009E6861"/>
    <w:rsid w:val="009E6B8D"/>
    <w:rsid w:val="009E701D"/>
    <w:rsid w:val="009E72A0"/>
    <w:rsid w:val="009F01C8"/>
    <w:rsid w:val="009F0A8C"/>
    <w:rsid w:val="009F0F55"/>
    <w:rsid w:val="009F145E"/>
    <w:rsid w:val="009F3543"/>
    <w:rsid w:val="009F3592"/>
    <w:rsid w:val="009F35A7"/>
    <w:rsid w:val="009F36C5"/>
    <w:rsid w:val="009F36D5"/>
    <w:rsid w:val="009F5B26"/>
    <w:rsid w:val="009F64C9"/>
    <w:rsid w:val="009F6B0C"/>
    <w:rsid w:val="00A000AB"/>
    <w:rsid w:val="00A0074D"/>
    <w:rsid w:val="00A01070"/>
    <w:rsid w:val="00A010B3"/>
    <w:rsid w:val="00A02582"/>
    <w:rsid w:val="00A03EBF"/>
    <w:rsid w:val="00A03F3D"/>
    <w:rsid w:val="00A04143"/>
    <w:rsid w:val="00A0439C"/>
    <w:rsid w:val="00A044A6"/>
    <w:rsid w:val="00A04770"/>
    <w:rsid w:val="00A04BE6"/>
    <w:rsid w:val="00A0502E"/>
    <w:rsid w:val="00A05F0D"/>
    <w:rsid w:val="00A06229"/>
    <w:rsid w:val="00A068D2"/>
    <w:rsid w:val="00A07748"/>
    <w:rsid w:val="00A07A6D"/>
    <w:rsid w:val="00A10EEE"/>
    <w:rsid w:val="00A117F9"/>
    <w:rsid w:val="00A1270A"/>
    <w:rsid w:val="00A12940"/>
    <w:rsid w:val="00A13512"/>
    <w:rsid w:val="00A1366F"/>
    <w:rsid w:val="00A13A52"/>
    <w:rsid w:val="00A13C90"/>
    <w:rsid w:val="00A149BE"/>
    <w:rsid w:val="00A157F6"/>
    <w:rsid w:val="00A159AA"/>
    <w:rsid w:val="00A1663B"/>
    <w:rsid w:val="00A16F0F"/>
    <w:rsid w:val="00A17845"/>
    <w:rsid w:val="00A17EB5"/>
    <w:rsid w:val="00A17F1F"/>
    <w:rsid w:val="00A201F5"/>
    <w:rsid w:val="00A20221"/>
    <w:rsid w:val="00A20CC0"/>
    <w:rsid w:val="00A21B34"/>
    <w:rsid w:val="00A231AE"/>
    <w:rsid w:val="00A23624"/>
    <w:rsid w:val="00A24005"/>
    <w:rsid w:val="00A24736"/>
    <w:rsid w:val="00A24D2B"/>
    <w:rsid w:val="00A2653A"/>
    <w:rsid w:val="00A26F50"/>
    <w:rsid w:val="00A277F6"/>
    <w:rsid w:val="00A27869"/>
    <w:rsid w:val="00A3001A"/>
    <w:rsid w:val="00A30822"/>
    <w:rsid w:val="00A309A0"/>
    <w:rsid w:val="00A32489"/>
    <w:rsid w:val="00A327BF"/>
    <w:rsid w:val="00A32990"/>
    <w:rsid w:val="00A3300E"/>
    <w:rsid w:val="00A33CCF"/>
    <w:rsid w:val="00A33D1F"/>
    <w:rsid w:val="00A3409E"/>
    <w:rsid w:val="00A34D85"/>
    <w:rsid w:val="00A34F40"/>
    <w:rsid w:val="00A35531"/>
    <w:rsid w:val="00A355AA"/>
    <w:rsid w:val="00A35AE1"/>
    <w:rsid w:val="00A36C33"/>
    <w:rsid w:val="00A36F6C"/>
    <w:rsid w:val="00A37610"/>
    <w:rsid w:val="00A412CA"/>
    <w:rsid w:val="00A4146B"/>
    <w:rsid w:val="00A425F0"/>
    <w:rsid w:val="00A43A9D"/>
    <w:rsid w:val="00A44805"/>
    <w:rsid w:val="00A44C64"/>
    <w:rsid w:val="00A45D1C"/>
    <w:rsid w:val="00A461EC"/>
    <w:rsid w:val="00A462B2"/>
    <w:rsid w:val="00A46DD3"/>
    <w:rsid w:val="00A472C8"/>
    <w:rsid w:val="00A47C13"/>
    <w:rsid w:val="00A47DB9"/>
    <w:rsid w:val="00A51CEC"/>
    <w:rsid w:val="00A53E7A"/>
    <w:rsid w:val="00A54161"/>
    <w:rsid w:val="00A54310"/>
    <w:rsid w:val="00A55329"/>
    <w:rsid w:val="00A555DD"/>
    <w:rsid w:val="00A55CB5"/>
    <w:rsid w:val="00A56B38"/>
    <w:rsid w:val="00A56F84"/>
    <w:rsid w:val="00A57706"/>
    <w:rsid w:val="00A57D8A"/>
    <w:rsid w:val="00A60A04"/>
    <w:rsid w:val="00A61159"/>
    <w:rsid w:val="00A61512"/>
    <w:rsid w:val="00A61A0F"/>
    <w:rsid w:val="00A61A40"/>
    <w:rsid w:val="00A633C1"/>
    <w:rsid w:val="00A638FC"/>
    <w:rsid w:val="00A63C1E"/>
    <w:rsid w:val="00A64270"/>
    <w:rsid w:val="00A642A0"/>
    <w:rsid w:val="00A6440F"/>
    <w:rsid w:val="00A646FC"/>
    <w:rsid w:val="00A64C90"/>
    <w:rsid w:val="00A64D9C"/>
    <w:rsid w:val="00A661D7"/>
    <w:rsid w:val="00A70A6D"/>
    <w:rsid w:val="00A7188F"/>
    <w:rsid w:val="00A71AFA"/>
    <w:rsid w:val="00A72006"/>
    <w:rsid w:val="00A72BCE"/>
    <w:rsid w:val="00A72C6B"/>
    <w:rsid w:val="00A739A6"/>
    <w:rsid w:val="00A74576"/>
    <w:rsid w:val="00A748DD"/>
    <w:rsid w:val="00A74F1E"/>
    <w:rsid w:val="00A7531E"/>
    <w:rsid w:val="00A75757"/>
    <w:rsid w:val="00A76457"/>
    <w:rsid w:val="00A765F6"/>
    <w:rsid w:val="00A77C95"/>
    <w:rsid w:val="00A77D15"/>
    <w:rsid w:val="00A8157B"/>
    <w:rsid w:val="00A8163C"/>
    <w:rsid w:val="00A81886"/>
    <w:rsid w:val="00A81B72"/>
    <w:rsid w:val="00A8230E"/>
    <w:rsid w:val="00A823A8"/>
    <w:rsid w:val="00A82C9B"/>
    <w:rsid w:val="00A83204"/>
    <w:rsid w:val="00A8399A"/>
    <w:rsid w:val="00A839C4"/>
    <w:rsid w:val="00A8414C"/>
    <w:rsid w:val="00A841B4"/>
    <w:rsid w:val="00A84B6B"/>
    <w:rsid w:val="00A857A3"/>
    <w:rsid w:val="00A86CF8"/>
    <w:rsid w:val="00A86F8D"/>
    <w:rsid w:val="00A87337"/>
    <w:rsid w:val="00A87B40"/>
    <w:rsid w:val="00A9006A"/>
    <w:rsid w:val="00A92CF4"/>
    <w:rsid w:val="00A93850"/>
    <w:rsid w:val="00A94192"/>
    <w:rsid w:val="00A9446E"/>
    <w:rsid w:val="00A946A2"/>
    <w:rsid w:val="00A94945"/>
    <w:rsid w:val="00A963A3"/>
    <w:rsid w:val="00A963EB"/>
    <w:rsid w:val="00A96B84"/>
    <w:rsid w:val="00A97356"/>
    <w:rsid w:val="00AA02DF"/>
    <w:rsid w:val="00AA03DE"/>
    <w:rsid w:val="00AA0682"/>
    <w:rsid w:val="00AA0DB7"/>
    <w:rsid w:val="00AA1316"/>
    <w:rsid w:val="00AA27DC"/>
    <w:rsid w:val="00AA2919"/>
    <w:rsid w:val="00AA3BA0"/>
    <w:rsid w:val="00AA485F"/>
    <w:rsid w:val="00AA497B"/>
    <w:rsid w:val="00AA4AE5"/>
    <w:rsid w:val="00AA511C"/>
    <w:rsid w:val="00AA6938"/>
    <w:rsid w:val="00AA695A"/>
    <w:rsid w:val="00AA7B38"/>
    <w:rsid w:val="00AB0617"/>
    <w:rsid w:val="00AB143B"/>
    <w:rsid w:val="00AB1C01"/>
    <w:rsid w:val="00AB22DA"/>
    <w:rsid w:val="00AB321E"/>
    <w:rsid w:val="00AB4137"/>
    <w:rsid w:val="00AB51CE"/>
    <w:rsid w:val="00AB524B"/>
    <w:rsid w:val="00AB553D"/>
    <w:rsid w:val="00AB605C"/>
    <w:rsid w:val="00AB7E29"/>
    <w:rsid w:val="00AC082E"/>
    <w:rsid w:val="00AC1496"/>
    <w:rsid w:val="00AC2F98"/>
    <w:rsid w:val="00AC321C"/>
    <w:rsid w:val="00AC398B"/>
    <w:rsid w:val="00AC39AD"/>
    <w:rsid w:val="00AC406E"/>
    <w:rsid w:val="00AC4178"/>
    <w:rsid w:val="00AC4BF2"/>
    <w:rsid w:val="00AC506B"/>
    <w:rsid w:val="00AC5154"/>
    <w:rsid w:val="00AC5315"/>
    <w:rsid w:val="00AC58E1"/>
    <w:rsid w:val="00AC5A58"/>
    <w:rsid w:val="00AC6594"/>
    <w:rsid w:val="00AC6A70"/>
    <w:rsid w:val="00AC77BF"/>
    <w:rsid w:val="00AD0443"/>
    <w:rsid w:val="00AD0946"/>
    <w:rsid w:val="00AD172D"/>
    <w:rsid w:val="00AD1738"/>
    <w:rsid w:val="00AD192E"/>
    <w:rsid w:val="00AD1FCE"/>
    <w:rsid w:val="00AD24E3"/>
    <w:rsid w:val="00AD24F3"/>
    <w:rsid w:val="00AD3027"/>
    <w:rsid w:val="00AD3227"/>
    <w:rsid w:val="00AD32D5"/>
    <w:rsid w:val="00AD3787"/>
    <w:rsid w:val="00AD4378"/>
    <w:rsid w:val="00AD442C"/>
    <w:rsid w:val="00AD4906"/>
    <w:rsid w:val="00AD4D1C"/>
    <w:rsid w:val="00AD5157"/>
    <w:rsid w:val="00AD57CA"/>
    <w:rsid w:val="00AD6741"/>
    <w:rsid w:val="00AD71FE"/>
    <w:rsid w:val="00AD7EAC"/>
    <w:rsid w:val="00AE0D15"/>
    <w:rsid w:val="00AE14AF"/>
    <w:rsid w:val="00AE225A"/>
    <w:rsid w:val="00AE3135"/>
    <w:rsid w:val="00AE39CC"/>
    <w:rsid w:val="00AE3BB8"/>
    <w:rsid w:val="00AE43EB"/>
    <w:rsid w:val="00AE4565"/>
    <w:rsid w:val="00AE4C9D"/>
    <w:rsid w:val="00AE59CD"/>
    <w:rsid w:val="00AE59F0"/>
    <w:rsid w:val="00AE5AA1"/>
    <w:rsid w:val="00AE5F83"/>
    <w:rsid w:val="00AE74DE"/>
    <w:rsid w:val="00AE7C27"/>
    <w:rsid w:val="00AF04D1"/>
    <w:rsid w:val="00AF05FA"/>
    <w:rsid w:val="00AF06B5"/>
    <w:rsid w:val="00AF0ACF"/>
    <w:rsid w:val="00AF10FA"/>
    <w:rsid w:val="00AF2E57"/>
    <w:rsid w:val="00AF3444"/>
    <w:rsid w:val="00AF3C63"/>
    <w:rsid w:val="00AF3F93"/>
    <w:rsid w:val="00AF455E"/>
    <w:rsid w:val="00AF5036"/>
    <w:rsid w:val="00AF5363"/>
    <w:rsid w:val="00AF6BF6"/>
    <w:rsid w:val="00AF7061"/>
    <w:rsid w:val="00AF71D4"/>
    <w:rsid w:val="00AF739A"/>
    <w:rsid w:val="00AF7EEB"/>
    <w:rsid w:val="00AF7FB1"/>
    <w:rsid w:val="00B00689"/>
    <w:rsid w:val="00B0151D"/>
    <w:rsid w:val="00B0156C"/>
    <w:rsid w:val="00B0180B"/>
    <w:rsid w:val="00B03167"/>
    <w:rsid w:val="00B031B0"/>
    <w:rsid w:val="00B0404C"/>
    <w:rsid w:val="00B047FB"/>
    <w:rsid w:val="00B06BA7"/>
    <w:rsid w:val="00B073B4"/>
    <w:rsid w:val="00B07501"/>
    <w:rsid w:val="00B07A34"/>
    <w:rsid w:val="00B07E15"/>
    <w:rsid w:val="00B102E9"/>
    <w:rsid w:val="00B105B1"/>
    <w:rsid w:val="00B10DF3"/>
    <w:rsid w:val="00B10F13"/>
    <w:rsid w:val="00B11198"/>
    <w:rsid w:val="00B111DB"/>
    <w:rsid w:val="00B11455"/>
    <w:rsid w:val="00B126F4"/>
    <w:rsid w:val="00B12E6B"/>
    <w:rsid w:val="00B14099"/>
    <w:rsid w:val="00B142B4"/>
    <w:rsid w:val="00B153DD"/>
    <w:rsid w:val="00B1567A"/>
    <w:rsid w:val="00B1646D"/>
    <w:rsid w:val="00B168EE"/>
    <w:rsid w:val="00B206E2"/>
    <w:rsid w:val="00B207D7"/>
    <w:rsid w:val="00B208F2"/>
    <w:rsid w:val="00B20D4C"/>
    <w:rsid w:val="00B20E9D"/>
    <w:rsid w:val="00B2311E"/>
    <w:rsid w:val="00B23521"/>
    <w:rsid w:val="00B24495"/>
    <w:rsid w:val="00B24669"/>
    <w:rsid w:val="00B26D36"/>
    <w:rsid w:val="00B304AA"/>
    <w:rsid w:val="00B30622"/>
    <w:rsid w:val="00B307F5"/>
    <w:rsid w:val="00B30996"/>
    <w:rsid w:val="00B3140E"/>
    <w:rsid w:val="00B31916"/>
    <w:rsid w:val="00B31C38"/>
    <w:rsid w:val="00B32187"/>
    <w:rsid w:val="00B33319"/>
    <w:rsid w:val="00B34257"/>
    <w:rsid w:val="00B3438F"/>
    <w:rsid w:val="00B35888"/>
    <w:rsid w:val="00B35E50"/>
    <w:rsid w:val="00B36FCB"/>
    <w:rsid w:val="00B3714E"/>
    <w:rsid w:val="00B37894"/>
    <w:rsid w:val="00B404BB"/>
    <w:rsid w:val="00B40D0C"/>
    <w:rsid w:val="00B40E12"/>
    <w:rsid w:val="00B41F2D"/>
    <w:rsid w:val="00B42CEF"/>
    <w:rsid w:val="00B43212"/>
    <w:rsid w:val="00B43D90"/>
    <w:rsid w:val="00B44432"/>
    <w:rsid w:val="00B44484"/>
    <w:rsid w:val="00B44FB9"/>
    <w:rsid w:val="00B45A1D"/>
    <w:rsid w:val="00B45CFE"/>
    <w:rsid w:val="00B46B44"/>
    <w:rsid w:val="00B46C75"/>
    <w:rsid w:val="00B473B6"/>
    <w:rsid w:val="00B473DF"/>
    <w:rsid w:val="00B50593"/>
    <w:rsid w:val="00B50DAD"/>
    <w:rsid w:val="00B50DDD"/>
    <w:rsid w:val="00B50E0D"/>
    <w:rsid w:val="00B513BE"/>
    <w:rsid w:val="00B515A8"/>
    <w:rsid w:val="00B52024"/>
    <w:rsid w:val="00B5220A"/>
    <w:rsid w:val="00B52C08"/>
    <w:rsid w:val="00B52C28"/>
    <w:rsid w:val="00B5408C"/>
    <w:rsid w:val="00B540E5"/>
    <w:rsid w:val="00B54E15"/>
    <w:rsid w:val="00B55595"/>
    <w:rsid w:val="00B559D7"/>
    <w:rsid w:val="00B55E2C"/>
    <w:rsid w:val="00B56040"/>
    <w:rsid w:val="00B56D34"/>
    <w:rsid w:val="00B578F2"/>
    <w:rsid w:val="00B57D8B"/>
    <w:rsid w:val="00B57F23"/>
    <w:rsid w:val="00B57F99"/>
    <w:rsid w:val="00B60D31"/>
    <w:rsid w:val="00B614D0"/>
    <w:rsid w:val="00B61ABF"/>
    <w:rsid w:val="00B62E03"/>
    <w:rsid w:val="00B64D6C"/>
    <w:rsid w:val="00B64E9E"/>
    <w:rsid w:val="00B65ECC"/>
    <w:rsid w:val="00B66A65"/>
    <w:rsid w:val="00B66CC0"/>
    <w:rsid w:val="00B701DE"/>
    <w:rsid w:val="00B708D1"/>
    <w:rsid w:val="00B70A38"/>
    <w:rsid w:val="00B70D36"/>
    <w:rsid w:val="00B70D71"/>
    <w:rsid w:val="00B7133B"/>
    <w:rsid w:val="00B72D61"/>
    <w:rsid w:val="00B72E20"/>
    <w:rsid w:val="00B74F8D"/>
    <w:rsid w:val="00B757C6"/>
    <w:rsid w:val="00B7727A"/>
    <w:rsid w:val="00B77C75"/>
    <w:rsid w:val="00B77D17"/>
    <w:rsid w:val="00B77F27"/>
    <w:rsid w:val="00B8095D"/>
    <w:rsid w:val="00B80C9E"/>
    <w:rsid w:val="00B81506"/>
    <w:rsid w:val="00B81A93"/>
    <w:rsid w:val="00B81E3F"/>
    <w:rsid w:val="00B82D48"/>
    <w:rsid w:val="00B834B2"/>
    <w:rsid w:val="00B84F04"/>
    <w:rsid w:val="00B85B58"/>
    <w:rsid w:val="00B85CCF"/>
    <w:rsid w:val="00B8704F"/>
    <w:rsid w:val="00B8707E"/>
    <w:rsid w:val="00B8711D"/>
    <w:rsid w:val="00B905C1"/>
    <w:rsid w:val="00B90C8D"/>
    <w:rsid w:val="00B934E2"/>
    <w:rsid w:val="00B959ED"/>
    <w:rsid w:val="00B95A4B"/>
    <w:rsid w:val="00B95B73"/>
    <w:rsid w:val="00B95C3E"/>
    <w:rsid w:val="00B95DD2"/>
    <w:rsid w:val="00B961F5"/>
    <w:rsid w:val="00B96636"/>
    <w:rsid w:val="00B96BC1"/>
    <w:rsid w:val="00B978EA"/>
    <w:rsid w:val="00B97A5E"/>
    <w:rsid w:val="00B97AEB"/>
    <w:rsid w:val="00BA154E"/>
    <w:rsid w:val="00BA2023"/>
    <w:rsid w:val="00BA214D"/>
    <w:rsid w:val="00BA22CA"/>
    <w:rsid w:val="00BA34C6"/>
    <w:rsid w:val="00BA3CD8"/>
    <w:rsid w:val="00BA41F2"/>
    <w:rsid w:val="00BA4690"/>
    <w:rsid w:val="00BA4C02"/>
    <w:rsid w:val="00BA5313"/>
    <w:rsid w:val="00BA5EB5"/>
    <w:rsid w:val="00BA6D54"/>
    <w:rsid w:val="00BA6F8A"/>
    <w:rsid w:val="00BA70B7"/>
    <w:rsid w:val="00BA7747"/>
    <w:rsid w:val="00BA77E3"/>
    <w:rsid w:val="00BA7F89"/>
    <w:rsid w:val="00BB027F"/>
    <w:rsid w:val="00BB0BB0"/>
    <w:rsid w:val="00BB201B"/>
    <w:rsid w:val="00BB2347"/>
    <w:rsid w:val="00BB23A0"/>
    <w:rsid w:val="00BB2532"/>
    <w:rsid w:val="00BB3186"/>
    <w:rsid w:val="00BB3348"/>
    <w:rsid w:val="00BB4572"/>
    <w:rsid w:val="00BB5716"/>
    <w:rsid w:val="00BB5D48"/>
    <w:rsid w:val="00BB603F"/>
    <w:rsid w:val="00BB6C86"/>
    <w:rsid w:val="00BB7AAC"/>
    <w:rsid w:val="00BC02D7"/>
    <w:rsid w:val="00BC0A06"/>
    <w:rsid w:val="00BC5121"/>
    <w:rsid w:val="00BC51AB"/>
    <w:rsid w:val="00BC582B"/>
    <w:rsid w:val="00BC5D36"/>
    <w:rsid w:val="00BC6690"/>
    <w:rsid w:val="00BC66C4"/>
    <w:rsid w:val="00BC71ED"/>
    <w:rsid w:val="00BC754A"/>
    <w:rsid w:val="00BD151D"/>
    <w:rsid w:val="00BD1E3E"/>
    <w:rsid w:val="00BD1FD7"/>
    <w:rsid w:val="00BD28FA"/>
    <w:rsid w:val="00BD381C"/>
    <w:rsid w:val="00BD3BAF"/>
    <w:rsid w:val="00BD3D16"/>
    <w:rsid w:val="00BD4430"/>
    <w:rsid w:val="00BD5232"/>
    <w:rsid w:val="00BE09A4"/>
    <w:rsid w:val="00BE09E0"/>
    <w:rsid w:val="00BE1FB7"/>
    <w:rsid w:val="00BE2999"/>
    <w:rsid w:val="00BE2EC3"/>
    <w:rsid w:val="00BE3912"/>
    <w:rsid w:val="00BE3D34"/>
    <w:rsid w:val="00BE3E88"/>
    <w:rsid w:val="00BE453F"/>
    <w:rsid w:val="00BE4DA5"/>
    <w:rsid w:val="00BE5852"/>
    <w:rsid w:val="00BE64F9"/>
    <w:rsid w:val="00BE6D5E"/>
    <w:rsid w:val="00BE6E78"/>
    <w:rsid w:val="00BE7136"/>
    <w:rsid w:val="00BE78A0"/>
    <w:rsid w:val="00BE792F"/>
    <w:rsid w:val="00BF00DD"/>
    <w:rsid w:val="00BF0D40"/>
    <w:rsid w:val="00BF1416"/>
    <w:rsid w:val="00BF19D9"/>
    <w:rsid w:val="00BF1E19"/>
    <w:rsid w:val="00BF270B"/>
    <w:rsid w:val="00BF3005"/>
    <w:rsid w:val="00BF3039"/>
    <w:rsid w:val="00BF3072"/>
    <w:rsid w:val="00BF39EB"/>
    <w:rsid w:val="00BF3ADA"/>
    <w:rsid w:val="00BF43D9"/>
    <w:rsid w:val="00BF53D9"/>
    <w:rsid w:val="00BF5DAC"/>
    <w:rsid w:val="00BF7354"/>
    <w:rsid w:val="00BF772F"/>
    <w:rsid w:val="00BF781A"/>
    <w:rsid w:val="00C003EC"/>
    <w:rsid w:val="00C0136C"/>
    <w:rsid w:val="00C024E0"/>
    <w:rsid w:val="00C02AC7"/>
    <w:rsid w:val="00C02C1F"/>
    <w:rsid w:val="00C02D1E"/>
    <w:rsid w:val="00C02DE7"/>
    <w:rsid w:val="00C03803"/>
    <w:rsid w:val="00C043EA"/>
    <w:rsid w:val="00C0503E"/>
    <w:rsid w:val="00C05B57"/>
    <w:rsid w:val="00C05EC2"/>
    <w:rsid w:val="00C06018"/>
    <w:rsid w:val="00C0643A"/>
    <w:rsid w:val="00C0689F"/>
    <w:rsid w:val="00C06E8E"/>
    <w:rsid w:val="00C07FF1"/>
    <w:rsid w:val="00C10EFF"/>
    <w:rsid w:val="00C11874"/>
    <w:rsid w:val="00C12B23"/>
    <w:rsid w:val="00C12EF8"/>
    <w:rsid w:val="00C13FB8"/>
    <w:rsid w:val="00C1411F"/>
    <w:rsid w:val="00C14293"/>
    <w:rsid w:val="00C14CB8"/>
    <w:rsid w:val="00C15B55"/>
    <w:rsid w:val="00C15B97"/>
    <w:rsid w:val="00C15BC4"/>
    <w:rsid w:val="00C15BE5"/>
    <w:rsid w:val="00C15DDE"/>
    <w:rsid w:val="00C15EA4"/>
    <w:rsid w:val="00C22528"/>
    <w:rsid w:val="00C226F2"/>
    <w:rsid w:val="00C22808"/>
    <w:rsid w:val="00C22DF0"/>
    <w:rsid w:val="00C23E5B"/>
    <w:rsid w:val="00C25B23"/>
    <w:rsid w:val="00C25B56"/>
    <w:rsid w:val="00C30762"/>
    <w:rsid w:val="00C30A1B"/>
    <w:rsid w:val="00C30D0B"/>
    <w:rsid w:val="00C326EF"/>
    <w:rsid w:val="00C330AC"/>
    <w:rsid w:val="00C337AE"/>
    <w:rsid w:val="00C338F7"/>
    <w:rsid w:val="00C34145"/>
    <w:rsid w:val="00C343E8"/>
    <w:rsid w:val="00C346A4"/>
    <w:rsid w:val="00C35125"/>
    <w:rsid w:val="00C35A1A"/>
    <w:rsid w:val="00C36332"/>
    <w:rsid w:val="00C36DC5"/>
    <w:rsid w:val="00C36EFC"/>
    <w:rsid w:val="00C3731F"/>
    <w:rsid w:val="00C37F4E"/>
    <w:rsid w:val="00C405B8"/>
    <w:rsid w:val="00C40979"/>
    <w:rsid w:val="00C40CFC"/>
    <w:rsid w:val="00C42BE9"/>
    <w:rsid w:val="00C43807"/>
    <w:rsid w:val="00C43DEB"/>
    <w:rsid w:val="00C43F39"/>
    <w:rsid w:val="00C45468"/>
    <w:rsid w:val="00C45EA1"/>
    <w:rsid w:val="00C47CBC"/>
    <w:rsid w:val="00C51533"/>
    <w:rsid w:val="00C51F9A"/>
    <w:rsid w:val="00C520E1"/>
    <w:rsid w:val="00C52841"/>
    <w:rsid w:val="00C529EF"/>
    <w:rsid w:val="00C52D89"/>
    <w:rsid w:val="00C537E5"/>
    <w:rsid w:val="00C54850"/>
    <w:rsid w:val="00C55006"/>
    <w:rsid w:val="00C55391"/>
    <w:rsid w:val="00C5543C"/>
    <w:rsid w:val="00C556D2"/>
    <w:rsid w:val="00C55CF5"/>
    <w:rsid w:val="00C560DA"/>
    <w:rsid w:val="00C572BC"/>
    <w:rsid w:val="00C57A65"/>
    <w:rsid w:val="00C57E69"/>
    <w:rsid w:val="00C6029E"/>
    <w:rsid w:val="00C60384"/>
    <w:rsid w:val="00C60593"/>
    <w:rsid w:val="00C60910"/>
    <w:rsid w:val="00C60FE6"/>
    <w:rsid w:val="00C6171D"/>
    <w:rsid w:val="00C62C1F"/>
    <w:rsid w:val="00C63027"/>
    <w:rsid w:val="00C63458"/>
    <w:rsid w:val="00C6382A"/>
    <w:rsid w:val="00C63891"/>
    <w:rsid w:val="00C63A7B"/>
    <w:rsid w:val="00C6449E"/>
    <w:rsid w:val="00C64FEA"/>
    <w:rsid w:val="00C653DA"/>
    <w:rsid w:val="00C65FA0"/>
    <w:rsid w:val="00C66D44"/>
    <w:rsid w:val="00C67ACC"/>
    <w:rsid w:val="00C700FA"/>
    <w:rsid w:val="00C704F1"/>
    <w:rsid w:val="00C7188F"/>
    <w:rsid w:val="00C7306D"/>
    <w:rsid w:val="00C733A0"/>
    <w:rsid w:val="00C742E7"/>
    <w:rsid w:val="00C74764"/>
    <w:rsid w:val="00C7652B"/>
    <w:rsid w:val="00C7672C"/>
    <w:rsid w:val="00C77286"/>
    <w:rsid w:val="00C777DE"/>
    <w:rsid w:val="00C8014B"/>
    <w:rsid w:val="00C80896"/>
    <w:rsid w:val="00C8096E"/>
    <w:rsid w:val="00C82094"/>
    <w:rsid w:val="00C823B6"/>
    <w:rsid w:val="00C82D2D"/>
    <w:rsid w:val="00C82E02"/>
    <w:rsid w:val="00C83A0F"/>
    <w:rsid w:val="00C8508F"/>
    <w:rsid w:val="00C864C5"/>
    <w:rsid w:val="00C8731C"/>
    <w:rsid w:val="00C877AD"/>
    <w:rsid w:val="00C9091A"/>
    <w:rsid w:val="00C91180"/>
    <w:rsid w:val="00C91962"/>
    <w:rsid w:val="00C92347"/>
    <w:rsid w:val="00C9266A"/>
    <w:rsid w:val="00C92C6F"/>
    <w:rsid w:val="00C93155"/>
    <w:rsid w:val="00C933E9"/>
    <w:rsid w:val="00C93998"/>
    <w:rsid w:val="00C93D12"/>
    <w:rsid w:val="00C93F4A"/>
    <w:rsid w:val="00C944FB"/>
    <w:rsid w:val="00C9479F"/>
    <w:rsid w:val="00C953E4"/>
    <w:rsid w:val="00C95449"/>
    <w:rsid w:val="00C958CC"/>
    <w:rsid w:val="00C95AA7"/>
    <w:rsid w:val="00C95EC5"/>
    <w:rsid w:val="00C96457"/>
    <w:rsid w:val="00C9696D"/>
    <w:rsid w:val="00C96A60"/>
    <w:rsid w:val="00C96F1D"/>
    <w:rsid w:val="00C97EDB"/>
    <w:rsid w:val="00CA02CE"/>
    <w:rsid w:val="00CA033E"/>
    <w:rsid w:val="00CA0DEF"/>
    <w:rsid w:val="00CA1077"/>
    <w:rsid w:val="00CA2C64"/>
    <w:rsid w:val="00CA493F"/>
    <w:rsid w:val="00CA4B12"/>
    <w:rsid w:val="00CA4D84"/>
    <w:rsid w:val="00CA5DBB"/>
    <w:rsid w:val="00CA5E9A"/>
    <w:rsid w:val="00CA6020"/>
    <w:rsid w:val="00CA7099"/>
    <w:rsid w:val="00CB0177"/>
    <w:rsid w:val="00CB0343"/>
    <w:rsid w:val="00CB08FD"/>
    <w:rsid w:val="00CB0CE1"/>
    <w:rsid w:val="00CB10F6"/>
    <w:rsid w:val="00CB1AC6"/>
    <w:rsid w:val="00CB1D7E"/>
    <w:rsid w:val="00CB1F8A"/>
    <w:rsid w:val="00CB218E"/>
    <w:rsid w:val="00CB223F"/>
    <w:rsid w:val="00CB288A"/>
    <w:rsid w:val="00CB2B93"/>
    <w:rsid w:val="00CB321E"/>
    <w:rsid w:val="00CB340A"/>
    <w:rsid w:val="00CB3941"/>
    <w:rsid w:val="00CB446E"/>
    <w:rsid w:val="00CB722E"/>
    <w:rsid w:val="00CB7F73"/>
    <w:rsid w:val="00CC0379"/>
    <w:rsid w:val="00CC10E4"/>
    <w:rsid w:val="00CC1FEA"/>
    <w:rsid w:val="00CC2065"/>
    <w:rsid w:val="00CC241F"/>
    <w:rsid w:val="00CC3570"/>
    <w:rsid w:val="00CC52C3"/>
    <w:rsid w:val="00CC7889"/>
    <w:rsid w:val="00CC7C33"/>
    <w:rsid w:val="00CD286D"/>
    <w:rsid w:val="00CD2B89"/>
    <w:rsid w:val="00CD2C14"/>
    <w:rsid w:val="00CD4490"/>
    <w:rsid w:val="00CD503D"/>
    <w:rsid w:val="00CD60D1"/>
    <w:rsid w:val="00CD719C"/>
    <w:rsid w:val="00CD7A85"/>
    <w:rsid w:val="00CE06FA"/>
    <w:rsid w:val="00CE0A96"/>
    <w:rsid w:val="00CE16A6"/>
    <w:rsid w:val="00CE29CB"/>
    <w:rsid w:val="00CE3DC4"/>
    <w:rsid w:val="00CE3F58"/>
    <w:rsid w:val="00CE4388"/>
    <w:rsid w:val="00CE4B05"/>
    <w:rsid w:val="00CE4F4D"/>
    <w:rsid w:val="00CE50E1"/>
    <w:rsid w:val="00CE5171"/>
    <w:rsid w:val="00CE5BC5"/>
    <w:rsid w:val="00CE68C3"/>
    <w:rsid w:val="00CE6B20"/>
    <w:rsid w:val="00CE6D1A"/>
    <w:rsid w:val="00CE6E61"/>
    <w:rsid w:val="00CE71FA"/>
    <w:rsid w:val="00CE75A5"/>
    <w:rsid w:val="00CF0EA3"/>
    <w:rsid w:val="00CF1006"/>
    <w:rsid w:val="00CF11A7"/>
    <w:rsid w:val="00CF11AF"/>
    <w:rsid w:val="00CF1400"/>
    <w:rsid w:val="00CF2312"/>
    <w:rsid w:val="00CF2397"/>
    <w:rsid w:val="00CF2CC7"/>
    <w:rsid w:val="00CF2D7A"/>
    <w:rsid w:val="00CF3FB4"/>
    <w:rsid w:val="00CF5375"/>
    <w:rsid w:val="00CF5B1B"/>
    <w:rsid w:val="00CF740C"/>
    <w:rsid w:val="00D00271"/>
    <w:rsid w:val="00D003E2"/>
    <w:rsid w:val="00D009DA"/>
    <w:rsid w:val="00D02C01"/>
    <w:rsid w:val="00D02DB3"/>
    <w:rsid w:val="00D03B3A"/>
    <w:rsid w:val="00D03C93"/>
    <w:rsid w:val="00D04039"/>
    <w:rsid w:val="00D06950"/>
    <w:rsid w:val="00D07277"/>
    <w:rsid w:val="00D07424"/>
    <w:rsid w:val="00D100CD"/>
    <w:rsid w:val="00D10578"/>
    <w:rsid w:val="00D10A92"/>
    <w:rsid w:val="00D116F6"/>
    <w:rsid w:val="00D1298C"/>
    <w:rsid w:val="00D12A29"/>
    <w:rsid w:val="00D12EA2"/>
    <w:rsid w:val="00D134EF"/>
    <w:rsid w:val="00D14F17"/>
    <w:rsid w:val="00D15437"/>
    <w:rsid w:val="00D158DA"/>
    <w:rsid w:val="00D164D2"/>
    <w:rsid w:val="00D16AB0"/>
    <w:rsid w:val="00D16C1F"/>
    <w:rsid w:val="00D17059"/>
    <w:rsid w:val="00D17D57"/>
    <w:rsid w:val="00D206A4"/>
    <w:rsid w:val="00D206D4"/>
    <w:rsid w:val="00D20AEC"/>
    <w:rsid w:val="00D20E74"/>
    <w:rsid w:val="00D226D6"/>
    <w:rsid w:val="00D22B03"/>
    <w:rsid w:val="00D2331D"/>
    <w:rsid w:val="00D2353D"/>
    <w:rsid w:val="00D23FC5"/>
    <w:rsid w:val="00D2474D"/>
    <w:rsid w:val="00D24CB6"/>
    <w:rsid w:val="00D2516C"/>
    <w:rsid w:val="00D26048"/>
    <w:rsid w:val="00D26FB0"/>
    <w:rsid w:val="00D2766C"/>
    <w:rsid w:val="00D27EC4"/>
    <w:rsid w:val="00D31497"/>
    <w:rsid w:val="00D3233D"/>
    <w:rsid w:val="00D3370C"/>
    <w:rsid w:val="00D33760"/>
    <w:rsid w:val="00D33BF7"/>
    <w:rsid w:val="00D343B9"/>
    <w:rsid w:val="00D348D6"/>
    <w:rsid w:val="00D34BFD"/>
    <w:rsid w:val="00D34DA5"/>
    <w:rsid w:val="00D353D4"/>
    <w:rsid w:val="00D358A4"/>
    <w:rsid w:val="00D35A61"/>
    <w:rsid w:val="00D36060"/>
    <w:rsid w:val="00D40343"/>
    <w:rsid w:val="00D418FB"/>
    <w:rsid w:val="00D41A9F"/>
    <w:rsid w:val="00D41DB2"/>
    <w:rsid w:val="00D4244E"/>
    <w:rsid w:val="00D42F36"/>
    <w:rsid w:val="00D437FC"/>
    <w:rsid w:val="00D4439A"/>
    <w:rsid w:val="00D449FA"/>
    <w:rsid w:val="00D44D43"/>
    <w:rsid w:val="00D45071"/>
    <w:rsid w:val="00D4565B"/>
    <w:rsid w:val="00D456F6"/>
    <w:rsid w:val="00D45EA9"/>
    <w:rsid w:val="00D46441"/>
    <w:rsid w:val="00D4772F"/>
    <w:rsid w:val="00D4780A"/>
    <w:rsid w:val="00D47EBB"/>
    <w:rsid w:val="00D506F8"/>
    <w:rsid w:val="00D50DAF"/>
    <w:rsid w:val="00D5134A"/>
    <w:rsid w:val="00D51E70"/>
    <w:rsid w:val="00D521C7"/>
    <w:rsid w:val="00D52691"/>
    <w:rsid w:val="00D52D24"/>
    <w:rsid w:val="00D54A70"/>
    <w:rsid w:val="00D55712"/>
    <w:rsid w:val="00D55CCB"/>
    <w:rsid w:val="00D565E5"/>
    <w:rsid w:val="00D56C20"/>
    <w:rsid w:val="00D606F5"/>
    <w:rsid w:val="00D60E03"/>
    <w:rsid w:val="00D61398"/>
    <w:rsid w:val="00D614F7"/>
    <w:rsid w:val="00D61502"/>
    <w:rsid w:val="00D6158B"/>
    <w:rsid w:val="00D636EC"/>
    <w:rsid w:val="00D6411C"/>
    <w:rsid w:val="00D64DCD"/>
    <w:rsid w:val="00D654FA"/>
    <w:rsid w:val="00D65AED"/>
    <w:rsid w:val="00D660D9"/>
    <w:rsid w:val="00D7000E"/>
    <w:rsid w:val="00D710F4"/>
    <w:rsid w:val="00D72AE3"/>
    <w:rsid w:val="00D740A0"/>
    <w:rsid w:val="00D746D2"/>
    <w:rsid w:val="00D75307"/>
    <w:rsid w:val="00D7585B"/>
    <w:rsid w:val="00D75A8C"/>
    <w:rsid w:val="00D75CB7"/>
    <w:rsid w:val="00D7620B"/>
    <w:rsid w:val="00D7645D"/>
    <w:rsid w:val="00D76CE5"/>
    <w:rsid w:val="00D77292"/>
    <w:rsid w:val="00D80C26"/>
    <w:rsid w:val="00D80DC5"/>
    <w:rsid w:val="00D813B2"/>
    <w:rsid w:val="00D81735"/>
    <w:rsid w:val="00D81BA1"/>
    <w:rsid w:val="00D8286A"/>
    <w:rsid w:val="00D82D99"/>
    <w:rsid w:val="00D83D98"/>
    <w:rsid w:val="00D83EE3"/>
    <w:rsid w:val="00D85D05"/>
    <w:rsid w:val="00D860F0"/>
    <w:rsid w:val="00D87529"/>
    <w:rsid w:val="00D87BF2"/>
    <w:rsid w:val="00D9089D"/>
    <w:rsid w:val="00D9191A"/>
    <w:rsid w:val="00D92228"/>
    <w:rsid w:val="00D92579"/>
    <w:rsid w:val="00D93173"/>
    <w:rsid w:val="00D93CE5"/>
    <w:rsid w:val="00D940F4"/>
    <w:rsid w:val="00D944C2"/>
    <w:rsid w:val="00D94545"/>
    <w:rsid w:val="00D948A7"/>
    <w:rsid w:val="00D948BA"/>
    <w:rsid w:val="00D94B3A"/>
    <w:rsid w:val="00D95C27"/>
    <w:rsid w:val="00D97182"/>
    <w:rsid w:val="00D97411"/>
    <w:rsid w:val="00D9783D"/>
    <w:rsid w:val="00D979F3"/>
    <w:rsid w:val="00DA049A"/>
    <w:rsid w:val="00DA0E63"/>
    <w:rsid w:val="00DA1026"/>
    <w:rsid w:val="00DA160C"/>
    <w:rsid w:val="00DA2E3D"/>
    <w:rsid w:val="00DA3940"/>
    <w:rsid w:val="00DA3DDC"/>
    <w:rsid w:val="00DA471F"/>
    <w:rsid w:val="00DA4C18"/>
    <w:rsid w:val="00DA5DE1"/>
    <w:rsid w:val="00DA62F5"/>
    <w:rsid w:val="00DA6AD6"/>
    <w:rsid w:val="00DA710A"/>
    <w:rsid w:val="00DA73D7"/>
    <w:rsid w:val="00DA793E"/>
    <w:rsid w:val="00DA7AEB"/>
    <w:rsid w:val="00DB054B"/>
    <w:rsid w:val="00DB0715"/>
    <w:rsid w:val="00DB0E34"/>
    <w:rsid w:val="00DB1232"/>
    <w:rsid w:val="00DB1D5A"/>
    <w:rsid w:val="00DB2A18"/>
    <w:rsid w:val="00DB3E90"/>
    <w:rsid w:val="00DB3EBC"/>
    <w:rsid w:val="00DB4B8B"/>
    <w:rsid w:val="00DB515B"/>
    <w:rsid w:val="00DB5BD0"/>
    <w:rsid w:val="00DB5D63"/>
    <w:rsid w:val="00DB6304"/>
    <w:rsid w:val="00DB6407"/>
    <w:rsid w:val="00DB735E"/>
    <w:rsid w:val="00DB7767"/>
    <w:rsid w:val="00DB79F7"/>
    <w:rsid w:val="00DB7D1B"/>
    <w:rsid w:val="00DC0B88"/>
    <w:rsid w:val="00DC1E66"/>
    <w:rsid w:val="00DC376A"/>
    <w:rsid w:val="00DC3C28"/>
    <w:rsid w:val="00DC411F"/>
    <w:rsid w:val="00DC4E7F"/>
    <w:rsid w:val="00DC5072"/>
    <w:rsid w:val="00DC527B"/>
    <w:rsid w:val="00DC670C"/>
    <w:rsid w:val="00DC6899"/>
    <w:rsid w:val="00DC6A3B"/>
    <w:rsid w:val="00DC6ACF"/>
    <w:rsid w:val="00DC70D3"/>
    <w:rsid w:val="00DC7E75"/>
    <w:rsid w:val="00DD03FC"/>
    <w:rsid w:val="00DD076F"/>
    <w:rsid w:val="00DD08B6"/>
    <w:rsid w:val="00DD1478"/>
    <w:rsid w:val="00DD18D3"/>
    <w:rsid w:val="00DD2282"/>
    <w:rsid w:val="00DD2295"/>
    <w:rsid w:val="00DD2B73"/>
    <w:rsid w:val="00DD2CFD"/>
    <w:rsid w:val="00DD39F4"/>
    <w:rsid w:val="00DD3BBE"/>
    <w:rsid w:val="00DD526D"/>
    <w:rsid w:val="00DD5675"/>
    <w:rsid w:val="00DD6E5A"/>
    <w:rsid w:val="00DD702C"/>
    <w:rsid w:val="00DD7337"/>
    <w:rsid w:val="00DD7850"/>
    <w:rsid w:val="00DE1396"/>
    <w:rsid w:val="00DE2D93"/>
    <w:rsid w:val="00DE32AB"/>
    <w:rsid w:val="00DE364C"/>
    <w:rsid w:val="00DE3801"/>
    <w:rsid w:val="00DE3D4E"/>
    <w:rsid w:val="00DE5939"/>
    <w:rsid w:val="00DE60DC"/>
    <w:rsid w:val="00DE622E"/>
    <w:rsid w:val="00DE7026"/>
    <w:rsid w:val="00DF00FE"/>
    <w:rsid w:val="00DF0E04"/>
    <w:rsid w:val="00DF179C"/>
    <w:rsid w:val="00DF198D"/>
    <w:rsid w:val="00DF1F13"/>
    <w:rsid w:val="00DF21F5"/>
    <w:rsid w:val="00DF2DFA"/>
    <w:rsid w:val="00DF3E0A"/>
    <w:rsid w:val="00DF3EBD"/>
    <w:rsid w:val="00DF4126"/>
    <w:rsid w:val="00DF45EB"/>
    <w:rsid w:val="00DF4B83"/>
    <w:rsid w:val="00DF4D06"/>
    <w:rsid w:val="00DF5044"/>
    <w:rsid w:val="00DF5381"/>
    <w:rsid w:val="00DF5C18"/>
    <w:rsid w:val="00DF6DC0"/>
    <w:rsid w:val="00DF7B1C"/>
    <w:rsid w:val="00E006EE"/>
    <w:rsid w:val="00E022DB"/>
    <w:rsid w:val="00E02604"/>
    <w:rsid w:val="00E028FE"/>
    <w:rsid w:val="00E03C38"/>
    <w:rsid w:val="00E04436"/>
    <w:rsid w:val="00E0541E"/>
    <w:rsid w:val="00E05A46"/>
    <w:rsid w:val="00E05B60"/>
    <w:rsid w:val="00E05EC2"/>
    <w:rsid w:val="00E060BE"/>
    <w:rsid w:val="00E06D9A"/>
    <w:rsid w:val="00E0702E"/>
    <w:rsid w:val="00E07EAB"/>
    <w:rsid w:val="00E10C7D"/>
    <w:rsid w:val="00E11E2A"/>
    <w:rsid w:val="00E12537"/>
    <w:rsid w:val="00E138F1"/>
    <w:rsid w:val="00E13A0A"/>
    <w:rsid w:val="00E14479"/>
    <w:rsid w:val="00E1570D"/>
    <w:rsid w:val="00E15798"/>
    <w:rsid w:val="00E158EE"/>
    <w:rsid w:val="00E15910"/>
    <w:rsid w:val="00E16219"/>
    <w:rsid w:val="00E163D2"/>
    <w:rsid w:val="00E16A21"/>
    <w:rsid w:val="00E21A1A"/>
    <w:rsid w:val="00E22843"/>
    <w:rsid w:val="00E22E60"/>
    <w:rsid w:val="00E2326E"/>
    <w:rsid w:val="00E232AE"/>
    <w:rsid w:val="00E23DD6"/>
    <w:rsid w:val="00E25F14"/>
    <w:rsid w:val="00E2688C"/>
    <w:rsid w:val="00E26A4B"/>
    <w:rsid w:val="00E27DE3"/>
    <w:rsid w:val="00E300D7"/>
    <w:rsid w:val="00E30BE0"/>
    <w:rsid w:val="00E31A15"/>
    <w:rsid w:val="00E3226B"/>
    <w:rsid w:val="00E331FC"/>
    <w:rsid w:val="00E3409D"/>
    <w:rsid w:val="00E34317"/>
    <w:rsid w:val="00E3454B"/>
    <w:rsid w:val="00E34562"/>
    <w:rsid w:val="00E34826"/>
    <w:rsid w:val="00E3578E"/>
    <w:rsid w:val="00E35A76"/>
    <w:rsid w:val="00E36F1E"/>
    <w:rsid w:val="00E378C9"/>
    <w:rsid w:val="00E37F6D"/>
    <w:rsid w:val="00E4056A"/>
    <w:rsid w:val="00E40E16"/>
    <w:rsid w:val="00E42D0E"/>
    <w:rsid w:val="00E432D0"/>
    <w:rsid w:val="00E43DDF"/>
    <w:rsid w:val="00E45BB5"/>
    <w:rsid w:val="00E45BE5"/>
    <w:rsid w:val="00E45FB7"/>
    <w:rsid w:val="00E4631F"/>
    <w:rsid w:val="00E46829"/>
    <w:rsid w:val="00E47A20"/>
    <w:rsid w:val="00E514B5"/>
    <w:rsid w:val="00E514CB"/>
    <w:rsid w:val="00E517A5"/>
    <w:rsid w:val="00E527E3"/>
    <w:rsid w:val="00E52BEC"/>
    <w:rsid w:val="00E52F0C"/>
    <w:rsid w:val="00E53642"/>
    <w:rsid w:val="00E54A00"/>
    <w:rsid w:val="00E550C0"/>
    <w:rsid w:val="00E5532D"/>
    <w:rsid w:val="00E55D0A"/>
    <w:rsid w:val="00E5612A"/>
    <w:rsid w:val="00E56FCD"/>
    <w:rsid w:val="00E57B0B"/>
    <w:rsid w:val="00E57E6A"/>
    <w:rsid w:val="00E60A50"/>
    <w:rsid w:val="00E60DB1"/>
    <w:rsid w:val="00E621D5"/>
    <w:rsid w:val="00E623A2"/>
    <w:rsid w:val="00E62E38"/>
    <w:rsid w:val="00E62F08"/>
    <w:rsid w:val="00E63BF6"/>
    <w:rsid w:val="00E64BBE"/>
    <w:rsid w:val="00E65ADF"/>
    <w:rsid w:val="00E65EFE"/>
    <w:rsid w:val="00E66C7B"/>
    <w:rsid w:val="00E6737C"/>
    <w:rsid w:val="00E702B7"/>
    <w:rsid w:val="00E70AB3"/>
    <w:rsid w:val="00E70F0C"/>
    <w:rsid w:val="00E72239"/>
    <w:rsid w:val="00E73673"/>
    <w:rsid w:val="00E7378C"/>
    <w:rsid w:val="00E73D00"/>
    <w:rsid w:val="00E73EFB"/>
    <w:rsid w:val="00E74614"/>
    <w:rsid w:val="00E75589"/>
    <w:rsid w:val="00E7586F"/>
    <w:rsid w:val="00E76172"/>
    <w:rsid w:val="00E76978"/>
    <w:rsid w:val="00E778CF"/>
    <w:rsid w:val="00E80E66"/>
    <w:rsid w:val="00E81ECD"/>
    <w:rsid w:val="00E821C3"/>
    <w:rsid w:val="00E8302E"/>
    <w:rsid w:val="00E832F2"/>
    <w:rsid w:val="00E8396A"/>
    <w:rsid w:val="00E83EE9"/>
    <w:rsid w:val="00E843B0"/>
    <w:rsid w:val="00E844D1"/>
    <w:rsid w:val="00E84E06"/>
    <w:rsid w:val="00E85021"/>
    <w:rsid w:val="00E87063"/>
    <w:rsid w:val="00E87771"/>
    <w:rsid w:val="00E87F89"/>
    <w:rsid w:val="00E9011B"/>
    <w:rsid w:val="00E9159F"/>
    <w:rsid w:val="00E92240"/>
    <w:rsid w:val="00E923D1"/>
    <w:rsid w:val="00E93D13"/>
    <w:rsid w:val="00E940B1"/>
    <w:rsid w:val="00E947B0"/>
    <w:rsid w:val="00EA0189"/>
    <w:rsid w:val="00EA0675"/>
    <w:rsid w:val="00EA0966"/>
    <w:rsid w:val="00EA1A41"/>
    <w:rsid w:val="00EA1BA8"/>
    <w:rsid w:val="00EA1EC8"/>
    <w:rsid w:val="00EA2DCD"/>
    <w:rsid w:val="00EA2F6E"/>
    <w:rsid w:val="00EA3517"/>
    <w:rsid w:val="00EA481F"/>
    <w:rsid w:val="00EA4A16"/>
    <w:rsid w:val="00EA4F25"/>
    <w:rsid w:val="00EA58D1"/>
    <w:rsid w:val="00EA5C5C"/>
    <w:rsid w:val="00EA62ED"/>
    <w:rsid w:val="00EA6492"/>
    <w:rsid w:val="00EA6B40"/>
    <w:rsid w:val="00EA7CA4"/>
    <w:rsid w:val="00EA7DBB"/>
    <w:rsid w:val="00EB02B3"/>
    <w:rsid w:val="00EB03C4"/>
    <w:rsid w:val="00EB38A6"/>
    <w:rsid w:val="00EB4AE8"/>
    <w:rsid w:val="00EB5C63"/>
    <w:rsid w:val="00EC04E4"/>
    <w:rsid w:val="00EC0F00"/>
    <w:rsid w:val="00EC17D0"/>
    <w:rsid w:val="00EC1BE5"/>
    <w:rsid w:val="00EC250C"/>
    <w:rsid w:val="00EC286C"/>
    <w:rsid w:val="00EC316D"/>
    <w:rsid w:val="00EC3316"/>
    <w:rsid w:val="00EC3848"/>
    <w:rsid w:val="00EC4F0C"/>
    <w:rsid w:val="00EC5719"/>
    <w:rsid w:val="00EC6600"/>
    <w:rsid w:val="00EC68D1"/>
    <w:rsid w:val="00EC70A9"/>
    <w:rsid w:val="00EC7157"/>
    <w:rsid w:val="00EC7A03"/>
    <w:rsid w:val="00EC7ADE"/>
    <w:rsid w:val="00ED0FF8"/>
    <w:rsid w:val="00ED2B5C"/>
    <w:rsid w:val="00ED30B4"/>
    <w:rsid w:val="00ED36A5"/>
    <w:rsid w:val="00ED4DA8"/>
    <w:rsid w:val="00ED58CE"/>
    <w:rsid w:val="00ED660D"/>
    <w:rsid w:val="00EE0251"/>
    <w:rsid w:val="00EE1CDF"/>
    <w:rsid w:val="00EE208F"/>
    <w:rsid w:val="00EE29FA"/>
    <w:rsid w:val="00EE2A2A"/>
    <w:rsid w:val="00EE2C72"/>
    <w:rsid w:val="00EE2CCF"/>
    <w:rsid w:val="00EE2E76"/>
    <w:rsid w:val="00EE3764"/>
    <w:rsid w:val="00EE37B8"/>
    <w:rsid w:val="00EE38E7"/>
    <w:rsid w:val="00EE3AB1"/>
    <w:rsid w:val="00EE3B4A"/>
    <w:rsid w:val="00EE3BB0"/>
    <w:rsid w:val="00EE3C54"/>
    <w:rsid w:val="00EE49BC"/>
    <w:rsid w:val="00EE55F0"/>
    <w:rsid w:val="00EE61F2"/>
    <w:rsid w:val="00EE72A2"/>
    <w:rsid w:val="00EE7A8A"/>
    <w:rsid w:val="00EE7B75"/>
    <w:rsid w:val="00EF1034"/>
    <w:rsid w:val="00EF116D"/>
    <w:rsid w:val="00EF2047"/>
    <w:rsid w:val="00EF2957"/>
    <w:rsid w:val="00EF37F3"/>
    <w:rsid w:val="00EF4259"/>
    <w:rsid w:val="00EF4465"/>
    <w:rsid w:val="00EF464B"/>
    <w:rsid w:val="00EF46D9"/>
    <w:rsid w:val="00EF4DE3"/>
    <w:rsid w:val="00EF4DEC"/>
    <w:rsid w:val="00EF4E77"/>
    <w:rsid w:val="00EF50C1"/>
    <w:rsid w:val="00EF6B4D"/>
    <w:rsid w:val="00EF6E7C"/>
    <w:rsid w:val="00EF700D"/>
    <w:rsid w:val="00EF749D"/>
    <w:rsid w:val="00EF79BA"/>
    <w:rsid w:val="00F00FE2"/>
    <w:rsid w:val="00F01639"/>
    <w:rsid w:val="00F01A5C"/>
    <w:rsid w:val="00F02EC8"/>
    <w:rsid w:val="00F03995"/>
    <w:rsid w:val="00F04961"/>
    <w:rsid w:val="00F051E7"/>
    <w:rsid w:val="00F05C3F"/>
    <w:rsid w:val="00F05D09"/>
    <w:rsid w:val="00F069D2"/>
    <w:rsid w:val="00F07487"/>
    <w:rsid w:val="00F07514"/>
    <w:rsid w:val="00F07999"/>
    <w:rsid w:val="00F079AE"/>
    <w:rsid w:val="00F07EB1"/>
    <w:rsid w:val="00F10D33"/>
    <w:rsid w:val="00F11482"/>
    <w:rsid w:val="00F116B0"/>
    <w:rsid w:val="00F12857"/>
    <w:rsid w:val="00F13EC0"/>
    <w:rsid w:val="00F14E3E"/>
    <w:rsid w:val="00F15990"/>
    <w:rsid w:val="00F16631"/>
    <w:rsid w:val="00F16B0F"/>
    <w:rsid w:val="00F16C95"/>
    <w:rsid w:val="00F170A0"/>
    <w:rsid w:val="00F17DA3"/>
    <w:rsid w:val="00F20C26"/>
    <w:rsid w:val="00F20C78"/>
    <w:rsid w:val="00F20CD5"/>
    <w:rsid w:val="00F20E3E"/>
    <w:rsid w:val="00F216E8"/>
    <w:rsid w:val="00F23618"/>
    <w:rsid w:val="00F23892"/>
    <w:rsid w:val="00F241C8"/>
    <w:rsid w:val="00F249AE"/>
    <w:rsid w:val="00F250DA"/>
    <w:rsid w:val="00F25A1E"/>
    <w:rsid w:val="00F27060"/>
    <w:rsid w:val="00F27AE9"/>
    <w:rsid w:val="00F320F2"/>
    <w:rsid w:val="00F3272F"/>
    <w:rsid w:val="00F32DDD"/>
    <w:rsid w:val="00F33102"/>
    <w:rsid w:val="00F349FF"/>
    <w:rsid w:val="00F34A52"/>
    <w:rsid w:val="00F34A88"/>
    <w:rsid w:val="00F35032"/>
    <w:rsid w:val="00F3587E"/>
    <w:rsid w:val="00F3650C"/>
    <w:rsid w:val="00F403B0"/>
    <w:rsid w:val="00F41889"/>
    <w:rsid w:val="00F42144"/>
    <w:rsid w:val="00F42411"/>
    <w:rsid w:val="00F426CB"/>
    <w:rsid w:val="00F42FB5"/>
    <w:rsid w:val="00F4488E"/>
    <w:rsid w:val="00F448F9"/>
    <w:rsid w:val="00F44BC7"/>
    <w:rsid w:val="00F45157"/>
    <w:rsid w:val="00F45785"/>
    <w:rsid w:val="00F46DAE"/>
    <w:rsid w:val="00F47AE5"/>
    <w:rsid w:val="00F47D2A"/>
    <w:rsid w:val="00F50318"/>
    <w:rsid w:val="00F505A2"/>
    <w:rsid w:val="00F5075B"/>
    <w:rsid w:val="00F5102F"/>
    <w:rsid w:val="00F51C16"/>
    <w:rsid w:val="00F52DC3"/>
    <w:rsid w:val="00F5376B"/>
    <w:rsid w:val="00F538F6"/>
    <w:rsid w:val="00F5394F"/>
    <w:rsid w:val="00F53FBE"/>
    <w:rsid w:val="00F54ACE"/>
    <w:rsid w:val="00F5547D"/>
    <w:rsid w:val="00F557DB"/>
    <w:rsid w:val="00F5600F"/>
    <w:rsid w:val="00F56390"/>
    <w:rsid w:val="00F563DB"/>
    <w:rsid w:val="00F56C70"/>
    <w:rsid w:val="00F572BF"/>
    <w:rsid w:val="00F57A60"/>
    <w:rsid w:val="00F60351"/>
    <w:rsid w:val="00F60396"/>
    <w:rsid w:val="00F60460"/>
    <w:rsid w:val="00F611DD"/>
    <w:rsid w:val="00F61A73"/>
    <w:rsid w:val="00F61EA7"/>
    <w:rsid w:val="00F61F3A"/>
    <w:rsid w:val="00F6239D"/>
    <w:rsid w:val="00F62725"/>
    <w:rsid w:val="00F627DA"/>
    <w:rsid w:val="00F63D1A"/>
    <w:rsid w:val="00F64010"/>
    <w:rsid w:val="00F64235"/>
    <w:rsid w:val="00F64523"/>
    <w:rsid w:val="00F66A9C"/>
    <w:rsid w:val="00F70497"/>
    <w:rsid w:val="00F708F5"/>
    <w:rsid w:val="00F71909"/>
    <w:rsid w:val="00F71DEF"/>
    <w:rsid w:val="00F7300B"/>
    <w:rsid w:val="00F7317D"/>
    <w:rsid w:val="00F741AE"/>
    <w:rsid w:val="00F74FFB"/>
    <w:rsid w:val="00F751FE"/>
    <w:rsid w:val="00F75C83"/>
    <w:rsid w:val="00F75D70"/>
    <w:rsid w:val="00F7689F"/>
    <w:rsid w:val="00F76E1B"/>
    <w:rsid w:val="00F77150"/>
    <w:rsid w:val="00F7745E"/>
    <w:rsid w:val="00F77484"/>
    <w:rsid w:val="00F819F9"/>
    <w:rsid w:val="00F82CA4"/>
    <w:rsid w:val="00F830D1"/>
    <w:rsid w:val="00F83572"/>
    <w:rsid w:val="00F83AF1"/>
    <w:rsid w:val="00F83F05"/>
    <w:rsid w:val="00F84D11"/>
    <w:rsid w:val="00F86554"/>
    <w:rsid w:val="00F874DE"/>
    <w:rsid w:val="00F8791D"/>
    <w:rsid w:val="00F8799C"/>
    <w:rsid w:val="00F87A18"/>
    <w:rsid w:val="00F9083A"/>
    <w:rsid w:val="00F914BA"/>
    <w:rsid w:val="00F916AD"/>
    <w:rsid w:val="00F92489"/>
    <w:rsid w:val="00F925A6"/>
    <w:rsid w:val="00F93311"/>
    <w:rsid w:val="00F9371F"/>
    <w:rsid w:val="00F93876"/>
    <w:rsid w:val="00F93B2F"/>
    <w:rsid w:val="00F94A9E"/>
    <w:rsid w:val="00F94CFB"/>
    <w:rsid w:val="00F952BD"/>
    <w:rsid w:val="00F952C2"/>
    <w:rsid w:val="00F95A67"/>
    <w:rsid w:val="00F96EF3"/>
    <w:rsid w:val="00F9752E"/>
    <w:rsid w:val="00FA0914"/>
    <w:rsid w:val="00FA0B11"/>
    <w:rsid w:val="00FA0FD5"/>
    <w:rsid w:val="00FA184C"/>
    <w:rsid w:val="00FA1E6A"/>
    <w:rsid w:val="00FA2497"/>
    <w:rsid w:val="00FA2659"/>
    <w:rsid w:val="00FA333F"/>
    <w:rsid w:val="00FA3F0E"/>
    <w:rsid w:val="00FA471C"/>
    <w:rsid w:val="00FA610B"/>
    <w:rsid w:val="00FA6562"/>
    <w:rsid w:val="00FA67EE"/>
    <w:rsid w:val="00FA6811"/>
    <w:rsid w:val="00FA6EAD"/>
    <w:rsid w:val="00FB0B29"/>
    <w:rsid w:val="00FB18CC"/>
    <w:rsid w:val="00FB1995"/>
    <w:rsid w:val="00FB1D32"/>
    <w:rsid w:val="00FB20DF"/>
    <w:rsid w:val="00FB249B"/>
    <w:rsid w:val="00FB2761"/>
    <w:rsid w:val="00FB2E0F"/>
    <w:rsid w:val="00FB3693"/>
    <w:rsid w:val="00FB3932"/>
    <w:rsid w:val="00FB3B5B"/>
    <w:rsid w:val="00FB3B7D"/>
    <w:rsid w:val="00FB3BE2"/>
    <w:rsid w:val="00FB3FA2"/>
    <w:rsid w:val="00FB4A26"/>
    <w:rsid w:val="00FB4B4C"/>
    <w:rsid w:val="00FB4D1D"/>
    <w:rsid w:val="00FB5507"/>
    <w:rsid w:val="00FB5836"/>
    <w:rsid w:val="00FB5D32"/>
    <w:rsid w:val="00FB6C40"/>
    <w:rsid w:val="00FB6DD4"/>
    <w:rsid w:val="00FB71B9"/>
    <w:rsid w:val="00FC09FC"/>
    <w:rsid w:val="00FC16E2"/>
    <w:rsid w:val="00FC2F04"/>
    <w:rsid w:val="00FC363A"/>
    <w:rsid w:val="00FC3799"/>
    <w:rsid w:val="00FC4715"/>
    <w:rsid w:val="00FC48C1"/>
    <w:rsid w:val="00FC60F0"/>
    <w:rsid w:val="00FC6BCD"/>
    <w:rsid w:val="00FC78A8"/>
    <w:rsid w:val="00FD033F"/>
    <w:rsid w:val="00FD1CF1"/>
    <w:rsid w:val="00FD2EF7"/>
    <w:rsid w:val="00FD314C"/>
    <w:rsid w:val="00FD3DC9"/>
    <w:rsid w:val="00FD3F3D"/>
    <w:rsid w:val="00FD41B7"/>
    <w:rsid w:val="00FD45B1"/>
    <w:rsid w:val="00FD5B38"/>
    <w:rsid w:val="00FD6971"/>
    <w:rsid w:val="00FD69DF"/>
    <w:rsid w:val="00FD6F1B"/>
    <w:rsid w:val="00FD7546"/>
    <w:rsid w:val="00FD7F62"/>
    <w:rsid w:val="00FE1906"/>
    <w:rsid w:val="00FE2D5C"/>
    <w:rsid w:val="00FE49A4"/>
    <w:rsid w:val="00FE4DE2"/>
    <w:rsid w:val="00FE4EDB"/>
    <w:rsid w:val="00FE561C"/>
    <w:rsid w:val="00FE58E6"/>
    <w:rsid w:val="00FE5EB5"/>
    <w:rsid w:val="00FE6038"/>
    <w:rsid w:val="00FF0757"/>
    <w:rsid w:val="00FF0A72"/>
    <w:rsid w:val="00FF0F27"/>
    <w:rsid w:val="00FF133F"/>
    <w:rsid w:val="00FF190C"/>
    <w:rsid w:val="00FF2719"/>
    <w:rsid w:val="00FF2821"/>
    <w:rsid w:val="00FF2F02"/>
    <w:rsid w:val="00FF333A"/>
    <w:rsid w:val="00FF38F6"/>
    <w:rsid w:val="00FF3A6E"/>
    <w:rsid w:val="00FF43A2"/>
    <w:rsid w:val="00FF4FA1"/>
    <w:rsid w:val="00FF5CD8"/>
    <w:rsid w:val="00FF61E8"/>
    <w:rsid w:val="00FF63E1"/>
    <w:rsid w:val="00FF6F51"/>
    <w:rsid w:val="00FF7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360F"/>
  <w15:chartTrackingRefBased/>
  <w15:docId w15:val="{64D75FF6-A057-482E-822F-99278560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221"/>
  </w:style>
  <w:style w:type="paragraph" w:styleId="Heading1">
    <w:name w:val="heading 1"/>
    <w:basedOn w:val="Normal"/>
    <w:next w:val="Normal"/>
    <w:link w:val="Heading1Char"/>
    <w:qFormat/>
    <w:rsid w:val="00F11482"/>
    <w:pPr>
      <w:keepNext/>
      <w:widowControl w:val="0"/>
      <w:adjustRightInd w:val="0"/>
      <w:spacing w:before="240" w:after="60" w:line="360" w:lineRule="atLeast"/>
      <w:jc w:val="center"/>
      <w:textAlignment w:val="baseline"/>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F11482"/>
    <w:pPr>
      <w:keepNext/>
      <w:widowControl w:val="0"/>
      <w:adjustRightInd w:val="0"/>
      <w:spacing w:before="240" w:after="60" w:line="360" w:lineRule="atLeast"/>
      <w:jc w:val="both"/>
      <w:textAlignment w:val="baseline"/>
      <w:outlineLvl w:val="1"/>
    </w:pPr>
    <w:rPr>
      <w:rFonts w:ascii="Times New Roman" w:eastAsia="Times New Roman" w:hAnsi="Times New Roman" w:cs="Times New Roman"/>
      <w:b/>
      <w:sz w:val="28"/>
      <w:szCs w:val="20"/>
      <w:u w:val="single"/>
      <w:lang w:eastAsia="en-AU"/>
    </w:rPr>
  </w:style>
  <w:style w:type="paragraph" w:styleId="Heading3">
    <w:name w:val="heading 3"/>
    <w:basedOn w:val="Heading2"/>
    <w:next w:val="base-text-paragraph"/>
    <w:link w:val="Heading3Char"/>
    <w:qFormat/>
    <w:rsid w:val="00F11482"/>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F11482"/>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482"/>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F11482"/>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F11482"/>
    <w:rPr>
      <w:rFonts w:ascii="Times New Roman" w:eastAsia="Times New Roman" w:hAnsi="Times New Roman" w:cs="Times New Roman"/>
      <w:b/>
      <w:kern w:val="28"/>
      <w:sz w:val="24"/>
      <w:szCs w:val="20"/>
      <w:lang w:eastAsia="en-AU"/>
    </w:rPr>
  </w:style>
  <w:style w:type="character" w:customStyle="1" w:styleId="Heading4Char">
    <w:name w:val="Heading 4 Char"/>
    <w:basedOn w:val="DefaultParagraphFont"/>
    <w:link w:val="Heading4"/>
    <w:rsid w:val="00F11482"/>
    <w:rPr>
      <w:rFonts w:ascii="Times New Roman" w:eastAsia="Times New Roman" w:hAnsi="Times New Roman" w:cs="Times New Roman"/>
      <w:b/>
      <w:kern w:val="28"/>
      <w:sz w:val="24"/>
      <w:szCs w:val="20"/>
      <w:lang w:eastAsia="en-AU"/>
    </w:rPr>
  </w:style>
  <w:style w:type="numbering" w:customStyle="1" w:styleId="NoList1">
    <w:name w:val="No List1"/>
    <w:next w:val="NoList"/>
    <w:uiPriority w:val="99"/>
    <w:semiHidden/>
    <w:unhideWhenUsed/>
    <w:rsid w:val="00F11482"/>
  </w:style>
  <w:style w:type="paragraph" w:styleId="Title">
    <w:name w:val="Title"/>
    <w:basedOn w:val="Normal"/>
    <w:link w:val="TitleChar"/>
    <w:qFormat/>
    <w:rsid w:val="00F11482"/>
    <w:pPr>
      <w:widowControl w:val="0"/>
      <w:adjustRightInd w:val="0"/>
      <w:spacing w:before="120" w:after="120" w:line="360" w:lineRule="atLeast"/>
      <w:jc w:val="center"/>
      <w:textAlignment w:val="baseline"/>
    </w:pPr>
    <w:rPr>
      <w:rFonts w:ascii="Times New Roman" w:eastAsia="Times New Roman" w:hAnsi="Times New Roman" w:cs="Times New Roman"/>
      <w:b/>
      <w:sz w:val="24"/>
      <w:szCs w:val="20"/>
      <w:lang w:eastAsia="en-AU"/>
    </w:rPr>
  </w:style>
  <w:style w:type="character" w:customStyle="1" w:styleId="TitleChar">
    <w:name w:val="Title Char"/>
    <w:basedOn w:val="DefaultParagraphFont"/>
    <w:link w:val="Title"/>
    <w:rsid w:val="00F11482"/>
    <w:rPr>
      <w:rFonts w:ascii="Times New Roman" w:eastAsia="Times New Roman" w:hAnsi="Times New Roman" w:cs="Times New Roman"/>
      <w:b/>
      <w:sz w:val="24"/>
      <w:szCs w:val="20"/>
      <w:lang w:eastAsia="en-AU"/>
    </w:rPr>
  </w:style>
  <w:style w:type="paragraph" w:styleId="BodyText">
    <w:name w:val="Body Text"/>
    <w:basedOn w:val="Normal"/>
    <w:link w:val="BodyTextChar"/>
    <w:rsid w:val="00F11482"/>
    <w:pPr>
      <w:widowControl w:val="0"/>
      <w:adjustRightInd w:val="0"/>
      <w:spacing w:before="120" w:after="120" w:line="360" w:lineRule="atLeast"/>
      <w:jc w:val="both"/>
      <w:textAlignment w:val="baseline"/>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F11482"/>
    <w:rPr>
      <w:rFonts w:ascii="Times New Roman" w:eastAsia="Times New Roman" w:hAnsi="Times New Roman" w:cs="Times New Roman"/>
      <w:sz w:val="24"/>
      <w:szCs w:val="20"/>
      <w:lang w:eastAsia="en-AU"/>
    </w:rPr>
  </w:style>
  <w:style w:type="paragraph" w:styleId="BodyText2">
    <w:name w:val="Body Text 2"/>
    <w:basedOn w:val="Normal"/>
    <w:link w:val="BodyText2Char"/>
    <w:rsid w:val="00F11482"/>
    <w:pPr>
      <w:widowControl w:val="0"/>
      <w:adjustRightInd w:val="0"/>
      <w:spacing w:before="120" w:after="120" w:line="360" w:lineRule="atLeast"/>
      <w:jc w:val="both"/>
      <w:textAlignment w:val="baseline"/>
    </w:pPr>
    <w:rPr>
      <w:rFonts w:ascii="Times New Roman" w:eastAsia="Times New Roman" w:hAnsi="Times New Roman" w:cs="Times New Roman"/>
      <w:sz w:val="24"/>
      <w:szCs w:val="20"/>
      <w:u w:val="single"/>
      <w:lang w:eastAsia="en-AU"/>
    </w:rPr>
  </w:style>
  <w:style w:type="character" w:customStyle="1" w:styleId="BodyText2Char">
    <w:name w:val="Body Text 2 Char"/>
    <w:basedOn w:val="DefaultParagraphFont"/>
    <w:link w:val="BodyText2"/>
    <w:rsid w:val="00F11482"/>
    <w:rPr>
      <w:rFonts w:ascii="Times New Roman" w:eastAsia="Times New Roman" w:hAnsi="Times New Roman" w:cs="Times New Roman"/>
      <w:sz w:val="24"/>
      <w:szCs w:val="20"/>
      <w:u w:val="single"/>
      <w:lang w:eastAsia="en-AU"/>
    </w:rPr>
  </w:style>
  <w:style w:type="paragraph" w:customStyle="1" w:styleId="Dotpoint">
    <w:name w:val="Dot point"/>
    <w:basedOn w:val="Normal"/>
    <w:rsid w:val="00F11482"/>
    <w:pPr>
      <w:widowControl w:val="0"/>
      <w:numPr>
        <w:numId w:val="1"/>
      </w:numPr>
      <w:tabs>
        <w:tab w:val="clear" w:pos="360"/>
        <w:tab w:val="num" w:pos="709"/>
        <w:tab w:val="left" w:pos="851"/>
      </w:tabs>
      <w:adjustRightInd w:val="0"/>
      <w:spacing w:before="120" w:after="120" w:line="360" w:lineRule="atLeast"/>
      <w:ind w:left="709" w:hanging="283"/>
      <w:jc w:val="both"/>
      <w:textAlignment w:val="baseline"/>
    </w:pPr>
    <w:rPr>
      <w:rFonts w:ascii="Times New Roman" w:eastAsia="Times New Roman" w:hAnsi="Times New Roman" w:cs="Times New Roman"/>
      <w:sz w:val="24"/>
      <w:szCs w:val="20"/>
      <w:lang w:eastAsia="en-AU"/>
    </w:rPr>
  </w:style>
  <w:style w:type="paragraph" w:styleId="TableofAuthorities">
    <w:name w:val="table of authorities"/>
    <w:basedOn w:val="Normal"/>
    <w:next w:val="Normal"/>
    <w:semiHidden/>
    <w:rsid w:val="00F11482"/>
    <w:pPr>
      <w:widowControl w:val="0"/>
      <w:adjustRightInd w:val="0"/>
      <w:spacing w:before="120" w:after="120" w:line="360" w:lineRule="atLeast"/>
      <w:ind w:left="200" w:hanging="200"/>
      <w:jc w:val="both"/>
      <w:textAlignment w:val="baseline"/>
    </w:pPr>
    <w:rPr>
      <w:rFonts w:ascii="Times New Roman" w:eastAsia="Times New Roman" w:hAnsi="Times New Roman" w:cs="Times New Roman"/>
      <w:sz w:val="24"/>
      <w:szCs w:val="20"/>
      <w:lang w:eastAsia="en-AU"/>
    </w:rPr>
  </w:style>
  <w:style w:type="paragraph" w:customStyle="1" w:styleId="base-text-paragraph">
    <w:name w:val="base-text-paragraph"/>
    <w:rsid w:val="00F11482"/>
    <w:pPr>
      <w:widowControl w:val="0"/>
      <w:tabs>
        <w:tab w:val="left" w:pos="1987"/>
      </w:tabs>
      <w:adjustRightInd w:val="0"/>
      <w:spacing w:before="120" w:after="120" w:line="360" w:lineRule="atLeast"/>
      <w:ind w:left="1140"/>
      <w:jc w:val="both"/>
      <w:textAlignment w:val="baseline"/>
    </w:pPr>
    <w:rPr>
      <w:rFonts w:ascii="Times New Roman" w:eastAsia="Times New Roman" w:hAnsi="Times New Roman" w:cs="Times New Roman"/>
      <w:sz w:val="24"/>
      <w:szCs w:val="20"/>
      <w:lang w:eastAsia="en-AU"/>
    </w:rPr>
  </w:style>
  <w:style w:type="paragraph" w:customStyle="1" w:styleId="Default">
    <w:name w:val="Default"/>
    <w:link w:val="DefaultChar"/>
    <w:rsid w:val="00F11482"/>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eastAsia="en-AU"/>
    </w:rPr>
  </w:style>
  <w:style w:type="character" w:customStyle="1" w:styleId="Hyperlink1">
    <w:name w:val="Hyperlink1"/>
    <w:basedOn w:val="DefaultParagraphFont"/>
    <w:uiPriority w:val="99"/>
    <w:unhideWhenUsed/>
    <w:rsid w:val="00F11482"/>
    <w:rPr>
      <w:color w:val="0000FF"/>
      <w:u w:val="single"/>
    </w:rPr>
  </w:style>
  <w:style w:type="paragraph" w:customStyle="1" w:styleId="Bullet">
    <w:name w:val="Bullet"/>
    <w:basedOn w:val="Normal"/>
    <w:link w:val="BulletChar"/>
    <w:rsid w:val="00F11482"/>
    <w:pPr>
      <w:widowControl w:val="0"/>
      <w:numPr>
        <w:numId w:val="2"/>
      </w:numPr>
      <w:adjustRightInd w:val="0"/>
      <w:spacing w:before="240" w:after="120" w:line="360" w:lineRule="atLeast"/>
      <w:jc w:val="both"/>
      <w:textAlignment w:val="baseline"/>
    </w:pPr>
    <w:rPr>
      <w:rFonts w:ascii="Times New Roman" w:eastAsia="Times New Roman" w:hAnsi="Times New Roman" w:cs="Times New Roman"/>
      <w:color w:val="000000"/>
      <w:sz w:val="24"/>
      <w:szCs w:val="23"/>
      <w:lang w:eastAsia="en-AU"/>
    </w:rPr>
  </w:style>
  <w:style w:type="character" w:customStyle="1" w:styleId="DefaultChar">
    <w:name w:val="Default Char"/>
    <w:basedOn w:val="DefaultParagraphFont"/>
    <w:link w:val="Default"/>
    <w:rsid w:val="00F11482"/>
    <w:rPr>
      <w:rFonts w:ascii="Times New Roman" w:eastAsia="Times New Roman" w:hAnsi="Times New Roman" w:cs="Times New Roman"/>
      <w:color w:val="000000"/>
      <w:sz w:val="24"/>
      <w:szCs w:val="24"/>
      <w:lang w:eastAsia="en-AU"/>
    </w:rPr>
  </w:style>
  <w:style w:type="character" w:customStyle="1" w:styleId="BulletChar">
    <w:name w:val="Bullet Char"/>
    <w:basedOn w:val="DefaultChar"/>
    <w:link w:val="Bullet"/>
    <w:rsid w:val="00F11482"/>
    <w:rPr>
      <w:rFonts w:ascii="Times New Roman" w:eastAsia="Times New Roman" w:hAnsi="Times New Roman" w:cs="Times New Roman"/>
      <w:color w:val="000000"/>
      <w:sz w:val="24"/>
      <w:szCs w:val="23"/>
      <w:lang w:eastAsia="en-AU"/>
    </w:rPr>
  </w:style>
  <w:style w:type="paragraph" w:customStyle="1" w:styleId="Dash">
    <w:name w:val="Dash"/>
    <w:basedOn w:val="Normal"/>
    <w:link w:val="DashChar"/>
    <w:rsid w:val="00F11482"/>
    <w:pPr>
      <w:widowControl w:val="0"/>
      <w:numPr>
        <w:ilvl w:val="1"/>
        <w:numId w:val="2"/>
      </w:numPr>
      <w:adjustRightInd w:val="0"/>
      <w:spacing w:before="240" w:after="120" w:line="360" w:lineRule="atLeast"/>
      <w:jc w:val="both"/>
      <w:textAlignment w:val="baseline"/>
    </w:pPr>
    <w:rPr>
      <w:rFonts w:ascii="Times New Roman" w:eastAsia="Times New Roman" w:hAnsi="Times New Roman" w:cs="Times New Roman"/>
      <w:color w:val="000000"/>
      <w:sz w:val="24"/>
      <w:szCs w:val="23"/>
      <w:lang w:eastAsia="en-AU"/>
    </w:rPr>
  </w:style>
  <w:style w:type="character" w:customStyle="1" w:styleId="DashChar">
    <w:name w:val="Dash Char"/>
    <w:basedOn w:val="DefaultChar"/>
    <w:link w:val="Dash"/>
    <w:rsid w:val="00F11482"/>
    <w:rPr>
      <w:rFonts w:ascii="Times New Roman" w:eastAsia="Times New Roman" w:hAnsi="Times New Roman" w:cs="Times New Roman"/>
      <w:color w:val="000000"/>
      <w:sz w:val="24"/>
      <w:szCs w:val="23"/>
      <w:lang w:eastAsia="en-AU"/>
    </w:rPr>
  </w:style>
  <w:style w:type="paragraph" w:customStyle="1" w:styleId="DoubleDot">
    <w:name w:val="Double Dot"/>
    <w:basedOn w:val="Normal"/>
    <w:link w:val="DoubleDotChar"/>
    <w:rsid w:val="00F11482"/>
    <w:pPr>
      <w:widowControl w:val="0"/>
      <w:numPr>
        <w:ilvl w:val="2"/>
        <w:numId w:val="2"/>
      </w:numPr>
      <w:adjustRightInd w:val="0"/>
      <w:spacing w:before="240" w:after="120" w:line="360" w:lineRule="atLeast"/>
      <w:jc w:val="both"/>
      <w:textAlignment w:val="baseline"/>
    </w:pPr>
    <w:rPr>
      <w:rFonts w:ascii="Times New Roman" w:eastAsia="Times New Roman" w:hAnsi="Times New Roman" w:cs="Times New Roman"/>
      <w:color w:val="000000"/>
      <w:sz w:val="24"/>
      <w:szCs w:val="23"/>
      <w:lang w:eastAsia="en-AU"/>
    </w:rPr>
  </w:style>
  <w:style w:type="character" w:customStyle="1" w:styleId="DoubleDotChar">
    <w:name w:val="Double Dot Char"/>
    <w:basedOn w:val="DefaultChar"/>
    <w:link w:val="DoubleDot"/>
    <w:rsid w:val="00F11482"/>
    <w:rPr>
      <w:rFonts w:ascii="Times New Roman" w:eastAsia="Times New Roman" w:hAnsi="Times New Roman" w:cs="Times New Roman"/>
      <w:color w:val="000000"/>
      <w:sz w:val="24"/>
      <w:szCs w:val="23"/>
      <w:lang w:eastAsia="en-AU"/>
    </w:rPr>
  </w:style>
  <w:style w:type="character" w:styleId="PlaceholderText">
    <w:name w:val="Placeholder Text"/>
    <w:basedOn w:val="DefaultParagraphFont"/>
    <w:uiPriority w:val="99"/>
    <w:semiHidden/>
    <w:rsid w:val="00F11482"/>
    <w:rPr>
      <w:color w:val="808080"/>
    </w:rPr>
  </w:style>
  <w:style w:type="paragraph" w:styleId="BalloonText">
    <w:name w:val="Balloon Text"/>
    <w:basedOn w:val="Normal"/>
    <w:link w:val="BalloonTextChar"/>
    <w:uiPriority w:val="99"/>
    <w:semiHidden/>
    <w:unhideWhenUsed/>
    <w:rsid w:val="00F11482"/>
    <w:pPr>
      <w:widowControl w:val="0"/>
      <w:adjustRightInd w:val="0"/>
      <w:spacing w:after="0" w:line="360" w:lineRule="atLeast"/>
      <w:jc w:val="both"/>
      <w:textAlignment w:val="baseline"/>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F11482"/>
    <w:rPr>
      <w:rFonts w:ascii="Tahoma" w:eastAsia="Times New Roman" w:hAnsi="Tahoma" w:cs="Tahoma"/>
      <w:sz w:val="16"/>
      <w:szCs w:val="16"/>
      <w:lang w:eastAsia="en-AU"/>
    </w:rPr>
  </w:style>
  <w:style w:type="paragraph" w:styleId="Header">
    <w:name w:val="header"/>
    <w:basedOn w:val="Normal"/>
    <w:link w:val="HeaderChar"/>
    <w:uiPriority w:val="99"/>
    <w:unhideWhenUsed/>
    <w:rsid w:val="00F11482"/>
    <w:pPr>
      <w:widowControl w:val="0"/>
      <w:tabs>
        <w:tab w:val="center" w:pos="4513"/>
        <w:tab w:val="right" w:pos="9026"/>
      </w:tabs>
      <w:adjustRightInd w:val="0"/>
      <w:spacing w:after="0" w:line="360" w:lineRule="atLeast"/>
      <w:jc w:val="both"/>
      <w:textAlignment w:val="baseline"/>
    </w:pPr>
    <w:rPr>
      <w:rFonts w:ascii="Times New Roman" w:eastAsia="Times New Roman" w:hAnsi="Times New Roman" w:cs="Times New Roman"/>
      <w:sz w:val="24"/>
      <w:szCs w:val="20"/>
      <w:lang w:eastAsia="en-AU"/>
    </w:rPr>
  </w:style>
  <w:style w:type="character" w:customStyle="1" w:styleId="HeaderChar">
    <w:name w:val="Header Char"/>
    <w:basedOn w:val="DefaultParagraphFont"/>
    <w:link w:val="Header"/>
    <w:uiPriority w:val="99"/>
    <w:rsid w:val="00F11482"/>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11482"/>
    <w:pPr>
      <w:widowControl w:val="0"/>
      <w:tabs>
        <w:tab w:val="center" w:pos="4513"/>
        <w:tab w:val="right" w:pos="9026"/>
      </w:tabs>
      <w:adjustRightInd w:val="0"/>
      <w:spacing w:after="0" w:line="360" w:lineRule="atLeast"/>
      <w:jc w:val="both"/>
      <w:textAlignment w:val="baseline"/>
    </w:pPr>
    <w:rPr>
      <w:rFonts w:ascii="Times New Roman" w:eastAsia="Times New Roman" w:hAnsi="Times New Roman" w:cs="Times New Roman"/>
      <w:sz w:val="24"/>
      <w:szCs w:val="20"/>
      <w:lang w:eastAsia="en-AU"/>
    </w:rPr>
  </w:style>
  <w:style w:type="character" w:customStyle="1" w:styleId="FooterChar">
    <w:name w:val="Footer Char"/>
    <w:basedOn w:val="DefaultParagraphFont"/>
    <w:link w:val="Footer"/>
    <w:uiPriority w:val="99"/>
    <w:rsid w:val="00F1148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F11482"/>
    <w:rPr>
      <w:sz w:val="16"/>
      <w:szCs w:val="16"/>
    </w:rPr>
  </w:style>
  <w:style w:type="paragraph" w:styleId="CommentText">
    <w:name w:val="annotation text"/>
    <w:basedOn w:val="Normal"/>
    <w:link w:val="CommentTextChar"/>
    <w:uiPriority w:val="99"/>
    <w:semiHidden/>
    <w:unhideWhenUsed/>
    <w:rsid w:val="00F11482"/>
    <w:pPr>
      <w:widowControl w:val="0"/>
      <w:adjustRightInd w:val="0"/>
      <w:spacing w:before="120" w:after="120" w:line="360" w:lineRule="atLeast"/>
      <w:jc w:val="both"/>
      <w:textAlignment w:val="baseline"/>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F1148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11482"/>
    <w:rPr>
      <w:b/>
      <w:bCs/>
    </w:rPr>
  </w:style>
  <w:style w:type="character" w:customStyle="1" w:styleId="CommentSubjectChar">
    <w:name w:val="Comment Subject Char"/>
    <w:basedOn w:val="CommentTextChar"/>
    <w:link w:val="CommentSubject"/>
    <w:uiPriority w:val="99"/>
    <w:semiHidden/>
    <w:rsid w:val="00F11482"/>
    <w:rPr>
      <w:rFonts w:ascii="Times New Roman" w:eastAsia="Times New Roman" w:hAnsi="Times New Roman" w:cs="Times New Roman"/>
      <w:b/>
      <w:bCs/>
      <w:sz w:val="20"/>
      <w:szCs w:val="20"/>
      <w:lang w:eastAsia="en-AU"/>
    </w:rPr>
  </w:style>
  <w:style w:type="character" w:customStyle="1" w:styleId="FollowedHyperlink1">
    <w:name w:val="FollowedHyperlink1"/>
    <w:basedOn w:val="DefaultParagraphFont"/>
    <w:uiPriority w:val="99"/>
    <w:semiHidden/>
    <w:unhideWhenUsed/>
    <w:rsid w:val="00F11482"/>
    <w:rPr>
      <w:color w:val="800080"/>
      <w:u w:val="single"/>
    </w:rPr>
  </w:style>
  <w:style w:type="character" w:styleId="Hyperlink">
    <w:name w:val="Hyperlink"/>
    <w:basedOn w:val="DefaultParagraphFont"/>
    <w:uiPriority w:val="99"/>
    <w:unhideWhenUsed/>
    <w:rsid w:val="00F11482"/>
    <w:rPr>
      <w:color w:val="0563C1" w:themeColor="hyperlink"/>
      <w:u w:val="single"/>
    </w:rPr>
  </w:style>
  <w:style w:type="character" w:styleId="FollowedHyperlink">
    <w:name w:val="FollowedHyperlink"/>
    <w:basedOn w:val="DefaultParagraphFont"/>
    <w:uiPriority w:val="99"/>
    <w:semiHidden/>
    <w:unhideWhenUsed/>
    <w:rsid w:val="00F11482"/>
    <w:rPr>
      <w:color w:val="954F72" w:themeColor="followedHyperlink"/>
      <w:u w:val="single"/>
    </w:rPr>
  </w:style>
  <w:style w:type="paragraph" w:customStyle="1" w:styleId="exampledotpoint1">
    <w:name w:val="example dot point 1"/>
    <w:basedOn w:val="Normal"/>
    <w:rsid w:val="00CA5DBB"/>
    <w:pPr>
      <w:tabs>
        <w:tab w:val="num" w:pos="2517"/>
      </w:tabs>
      <w:spacing w:before="120" w:after="120" w:line="240" w:lineRule="auto"/>
      <w:ind w:left="2517" w:hanging="357"/>
    </w:pPr>
    <w:rPr>
      <w:rFonts w:ascii="Times New Roman" w:eastAsia="Times New Roman" w:hAnsi="Times New Roman" w:cs="Times New Roman"/>
      <w:sz w:val="20"/>
      <w:szCs w:val="20"/>
      <w:lang w:eastAsia="en-AU"/>
    </w:rPr>
  </w:style>
  <w:style w:type="paragraph" w:customStyle="1" w:styleId="exampledotpoint2">
    <w:name w:val="example dot point 2"/>
    <w:basedOn w:val="Normal"/>
    <w:rsid w:val="00CA5DBB"/>
    <w:pPr>
      <w:tabs>
        <w:tab w:val="num" w:pos="3237"/>
      </w:tabs>
      <w:spacing w:before="120" w:after="120" w:line="240" w:lineRule="auto"/>
      <w:ind w:left="3237" w:hanging="357"/>
    </w:pPr>
    <w:rPr>
      <w:rFonts w:ascii="Times New Roman" w:eastAsia="Times New Roman" w:hAnsi="Times New Roman" w:cs="Times New Roman"/>
      <w:sz w:val="20"/>
      <w:szCs w:val="20"/>
      <w:lang w:eastAsia="en-AU"/>
    </w:rPr>
  </w:style>
  <w:style w:type="paragraph" w:customStyle="1" w:styleId="ActHead5">
    <w:name w:val="ActHead 5"/>
    <w:aliases w:val="s"/>
    <w:basedOn w:val="Normal"/>
    <w:next w:val="Normal"/>
    <w:link w:val="ActHead5Char"/>
    <w:qFormat/>
    <w:rsid w:val="001A0CA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1A0CA6"/>
  </w:style>
  <w:style w:type="character" w:customStyle="1" w:styleId="ActHead5Char">
    <w:name w:val="ActHead 5 Char"/>
    <w:aliases w:val="s Char"/>
    <w:link w:val="ActHead5"/>
    <w:rsid w:val="001A0CA6"/>
    <w:rPr>
      <w:rFonts w:ascii="Times New Roman" w:eastAsia="Times New Roman" w:hAnsi="Times New Roman" w:cs="Times New Roman"/>
      <w:b/>
      <w:kern w:val="28"/>
      <w:sz w:val="24"/>
      <w:szCs w:val="20"/>
      <w:lang w:eastAsia="en-AU"/>
    </w:rPr>
  </w:style>
  <w:style w:type="paragraph" w:styleId="ListParagraph">
    <w:name w:val="List Paragraph"/>
    <w:basedOn w:val="Normal"/>
    <w:uiPriority w:val="34"/>
    <w:qFormat/>
    <w:rsid w:val="002D7644"/>
    <w:pPr>
      <w:spacing w:after="0" w:line="240" w:lineRule="auto"/>
      <w:ind w:left="720"/>
    </w:pPr>
    <w:rPr>
      <w:rFonts w:ascii="Calibri" w:hAnsi="Calibri" w:cs="Calibri"/>
    </w:rPr>
  </w:style>
  <w:style w:type="paragraph" w:styleId="Revision">
    <w:name w:val="Revision"/>
    <w:hidden/>
    <w:uiPriority w:val="99"/>
    <w:semiHidden/>
    <w:rsid w:val="00F60460"/>
    <w:pPr>
      <w:spacing w:after="0" w:line="240" w:lineRule="auto"/>
    </w:pPr>
  </w:style>
  <w:style w:type="character" w:customStyle="1" w:styleId="actor">
    <w:name w:val="actor"/>
    <w:basedOn w:val="DefaultParagraphFont"/>
    <w:rsid w:val="00A157F6"/>
  </w:style>
  <w:style w:type="character" w:customStyle="1" w:styleId="time">
    <w:name w:val="time"/>
    <w:basedOn w:val="DefaultParagraphFont"/>
    <w:rsid w:val="00A1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544278">
      <w:bodyDiv w:val="1"/>
      <w:marLeft w:val="0"/>
      <w:marRight w:val="0"/>
      <w:marTop w:val="0"/>
      <w:marBottom w:val="0"/>
      <w:divBdr>
        <w:top w:val="none" w:sz="0" w:space="0" w:color="auto"/>
        <w:left w:val="none" w:sz="0" w:space="0" w:color="auto"/>
        <w:bottom w:val="none" w:sz="0" w:space="0" w:color="auto"/>
        <w:right w:val="none" w:sz="0" w:space="0" w:color="auto"/>
      </w:divBdr>
    </w:div>
    <w:div w:id="1404526180">
      <w:bodyDiv w:val="1"/>
      <w:marLeft w:val="0"/>
      <w:marRight w:val="0"/>
      <w:marTop w:val="0"/>
      <w:marBottom w:val="0"/>
      <w:divBdr>
        <w:top w:val="none" w:sz="0" w:space="0" w:color="auto"/>
        <w:left w:val="none" w:sz="0" w:space="0" w:color="auto"/>
        <w:bottom w:val="none" w:sz="0" w:space="0" w:color="auto"/>
        <w:right w:val="none" w:sz="0" w:space="0" w:color="auto"/>
      </w:divBdr>
    </w:div>
    <w:div w:id="1406873232">
      <w:bodyDiv w:val="1"/>
      <w:marLeft w:val="0"/>
      <w:marRight w:val="0"/>
      <w:marTop w:val="0"/>
      <w:marBottom w:val="0"/>
      <w:divBdr>
        <w:top w:val="none" w:sz="0" w:space="0" w:color="auto"/>
        <w:left w:val="none" w:sz="0" w:space="0" w:color="auto"/>
        <w:bottom w:val="none" w:sz="0" w:space="0" w:color="auto"/>
        <w:right w:val="none" w:sz="0" w:space="0" w:color="auto"/>
      </w:divBdr>
    </w:div>
    <w:div w:id="1410545393">
      <w:bodyDiv w:val="1"/>
      <w:marLeft w:val="0"/>
      <w:marRight w:val="0"/>
      <w:marTop w:val="0"/>
      <w:marBottom w:val="0"/>
      <w:divBdr>
        <w:top w:val="none" w:sz="0" w:space="0" w:color="auto"/>
        <w:left w:val="none" w:sz="0" w:space="0" w:color="auto"/>
        <w:bottom w:val="none" w:sz="0" w:space="0" w:color="auto"/>
        <w:right w:val="none" w:sz="0" w:space="0" w:color="auto"/>
      </w:divBdr>
      <w:divsChild>
        <w:div w:id="1752850944">
          <w:marLeft w:val="0"/>
          <w:marRight w:val="0"/>
          <w:marTop w:val="0"/>
          <w:marBottom w:val="0"/>
          <w:divBdr>
            <w:top w:val="none" w:sz="0" w:space="0" w:color="auto"/>
            <w:left w:val="none" w:sz="0" w:space="0" w:color="auto"/>
            <w:bottom w:val="none" w:sz="0" w:space="0" w:color="auto"/>
            <w:right w:val="none" w:sz="0" w:space="0" w:color="auto"/>
          </w:divBdr>
          <w:divsChild>
            <w:div w:id="1273709108">
              <w:marLeft w:val="0"/>
              <w:marRight w:val="0"/>
              <w:marTop w:val="240"/>
              <w:marBottom w:val="0"/>
              <w:divBdr>
                <w:top w:val="none" w:sz="0" w:space="0" w:color="auto"/>
                <w:left w:val="none" w:sz="0" w:space="0" w:color="auto"/>
                <w:bottom w:val="none" w:sz="0" w:space="0" w:color="auto"/>
                <w:right w:val="none" w:sz="0" w:space="0" w:color="auto"/>
              </w:divBdr>
              <w:divsChild>
                <w:div w:id="1282959836">
                  <w:marLeft w:val="120"/>
                  <w:marRight w:val="0"/>
                  <w:marTop w:val="0"/>
                  <w:marBottom w:val="0"/>
                  <w:divBdr>
                    <w:top w:val="none" w:sz="0" w:space="0" w:color="auto"/>
                    <w:left w:val="none" w:sz="0" w:space="0" w:color="auto"/>
                    <w:bottom w:val="none" w:sz="0" w:space="0" w:color="auto"/>
                    <w:right w:val="none" w:sz="0" w:space="0" w:color="auto"/>
                  </w:divBdr>
                </w:div>
              </w:divsChild>
            </w:div>
            <w:div w:id="257493279">
              <w:marLeft w:val="600"/>
              <w:marRight w:val="600"/>
              <w:marTop w:val="0"/>
              <w:marBottom w:val="0"/>
              <w:divBdr>
                <w:top w:val="none" w:sz="0" w:space="0" w:color="auto"/>
                <w:left w:val="none" w:sz="0" w:space="0" w:color="auto"/>
                <w:bottom w:val="none" w:sz="0" w:space="0" w:color="auto"/>
                <w:right w:val="none" w:sz="0" w:space="0" w:color="auto"/>
              </w:divBdr>
              <w:divsChild>
                <w:div w:id="13593133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33377598">
          <w:marLeft w:val="0"/>
          <w:marRight w:val="0"/>
          <w:marTop w:val="0"/>
          <w:marBottom w:val="0"/>
          <w:divBdr>
            <w:top w:val="none" w:sz="0" w:space="0" w:color="auto"/>
            <w:left w:val="none" w:sz="0" w:space="0" w:color="auto"/>
            <w:bottom w:val="none" w:sz="0" w:space="0" w:color="auto"/>
            <w:right w:val="none" w:sz="0" w:space="0" w:color="auto"/>
          </w:divBdr>
          <w:divsChild>
            <w:div w:id="7221370">
              <w:marLeft w:val="600"/>
              <w:marRight w:val="600"/>
              <w:marTop w:val="0"/>
              <w:marBottom w:val="0"/>
              <w:divBdr>
                <w:top w:val="none" w:sz="0" w:space="0" w:color="auto"/>
                <w:left w:val="none" w:sz="0" w:space="0" w:color="auto"/>
                <w:bottom w:val="none" w:sz="0" w:space="0" w:color="auto"/>
                <w:right w:val="none" w:sz="0" w:space="0" w:color="auto"/>
              </w:divBdr>
              <w:divsChild>
                <w:div w:id="126164124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76932901">
          <w:marLeft w:val="0"/>
          <w:marRight w:val="0"/>
          <w:marTop w:val="0"/>
          <w:marBottom w:val="0"/>
          <w:divBdr>
            <w:top w:val="none" w:sz="0" w:space="0" w:color="auto"/>
            <w:left w:val="none" w:sz="0" w:space="0" w:color="auto"/>
            <w:bottom w:val="none" w:sz="0" w:space="0" w:color="auto"/>
            <w:right w:val="none" w:sz="0" w:space="0" w:color="auto"/>
          </w:divBdr>
          <w:divsChild>
            <w:div w:id="1022627443">
              <w:marLeft w:val="600"/>
              <w:marRight w:val="600"/>
              <w:marTop w:val="0"/>
              <w:marBottom w:val="0"/>
              <w:divBdr>
                <w:top w:val="none" w:sz="0" w:space="0" w:color="auto"/>
                <w:left w:val="none" w:sz="0" w:space="0" w:color="auto"/>
                <w:bottom w:val="none" w:sz="0" w:space="0" w:color="auto"/>
                <w:right w:val="none" w:sz="0" w:space="0" w:color="auto"/>
              </w:divBdr>
              <w:divsChild>
                <w:div w:id="20933930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84657028">
          <w:marLeft w:val="0"/>
          <w:marRight w:val="0"/>
          <w:marTop w:val="0"/>
          <w:marBottom w:val="0"/>
          <w:divBdr>
            <w:top w:val="none" w:sz="0" w:space="0" w:color="auto"/>
            <w:left w:val="none" w:sz="0" w:space="0" w:color="auto"/>
            <w:bottom w:val="none" w:sz="0" w:space="0" w:color="auto"/>
            <w:right w:val="none" w:sz="0" w:space="0" w:color="auto"/>
          </w:divBdr>
          <w:divsChild>
            <w:div w:id="815021">
              <w:marLeft w:val="600"/>
              <w:marRight w:val="600"/>
              <w:marTop w:val="0"/>
              <w:marBottom w:val="0"/>
              <w:divBdr>
                <w:top w:val="none" w:sz="0" w:space="0" w:color="auto"/>
                <w:left w:val="none" w:sz="0" w:space="0" w:color="auto"/>
                <w:bottom w:val="none" w:sz="0" w:space="0" w:color="auto"/>
                <w:right w:val="none" w:sz="0" w:space="0" w:color="auto"/>
              </w:divBdr>
              <w:divsChild>
                <w:div w:id="1595395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06323172">
      <w:bodyDiv w:val="1"/>
      <w:marLeft w:val="0"/>
      <w:marRight w:val="0"/>
      <w:marTop w:val="0"/>
      <w:marBottom w:val="0"/>
      <w:divBdr>
        <w:top w:val="none" w:sz="0" w:space="0" w:color="auto"/>
        <w:left w:val="none" w:sz="0" w:space="0" w:color="auto"/>
        <w:bottom w:val="none" w:sz="0" w:space="0" w:color="auto"/>
        <w:right w:val="none" w:sz="0" w:space="0" w:color="auto"/>
      </w:divBdr>
    </w:div>
    <w:div w:id="19415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202960C1344E758B54BBF057742139"/>
        <w:category>
          <w:name w:val="General"/>
          <w:gallery w:val="placeholder"/>
        </w:category>
        <w:types>
          <w:type w:val="bbPlcHdr"/>
        </w:types>
        <w:behaviors>
          <w:behavior w:val="content"/>
        </w:behaviors>
        <w:guid w:val="{44A9FA45-90A5-4127-B3AF-124E65B50849}"/>
      </w:docPartPr>
      <w:docPartBody>
        <w:p w:rsidR="00AB24D9" w:rsidRDefault="00AB24D9" w:rsidP="00AB24D9">
          <w:pPr>
            <w:pStyle w:val="50202960C1344E758B54BBF057742139"/>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4D9"/>
    <w:rsid w:val="00020C1D"/>
    <w:rsid w:val="00091F6E"/>
    <w:rsid w:val="001C7E1A"/>
    <w:rsid w:val="00243026"/>
    <w:rsid w:val="00251C4C"/>
    <w:rsid w:val="002A6A85"/>
    <w:rsid w:val="0030457A"/>
    <w:rsid w:val="0048482B"/>
    <w:rsid w:val="004C0910"/>
    <w:rsid w:val="0059189A"/>
    <w:rsid w:val="00644886"/>
    <w:rsid w:val="006522E3"/>
    <w:rsid w:val="006C1B79"/>
    <w:rsid w:val="007E336B"/>
    <w:rsid w:val="007E39B1"/>
    <w:rsid w:val="008B212B"/>
    <w:rsid w:val="008D4C33"/>
    <w:rsid w:val="008E3B9A"/>
    <w:rsid w:val="00AB24D9"/>
    <w:rsid w:val="00C82E3B"/>
    <w:rsid w:val="00DE34EC"/>
    <w:rsid w:val="00E31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4D9"/>
    <w:rPr>
      <w:color w:val="808080"/>
    </w:rPr>
  </w:style>
  <w:style w:type="paragraph" w:customStyle="1" w:styleId="50202960C1344E758B54BBF057742139">
    <w:name w:val="50202960C1344E758B54BBF057742139"/>
    <w:rsid w:val="00AB2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2021RG-111-20926</_dlc_DocId>
    <_dlc_DocIdUrl xmlns="0f563589-9cf9-4143-b1eb-fb0534803d38">
      <Url>http://tweb/sites/rg/ldp/lmu/_layouts/15/DocIdRedir.aspx?ID=2021RG-111-20926</Url>
      <Description>2021RG-111-20926</Description>
    </_dlc_DocIdUrl>
    <i6880fa62fd2465ea894b48b45824d1c xmlns="9f7bc583-7cbe-45b9-a2bd-8bbb6543b37e">
      <Terms xmlns="http://schemas.microsoft.com/office/infopath/2007/PartnerControls"/>
    </i6880fa62fd2465ea894b48b45824d1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9799" ma:contentTypeDescription=" " ma:contentTypeScope="" ma:versionID="f95ec65b4baf49666de2c2108841c3bb">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C3A4D639-4234-4E93-93E2-D57303B17AAA}">
  <ds:schemaRefs>
    <ds:schemaRef ds:uri="office.server.policy"/>
  </ds:schemaRefs>
</ds:datastoreItem>
</file>

<file path=customXml/itemProps2.xml><?xml version="1.0" encoding="utf-8"?>
<ds:datastoreItem xmlns:ds="http://schemas.openxmlformats.org/officeDocument/2006/customXml" ds:itemID="{E95DA7DC-23B9-45E3-9D57-BD9E9BB904BC}">
  <ds:schemaRefs>
    <ds:schemaRef ds:uri="http://schemas.openxmlformats.org/officeDocument/2006/bibliography"/>
  </ds:schemaRefs>
</ds:datastoreItem>
</file>

<file path=customXml/itemProps3.xml><?xml version="1.0" encoding="utf-8"?>
<ds:datastoreItem xmlns:ds="http://schemas.openxmlformats.org/officeDocument/2006/customXml" ds:itemID="{F2E6F6C2-3B3C-47E7-BD7A-88CC9F207ECD}">
  <ds:schemaRefs>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E5C32B50-E283-4518-841B-4A64A70F5002}">
  <ds:schemaRefs>
    <ds:schemaRef ds:uri="http://schemas.microsoft.com/sharepoint/v3/contenttype/forms"/>
  </ds:schemaRefs>
</ds:datastoreItem>
</file>

<file path=customXml/itemProps5.xml><?xml version="1.0" encoding="utf-8"?>
<ds:datastoreItem xmlns:ds="http://schemas.openxmlformats.org/officeDocument/2006/customXml" ds:itemID="{7A8F2E0C-8868-4C77-B9B2-6983F9CFA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E0EDA3-1489-4F5B-8942-0BCCCACD65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20</Pages>
  <Words>7850</Words>
  <Characters>44751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52497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210802_ES_Underperformance_ExCo</dc:title>
  <dc:subject/>
  <dc:creator>Ting, Ruby</dc:creator>
  <cp:keywords/>
  <dc:description/>
  <cp:lastModifiedBy>Cooper, Faith</cp:lastModifiedBy>
  <cp:revision>123</cp:revision>
  <cp:lastPrinted>2021-07-30T07:55:00Z</cp:lastPrinted>
  <dcterms:created xsi:type="dcterms:W3CDTF">2021-07-14T06:04:00Z</dcterms:created>
  <dcterms:modified xsi:type="dcterms:W3CDTF">2021-08-03T04:50:00Z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Topic">
    <vt:lpwstr/>
  </property>
  <property fmtid="{D5CDD505-2E9C-101B-9397-08002B2CF9AE}" pid="4" name="TSYRecordClass">
    <vt:lpwstr>7;#TSY RA-9236 - Retain as national archives|c6a225b4-6b93-473e-bcbb-6bc6ab25b623</vt:lpwstr>
  </property>
  <property fmtid="{D5CDD505-2E9C-101B-9397-08002B2CF9AE}" pid="5" name="_dlc_DocIdItemGuid">
    <vt:lpwstr>8d6b0c27-7d82-4da2-8cea-6402fb6eba4f</vt:lpwstr>
  </property>
  <property fmtid="{D5CDD505-2E9C-101B-9397-08002B2CF9AE}" pid="6" name="Status">
    <vt:lpwstr>;#Current;#</vt:lpwstr>
  </property>
  <property fmtid="{D5CDD505-2E9C-101B-9397-08002B2CF9AE}" pid="7" name="Responsible LDO Officer">
    <vt:lpwstr/>
  </property>
  <property fmtid="{D5CDD505-2E9C-101B-9397-08002B2CF9AE}" pid="8" name="Order">
    <vt:r8>2091200</vt:r8>
  </property>
  <property fmtid="{D5CDD505-2E9C-101B-9397-08002B2CF9AE}" pid="9" name="oae75e2df9d943898d59cb03ca0993c5">
    <vt:lpwstr/>
  </property>
  <property fmtid="{D5CDD505-2E9C-101B-9397-08002B2CF9AE}" pid="10" name="Topics">
    <vt:lpwstr/>
  </property>
</Properties>
</file>