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39CA" w14:textId="77777777" w:rsidR="00DA148C" w:rsidRPr="00687FE3" w:rsidRDefault="00DA148C" w:rsidP="00DA148C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r w:rsidRPr="00687FE3">
        <w:rPr>
          <w:rFonts w:asciiTheme="minorHAnsi" w:hAnsiTheme="minorHAnsi" w:cstheme="minorHAnsi"/>
          <w:b/>
          <w:lang w:val="en-GB"/>
        </w:rPr>
        <w:t>EXPLANATORY STATEMENT</w:t>
      </w:r>
    </w:p>
    <w:p w14:paraId="5776B1FA" w14:textId="77777777" w:rsidR="00DA148C" w:rsidRPr="00687FE3" w:rsidRDefault="00DA148C" w:rsidP="00DA148C">
      <w:pPr>
        <w:spacing w:after="120"/>
        <w:jc w:val="center"/>
        <w:rPr>
          <w:i/>
        </w:rPr>
      </w:pPr>
      <w:r w:rsidRPr="00687FE3">
        <w:rPr>
          <w:i/>
        </w:rPr>
        <w:t>Consumer Goods (</w:t>
      </w:r>
      <w:r>
        <w:rPr>
          <w:i/>
        </w:rPr>
        <w:t>Projectile Toys) Amendment Safety Standard 2021</w:t>
      </w:r>
    </w:p>
    <w:p w14:paraId="7F96BB7A" w14:textId="77777777" w:rsidR="00DA148C" w:rsidRPr="00474D21" w:rsidRDefault="00DA148C" w:rsidP="00DA148C">
      <w:pPr>
        <w:spacing w:after="120"/>
        <w:rPr>
          <w:b/>
        </w:rPr>
      </w:pPr>
      <w:r w:rsidRPr="00474D21">
        <w:rPr>
          <w:b/>
        </w:rPr>
        <w:t>Overview</w:t>
      </w:r>
    </w:p>
    <w:p w14:paraId="54A33A98" w14:textId="28E968F2" w:rsidR="00DA148C" w:rsidRDefault="00DA148C" w:rsidP="00DA148C">
      <w:pPr>
        <w:spacing w:after="120"/>
        <w:rPr>
          <w:rFonts w:cs="Arial"/>
          <w:lang w:val="en-GB"/>
        </w:rPr>
      </w:pPr>
      <w:r w:rsidRPr="002F6A17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>Assistant Treasurer</w:t>
      </w:r>
      <w:r w:rsidR="00443DC6">
        <w:rPr>
          <w:rFonts w:cs="Arial"/>
          <w:lang w:val="en-GB"/>
        </w:rPr>
        <w:t>, Minister for Housing and Minister for Homelessness, Social and Community Housing</w:t>
      </w:r>
      <w:r>
        <w:rPr>
          <w:rFonts w:cs="Arial"/>
          <w:lang w:val="en-GB"/>
        </w:rPr>
        <w:t xml:space="preserve"> </w:t>
      </w:r>
      <w:r w:rsidRPr="002F6A17">
        <w:rPr>
          <w:rFonts w:cs="Arial"/>
          <w:lang w:val="en-GB"/>
        </w:rPr>
        <w:t xml:space="preserve">(the </w:t>
      </w:r>
      <w:r w:rsidRPr="00C0654D">
        <w:rPr>
          <w:rFonts w:cs="Arial"/>
          <w:b/>
          <w:lang w:val="en-GB"/>
        </w:rPr>
        <w:t>Minister</w:t>
      </w:r>
      <w:r w:rsidRPr="002F6A17">
        <w:rPr>
          <w:rFonts w:cs="Arial"/>
          <w:lang w:val="en-GB"/>
        </w:rPr>
        <w:t xml:space="preserve">) has </w:t>
      </w:r>
      <w:r>
        <w:rPr>
          <w:rFonts w:cs="Arial"/>
          <w:lang w:val="en-GB"/>
        </w:rPr>
        <w:t xml:space="preserve">amended the </w:t>
      </w:r>
      <w:r w:rsidRPr="002F6A17">
        <w:rPr>
          <w:rFonts w:cs="Arial"/>
          <w:lang w:val="en-GB"/>
        </w:rPr>
        <w:t>safety standard</w:t>
      </w:r>
      <w:r w:rsidR="00C54F6F">
        <w:rPr>
          <w:rFonts w:cs="Arial"/>
          <w:lang w:val="en-GB"/>
        </w:rPr>
        <w:t xml:space="preserve"> </w:t>
      </w:r>
      <w:r w:rsidRPr="002F6A17">
        <w:rPr>
          <w:rFonts w:cs="Arial"/>
          <w:lang w:val="en-GB"/>
        </w:rPr>
        <w:t>for</w:t>
      </w:r>
      <w:r w:rsidR="000A796B">
        <w:rPr>
          <w:rFonts w:cs="Arial"/>
          <w:lang w:val="en-GB"/>
        </w:rPr>
        <w:t xml:space="preserve"> projectile toys</w:t>
      </w:r>
      <w:r>
        <w:rPr>
          <w:rFonts w:cs="Arial"/>
          <w:lang w:val="en-GB"/>
        </w:rPr>
        <w:t xml:space="preserve">, </w:t>
      </w:r>
      <w:r w:rsidRPr="002F6A17">
        <w:rPr>
          <w:rFonts w:cs="Arial"/>
          <w:lang w:val="en-GB"/>
        </w:rPr>
        <w:t>pursuant to section 104</w:t>
      </w:r>
      <w:r>
        <w:rPr>
          <w:rFonts w:cs="Arial"/>
          <w:lang w:val="en-GB"/>
        </w:rPr>
        <w:t xml:space="preserve"> </w:t>
      </w:r>
      <w:r w:rsidRPr="002F6A17">
        <w:rPr>
          <w:rFonts w:cs="Arial"/>
          <w:lang w:val="en-GB"/>
        </w:rPr>
        <w:t xml:space="preserve">of the Australian Consumer Law, which is Schedule 2 of the </w:t>
      </w:r>
      <w:r w:rsidRPr="002F6A17">
        <w:rPr>
          <w:rFonts w:cs="Arial"/>
          <w:i/>
          <w:lang w:val="en-GB"/>
        </w:rPr>
        <w:t xml:space="preserve">Competition and Consumer Act 2010 </w:t>
      </w:r>
      <w:r w:rsidRPr="00C0654D">
        <w:rPr>
          <w:rFonts w:cs="Arial"/>
          <w:lang w:val="en-GB"/>
        </w:rPr>
        <w:t>(Cth)</w:t>
      </w:r>
      <w:r w:rsidRPr="00C94E4B">
        <w:rPr>
          <w:rFonts w:cs="Arial"/>
          <w:lang w:val="en-GB"/>
        </w:rPr>
        <w:t>.</w:t>
      </w:r>
    </w:p>
    <w:p w14:paraId="150BBC0D" w14:textId="4B600B47" w:rsidR="00DA148C" w:rsidRDefault="00DA148C" w:rsidP="00DA148C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 w:rsidRPr="00687FE3">
        <w:rPr>
          <w:rFonts w:cs="Arial"/>
        </w:rPr>
        <w:t>Th</w:t>
      </w:r>
      <w:r>
        <w:rPr>
          <w:rFonts w:cs="Arial"/>
        </w:rPr>
        <w:t xml:space="preserve">is instrument amends the </w:t>
      </w:r>
      <w:r w:rsidRPr="00687FE3">
        <w:rPr>
          <w:rFonts w:cs="Arial"/>
          <w:i/>
        </w:rPr>
        <w:t>Consumer Goods (</w:t>
      </w:r>
      <w:r w:rsidR="00462462">
        <w:rPr>
          <w:rFonts w:cs="Arial"/>
          <w:i/>
        </w:rPr>
        <w:t>Projectile Toys) Safety Standard 2020</w:t>
      </w:r>
      <w:r w:rsidR="00443DC6">
        <w:rPr>
          <w:rFonts w:cs="Arial"/>
          <w:i/>
        </w:rPr>
        <w:t xml:space="preserve"> </w:t>
      </w:r>
      <w:r w:rsidR="00443DC6" w:rsidRPr="00C0654D">
        <w:rPr>
          <w:rFonts w:cs="Arial"/>
        </w:rPr>
        <w:t xml:space="preserve">(the </w:t>
      </w:r>
      <w:r w:rsidR="00443DC6" w:rsidRPr="00C0654D">
        <w:rPr>
          <w:rFonts w:cs="Arial"/>
          <w:b/>
        </w:rPr>
        <w:t>safety standard</w:t>
      </w:r>
      <w:r w:rsidR="00443DC6" w:rsidRPr="00C0654D">
        <w:rPr>
          <w:rFonts w:cs="Arial"/>
        </w:rPr>
        <w:t>)</w:t>
      </w:r>
      <w:r w:rsidRPr="00C0654D">
        <w:rPr>
          <w:rFonts w:cs="Arial"/>
        </w:rPr>
        <w:t>.</w:t>
      </w:r>
    </w:p>
    <w:p w14:paraId="6B24D1AB" w14:textId="593604DA" w:rsidR="00443DC6" w:rsidRDefault="00443DC6" w:rsidP="00DA148C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>
        <w:rPr>
          <w:rFonts w:cs="Arial"/>
        </w:rPr>
        <w:t xml:space="preserve">The purpose of this instrument is to amend the safety standard so that it references the latest editions of the voluntary standards </w:t>
      </w:r>
      <w:r w:rsidR="00BF4757">
        <w:rPr>
          <w:rFonts w:cs="Arial"/>
        </w:rPr>
        <w:t>listed</w:t>
      </w:r>
      <w:r>
        <w:rPr>
          <w:rFonts w:cs="Arial"/>
        </w:rPr>
        <w:t xml:space="preserve"> in it.</w:t>
      </w:r>
    </w:p>
    <w:p w14:paraId="3CEA6D8B" w14:textId="77777777" w:rsidR="00DA148C" w:rsidRDefault="00DA148C" w:rsidP="00DA148C">
      <w:pPr>
        <w:spacing w:after="120"/>
        <w:rPr>
          <w:b/>
        </w:rPr>
      </w:pPr>
      <w:r>
        <w:rPr>
          <w:b/>
        </w:rPr>
        <w:t>Background</w:t>
      </w:r>
      <w:bookmarkStart w:id="0" w:name="_GoBack"/>
      <w:bookmarkEnd w:id="0"/>
    </w:p>
    <w:p w14:paraId="51C86BA8" w14:textId="6012D195" w:rsidR="00E15E71" w:rsidRDefault="00C471F1" w:rsidP="007A6E87">
      <w:pPr>
        <w:shd w:val="clear" w:color="auto" w:fill="FFFFFF"/>
      </w:pPr>
      <w:r w:rsidRPr="005F64D0">
        <w:t xml:space="preserve">The </w:t>
      </w:r>
      <w:r w:rsidR="00E15E71">
        <w:t xml:space="preserve">Australian Government first introduced a </w:t>
      </w:r>
      <w:r w:rsidRPr="004F0D88">
        <w:t>safety</w:t>
      </w:r>
      <w:r>
        <w:rPr>
          <w:b/>
        </w:rPr>
        <w:t xml:space="preserve"> </w:t>
      </w:r>
      <w:r>
        <w:t>s</w:t>
      </w:r>
      <w:r w:rsidRPr="005F64D0">
        <w:t xml:space="preserve">tandard </w:t>
      </w:r>
      <w:r w:rsidR="00DF29B4">
        <w:t xml:space="preserve">for projectile toys in 2010 </w:t>
      </w:r>
      <w:r w:rsidR="00E15E71">
        <w:t>to reduce the risk of eye injuries from the impact force of a projectile and asphyxiation where a projectile is fired or lodged into the mouth of a child or they otherwise attempt to swallow a projectile.</w:t>
      </w:r>
    </w:p>
    <w:p w14:paraId="10515667" w14:textId="61F882D7" w:rsidR="00D6480F" w:rsidRDefault="00D6480F" w:rsidP="00D6480F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>
        <w:t>On 11 June 2020</w:t>
      </w:r>
      <w:r>
        <w:rPr>
          <w:rFonts w:cs="Arial"/>
        </w:rPr>
        <w:t xml:space="preserve"> the </w:t>
      </w:r>
      <w:r w:rsidRPr="00687FE3">
        <w:rPr>
          <w:rFonts w:cs="Arial"/>
          <w:i/>
        </w:rPr>
        <w:t>Consumer Goods (</w:t>
      </w:r>
      <w:r>
        <w:rPr>
          <w:rFonts w:cs="Arial"/>
          <w:i/>
        </w:rPr>
        <w:t>Projectile Toys) Safety Standard 2020</w:t>
      </w:r>
      <w:r>
        <w:rPr>
          <w:rFonts w:cs="Arial"/>
        </w:rPr>
        <w:t xml:space="preserve"> was made and referenced the following </w:t>
      </w:r>
      <w:r w:rsidR="00C07A63">
        <w:rPr>
          <w:rFonts w:cs="Arial"/>
        </w:rPr>
        <w:t xml:space="preserve">4 </w:t>
      </w:r>
      <w:r>
        <w:rPr>
          <w:rFonts w:cs="Arial"/>
        </w:rPr>
        <w:t>voluntary standards:</w:t>
      </w:r>
    </w:p>
    <w:p w14:paraId="08A07210" w14:textId="67DB0242" w:rsidR="00D6480F" w:rsidRPr="00D81F24" w:rsidRDefault="00D6480F" w:rsidP="00D6480F">
      <w:pPr>
        <w:pStyle w:val="ListParagraph"/>
        <w:numPr>
          <w:ilvl w:val="0"/>
          <w:numId w:val="29"/>
        </w:numPr>
        <w:rPr>
          <w:rFonts w:eastAsia="Arial"/>
          <w:i/>
          <w:iCs/>
          <w:color w:val="000000"/>
          <w:shd w:val="clear" w:color="auto" w:fill="FFFFFF"/>
        </w:rPr>
      </w:pPr>
      <w:r w:rsidRPr="00D81F24">
        <w:rPr>
          <w:rFonts w:eastAsia="Arial"/>
          <w:i/>
          <w:iCs/>
          <w:color w:val="000000"/>
          <w:shd w:val="clear" w:color="auto" w:fill="FFFFFF"/>
        </w:rPr>
        <w:t xml:space="preserve">AS/NZS ISO 8124.1:2019 Safety of toys </w:t>
      </w:r>
      <w:r>
        <w:rPr>
          <w:rFonts w:eastAsia="Arial"/>
          <w:i/>
          <w:iCs/>
          <w:color w:val="000000"/>
          <w:shd w:val="clear" w:color="auto" w:fill="FFFFFF"/>
        </w:rPr>
        <w:t xml:space="preserve">– Part 1: Safety aspects related to mechanical and physical properties </w:t>
      </w:r>
      <w:r w:rsidRPr="00FF195D">
        <w:rPr>
          <w:rFonts w:eastAsia="Arial"/>
          <w:iCs/>
          <w:color w:val="000000"/>
          <w:shd w:val="clear" w:color="auto" w:fill="FFFFFF"/>
        </w:rPr>
        <w:t>(</w:t>
      </w:r>
      <w:r w:rsidR="0026168F">
        <w:rPr>
          <w:rFonts w:eastAsia="Arial"/>
          <w:iCs/>
          <w:color w:val="000000"/>
          <w:shd w:val="clear" w:color="auto" w:fill="FFFFFF"/>
        </w:rPr>
        <w:t xml:space="preserve">the </w:t>
      </w:r>
      <w:r w:rsidRPr="007E4DBC">
        <w:rPr>
          <w:rFonts w:eastAsia="Arial"/>
          <w:iCs/>
          <w:color w:val="000000"/>
          <w:shd w:val="clear" w:color="auto" w:fill="FFFFFF"/>
        </w:rPr>
        <w:t>voluntary Australian standard</w:t>
      </w:r>
      <w:r w:rsidRPr="00FF195D">
        <w:rPr>
          <w:rFonts w:eastAsia="Arial"/>
          <w:iCs/>
          <w:color w:val="000000"/>
          <w:shd w:val="clear" w:color="auto" w:fill="FFFFFF"/>
        </w:rPr>
        <w:t>)</w:t>
      </w:r>
    </w:p>
    <w:p w14:paraId="0E44908E" w14:textId="337CB4A8" w:rsidR="00D6480F" w:rsidRPr="00D81F24" w:rsidRDefault="00D6480F" w:rsidP="00D6480F">
      <w:pPr>
        <w:numPr>
          <w:ilvl w:val="0"/>
          <w:numId w:val="29"/>
        </w:numPr>
        <w:tabs>
          <w:tab w:val="left" w:pos="340"/>
        </w:tabs>
        <w:spacing w:before="120"/>
        <w:rPr>
          <w:rFonts w:eastAsia="Arial"/>
          <w:i/>
        </w:rPr>
      </w:pPr>
      <w:r w:rsidRPr="00D81F24">
        <w:rPr>
          <w:rFonts w:eastAsia="Arial"/>
          <w:i/>
          <w:iCs/>
          <w:color w:val="000000"/>
          <w:shd w:val="clear" w:color="auto" w:fill="FFFFFF"/>
        </w:rPr>
        <w:t>ISO 8124</w:t>
      </w:r>
      <w:r w:rsidRPr="00D81F24">
        <w:rPr>
          <w:rFonts w:eastAsia="Arial"/>
          <w:i/>
          <w:iCs/>
          <w:color w:val="000000"/>
          <w:shd w:val="clear" w:color="auto" w:fill="FFFFFF"/>
        </w:rPr>
        <w:noBreakHyphen/>
        <w:t>1:2018 Safety of toys</w:t>
      </w:r>
      <w:r>
        <w:rPr>
          <w:rFonts w:eastAsia="Arial"/>
          <w:i/>
          <w:iCs/>
          <w:color w:val="000000"/>
          <w:shd w:val="clear" w:color="auto" w:fill="FFFFFF"/>
        </w:rPr>
        <w:t xml:space="preserve"> </w:t>
      </w:r>
      <w:r w:rsidRPr="00D81F24">
        <w:rPr>
          <w:rFonts w:eastAsia="Arial"/>
          <w:i/>
          <w:iCs/>
          <w:color w:val="000000"/>
          <w:shd w:val="clear" w:color="auto" w:fill="FFFFFF"/>
        </w:rPr>
        <w:t xml:space="preserve"> </w:t>
      </w:r>
      <w:r>
        <w:rPr>
          <w:rFonts w:eastAsia="Arial"/>
          <w:i/>
          <w:iCs/>
          <w:color w:val="000000"/>
          <w:shd w:val="clear" w:color="auto" w:fill="FFFFFF"/>
        </w:rPr>
        <w:t xml:space="preserve">– Part 1: Safety aspects related to mechanical and physical properties </w:t>
      </w:r>
      <w:r w:rsidRPr="00FF195D">
        <w:rPr>
          <w:rFonts w:eastAsia="Arial"/>
          <w:iCs/>
          <w:color w:val="000000"/>
          <w:shd w:val="clear" w:color="auto" w:fill="FFFFFF"/>
        </w:rPr>
        <w:t>(</w:t>
      </w:r>
      <w:r w:rsidR="0026168F">
        <w:rPr>
          <w:rFonts w:eastAsia="Arial"/>
          <w:iCs/>
          <w:color w:val="000000"/>
          <w:shd w:val="clear" w:color="auto" w:fill="FFFFFF"/>
        </w:rPr>
        <w:t xml:space="preserve">the </w:t>
      </w:r>
      <w:r w:rsidRPr="007E4DBC">
        <w:rPr>
          <w:rFonts w:eastAsia="Arial"/>
          <w:iCs/>
          <w:color w:val="000000"/>
          <w:shd w:val="clear" w:color="auto" w:fill="FFFFFF"/>
        </w:rPr>
        <w:t>voluntary International standard</w:t>
      </w:r>
      <w:r w:rsidRPr="00FF195D">
        <w:rPr>
          <w:rFonts w:eastAsia="Arial"/>
          <w:iCs/>
          <w:color w:val="000000"/>
          <w:shd w:val="clear" w:color="auto" w:fill="FFFFFF"/>
        </w:rPr>
        <w:t>)</w:t>
      </w:r>
    </w:p>
    <w:p w14:paraId="776A5FA8" w14:textId="15F7CBE3" w:rsidR="00D6480F" w:rsidRPr="00153C4B" w:rsidRDefault="00D6480F" w:rsidP="00D6480F">
      <w:pPr>
        <w:numPr>
          <w:ilvl w:val="0"/>
          <w:numId w:val="29"/>
        </w:numPr>
        <w:tabs>
          <w:tab w:val="left" w:pos="340"/>
        </w:tabs>
        <w:spacing w:before="120"/>
        <w:rPr>
          <w:rFonts w:eastAsia="Arial"/>
          <w:i/>
        </w:rPr>
      </w:pPr>
      <w:r w:rsidRPr="00D81F24">
        <w:rPr>
          <w:rFonts w:eastAsia="Arial"/>
          <w:i/>
          <w:iCs/>
          <w:color w:val="000000"/>
          <w:shd w:val="clear" w:color="auto" w:fill="FFFFFF"/>
        </w:rPr>
        <w:t>EN 71</w:t>
      </w:r>
      <w:r w:rsidRPr="00D81F24">
        <w:rPr>
          <w:rFonts w:ascii="Cambria Math" w:eastAsia="Arial" w:hAnsi="Cambria Math" w:cs="Cambria Math"/>
          <w:i/>
          <w:iCs/>
          <w:color w:val="000000"/>
          <w:shd w:val="clear" w:color="auto" w:fill="FFFFFF"/>
        </w:rPr>
        <w:t>‑</w:t>
      </w:r>
      <w:r w:rsidRPr="00D81F24">
        <w:rPr>
          <w:rFonts w:eastAsia="Arial"/>
          <w:i/>
          <w:iCs/>
          <w:color w:val="000000"/>
          <w:shd w:val="clear" w:color="auto" w:fill="FFFFFF"/>
        </w:rPr>
        <w:t>1:2014 + A1:2018: Safety of toys</w:t>
      </w:r>
      <w:r>
        <w:rPr>
          <w:rFonts w:eastAsia="Arial"/>
          <w:i/>
          <w:iCs/>
          <w:color w:val="000000"/>
          <w:shd w:val="clear" w:color="auto" w:fill="FFFFFF"/>
        </w:rPr>
        <w:t xml:space="preserve"> – Part 1: M</w:t>
      </w:r>
      <w:r w:rsidRPr="00153C4B">
        <w:rPr>
          <w:rFonts w:eastAsia="Arial"/>
          <w:i/>
          <w:iCs/>
          <w:color w:val="000000"/>
          <w:shd w:val="clear" w:color="auto" w:fill="FFFFFF"/>
        </w:rPr>
        <w:t xml:space="preserve">echanical and physical properties </w:t>
      </w:r>
      <w:r w:rsidRPr="00153C4B">
        <w:rPr>
          <w:rFonts w:eastAsia="Arial"/>
          <w:iCs/>
          <w:color w:val="000000"/>
          <w:shd w:val="clear" w:color="auto" w:fill="FFFFFF"/>
        </w:rPr>
        <w:t>(</w:t>
      </w:r>
      <w:r w:rsidR="0026168F">
        <w:rPr>
          <w:rFonts w:eastAsia="Arial"/>
          <w:iCs/>
          <w:color w:val="000000"/>
          <w:shd w:val="clear" w:color="auto" w:fill="FFFFFF"/>
        </w:rPr>
        <w:t xml:space="preserve">the </w:t>
      </w:r>
      <w:r w:rsidRPr="007E4DBC">
        <w:rPr>
          <w:rFonts w:eastAsia="Arial"/>
          <w:iCs/>
          <w:color w:val="000000"/>
          <w:shd w:val="clear" w:color="auto" w:fill="FFFFFF"/>
        </w:rPr>
        <w:t>voluntary European standard</w:t>
      </w:r>
      <w:r w:rsidRPr="00153C4B">
        <w:rPr>
          <w:rFonts w:eastAsia="Arial"/>
          <w:iCs/>
          <w:color w:val="000000"/>
          <w:shd w:val="clear" w:color="auto" w:fill="FFFFFF"/>
        </w:rPr>
        <w:t>)</w:t>
      </w:r>
    </w:p>
    <w:p w14:paraId="46E496F2" w14:textId="76FA53A1" w:rsidR="00D6480F" w:rsidRPr="00B90C07" w:rsidRDefault="00D6480F" w:rsidP="00D6480F">
      <w:pPr>
        <w:numPr>
          <w:ilvl w:val="0"/>
          <w:numId w:val="29"/>
        </w:numPr>
        <w:tabs>
          <w:tab w:val="left" w:pos="340"/>
        </w:tabs>
        <w:spacing w:before="120"/>
        <w:rPr>
          <w:rFonts w:eastAsia="Arial"/>
        </w:rPr>
      </w:pPr>
      <w:r w:rsidRPr="00D27AB8">
        <w:rPr>
          <w:rFonts w:eastAsia="Arial"/>
          <w:i/>
          <w:color w:val="000000"/>
          <w:shd w:val="clear" w:color="auto" w:fill="FFFFFF"/>
        </w:rPr>
        <w:t>ASTM F963</w:t>
      </w:r>
      <w:r w:rsidRPr="00D27AB8">
        <w:rPr>
          <w:rFonts w:eastAsia="Arial"/>
          <w:i/>
          <w:color w:val="000000"/>
          <w:shd w:val="clear" w:color="auto" w:fill="FFFFFF"/>
        </w:rPr>
        <w:noBreakHyphen/>
        <w:t>17</w:t>
      </w:r>
      <w:r w:rsidRPr="00B33376">
        <w:rPr>
          <w:rFonts w:eastAsia="Arial"/>
          <w:i/>
        </w:rPr>
        <w:t xml:space="preserve"> Standard Consumer Safety Specification for Toy Safety </w:t>
      </w:r>
      <w:r w:rsidRPr="00BF4B01">
        <w:rPr>
          <w:rFonts w:eastAsia="Arial"/>
        </w:rPr>
        <w:t>(</w:t>
      </w:r>
      <w:r w:rsidR="0026168F">
        <w:rPr>
          <w:rFonts w:eastAsia="Arial"/>
        </w:rPr>
        <w:t xml:space="preserve">the </w:t>
      </w:r>
      <w:r w:rsidRPr="007E4DBC">
        <w:rPr>
          <w:rFonts w:eastAsia="Arial"/>
          <w:iCs/>
          <w:color w:val="000000"/>
          <w:shd w:val="clear" w:color="auto" w:fill="FFFFFF"/>
        </w:rPr>
        <w:t>voluntary American standard</w:t>
      </w:r>
      <w:r w:rsidRPr="00BF4B01">
        <w:rPr>
          <w:rFonts w:eastAsia="Arial"/>
          <w:iCs/>
          <w:color w:val="000000"/>
          <w:shd w:val="clear" w:color="auto" w:fill="FFFFFF"/>
        </w:rPr>
        <w:t>)</w:t>
      </w:r>
      <w:r>
        <w:rPr>
          <w:rFonts w:eastAsia="Arial"/>
          <w:iCs/>
          <w:color w:val="000000"/>
          <w:shd w:val="clear" w:color="auto" w:fill="FFFFFF"/>
        </w:rPr>
        <w:t>.</w:t>
      </w:r>
    </w:p>
    <w:p w14:paraId="11DE9E0C" w14:textId="76B95CEA" w:rsidR="00D601B3" w:rsidRPr="008B3764" w:rsidRDefault="00D6480F" w:rsidP="008B3764">
      <w:r>
        <w:t>In late 2020, t</w:t>
      </w:r>
      <w:r w:rsidRPr="00B90C07">
        <w:t>he International Organi</w:t>
      </w:r>
      <w:r w:rsidR="006E33EF">
        <w:t>z</w:t>
      </w:r>
      <w:r w:rsidRPr="00B90C07">
        <w:t>ation for Standardi</w:t>
      </w:r>
      <w:r w:rsidR="006E33EF">
        <w:t>z</w:t>
      </w:r>
      <w:r w:rsidRPr="00B90C07">
        <w:t>ation (</w:t>
      </w:r>
      <w:r w:rsidRPr="009E0B36">
        <w:rPr>
          <w:b/>
        </w:rPr>
        <w:t>ISO</w:t>
      </w:r>
      <w:r w:rsidRPr="00B90C07">
        <w:t xml:space="preserve">) amended the voluntary International </w:t>
      </w:r>
      <w:r>
        <w:t xml:space="preserve">standard </w:t>
      </w:r>
      <w:r w:rsidR="008B3764">
        <w:t>by publishing Amendments No.1 and No.</w:t>
      </w:r>
      <w:r w:rsidRPr="00B90C07">
        <w:t xml:space="preserve">2 to </w:t>
      </w:r>
      <w:r w:rsidRPr="00C0654D">
        <w:rPr>
          <w:i/>
        </w:rPr>
        <w:t xml:space="preserve">ISO </w:t>
      </w:r>
      <w:r w:rsidRPr="00C0654D">
        <w:rPr>
          <w:rFonts w:eastAsia="Arial"/>
          <w:i/>
          <w:iCs/>
          <w:color w:val="000000"/>
          <w:shd w:val="clear" w:color="auto" w:fill="FFFFFF"/>
        </w:rPr>
        <w:t>8124</w:t>
      </w:r>
      <w:r w:rsidRPr="00C0654D">
        <w:rPr>
          <w:rFonts w:eastAsia="Arial"/>
          <w:i/>
          <w:iCs/>
          <w:color w:val="000000"/>
          <w:shd w:val="clear" w:color="auto" w:fill="FFFFFF"/>
        </w:rPr>
        <w:noBreakHyphen/>
        <w:t>1:2018</w:t>
      </w:r>
      <w:r w:rsidRPr="00D6480F">
        <w:rPr>
          <w:rFonts w:eastAsia="Arial"/>
          <w:iCs/>
          <w:color w:val="000000"/>
          <w:shd w:val="clear" w:color="auto" w:fill="FFFFFF"/>
        </w:rPr>
        <w:t xml:space="preserve">. Standards Australia also amended the voluntary Australian standard by publishing Amendments No.1 and No.2 to </w:t>
      </w:r>
      <w:r w:rsidRPr="00C0654D">
        <w:rPr>
          <w:rFonts w:eastAsia="Arial"/>
          <w:i/>
          <w:iCs/>
          <w:color w:val="000000"/>
          <w:shd w:val="clear" w:color="auto" w:fill="FFFFFF"/>
        </w:rPr>
        <w:t>AS/NZS ISO 8124.1:2019</w:t>
      </w:r>
      <w:r w:rsidRPr="00D6480F">
        <w:rPr>
          <w:rFonts w:eastAsia="Arial"/>
          <w:iCs/>
          <w:color w:val="000000"/>
          <w:shd w:val="clear" w:color="auto" w:fill="FFFFFF"/>
        </w:rPr>
        <w:t>.</w:t>
      </w:r>
      <w:r>
        <w:rPr>
          <w:rFonts w:eastAsia="Arial"/>
          <w:iCs/>
          <w:color w:val="000000"/>
          <w:shd w:val="clear" w:color="auto" w:fill="FFFFFF"/>
        </w:rPr>
        <w:t xml:space="preserve"> </w:t>
      </w:r>
      <w:r w:rsidRPr="00B90C07">
        <w:t xml:space="preserve">The amendments </w:t>
      </w:r>
      <w:r w:rsidR="00B809B4">
        <w:t xml:space="preserve">to </w:t>
      </w:r>
      <w:r w:rsidRPr="00B90C07">
        <w:t xml:space="preserve">both the voluntary International </w:t>
      </w:r>
      <w:r>
        <w:t xml:space="preserve">standard </w:t>
      </w:r>
      <w:r w:rsidRPr="00B90C07">
        <w:t xml:space="preserve">and the </w:t>
      </w:r>
      <w:r>
        <w:t xml:space="preserve">voluntary Australian standard </w:t>
      </w:r>
      <w:r w:rsidR="00B809B4">
        <w:t>are identical</w:t>
      </w:r>
      <w:r w:rsidR="005315C1">
        <w:t>. The amendments</w:t>
      </w:r>
      <w:r w:rsidR="00B809B4">
        <w:t xml:space="preserve"> </w:t>
      </w:r>
      <w:r>
        <w:t>include</w:t>
      </w:r>
      <w:r w:rsidR="00B809B4">
        <w:t xml:space="preserve"> </w:t>
      </w:r>
      <w:r w:rsidR="005315C1">
        <w:t xml:space="preserve">a number of updates, including an update to the tension test applied to projectile </w:t>
      </w:r>
      <w:r w:rsidR="005315C1" w:rsidRPr="005315C1">
        <w:t>toys</w:t>
      </w:r>
      <w:r w:rsidR="007E3708">
        <w:t>,</w:t>
      </w:r>
      <w:r w:rsidR="00425D9C">
        <w:t xml:space="preserve"> </w:t>
      </w:r>
      <w:r w:rsidR="005315C1" w:rsidRPr="005315C1">
        <w:t>an</w:t>
      </w:r>
      <w:r w:rsidR="005315C1">
        <w:t xml:space="preserve">d updates to the requirements for rotors and propellers on projectile toys to minimise the potential for injury. </w:t>
      </w:r>
    </w:p>
    <w:p w14:paraId="16EAC8B4" w14:textId="0A4A3BD2" w:rsidR="00DA148C" w:rsidRPr="007A6E87" w:rsidRDefault="00DA148C" w:rsidP="007A6E87">
      <w:pPr>
        <w:shd w:val="clear" w:color="auto" w:fill="FFFFFF"/>
        <w:spacing w:before="240"/>
      </w:pPr>
      <w:r w:rsidRPr="0003601C">
        <w:rPr>
          <w:b/>
        </w:rPr>
        <w:t>The amendment</w:t>
      </w:r>
    </w:p>
    <w:p w14:paraId="1DF30C54" w14:textId="0367C52A" w:rsidR="0026168F" w:rsidRDefault="00DA148C" w:rsidP="00137226">
      <w:pPr>
        <w:pStyle w:val="ListParagraph"/>
        <w:numPr>
          <w:ilvl w:val="0"/>
          <w:numId w:val="0"/>
        </w:numPr>
        <w:spacing w:before="200" w:after="120"/>
        <w:rPr>
          <w:rFonts w:cs="Arial"/>
        </w:rPr>
      </w:pPr>
      <w:r>
        <w:rPr>
          <w:lang w:val="en"/>
        </w:rPr>
        <w:t>This l</w:t>
      </w:r>
      <w:r w:rsidRPr="0003601C">
        <w:rPr>
          <w:lang w:val="en"/>
        </w:rPr>
        <w:t xml:space="preserve">egislative </w:t>
      </w:r>
      <w:r>
        <w:rPr>
          <w:lang w:val="en"/>
        </w:rPr>
        <w:t>i</w:t>
      </w:r>
      <w:r w:rsidRPr="0003601C">
        <w:rPr>
          <w:lang w:val="en"/>
        </w:rPr>
        <w:t xml:space="preserve">nstrument </w:t>
      </w:r>
      <w:r>
        <w:rPr>
          <w:lang w:val="en"/>
        </w:rPr>
        <w:t>amends</w:t>
      </w:r>
      <w:r w:rsidRPr="0003601C">
        <w:rPr>
          <w:lang w:val="en"/>
        </w:rPr>
        <w:t xml:space="preserve"> the </w:t>
      </w:r>
      <w:r w:rsidR="00DC3242" w:rsidRPr="00687FE3">
        <w:rPr>
          <w:rFonts w:cs="Arial"/>
          <w:i/>
        </w:rPr>
        <w:t>Consumer Goods (</w:t>
      </w:r>
      <w:r w:rsidR="00DC3242">
        <w:rPr>
          <w:rFonts w:cs="Arial"/>
          <w:i/>
        </w:rPr>
        <w:t xml:space="preserve">Projectile Toys) Safety Standard 2020 </w:t>
      </w:r>
      <w:r w:rsidR="00DC3242">
        <w:rPr>
          <w:rFonts w:cs="Arial"/>
        </w:rPr>
        <w:t xml:space="preserve">so that it references </w:t>
      </w:r>
      <w:r w:rsidR="0026168F">
        <w:rPr>
          <w:rFonts w:cs="Arial"/>
        </w:rPr>
        <w:t>the updated voluntary Australian and International standards.</w:t>
      </w:r>
      <w:r w:rsidR="00B809B4">
        <w:rPr>
          <w:rFonts w:cs="Arial"/>
        </w:rPr>
        <w:t xml:space="preserve"> It also extends the transitional period in the safety standard from 12 to 24 months.</w:t>
      </w:r>
    </w:p>
    <w:p w14:paraId="58B9BE86" w14:textId="1E6C673D" w:rsidR="00DA148C" w:rsidRDefault="00DA148C" w:rsidP="00644ABA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Access to Australian and </w:t>
      </w:r>
      <w:r w:rsidR="00D46E28">
        <w:rPr>
          <w:rFonts w:cs="Arial"/>
          <w:b/>
          <w:lang w:val="en-GB"/>
        </w:rPr>
        <w:t>I</w:t>
      </w:r>
      <w:r>
        <w:rPr>
          <w:rFonts w:cs="Arial"/>
          <w:b/>
          <w:lang w:val="en-GB"/>
        </w:rPr>
        <w:t>nternational standards</w:t>
      </w:r>
    </w:p>
    <w:p w14:paraId="70C0DFB0" w14:textId="77777777" w:rsidR="00D601B3" w:rsidRDefault="00DA148C" w:rsidP="00DA148C">
      <w:pPr>
        <w:spacing w:after="120"/>
        <w:rPr>
          <w:iCs/>
        </w:rPr>
      </w:pPr>
      <w:r w:rsidRPr="00BF6D5E">
        <w:rPr>
          <w:iCs/>
        </w:rPr>
        <w:t xml:space="preserve">Where practicable, product safety legislative instruments only reference extrinsic material that is readily accessible for free by the public. However, as in the current case, many </w:t>
      </w:r>
      <w:r w:rsidRPr="00BF6D5E">
        <w:rPr>
          <w:iCs/>
        </w:rPr>
        <w:lastRenderedPageBreak/>
        <w:t>product safety legislative instruments need to incorporate extrinsic technical standards over</w:t>
      </w:r>
      <w:r>
        <w:rPr>
          <w:iCs/>
        </w:rPr>
        <w:t xml:space="preserve"> which certain bodies</w:t>
      </w:r>
      <w:r w:rsidRPr="00BF6D5E">
        <w:rPr>
          <w:iCs/>
        </w:rPr>
        <w:t xml:space="preserve"> have copyright. </w:t>
      </w:r>
    </w:p>
    <w:p w14:paraId="71A5EC23" w14:textId="1AC635CF" w:rsidR="00D601B3" w:rsidRDefault="00D601B3" w:rsidP="00D601B3">
      <w:pPr>
        <w:rPr>
          <w:iCs/>
        </w:rPr>
      </w:pPr>
      <w:r w:rsidRPr="00961F6E">
        <w:rPr>
          <w:iCs/>
        </w:rPr>
        <w:t>The Australian/New Zealand Standard (</w:t>
      </w:r>
      <w:r w:rsidRPr="00961F6E">
        <w:rPr>
          <w:rFonts w:asciiTheme="minorHAnsi" w:hAnsiTheme="minorHAnsi" w:cstheme="minorHAnsi"/>
          <w:lang w:val="en-GB"/>
        </w:rPr>
        <w:t xml:space="preserve">AS/NZS </w:t>
      </w:r>
      <w:r w:rsidR="005C4F9B" w:rsidRPr="00961F6E">
        <w:rPr>
          <w:rFonts w:asciiTheme="minorHAnsi" w:hAnsiTheme="minorHAnsi" w:cstheme="minorHAnsi"/>
          <w:lang w:val="en-GB"/>
        </w:rPr>
        <w:t xml:space="preserve">ISO </w:t>
      </w:r>
      <w:r w:rsidRPr="00961F6E">
        <w:rPr>
          <w:rFonts w:asciiTheme="minorHAnsi" w:hAnsiTheme="minorHAnsi" w:cstheme="minorHAnsi"/>
        </w:rPr>
        <w:t>8124.1:2019)</w:t>
      </w:r>
      <w:r w:rsidRPr="00961F6E">
        <w:rPr>
          <w:iCs/>
        </w:rPr>
        <w:t>, European Standard (</w:t>
      </w:r>
      <w:r w:rsidRPr="00961F6E">
        <w:rPr>
          <w:rFonts w:cs="Arial"/>
        </w:rPr>
        <w:t xml:space="preserve">EN 71-1:2014+A1:2018) </w:t>
      </w:r>
      <w:r w:rsidRPr="00961F6E">
        <w:rPr>
          <w:iCs/>
        </w:rPr>
        <w:t xml:space="preserve">and </w:t>
      </w:r>
      <w:r w:rsidR="005C4F9B" w:rsidRPr="00961F6E">
        <w:rPr>
          <w:iCs/>
        </w:rPr>
        <w:t xml:space="preserve">American </w:t>
      </w:r>
      <w:r w:rsidRPr="00961F6E">
        <w:rPr>
          <w:iCs/>
        </w:rPr>
        <w:t>Standard</w:t>
      </w:r>
      <w:r>
        <w:rPr>
          <w:iCs/>
        </w:rPr>
        <w:t xml:space="preserve"> (</w:t>
      </w:r>
      <w:r w:rsidRPr="00CD69CA">
        <w:rPr>
          <w:rFonts w:cs="Arial"/>
        </w:rPr>
        <w:t>ASTM F963-17</w:t>
      </w:r>
      <w:r>
        <w:rPr>
          <w:iCs/>
        </w:rPr>
        <w:t xml:space="preserve">) </w:t>
      </w:r>
      <w:r w:rsidRPr="006635CB">
        <w:rPr>
          <w:iCs/>
        </w:rPr>
        <w:t xml:space="preserve">referenced in this instrument </w:t>
      </w:r>
      <w:r>
        <w:rPr>
          <w:iCs/>
        </w:rPr>
        <w:t>are</w:t>
      </w:r>
      <w:r w:rsidRPr="006635CB">
        <w:rPr>
          <w:iCs/>
        </w:rPr>
        <w:t xml:space="preserve"> available for purchase </w:t>
      </w:r>
      <w:r>
        <w:rPr>
          <w:iCs/>
        </w:rPr>
        <w:t xml:space="preserve">at </w:t>
      </w:r>
      <w:r w:rsidRPr="006635CB">
        <w:rPr>
          <w:iCs/>
        </w:rPr>
        <w:t>SAI Global’s website (</w:t>
      </w:r>
      <w:hyperlink r:id="rId9" w:history="1">
        <w:r w:rsidRPr="00035DC6">
          <w:rPr>
            <w:rStyle w:val="Hyperlink"/>
            <w:iCs/>
          </w:rPr>
          <w:t>https://www.saiglobal.com</w:t>
        </w:r>
      </w:hyperlink>
      <w:r>
        <w:rPr>
          <w:iCs/>
        </w:rPr>
        <w:t>)</w:t>
      </w:r>
      <w:r w:rsidRPr="006635CB">
        <w:rPr>
          <w:iCs/>
        </w:rPr>
        <w:t xml:space="preserve">. </w:t>
      </w:r>
      <w:r>
        <w:rPr>
          <w:iCs/>
        </w:rPr>
        <w:t>The International Standard (</w:t>
      </w:r>
      <w:r w:rsidRPr="00CD69CA">
        <w:rPr>
          <w:rFonts w:cs="Arial"/>
        </w:rPr>
        <w:t>ISO 8124.1:2018</w:t>
      </w:r>
      <w:r>
        <w:rPr>
          <w:iCs/>
        </w:rPr>
        <w:t>) referenced in this instrument is available for purchase at the I</w:t>
      </w:r>
      <w:r w:rsidR="00AC26F0">
        <w:rPr>
          <w:iCs/>
        </w:rPr>
        <w:t>SO</w:t>
      </w:r>
      <w:r>
        <w:rPr>
          <w:iCs/>
        </w:rPr>
        <w:t>’s website (</w:t>
      </w:r>
      <w:hyperlink r:id="rId10" w:history="1">
        <w:r w:rsidRPr="00186B2E">
          <w:rPr>
            <w:rStyle w:val="Hyperlink"/>
            <w:iCs/>
          </w:rPr>
          <w:t>https://www.iso.org</w:t>
        </w:r>
      </w:hyperlink>
      <w:r>
        <w:rPr>
          <w:iCs/>
        </w:rPr>
        <w:t>).</w:t>
      </w:r>
    </w:p>
    <w:p w14:paraId="6AC8D2F9" w14:textId="3FC29D0B" w:rsidR="00DA148C" w:rsidRPr="006635CB" w:rsidRDefault="00DA148C" w:rsidP="00DA148C">
      <w:pPr>
        <w:spacing w:after="120"/>
        <w:rPr>
          <w:rFonts w:cs="Arial"/>
          <w:lang w:val="en-GB"/>
        </w:rPr>
      </w:pPr>
      <w:r w:rsidRPr="006635CB">
        <w:rPr>
          <w:iCs/>
        </w:rPr>
        <w:t>The Australian Comp</w:t>
      </w:r>
      <w:r>
        <w:rPr>
          <w:iCs/>
        </w:rPr>
        <w:t>etition and Consumer Commission (</w:t>
      </w:r>
      <w:r w:rsidRPr="00623CC3">
        <w:rPr>
          <w:b/>
          <w:iCs/>
        </w:rPr>
        <w:t>ACCC</w:t>
      </w:r>
      <w:r>
        <w:rPr>
          <w:iCs/>
        </w:rPr>
        <w:t xml:space="preserve">) </w:t>
      </w:r>
      <w:r w:rsidRPr="006635CB">
        <w:rPr>
          <w:iCs/>
        </w:rPr>
        <w:t xml:space="preserve">can </w:t>
      </w:r>
      <w:r>
        <w:rPr>
          <w:iCs/>
        </w:rPr>
        <w:t xml:space="preserve">also </w:t>
      </w:r>
      <w:r w:rsidRPr="006635CB">
        <w:rPr>
          <w:iCs/>
        </w:rPr>
        <w:t>make a copy of the</w:t>
      </w:r>
      <w:r w:rsidR="00AC26F0">
        <w:rPr>
          <w:iCs/>
        </w:rPr>
        <w:t xml:space="preserve"> above</w:t>
      </w:r>
      <w:r w:rsidRPr="006635CB">
        <w:rPr>
          <w:iCs/>
        </w:rPr>
        <w:t xml:space="preserve"> standard</w:t>
      </w:r>
      <w:r w:rsidR="00AC26F0">
        <w:rPr>
          <w:iCs/>
        </w:rPr>
        <w:t>s</w:t>
      </w:r>
      <w:r w:rsidRPr="006635CB">
        <w:rPr>
          <w:iCs/>
        </w:rPr>
        <w:t xml:space="preserve"> available for viewing at one of its offices, subject to licensing conditions.</w:t>
      </w:r>
    </w:p>
    <w:p w14:paraId="35527EDD" w14:textId="77777777" w:rsidR="00DA148C" w:rsidRPr="00636C20" w:rsidRDefault="00DA148C" w:rsidP="00C0654D">
      <w:pPr>
        <w:keepNext/>
        <w:spacing w:after="120"/>
        <w:rPr>
          <w:lang w:val="en-GB"/>
        </w:rPr>
      </w:pPr>
      <w:r w:rsidRPr="00636C20">
        <w:rPr>
          <w:b/>
          <w:lang w:val="en-GB"/>
        </w:rPr>
        <w:t>Consultation</w:t>
      </w:r>
    </w:p>
    <w:p w14:paraId="38D9A70C" w14:textId="7869C7AF" w:rsidR="00462462" w:rsidRDefault="00462462" w:rsidP="00462462">
      <w:r>
        <w:t>The ACCC released a consultation paper on 27 April 2021 and accepted submissions until 26 May 2021. The ACCC sought stakeholders</w:t>
      </w:r>
      <w:r w:rsidR="00A072C5">
        <w:t>’</w:t>
      </w:r>
      <w:r>
        <w:t xml:space="preserve"> views on its propos</w:t>
      </w:r>
      <w:r w:rsidR="00E15E71">
        <w:t>al</w:t>
      </w:r>
      <w:r>
        <w:t xml:space="preserve"> to amend the </w:t>
      </w:r>
      <w:r w:rsidRPr="004F0D88">
        <w:t>safety</w:t>
      </w:r>
      <w:r>
        <w:rPr>
          <w:b/>
        </w:rPr>
        <w:t xml:space="preserve"> </w:t>
      </w:r>
      <w:r>
        <w:t xml:space="preserve">standard to reference the </w:t>
      </w:r>
      <w:r w:rsidR="00E15E71">
        <w:t xml:space="preserve">updated </w:t>
      </w:r>
      <w:r>
        <w:t>voluntary standards.</w:t>
      </w:r>
    </w:p>
    <w:p w14:paraId="10EA4B22" w14:textId="48F4B6AB" w:rsidR="00DA148C" w:rsidRDefault="00C96484" w:rsidP="00C84B84">
      <w:r>
        <w:t>The ACCC received 7</w:t>
      </w:r>
      <w:r w:rsidR="001566F9">
        <w:t xml:space="preserve"> </w:t>
      </w:r>
      <w:r w:rsidR="00462462">
        <w:t>submissions from the Australian Toy A</w:t>
      </w:r>
      <w:r w:rsidR="001566F9">
        <w:t>ssociation,</w:t>
      </w:r>
      <w:r w:rsidR="001566F9" w:rsidRPr="001566F9">
        <w:t xml:space="preserve"> </w:t>
      </w:r>
      <w:r w:rsidR="001566F9">
        <w:t>the Consumer</w:t>
      </w:r>
      <w:r w:rsidR="00B25608">
        <w:t xml:space="preserve"> and Business S</w:t>
      </w:r>
      <w:r w:rsidR="001566F9">
        <w:t>ervices SA,</w:t>
      </w:r>
      <w:r w:rsidR="00D57406" w:rsidRPr="00D57406">
        <w:rPr>
          <w:rFonts w:ascii="Times New Roman" w:hAnsi="Times New Roman"/>
        </w:rPr>
        <w:t xml:space="preserve"> </w:t>
      </w:r>
      <w:r w:rsidR="00D57406" w:rsidRPr="00D57406">
        <w:rPr>
          <w:rFonts w:asciiTheme="minorHAnsi" w:hAnsiTheme="minorHAnsi" w:cstheme="minorHAnsi"/>
        </w:rPr>
        <w:t>the Department of Mines, Industry Regulation and Safety WA</w:t>
      </w:r>
      <w:r w:rsidR="00D57406">
        <w:rPr>
          <w:rFonts w:ascii="Times New Roman" w:hAnsi="Times New Roman"/>
        </w:rPr>
        <w:t>,</w:t>
      </w:r>
      <w:r w:rsidR="001566F9">
        <w:t xml:space="preserve"> Kidsafe Australia, Kidsafe NSW, </w:t>
      </w:r>
      <w:r w:rsidR="00462462">
        <w:t>Queensland Office of Fair Trading</w:t>
      </w:r>
      <w:r w:rsidR="001566F9">
        <w:t xml:space="preserve"> and Woolworths. All</w:t>
      </w:r>
      <w:r w:rsidR="00462462">
        <w:t xml:space="preserve"> stakeholders expressed their support for the ACCC’s propos</w:t>
      </w:r>
      <w:r w:rsidR="00E15E71">
        <w:t>al</w:t>
      </w:r>
      <w:r w:rsidR="00462462">
        <w:t>.</w:t>
      </w:r>
    </w:p>
    <w:p w14:paraId="07510DAE" w14:textId="77777777" w:rsidR="00DA148C" w:rsidRPr="005A1DA5" w:rsidRDefault="00DA148C" w:rsidP="00C0654D">
      <w:pPr>
        <w:keepNext/>
        <w:spacing w:after="120"/>
        <w:rPr>
          <w:b/>
        </w:rPr>
      </w:pPr>
      <w:r w:rsidRPr="005A1DA5">
        <w:rPr>
          <w:b/>
        </w:rPr>
        <w:t>Disallowance</w:t>
      </w:r>
    </w:p>
    <w:p w14:paraId="4B8673C6" w14:textId="0AB467EF" w:rsidR="00DA148C" w:rsidRPr="005A1DA5" w:rsidRDefault="00DA148C" w:rsidP="00DA148C">
      <w:pPr>
        <w:spacing w:after="120"/>
      </w:pPr>
      <w:r w:rsidRPr="00193244">
        <w:rPr>
          <w:lang w:val="en"/>
        </w:rPr>
        <w:t xml:space="preserve">This legislative instrument is not subject to disallowance due to section 44 of the </w:t>
      </w:r>
      <w:r w:rsidRPr="00193244">
        <w:rPr>
          <w:i/>
          <w:iCs/>
          <w:lang w:val="en"/>
        </w:rPr>
        <w:t>Legislation Act 2003</w:t>
      </w:r>
      <w:r w:rsidR="00EC1627">
        <w:rPr>
          <w:i/>
          <w:iCs/>
          <w:lang w:val="en"/>
        </w:rPr>
        <w:t xml:space="preserve"> </w:t>
      </w:r>
      <w:r w:rsidR="00EC1627" w:rsidRPr="00EC1627">
        <w:rPr>
          <w:iCs/>
          <w:lang w:val="en"/>
        </w:rPr>
        <w:t>(Cth)</w:t>
      </w:r>
      <w:r w:rsidRPr="00EC1627">
        <w:rPr>
          <w:lang w:val="en"/>
        </w:rPr>
        <w:t>.</w:t>
      </w:r>
    </w:p>
    <w:p w14:paraId="0014492D" w14:textId="77777777" w:rsidR="00DA148C" w:rsidRPr="0003601C" w:rsidRDefault="00DA148C" w:rsidP="00C0654D">
      <w:pPr>
        <w:keepNext/>
        <w:spacing w:after="120"/>
        <w:rPr>
          <w:b/>
        </w:rPr>
      </w:pPr>
      <w:r w:rsidRPr="0003601C">
        <w:rPr>
          <w:b/>
        </w:rPr>
        <w:t>Commencement</w:t>
      </w:r>
    </w:p>
    <w:p w14:paraId="2547F973" w14:textId="77777777" w:rsidR="00DA148C" w:rsidRPr="0003601C" w:rsidRDefault="00DA148C" w:rsidP="00DA148C">
      <w:pPr>
        <w:spacing w:after="120"/>
        <w:rPr>
          <w:lang w:val="en"/>
        </w:rPr>
      </w:pPr>
      <w:r w:rsidRPr="0003601C">
        <w:rPr>
          <w:lang w:val="en"/>
        </w:rPr>
        <w:t xml:space="preserve">This </w:t>
      </w:r>
      <w:r>
        <w:rPr>
          <w:lang w:val="en"/>
        </w:rPr>
        <w:t>l</w:t>
      </w:r>
      <w:r w:rsidRPr="0003601C">
        <w:rPr>
          <w:lang w:val="en"/>
        </w:rPr>
        <w:t xml:space="preserve">egislative </w:t>
      </w:r>
      <w:r>
        <w:rPr>
          <w:lang w:val="en"/>
        </w:rPr>
        <w:t>i</w:t>
      </w:r>
      <w:r w:rsidRPr="0003601C">
        <w:rPr>
          <w:lang w:val="en"/>
        </w:rPr>
        <w:t>nstrument commence</w:t>
      </w:r>
      <w:r>
        <w:rPr>
          <w:lang w:val="en"/>
        </w:rPr>
        <w:t>s</w:t>
      </w:r>
      <w:r w:rsidRPr="0003601C">
        <w:rPr>
          <w:lang w:val="en"/>
        </w:rPr>
        <w:t xml:space="preserve"> on the day after it is registered on the </w:t>
      </w:r>
      <w:r>
        <w:rPr>
          <w:lang w:val="en"/>
        </w:rPr>
        <w:t>Federal Register of Legislation.</w:t>
      </w:r>
    </w:p>
    <w:p w14:paraId="553969CC" w14:textId="77777777" w:rsidR="00DA148C" w:rsidRPr="005A1DA5" w:rsidRDefault="00DA148C" w:rsidP="00C0654D">
      <w:pPr>
        <w:keepNext/>
        <w:spacing w:after="120"/>
        <w:rPr>
          <w:b/>
        </w:rPr>
      </w:pPr>
      <w:r w:rsidRPr="005A1DA5">
        <w:rPr>
          <w:b/>
        </w:rPr>
        <w:t>Sunsetting</w:t>
      </w:r>
    </w:p>
    <w:p w14:paraId="169CA75B" w14:textId="698057BE" w:rsidR="00DA148C" w:rsidRDefault="00DA148C" w:rsidP="00DA148C">
      <w:pPr>
        <w:spacing w:after="120"/>
      </w:pPr>
      <w:r w:rsidRPr="00193244">
        <w:rPr>
          <w:lang w:val="en"/>
        </w:rPr>
        <w:t>Th</w:t>
      </w:r>
      <w:r>
        <w:rPr>
          <w:lang w:val="en"/>
        </w:rPr>
        <w:t>is</w:t>
      </w:r>
      <w:r w:rsidRPr="00193244">
        <w:rPr>
          <w:lang w:val="en"/>
        </w:rPr>
        <w:t xml:space="preserve"> legislative instrument is not subject to sunsetting due to section 54 of the</w:t>
      </w:r>
      <w:r w:rsidRPr="00193244">
        <w:rPr>
          <w:i/>
          <w:iCs/>
          <w:lang w:val="en"/>
        </w:rPr>
        <w:t xml:space="preserve"> Legislation Act 2003</w:t>
      </w:r>
      <w:r w:rsidR="00E15E71">
        <w:rPr>
          <w:i/>
          <w:iCs/>
          <w:lang w:val="en"/>
        </w:rPr>
        <w:t xml:space="preserve"> </w:t>
      </w:r>
      <w:r w:rsidR="00E15E71" w:rsidRPr="00E15E71">
        <w:rPr>
          <w:iCs/>
          <w:lang w:val="en"/>
        </w:rPr>
        <w:t>(Cth)</w:t>
      </w:r>
      <w:r w:rsidRPr="00E15E71">
        <w:rPr>
          <w:iCs/>
          <w:lang w:val="en"/>
        </w:rPr>
        <w:t>.</w:t>
      </w:r>
    </w:p>
    <w:p w14:paraId="12CD0549" w14:textId="77777777" w:rsidR="00DA148C" w:rsidRDefault="00DA148C" w:rsidP="00C0654D">
      <w:pPr>
        <w:keepNext/>
        <w:spacing w:after="120"/>
        <w:rPr>
          <w:rFonts w:cs="Arial"/>
          <w:b/>
        </w:rPr>
      </w:pPr>
      <w:r>
        <w:rPr>
          <w:rFonts w:cs="Arial"/>
          <w:b/>
        </w:rPr>
        <w:t>Regulation impact assessment</w:t>
      </w:r>
    </w:p>
    <w:p w14:paraId="5E506FF9" w14:textId="77777777" w:rsidR="00DA148C" w:rsidRPr="002A6437" w:rsidRDefault="00DA148C" w:rsidP="00DA148C">
      <w:pPr>
        <w:spacing w:after="120"/>
        <w:rPr>
          <w:rFonts w:cs="Arial"/>
        </w:rPr>
      </w:pPr>
      <w:r>
        <w:rPr>
          <w:rFonts w:cs="Arial"/>
        </w:rPr>
        <w:t xml:space="preserve">The </w:t>
      </w:r>
      <w:r w:rsidRPr="007E1F40">
        <w:rPr>
          <w:rFonts w:cs="Arial"/>
        </w:rPr>
        <w:t>O</w:t>
      </w:r>
      <w:r>
        <w:rPr>
          <w:rFonts w:cs="Arial"/>
        </w:rPr>
        <w:t xml:space="preserve">ffice of </w:t>
      </w:r>
      <w:r w:rsidRPr="007E1F40">
        <w:rPr>
          <w:rFonts w:cs="Arial"/>
        </w:rPr>
        <w:t>B</w:t>
      </w:r>
      <w:r>
        <w:rPr>
          <w:rFonts w:cs="Arial"/>
        </w:rPr>
        <w:t xml:space="preserve">est </w:t>
      </w:r>
      <w:r w:rsidRPr="007E1F40">
        <w:rPr>
          <w:rFonts w:cs="Arial"/>
        </w:rPr>
        <w:t>P</w:t>
      </w:r>
      <w:r>
        <w:rPr>
          <w:rFonts w:cs="Arial"/>
        </w:rPr>
        <w:t xml:space="preserve">ractice </w:t>
      </w:r>
      <w:r w:rsidRPr="007E1F40">
        <w:rPr>
          <w:rFonts w:cs="Arial"/>
        </w:rPr>
        <w:t>R</w:t>
      </w:r>
      <w:r>
        <w:rPr>
          <w:rFonts w:cs="Arial"/>
        </w:rPr>
        <w:t>egulation</w:t>
      </w:r>
      <w:r w:rsidRPr="007E1F40">
        <w:rPr>
          <w:rFonts w:cs="Arial"/>
        </w:rPr>
        <w:t xml:space="preserve"> advised a Regulat</w:t>
      </w:r>
      <w:r>
        <w:rPr>
          <w:rFonts w:cs="Arial"/>
        </w:rPr>
        <w:t>ion Impact Statement was</w:t>
      </w:r>
      <w:r w:rsidR="00C84B84">
        <w:rPr>
          <w:rFonts w:cs="Arial"/>
        </w:rPr>
        <w:t xml:space="preserve"> not required</w:t>
      </w:r>
      <w:r w:rsidR="00C84B84" w:rsidRPr="00C84B84">
        <w:rPr>
          <w:iCs/>
        </w:rPr>
        <w:t xml:space="preserve"> </w:t>
      </w:r>
      <w:r w:rsidR="00C84B84">
        <w:rPr>
          <w:iCs/>
        </w:rPr>
        <w:t>(OBPR reference ID 25710).</w:t>
      </w:r>
    </w:p>
    <w:sectPr w:rsidR="00DA148C" w:rsidRPr="002A6437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19FF" w14:textId="77777777" w:rsidR="006042DB" w:rsidRDefault="006042DB" w:rsidP="004B4412">
      <w:pPr>
        <w:spacing w:before="0"/>
      </w:pPr>
      <w:r>
        <w:separator/>
      </w:r>
    </w:p>
  </w:endnote>
  <w:endnote w:type="continuationSeparator" w:id="0">
    <w:p w14:paraId="2D080A6B" w14:textId="77777777" w:rsidR="006042DB" w:rsidRDefault="006042DB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3398" w14:textId="77777777" w:rsidR="00691616" w:rsidRDefault="00691616">
    <w:pPr>
      <w:pStyle w:val="Footer"/>
    </w:pPr>
  </w:p>
  <w:p w14:paraId="4BD8157A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A469" w14:textId="77777777" w:rsidR="006042DB" w:rsidRDefault="006042DB" w:rsidP="004B4412">
      <w:pPr>
        <w:spacing w:before="0"/>
      </w:pPr>
      <w:r>
        <w:separator/>
      </w:r>
    </w:p>
  </w:footnote>
  <w:footnote w:type="continuationSeparator" w:id="0">
    <w:p w14:paraId="0C69A703" w14:textId="77777777" w:rsidR="006042DB" w:rsidRDefault="006042DB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75277F3"/>
    <w:multiLevelType w:val="hybridMultilevel"/>
    <w:tmpl w:val="CB3C4AA6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7A7C5A"/>
    <w:multiLevelType w:val="hybridMultilevel"/>
    <w:tmpl w:val="96280602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68A5C55"/>
    <w:multiLevelType w:val="hybridMultilevel"/>
    <w:tmpl w:val="FBF69B80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9F812D1"/>
    <w:multiLevelType w:val="hybridMultilevel"/>
    <w:tmpl w:val="0B8081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F38EA"/>
    <w:multiLevelType w:val="hybridMultilevel"/>
    <w:tmpl w:val="52B66BDC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9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0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4"/>
  </w:num>
  <w:num w:numId="10">
    <w:abstractNumId w:val="17"/>
  </w:num>
  <w:num w:numId="11">
    <w:abstractNumId w:val="10"/>
  </w:num>
  <w:num w:numId="12">
    <w:abstractNumId w:val="13"/>
  </w:num>
  <w:num w:numId="13">
    <w:abstractNumId w:val="16"/>
  </w:num>
  <w:num w:numId="14">
    <w:abstractNumId w:val="2"/>
  </w:num>
  <w:num w:numId="15">
    <w:abstractNumId w:val="27"/>
  </w:num>
  <w:num w:numId="16">
    <w:abstractNumId w:val="30"/>
  </w:num>
  <w:num w:numId="17">
    <w:abstractNumId w:val="29"/>
  </w:num>
  <w:num w:numId="18">
    <w:abstractNumId w:val="21"/>
  </w:num>
  <w:num w:numId="19">
    <w:abstractNumId w:val="15"/>
  </w:num>
  <w:num w:numId="20">
    <w:abstractNumId w:val="18"/>
  </w:num>
  <w:num w:numId="21">
    <w:abstractNumId w:val="28"/>
  </w:num>
  <w:num w:numId="22">
    <w:abstractNumId w:val="22"/>
  </w:num>
  <w:num w:numId="23">
    <w:abstractNumId w:val="8"/>
  </w:num>
  <w:num w:numId="24">
    <w:abstractNumId w:val="3"/>
  </w:num>
  <w:num w:numId="25">
    <w:abstractNumId w:val="20"/>
  </w:num>
  <w:num w:numId="26">
    <w:abstractNumId w:val="12"/>
  </w:num>
  <w:num w:numId="27">
    <w:abstractNumId w:val="23"/>
  </w:num>
  <w:num w:numId="28">
    <w:abstractNumId w:val="25"/>
  </w:num>
  <w:num w:numId="29">
    <w:abstractNumId w:val="9"/>
  </w:num>
  <w:num w:numId="30">
    <w:abstractNumId w:val="19"/>
  </w:num>
  <w:num w:numId="31">
    <w:abstractNumId w:val="14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DA148C"/>
    <w:rsid w:val="00007A41"/>
    <w:rsid w:val="0002115F"/>
    <w:rsid w:val="00021202"/>
    <w:rsid w:val="000225C4"/>
    <w:rsid w:val="0002508C"/>
    <w:rsid w:val="0003578C"/>
    <w:rsid w:val="00063247"/>
    <w:rsid w:val="00070F9F"/>
    <w:rsid w:val="0007137B"/>
    <w:rsid w:val="00085663"/>
    <w:rsid w:val="00085EBF"/>
    <w:rsid w:val="000A796B"/>
    <w:rsid w:val="000D11E3"/>
    <w:rsid w:val="000D122C"/>
    <w:rsid w:val="000E1819"/>
    <w:rsid w:val="000E6C72"/>
    <w:rsid w:val="000F2368"/>
    <w:rsid w:val="00110689"/>
    <w:rsid w:val="00116EB2"/>
    <w:rsid w:val="00124609"/>
    <w:rsid w:val="00137226"/>
    <w:rsid w:val="00142881"/>
    <w:rsid w:val="001566F9"/>
    <w:rsid w:val="001573E4"/>
    <w:rsid w:val="00160756"/>
    <w:rsid w:val="00160BB6"/>
    <w:rsid w:val="001647ED"/>
    <w:rsid w:val="0017232E"/>
    <w:rsid w:val="00174102"/>
    <w:rsid w:val="00180157"/>
    <w:rsid w:val="00181223"/>
    <w:rsid w:val="00186F77"/>
    <w:rsid w:val="001926A4"/>
    <w:rsid w:val="001A1F54"/>
    <w:rsid w:val="001A3A19"/>
    <w:rsid w:val="001B246B"/>
    <w:rsid w:val="001B45A0"/>
    <w:rsid w:val="001B7FEA"/>
    <w:rsid w:val="001C18EE"/>
    <w:rsid w:val="001D055E"/>
    <w:rsid w:val="001D1A23"/>
    <w:rsid w:val="001F492E"/>
    <w:rsid w:val="001F61C9"/>
    <w:rsid w:val="001F6DA3"/>
    <w:rsid w:val="00203709"/>
    <w:rsid w:val="00212737"/>
    <w:rsid w:val="002161E5"/>
    <w:rsid w:val="00220D70"/>
    <w:rsid w:val="002235CF"/>
    <w:rsid w:val="00224DB9"/>
    <w:rsid w:val="002342D2"/>
    <w:rsid w:val="00251745"/>
    <w:rsid w:val="0026168F"/>
    <w:rsid w:val="00263AC0"/>
    <w:rsid w:val="0026772D"/>
    <w:rsid w:val="00286874"/>
    <w:rsid w:val="00296B65"/>
    <w:rsid w:val="002A7DEF"/>
    <w:rsid w:val="002E2F99"/>
    <w:rsid w:val="002E4614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71C8E"/>
    <w:rsid w:val="003846F1"/>
    <w:rsid w:val="00386D03"/>
    <w:rsid w:val="00391C4A"/>
    <w:rsid w:val="00394ACD"/>
    <w:rsid w:val="003A673F"/>
    <w:rsid w:val="003B5A70"/>
    <w:rsid w:val="003C4D60"/>
    <w:rsid w:val="0041638D"/>
    <w:rsid w:val="00425D9C"/>
    <w:rsid w:val="00443DC6"/>
    <w:rsid w:val="00454DFE"/>
    <w:rsid w:val="00462462"/>
    <w:rsid w:val="00465AA8"/>
    <w:rsid w:val="0047414C"/>
    <w:rsid w:val="00475DDE"/>
    <w:rsid w:val="00480B4B"/>
    <w:rsid w:val="00485DC4"/>
    <w:rsid w:val="004A4DC3"/>
    <w:rsid w:val="004B4412"/>
    <w:rsid w:val="004C348C"/>
    <w:rsid w:val="004D1733"/>
    <w:rsid w:val="004D55BA"/>
    <w:rsid w:val="005038DB"/>
    <w:rsid w:val="0052379B"/>
    <w:rsid w:val="00530128"/>
    <w:rsid w:val="005315C1"/>
    <w:rsid w:val="00532467"/>
    <w:rsid w:val="00547BA2"/>
    <w:rsid w:val="00547CCF"/>
    <w:rsid w:val="00564A4D"/>
    <w:rsid w:val="00571B35"/>
    <w:rsid w:val="00571C9F"/>
    <w:rsid w:val="00577A09"/>
    <w:rsid w:val="00580B78"/>
    <w:rsid w:val="00582BFB"/>
    <w:rsid w:val="00584D8F"/>
    <w:rsid w:val="00587B33"/>
    <w:rsid w:val="00596D42"/>
    <w:rsid w:val="005A404D"/>
    <w:rsid w:val="005B1E3C"/>
    <w:rsid w:val="005B5858"/>
    <w:rsid w:val="005C24AC"/>
    <w:rsid w:val="005C26CC"/>
    <w:rsid w:val="005C4F9B"/>
    <w:rsid w:val="005E3FCE"/>
    <w:rsid w:val="005E6C0E"/>
    <w:rsid w:val="005F138D"/>
    <w:rsid w:val="006042DB"/>
    <w:rsid w:val="00615C6B"/>
    <w:rsid w:val="00632D6D"/>
    <w:rsid w:val="00642C3E"/>
    <w:rsid w:val="00644ABA"/>
    <w:rsid w:val="00646025"/>
    <w:rsid w:val="00663DAD"/>
    <w:rsid w:val="00676679"/>
    <w:rsid w:val="00691616"/>
    <w:rsid w:val="00695125"/>
    <w:rsid w:val="006B4CF9"/>
    <w:rsid w:val="006B7AC8"/>
    <w:rsid w:val="006C5F6C"/>
    <w:rsid w:val="006D550F"/>
    <w:rsid w:val="006D77F3"/>
    <w:rsid w:val="006E33EF"/>
    <w:rsid w:val="00701CAB"/>
    <w:rsid w:val="00707563"/>
    <w:rsid w:val="0072348C"/>
    <w:rsid w:val="00724A37"/>
    <w:rsid w:val="007303C3"/>
    <w:rsid w:val="00743223"/>
    <w:rsid w:val="00746E01"/>
    <w:rsid w:val="007552D2"/>
    <w:rsid w:val="00763E5D"/>
    <w:rsid w:val="00767740"/>
    <w:rsid w:val="00775671"/>
    <w:rsid w:val="00777EE6"/>
    <w:rsid w:val="00782EEA"/>
    <w:rsid w:val="007A6E87"/>
    <w:rsid w:val="007B2C72"/>
    <w:rsid w:val="007C1C53"/>
    <w:rsid w:val="007D1AC0"/>
    <w:rsid w:val="007D71A3"/>
    <w:rsid w:val="007E26A9"/>
    <w:rsid w:val="007E3708"/>
    <w:rsid w:val="007E40D3"/>
    <w:rsid w:val="007E4904"/>
    <w:rsid w:val="007E4CB5"/>
    <w:rsid w:val="007E4DBC"/>
    <w:rsid w:val="007F066B"/>
    <w:rsid w:val="007F2258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B3764"/>
    <w:rsid w:val="008C5486"/>
    <w:rsid w:val="008D32C8"/>
    <w:rsid w:val="008E7031"/>
    <w:rsid w:val="008F23FE"/>
    <w:rsid w:val="00922C95"/>
    <w:rsid w:val="009233EE"/>
    <w:rsid w:val="0093685A"/>
    <w:rsid w:val="00961F6E"/>
    <w:rsid w:val="009661DE"/>
    <w:rsid w:val="009856B7"/>
    <w:rsid w:val="0098602B"/>
    <w:rsid w:val="00991B3B"/>
    <w:rsid w:val="009962BA"/>
    <w:rsid w:val="009B74B0"/>
    <w:rsid w:val="009D4414"/>
    <w:rsid w:val="009D6B46"/>
    <w:rsid w:val="009D781E"/>
    <w:rsid w:val="009E0B36"/>
    <w:rsid w:val="009F4940"/>
    <w:rsid w:val="00A0075A"/>
    <w:rsid w:val="00A0248C"/>
    <w:rsid w:val="00A05561"/>
    <w:rsid w:val="00A072C5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26F0"/>
    <w:rsid w:val="00AC3264"/>
    <w:rsid w:val="00AC3E35"/>
    <w:rsid w:val="00AC6F01"/>
    <w:rsid w:val="00AD008C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5608"/>
    <w:rsid w:val="00B56E03"/>
    <w:rsid w:val="00B60F5D"/>
    <w:rsid w:val="00B62438"/>
    <w:rsid w:val="00B64FB0"/>
    <w:rsid w:val="00B67E91"/>
    <w:rsid w:val="00B8080B"/>
    <w:rsid w:val="00B809B4"/>
    <w:rsid w:val="00B87C39"/>
    <w:rsid w:val="00B90C07"/>
    <w:rsid w:val="00B94CBF"/>
    <w:rsid w:val="00BA4665"/>
    <w:rsid w:val="00BB2FB2"/>
    <w:rsid w:val="00BB3304"/>
    <w:rsid w:val="00BD108D"/>
    <w:rsid w:val="00BD3446"/>
    <w:rsid w:val="00BE0328"/>
    <w:rsid w:val="00BE1F1B"/>
    <w:rsid w:val="00BE47B5"/>
    <w:rsid w:val="00BE4C99"/>
    <w:rsid w:val="00BF4757"/>
    <w:rsid w:val="00C058AB"/>
    <w:rsid w:val="00C0654D"/>
    <w:rsid w:val="00C06739"/>
    <w:rsid w:val="00C07A63"/>
    <w:rsid w:val="00C32A8B"/>
    <w:rsid w:val="00C4603F"/>
    <w:rsid w:val="00C471F1"/>
    <w:rsid w:val="00C538A9"/>
    <w:rsid w:val="00C53B5A"/>
    <w:rsid w:val="00C54F5A"/>
    <w:rsid w:val="00C54F6F"/>
    <w:rsid w:val="00C71B13"/>
    <w:rsid w:val="00C755AD"/>
    <w:rsid w:val="00C84B84"/>
    <w:rsid w:val="00C86679"/>
    <w:rsid w:val="00C94E4B"/>
    <w:rsid w:val="00C96484"/>
    <w:rsid w:val="00CB666B"/>
    <w:rsid w:val="00CE0125"/>
    <w:rsid w:val="00CF0312"/>
    <w:rsid w:val="00CF799E"/>
    <w:rsid w:val="00D01CF0"/>
    <w:rsid w:val="00D0442A"/>
    <w:rsid w:val="00D203E1"/>
    <w:rsid w:val="00D23723"/>
    <w:rsid w:val="00D27AB8"/>
    <w:rsid w:val="00D46E28"/>
    <w:rsid w:val="00D521D5"/>
    <w:rsid w:val="00D544B8"/>
    <w:rsid w:val="00D57406"/>
    <w:rsid w:val="00D601B3"/>
    <w:rsid w:val="00D61388"/>
    <w:rsid w:val="00D61A54"/>
    <w:rsid w:val="00D6480F"/>
    <w:rsid w:val="00D64DEA"/>
    <w:rsid w:val="00D71858"/>
    <w:rsid w:val="00D80893"/>
    <w:rsid w:val="00D92CF1"/>
    <w:rsid w:val="00D92D38"/>
    <w:rsid w:val="00D950F5"/>
    <w:rsid w:val="00DA148C"/>
    <w:rsid w:val="00DB0F93"/>
    <w:rsid w:val="00DC3242"/>
    <w:rsid w:val="00DC50E1"/>
    <w:rsid w:val="00DC542F"/>
    <w:rsid w:val="00DC7981"/>
    <w:rsid w:val="00DD3717"/>
    <w:rsid w:val="00DE4EFA"/>
    <w:rsid w:val="00DE5520"/>
    <w:rsid w:val="00DF29B4"/>
    <w:rsid w:val="00E04818"/>
    <w:rsid w:val="00E06442"/>
    <w:rsid w:val="00E15E71"/>
    <w:rsid w:val="00E23993"/>
    <w:rsid w:val="00E25B8C"/>
    <w:rsid w:val="00E27642"/>
    <w:rsid w:val="00E4467E"/>
    <w:rsid w:val="00E4674F"/>
    <w:rsid w:val="00E65C85"/>
    <w:rsid w:val="00E66199"/>
    <w:rsid w:val="00E755EC"/>
    <w:rsid w:val="00E7624D"/>
    <w:rsid w:val="00E96001"/>
    <w:rsid w:val="00EA209E"/>
    <w:rsid w:val="00EA3D42"/>
    <w:rsid w:val="00EA6B1B"/>
    <w:rsid w:val="00EC1627"/>
    <w:rsid w:val="00EE28F3"/>
    <w:rsid w:val="00EF5110"/>
    <w:rsid w:val="00F041DE"/>
    <w:rsid w:val="00F119E5"/>
    <w:rsid w:val="00F1375E"/>
    <w:rsid w:val="00F15882"/>
    <w:rsid w:val="00F20BD3"/>
    <w:rsid w:val="00F30DE1"/>
    <w:rsid w:val="00F3329A"/>
    <w:rsid w:val="00F373A5"/>
    <w:rsid w:val="00F47559"/>
    <w:rsid w:val="00F60BE4"/>
    <w:rsid w:val="00F61B84"/>
    <w:rsid w:val="00F64650"/>
    <w:rsid w:val="00F64C7B"/>
    <w:rsid w:val="00F676DD"/>
    <w:rsid w:val="00F75948"/>
    <w:rsid w:val="00F75A26"/>
    <w:rsid w:val="00F83FAD"/>
    <w:rsid w:val="00F91DC6"/>
    <w:rsid w:val="00F93017"/>
    <w:rsid w:val="00F952A0"/>
    <w:rsid w:val="00FA3C7F"/>
    <w:rsid w:val="00FA4E09"/>
    <w:rsid w:val="00FB52D7"/>
    <w:rsid w:val="00FB74E2"/>
    <w:rsid w:val="00FD5437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6870"/>
  <w15:chartTrackingRefBased/>
  <w15:docId w15:val="{DFB507AF-AE70-42BE-842F-9379AD67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8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Default">
    <w:name w:val="Default"/>
    <w:rsid w:val="00644ABA"/>
    <w:pPr>
      <w:autoSpaceDE w:val="0"/>
      <w:autoSpaceDN w:val="0"/>
      <w:adjustRightInd w:val="0"/>
      <w:spacing w:before="0"/>
    </w:pPr>
    <w:rPr>
      <w:rFonts w:ascii="Lucida Fax" w:hAnsi="Lucida Fax" w:cs="Lucida Fax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61E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5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AA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AA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is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iglobal.com" TargetMode="Externa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DB3F09-ED5E-4748-9A1A-87E6EB1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Ip Hee Wai, Maureen</dc:creator>
  <cp:keywords/>
  <dc:description/>
  <cp:lastModifiedBy>Ip Hee Wai, Maureen</cp:lastModifiedBy>
  <cp:revision>2</cp:revision>
  <dcterms:created xsi:type="dcterms:W3CDTF">2021-07-28T00:38:00Z</dcterms:created>
  <dcterms:modified xsi:type="dcterms:W3CDTF">2021-07-28T00:38:00Z</dcterms:modified>
</cp:coreProperties>
</file>