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EA79" w14:textId="77777777" w:rsidR="00097258" w:rsidRDefault="001F2A16" w:rsidP="00C15E9A">
      <w:pPr>
        <w:pStyle w:val="Header"/>
        <w:pBdr>
          <w:top w:val="double" w:sz="4" w:space="1" w:color="auto"/>
          <w:bottom w:val="double" w:sz="4" w:space="1" w:color="auto"/>
        </w:pBdr>
        <w:tabs>
          <w:tab w:val="clear" w:pos="4153"/>
          <w:tab w:val="clear" w:pos="8306"/>
          <w:tab w:val="left" w:pos="1134"/>
        </w:tabs>
        <w:jc w:val="center"/>
        <w:rPr>
          <w:rFonts w:ascii="Arial" w:hAnsi="Arial" w:cs="Arial"/>
          <w:sz w:val="34"/>
          <w:szCs w:val="34"/>
        </w:rPr>
      </w:pPr>
      <w:r w:rsidRPr="00FE0CDA">
        <w:rPr>
          <w:rFonts w:ascii="Arial" w:hAnsi="Arial" w:cs="Arial"/>
          <w:sz w:val="34"/>
          <w:szCs w:val="34"/>
        </w:rPr>
        <w:t>Explanatory Statement</w:t>
      </w:r>
    </w:p>
    <w:p w14:paraId="3AB8A45F" w14:textId="51795C7C" w:rsidR="00B73DC1" w:rsidRPr="00FE0CDA" w:rsidRDefault="00B73DC1"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5532095C" w14:textId="072A6D1E" w:rsidR="00097258" w:rsidRDefault="00B46AF5" w:rsidP="00A137B7">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B46AF5">
        <w:rPr>
          <w:rFonts w:ascii="Arial" w:hAnsi="Arial" w:cs="Arial"/>
          <w:bCs/>
          <w:kern w:val="36"/>
          <w:sz w:val="34"/>
          <w:szCs w:val="34"/>
        </w:rPr>
        <w:t>Taxation Administration</w:t>
      </w:r>
      <w:r>
        <w:rPr>
          <w:rFonts w:ascii="Arial" w:hAnsi="Arial" w:cs="Arial"/>
          <w:bCs/>
          <w:kern w:val="36"/>
          <w:sz w:val="34"/>
          <w:szCs w:val="34"/>
        </w:rPr>
        <w:t xml:space="preserve"> – </w:t>
      </w:r>
      <w:r w:rsidR="00B0760F" w:rsidRPr="00FE0CDA">
        <w:rPr>
          <w:rFonts w:ascii="Arial" w:hAnsi="Arial" w:cs="Arial"/>
          <w:bCs/>
          <w:kern w:val="36"/>
          <w:sz w:val="34"/>
          <w:szCs w:val="34"/>
        </w:rPr>
        <w:t xml:space="preserve">Single Touch Payroll – </w:t>
      </w:r>
      <w:r w:rsidR="000C0912">
        <w:rPr>
          <w:rFonts w:ascii="Arial" w:hAnsi="Arial" w:cs="Arial"/>
          <w:bCs/>
          <w:kern w:val="36"/>
          <w:sz w:val="34"/>
          <w:szCs w:val="34"/>
        </w:rPr>
        <w:t>20</w:t>
      </w:r>
      <w:r w:rsidR="00097258">
        <w:rPr>
          <w:rFonts w:ascii="Arial" w:hAnsi="Arial" w:cs="Arial"/>
          <w:bCs/>
          <w:kern w:val="36"/>
          <w:sz w:val="34"/>
          <w:szCs w:val="34"/>
        </w:rPr>
        <w:t>19</w:t>
      </w:r>
      <w:r w:rsidR="00097258">
        <w:rPr>
          <w:rFonts w:ascii="Arial" w:hAnsi="Arial" w:cs="Arial"/>
          <w:bCs/>
          <w:kern w:val="36"/>
          <w:sz w:val="34"/>
          <w:szCs w:val="34"/>
        </w:rPr>
        <w:noBreakHyphen/>
        <w:t>20</w:t>
      </w:r>
      <w:r w:rsidR="000C0912">
        <w:rPr>
          <w:rFonts w:ascii="Arial" w:hAnsi="Arial" w:cs="Arial"/>
          <w:bCs/>
          <w:kern w:val="36"/>
          <w:sz w:val="34"/>
          <w:szCs w:val="34"/>
        </w:rPr>
        <w:t xml:space="preserve"> and 20</w:t>
      </w:r>
      <w:r w:rsidR="00097258">
        <w:rPr>
          <w:rFonts w:ascii="Arial" w:hAnsi="Arial" w:cs="Arial"/>
          <w:bCs/>
          <w:kern w:val="36"/>
          <w:sz w:val="34"/>
          <w:szCs w:val="34"/>
        </w:rPr>
        <w:t>20</w:t>
      </w:r>
      <w:r w:rsidR="00097258">
        <w:rPr>
          <w:rFonts w:ascii="Arial" w:hAnsi="Arial" w:cs="Arial"/>
          <w:bCs/>
          <w:kern w:val="36"/>
          <w:sz w:val="34"/>
          <w:szCs w:val="34"/>
        </w:rPr>
        <w:noBreakHyphen/>
        <w:t>21</w:t>
      </w:r>
      <w:r w:rsidR="000C0912">
        <w:rPr>
          <w:rFonts w:ascii="Arial" w:hAnsi="Arial" w:cs="Arial"/>
          <w:bCs/>
          <w:kern w:val="36"/>
          <w:sz w:val="34"/>
          <w:szCs w:val="34"/>
        </w:rPr>
        <w:t xml:space="preserve"> </w:t>
      </w:r>
      <w:r w:rsidR="00A90255">
        <w:rPr>
          <w:rFonts w:ascii="Arial" w:hAnsi="Arial" w:cs="Arial"/>
          <w:bCs/>
          <w:kern w:val="36"/>
          <w:sz w:val="34"/>
          <w:szCs w:val="34"/>
        </w:rPr>
        <w:t xml:space="preserve">Income </w:t>
      </w:r>
      <w:r w:rsidR="00E33D89">
        <w:rPr>
          <w:rFonts w:ascii="Arial" w:hAnsi="Arial" w:cs="Arial"/>
          <w:bCs/>
          <w:kern w:val="36"/>
          <w:sz w:val="34"/>
          <w:szCs w:val="34"/>
        </w:rPr>
        <w:t>Y</w:t>
      </w:r>
      <w:r w:rsidR="000C0912">
        <w:rPr>
          <w:rFonts w:ascii="Arial" w:hAnsi="Arial" w:cs="Arial"/>
          <w:bCs/>
          <w:kern w:val="36"/>
          <w:sz w:val="34"/>
          <w:szCs w:val="34"/>
        </w:rPr>
        <w:t>ear</w:t>
      </w:r>
      <w:r w:rsidR="00E33D89">
        <w:rPr>
          <w:rFonts w:ascii="Arial" w:hAnsi="Arial" w:cs="Arial"/>
          <w:bCs/>
          <w:kern w:val="36"/>
          <w:sz w:val="34"/>
          <w:szCs w:val="34"/>
        </w:rPr>
        <w:t>s</w:t>
      </w:r>
      <w:r w:rsidR="000C0912">
        <w:rPr>
          <w:rFonts w:ascii="Arial" w:hAnsi="Arial" w:cs="Arial"/>
          <w:bCs/>
          <w:kern w:val="36"/>
          <w:sz w:val="34"/>
          <w:szCs w:val="34"/>
        </w:rPr>
        <w:t xml:space="preserve"> Closely Held Payees </w:t>
      </w:r>
      <w:r w:rsidR="00C46F0E">
        <w:rPr>
          <w:rFonts w:ascii="Arial" w:hAnsi="Arial" w:cs="Arial"/>
          <w:sz w:val="34"/>
          <w:szCs w:val="34"/>
        </w:rPr>
        <w:t xml:space="preserve">Exemption </w:t>
      </w:r>
      <w:r w:rsidR="000C0912">
        <w:rPr>
          <w:rFonts w:ascii="Arial" w:hAnsi="Arial" w:cs="Arial"/>
          <w:sz w:val="34"/>
          <w:szCs w:val="34"/>
        </w:rPr>
        <w:t>202</w:t>
      </w:r>
      <w:r w:rsidR="00E33D89">
        <w:rPr>
          <w:rFonts w:ascii="Arial" w:hAnsi="Arial" w:cs="Arial"/>
          <w:sz w:val="34"/>
          <w:szCs w:val="34"/>
        </w:rPr>
        <w:t>1</w:t>
      </w:r>
    </w:p>
    <w:p w14:paraId="3E28B410" w14:textId="5778ED3C" w:rsidR="0099555F" w:rsidRDefault="0099555F" w:rsidP="0099555F">
      <w:pPr>
        <w:pStyle w:val="Header"/>
        <w:tabs>
          <w:tab w:val="clear" w:pos="4153"/>
          <w:tab w:val="clear" w:pos="8306"/>
        </w:tabs>
        <w:jc w:val="center"/>
        <w:rPr>
          <w:rFonts w:ascii="Arial" w:hAnsi="Arial" w:cs="Arial"/>
          <w:szCs w:val="24"/>
        </w:rPr>
      </w:pPr>
    </w:p>
    <w:p w14:paraId="3A9095B7" w14:textId="77777777" w:rsidR="001F2A16" w:rsidRPr="002C06D1" w:rsidRDefault="001F2A16" w:rsidP="0099555F">
      <w:pPr>
        <w:pStyle w:val="Header"/>
        <w:tabs>
          <w:tab w:val="clear" w:pos="4153"/>
          <w:tab w:val="clear" w:pos="8306"/>
        </w:tabs>
        <w:jc w:val="center"/>
        <w:rPr>
          <w:rFonts w:ascii="Arial" w:hAnsi="Arial" w:cs="Arial"/>
          <w:sz w:val="22"/>
          <w:szCs w:val="22"/>
        </w:rPr>
      </w:pPr>
    </w:p>
    <w:p w14:paraId="57CC6765" w14:textId="334EBADB" w:rsidR="00486653" w:rsidRPr="00197FDA" w:rsidRDefault="00486653" w:rsidP="00197FDA">
      <w:pPr>
        <w:pStyle w:val="Heading2"/>
        <w:rPr>
          <w:rFonts w:cs="Arial"/>
          <w:szCs w:val="22"/>
        </w:rPr>
      </w:pPr>
      <w:r w:rsidRPr="00197FDA">
        <w:rPr>
          <w:rFonts w:cs="Arial"/>
          <w:szCs w:val="22"/>
        </w:rPr>
        <w:t xml:space="preserve">General </w:t>
      </w:r>
      <w:r w:rsidR="00166509">
        <w:rPr>
          <w:rFonts w:cs="Arial"/>
          <w:szCs w:val="22"/>
        </w:rPr>
        <w:t>o</w:t>
      </w:r>
      <w:r w:rsidRPr="00197FDA">
        <w:rPr>
          <w:rFonts w:cs="Arial"/>
          <w:szCs w:val="22"/>
        </w:rPr>
        <w:t xml:space="preserve">utline of </w:t>
      </w:r>
      <w:r w:rsidR="00166509">
        <w:rPr>
          <w:rFonts w:cs="Arial"/>
          <w:szCs w:val="22"/>
        </w:rPr>
        <w:t>i</w:t>
      </w:r>
      <w:r w:rsidRPr="00197FDA">
        <w:rPr>
          <w:rFonts w:cs="Arial"/>
          <w:szCs w:val="22"/>
        </w:rPr>
        <w:t>nstrument</w:t>
      </w:r>
    </w:p>
    <w:p w14:paraId="57A76655" w14:textId="5FEBBD7C" w:rsidR="00486653" w:rsidRPr="00197FDA" w:rsidRDefault="00486653"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This </w:t>
      </w:r>
      <w:r w:rsidR="00707974">
        <w:rPr>
          <w:rFonts w:ascii="Arial" w:hAnsi="Arial" w:cs="Arial"/>
          <w:sz w:val="22"/>
          <w:szCs w:val="22"/>
        </w:rPr>
        <w:t>i</w:t>
      </w:r>
      <w:r w:rsidR="00707974" w:rsidRPr="00197FDA">
        <w:rPr>
          <w:rFonts w:ascii="Arial" w:hAnsi="Arial" w:cs="Arial"/>
          <w:sz w:val="22"/>
          <w:szCs w:val="22"/>
        </w:rPr>
        <w:t xml:space="preserve">nstrument </w:t>
      </w:r>
      <w:r w:rsidRPr="00197FDA">
        <w:rPr>
          <w:rFonts w:ascii="Arial" w:hAnsi="Arial" w:cs="Arial"/>
          <w:sz w:val="22"/>
          <w:szCs w:val="22"/>
        </w:rPr>
        <w:t>is made under</w:t>
      </w:r>
      <w:r w:rsidR="00B73DC1" w:rsidRPr="00197FDA">
        <w:rPr>
          <w:rFonts w:ascii="Arial" w:hAnsi="Arial" w:cs="Arial"/>
          <w:sz w:val="22"/>
          <w:szCs w:val="22"/>
        </w:rPr>
        <w:t xml:space="preserve"> </w:t>
      </w:r>
      <w:r w:rsidR="00FD62D0" w:rsidRPr="00197FDA">
        <w:rPr>
          <w:rFonts w:ascii="Arial" w:hAnsi="Arial" w:cs="Arial"/>
          <w:sz w:val="22"/>
          <w:szCs w:val="22"/>
        </w:rPr>
        <w:t>sub</w:t>
      </w:r>
      <w:r w:rsidR="008E15EC" w:rsidRPr="00197FDA">
        <w:rPr>
          <w:rFonts w:ascii="Arial" w:hAnsi="Arial" w:cs="Arial"/>
          <w:sz w:val="22"/>
          <w:szCs w:val="22"/>
        </w:rPr>
        <w:t>section</w:t>
      </w:r>
      <w:r w:rsidR="00B0760F" w:rsidRPr="00197FDA">
        <w:rPr>
          <w:rFonts w:ascii="Arial" w:hAnsi="Arial" w:cs="Arial"/>
          <w:sz w:val="22"/>
          <w:szCs w:val="22"/>
        </w:rPr>
        <w:t xml:space="preserve"> 389-</w:t>
      </w:r>
      <w:r w:rsidR="00710C40" w:rsidRPr="00197FDA">
        <w:rPr>
          <w:rFonts w:ascii="Arial" w:hAnsi="Arial" w:cs="Arial"/>
          <w:sz w:val="22"/>
          <w:szCs w:val="22"/>
        </w:rPr>
        <w:t>10</w:t>
      </w:r>
      <w:r w:rsidR="00FD62D0" w:rsidRPr="00197FDA">
        <w:rPr>
          <w:rFonts w:ascii="Arial" w:hAnsi="Arial" w:cs="Arial"/>
          <w:sz w:val="22"/>
          <w:szCs w:val="22"/>
        </w:rPr>
        <w:t>(1)</w:t>
      </w:r>
      <w:r w:rsidR="008E15EC" w:rsidRPr="00197FDA">
        <w:rPr>
          <w:rFonts w:ascii="Arial" w:hAnsi="Arial" w:cs="Arial"/>
          <w:sz w:val="22"/>
          <w:szCs w:val="22"/>
        </w:rPr>
        <w:t xml:space="preserve"> </w:t>
      </w:r>
      <w:r w:rsidR="00B0760F" w:rsidRPr="00197FDA">
        <w:rPr>
          <w:rFonts w:ascii="Arial" w:hAnsi="Arial" w:cs="Arial"/>
          <w:sz w:val="22"/>
          <w:szCs w:val="22"/>
        </w:rPr>
        <w:t>of S</w:t>
      </w:r>
      <w:r w:rsidR="00B73DC1" w:rsidRPr="00197FDA">
        <w:rPr>
          <w:rFonts w:ascii="Arial" w:hAnsi="Arial" w:cs="Arial"/>
          <w:sz w:val="22"/>
          <w:szCs w:val="22"/>
        </w:rPr>
        <w:t xml:space="preserve">chedule 1 to the </w:t>
      </w:r>
      <w:r w:rsidR="00B73DC1" w:rsidRPr="00197FDA">
        <w:rPr>
          <w:rFonts w:ascii="Arial" w:hAnsi="Arial" w:cs="Arial"/>
          <w:i/>
          <w:iCs/>
          <w:sz w:val="22"/>
          <w:szCs w:val="22"/>
        </w:rPr>
        <w:t>Taxation Administration Act 1953</w:t>
      </w:r>
      <w:r w:rsidR="00C364C0" w:rsidRPr="00197FDA">
        <w:rPr>
          <w:rFonts w:ascii="Arial" w:hAnsi="Arial" w:cs="Arial"/>
          <w:iCs/>
          <w:sz w:val="22"/>
          <w:szCs w:val="22"/>
        </w:rPr>
        <w:t xml:space="preserve"> (</w:t>
      </w:r>
      <w:r w:rsidR="00C364C0" w:rsidRPr="00082C71">
        <w:rPr>
          <w:rFonts w:ascii="Arial" w:hAnsi="Arial" w:cs="Arial"/>
          <w:iCs/>
          <w:sz w:val="22"/>
          <w:szCs w:val="22"/>
        </w:rPr>
        <w:t>TAA 1953</w:t>
      </w:r>
      <w:r w:rsidR="00C364C0" w:rsidRPr="00197FDA">
        <w:rPr>
          <w:rFonts w:ascii="Arial" w:hAnsi="Arial" w:cs="Arial"/>
          <w:iCs/>
          <w:sz w:val="22"/>
          <w:szCs w:val="22"/>
        </w:rPr>
        <w:t>)</w:t>
      </w:r>
      <w:r w:rsidR="00B73DC1" w:rsidRPr="00197FDA">
        <w:rPr>
          <w:rFonts w:ascii="Arial" w:hAnsi="Arial" w:cs="Arial"/>
          <w:sz w:val="22"/>
          <w:szCs w:val="22"/>
        </w:rPr>
        <w:t>.</w:t>
      </w:r>
    </w:p>
    <w:p w14:paraId="4C0DA026" w14:textId="15E907BA" w:rsidR="00B25A2B" w:rsidRPr="00197FDA" w:rsidRDefault="00707974"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Th</w:t>
      </w:r>
      <w:r>
        <w:rPr>
          <w:rFonts w:ascii="Arial" w:hAnsi="Arial" w:cs="Arial"/>
          <w:sz w:val="22"/>
          <w:szCs w:val="22"/>
        </w:rPr>
        <w:t>e</w:t>
      </w:r>
      <w:r w:rsidRPr="00197FDA">
        <w:rPr>
          <w:rFonts w:ascii="Arial" w:hAnsi="Arial" w:cs="Arial"/>
          <w:sz w:val="22"/>
          <w:szCs w:val="22"/>
        </w:rPr>
        <w:t xml:space="preserve"> </w:t>
      </w:r>
      <w:r>
        <w:rPr>
          <w:rFonts w:ascii="Arial" w:hAnsi="Arial" w:cs="Arial"/>
          <w:sz w:val="22"/>
          <w:szCs w:val="22"/>
        </w:rPr>
        <w:t>i</w:t>
      </w:r>
      <w:r w:rsidRPr="00197FDA">
        <w:rPr>
          <w:rFonts w:ascii="Arial" w:hAnsi="Arial" w:cs="Arial"/>
          <w:sz w:val="22"/>
          <w:szCs w:val="22"/>
        </w:rPr>
        <w:t xml:space="preserve">nstrument </w:t>
      </w:r>
      <w:r w:rsidR="00FD62D0" w:rsidRPr="00197FDA">
        <w:rPr>
          <w:rFonts w:ascii="Arial" w:hAnsi="Arial" w:cs="Arial"/>
          <w:sz w:val="22"/>
          <w:szCs w:val="22"/>
        </w:rPr>
        <w:t xml:space="preserve">exempts </w:t>
      </w:r>
      <w:r>
        <w:rPr>
          <w:rFonts w:ascii="Arial" w:hAnsi="Arial" w:cs="Arial"/>
          <w:sz w:val="22"/>
          <w:szCs w:val="22"/>
        </w:rPr>
        <w:t>certain</w:t>
      </w:r>
      <w:r w:rsidRPr="00197FDA">
        <w:rPr>
          <w:rFonts w:ascii="Arial" w:hAnsi="Arial" w:cs="Arial"/>
          <w:sz w:val="22"/>
          <w:szCs w:val="22"/>
        </w:rPr>
        <w:t xml:space="preserve"> </w:t>
      </w:r>
      <w:r w:rsidR="00A137B7" w:rsidRPr="00197FDA">
        <w:rPr>
          <w:rFonts w:ascii="Arial" w:hAnsi="Arial" w:cs="Arial"/>
          <w:sz w:val="22"/>
          <w:szCs w:val="22"/>
        </w:rPr>
        <w:t>entities</w:t>
      </w:r>
      <w:r w:rsidR="00930C81" w:rsidRPr="00197FDA">
        <w:rPr>
          <w:rFonts w:ascii="Arial" w:hAnsi="Arial" w:cs="Arial"/>
          <w:sz w:val="22"/>
          <w:szCs w:val="22"/>
        </w:rPr>
        <w:t xml:space="preserve"> from</w:t>
      </w:r>
      <w:r>
        <w:rPr>
          <w:rFonts w:ascii="Arial" w:hAnsi="Arial" w:cs="Arial"/>
          <w:sz w:val="22"/>
          <w:szCs w:val="22"/>
        </w:rPr>
        <w:t xml:space="preserve"> </w:t>
      </w:r>
      <w:r w:rsidR="00397483">
        <w:rPr>
          <w:rFonts w:ascii="Arial" w:hAnsi="Arial" w:cs="Arial"/>
          <w:sz w:val="22"/>
          <w:szCs w:val="22"/>
        </w:rPr>
        <w:t>the requirement</w:t>
      </w:r>
      <w:r w:rsidR="00930C81" w:rsidRPr="00197FDA">
        <w:rPr>
          <w:rFonts w:ascii="Arial" w:hAnsi="Arial" w:cs="Arial"/>
          <w:sz w:val="22"/>
          <w:szCs w:val="22"/>
        </w:rPr>
        <w:t xml:space="preserve"> to</w:t>
      </w:r>
      <w:r w:rsidR="00DC1E47" w:rsidRPr="00197FDA">
        <w:rPr>
          <w:rFonts w:ascii="Arial" w:hAnsi="Arial" w:cs="Arial"/>
          <w:sz w:val="22"/>
          <w:szCs w:val="22"/>
        </w:rPr>
        <w:t xml:space="preserve"> report </w:t>
      </w:r>
      <w:r w:rsidR="00A137B7" w:rsidRPr="00197FDA">
        <w:rPr>
          <w:rFonts w:ascii="Arial" w:hAnsi="Arial" w:cs="Arial"/>
          <w:sz w:val="22"/>
          <w:szCs w:val="22"/>
        </w:rPr>
        <w:t xml:space="preserve">through </w:t>
      </w:r>
      <w:r w:rsidR="00DC1E47" w:rsidRPr="00197FDA">
        <w:rPr>
          <w:rFonts w:ascii="Arial" w:hAnsi="Arial" w:cs="Arial"/>
          <w:sz w:val="22"/>
          <w:szCs w:val="22"/>
        </w:rPr>
        <w:t>Single Touch Payroll</w:t>
      </w:r>
      <w:r w:rsidR="00715BE9" w:rsidRPr="00197FDA">
        <w:rPr>
          <w:rFonts w:ascii="Arial" w:hAnsi="Arial" w:cs="Arial"/>
          <w:sz w:val="22"/>
          <w:szCs w:val="22"/>
        </w:rPr>
        <w:t xml:space="preserve"> </w:t>
      </w:r>
      <w:r w:rsidR="00894506" w:rsidRPr="00197FDA">
        <w:rPr>
          <w:rFonts w:ascii="Arial" w:hAnsi="Arial" w:cs="Arial"/>
          <w:sz w:val="22"/>
          <w:szCs w:val="22"/>
        </w:rPr>
        <w:t xml:space="preserve">(STP) </w:t>
      </w:r>
      <w:r>
        <w:rPr>
          <w:rFonts w:ascii="Arial" w:hAnsi="Arial" w:cs="Arial"/>
          <w:sz w:val="22"/>
          <w:szCs w:val="22"/>
        </w:rPr>
        <w:t>on</w:t>
      </w:r>
      <w:r w:rsidR="00A137B7" w:rsidRPr="00197FDA">
        <w:rPr>
          <w:rFonts w:ascii="Arial" w:hAnsi="Arial" w:cs="Arial"/>
          <w:sz w:val="22"/>
          <w:szCs w:val="22"/>
        </w:rPr>
        <w:t xml:space="preserve"> </w:t>
      </w:r>
      <w:r w:rsidR="006B2EE1" w:rsidRPr="00197FDA">
        <w:rPr>
          <w:rFonts w:ascii="Arial" w:hAnsi="Arial" w:cs="Arial"/>
          <w:sz w:val="22"/>
          <w:szCs w:val="22"/>
        </w:rPr>
        <w:t xml:space="preserve">payments made to </w:t>
      </w:r>
      <w:r w:rsidR="00BA76F7" w:rsidRPr="00197FDA">
        <w:rPr>
          <w:rFonts w:ascii="Arial" w:hAnsi="Arial" w:cs="Arial"/>
          <w:sz w:val="22"/>
          <w:szCs w:val="22"/>
        </w:rPr>
        <w:t>closely</w:t>
      </w:r>
      <w:r w:rsidR="00EC6007" w:rsidRPr="00197FDA">
        <w:rPr>
          <w:rFonts w:ascii="Arial" w:hAnsi="Arial" w:cs="Arial"/>
          <w:sz w:val="22"/>
          <w:szCs w:val="22"/>
        </w:rPr>
        <w:t xml:space="preserve"> </w:t>
      </w:r>
      <w:r w:rsidR="00BA76F7" w:rsidRPr="00197FDA">
        <w:rPr>
          <w:rFonts w:ascii="Arial" w:hAnsi="Arial" w:cs="Arial"/>
          <w:sz w:val="22"/>
          <w:szCs w:val="22"/>
        </w:rPr>
        <w:t>held</w:t>
      </w:r>
      <w:r w:rsidR="00A137B7" w:rsidRPr="00197FDA">
        <w:rPr>
          <w:rFonts w:ascii="Arial" w:hAnsi="Arial" w:cs="Arial"/>
          <w:sz w:val="22"/>
          <w:szCs w:val="22"/>
        </w:rPr>
        <w:t xml:space="preserve"> payees</w:t>
      </w:r>
      <w:r>
        <w:rPr>
          <w:rFonts w:ascii="Arial" w:hAnsi="Arial" w:cs="Arial"/>
          <w:sz w:val="22"/>
          <w:szCs w:val="22"/>
        </w:rPr>
        <w:t>. The exemption applies</w:t>
      </w:r>
      <w:r w:rsidR="00A137B7" w:rsidRPr="00197FDA">
        <w:rPr>
          <w:rFonts w:ascii="Arial" w:hAnsi="Arial" w:cs="Arial"/>
          <w:sz w:val="22"/>
          <w:szCs w:val="22"/>
        </w:rPr>
        <w:t xml:space="preserve"> </w:t>
      </w:r>
      <w:r>
        <w:rPr>
          <w:rFonts w:ascii="Arial" w:hAnsi="Arial" w:cs="Arial"/>
          <w:sz w:val="22"/>
          <w:szCs w:val="22"/>
        </w:rPr>
        <w:t>in</w:t>
      </w:r>
      <w:r w:rsidRPr="00197FDA">
        <w:rPr>
          <w:rFonts w:ascii="Arial" w:hAnsi="Arial" w:cs="Arial"/>
          <w:sz w:val="22"/>
          <w:szCs w:val="22"/>
        </w:rPr>
        <w:t xml:space="preserve"> </w:t>
      </w:r>
      <w:r w:rsidR="00A137B7" w:rsidRPr="00197FDA">
        <w:rPr>
          <w:rFonts w:ascii="Arial" w:hAnsi="Arial" w:cs="Arial"/>
          <w:sz w:val="22"/>
          <w:szCs w:val="22"/>
        </w:rPr>
        <w:t xml:space="preserve">the </w:t>
      </w:r>
      <w:r w:rsidR="00BA76F7" w:rsidRPr="00197FDA">
        <w:rPr>
          <w:rFonts w:ascii="Arial" w:hAnsi="Arial" w:cs="Arial"/>
          <w:sz w:val="22"/>
          <w:szCs w:val="22"/>
        </w:rPr>
        <w:t>20</w:t>
      </w:r>
      <w:r w:rsidR="00097258" w:rsidRPr="00197FDA">
        <w:rPr>
          <w:rFonts w:ascii="Arial" w:hAnsi="Arial" w:cs="Arial"/>
          <w:sz w:val="22"/>
          <w:szCs w:val="22"/>
        </w:rPr>
        <w:t>19</w:t>
      </w:r>
      <w:r w:rsidR="00097258" w:rsidRPr="00197FDA">
        <w:rPr>
          <w:rFonts w:ascii="Arial" w:hAnsi="Arial" w:cs="Arial"/>
          <w:sz w:val="22"/>
          <w:szCs w:val="22"/>
        </w:rPr>
        <w:noBreakHyphen/>
        <w:t>20</w:t>
      </w:r>
      <w:r w:rsidR="00757EDE" w:rsidRPr="00197FDA">
        <w:rPr>
          <w:rFonts w:ascii="Arial" w:hAnsi="Arial" w:cs="Arial"/>
          <w:sz w:val="22"/>
          <w:szCs w:val="22"/>
        </w:rPr>
        <w:t xml:space="preserve"> </w:t>
      </w:r>
      <w:r w:rsidR="00381959" w:rsidRPr="00197FDA">
        <w:rPr>
          <w:rFonts w:ascii="Arial" w:hAnsi="Arial" w:cs="Arial"/>
          <w:sz w:val="22"/>
          <w:szCs w:val="22"/>
        </w:rPr>
        <w:t>and 20</w:t>
      </w:r>
      <w:r w:rsidR="00097258" w:rsidRPr="00197FDA">
        <w:rPr>
          <w:rFonts w:ascii="Arial" w:hAnsi="Arial" w:cs="Arial"/>
          <w:sz w:val="22"/>
          <w:szCs w:val="22"/>
        </w:rPr>
        <w:t>20</w:t>
      </w:r>
      <w:r w:rsidR="00097258" w:rsidRPr="00197FDA">
        <w:rPr>
          <w:rFonts w:ascii="Arial" w:hAnsi="Arial" w:cs="Arial"/>
          <w:sz w:val="22"/>
          <w:szCs w:val="22"/>
        </w:rPr>
        <w:noBreakHyphen/>
        <w:t>21</w:t>
      </w:r>
      <w:r w:rsidR="00381959" w:rsidRPr="00197FDA">
        <w:rPr>
          <w:rFonts w:ascii="Arial" w:hAnsi="Arial" w:cs="Arial"/>
          <w:sz w:val="22"/>
          <w:szCs w:val="22"/>
        </w:rPr>
        <w:t xml:space="preserve"> </w:t>
      </w:r>
      <w:r>
        <w:rPr>
          <w:rFonts w:ascii="Arial" w:hAnsi="Arial" w:cs="Arial"/>
          <w:sz w:val="22"/>
          <w:szCs w:val="22"/>
        </w:rPr>
        <w:t>income</w:t>
      </w:r>
      <w:r w:rsidRPr="00197FDA">
        <w:rPr>
          <w:rFonts w:ascii="Arial" w:hAnsi="Arial" w:cs="Arial"/>
          <w:sz w:val="22"/>
          <w:szCs w:val="22"/>
        </w:rPr>
        <w:t xml:space="preserve"> </w:t>
      </w:r>
      <w:r w:rsidR="00A137B7" w:rsidRPr="00197FDA">
        <w:rPr>
          <w:rFonts w:ascii="Arial" w:hAnsi="Arial" w:cs="Arial"/>
          <w:sz w:val="22"/>
          <w:szCs w:val="22"/>
        </w:rPr>
        <w:t>year</w:t>
      </w:r>
      <w:r w:rsidR="00381959" w:rsidRPr="00197FDA">
        <w:rPr>
          <w:rFonts w:ascii="Arial" w:hAnsi="Arial" w:cs="Arial"/>
          <w:sz w:val="22"/>
          <w:szCs w:val="22"/>
        </w:rPr>
        <w:t>s</w:t>
      </w:r>
      <w:r w:rsidR="006C0C02" w:rsidRPr="00197FDA">
        <w:rPr>
          <w:rFonts w:ascii="Arial" w:hAnsi="Arial" w:cs="Arial"/>
          <w:sz w:val="22"/>
          <w:szCs w:val="22"/>
        </w:rPr>
        <w:t>.</w:t>
      </w:r>
    </w:p>
    <w:p w14:paraId="41C5A068" w14:textId="77777777" w:rsidR="00486653" w:rsidRPr="00197FDA" w:rsidRDefault="00486653"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The instrument is a legislative instrument for the purposes of the </w:t>
      </w:r>
      <w:r w:rsidRPr="00197FDA">
        <w:rPr>
          <w:rFonts w:ascii="Arial" w:hAnsi="Arial" w:cs="Arial"/>
          <w:i/>
          <w:sz w:val="22"/>
          <w:szCs w:val="22"/>
        </w:rPr>
        <w:t>Legislati</w:t>
      </w:r>
      <w:r w:rsidR="00B0760F" w:rsidRPr="00197FDA">
        <w:rPr>
          <w:rFonts w:ascii="Arial" w:hAnsi="Arial" w:cs="Arial"/>
          <w:i/>
          <w:sz w:val="22"/>
          <w:szCs w:val="22"/>
        </w:rPr>
        <w:t>on</w:t>
      </w:r>
      <w:r w:rsidRPr="00197FDA">
        <w:rPr>
          <w:rFonts w:ascii="Arial" w:hAnsi="Arial" w:cs="Arial"/>
          <w:i/>
          <w:sz w:val="22"/>
          <w:szCs w:val="22"/>
        </w:rPr>
        <w:t xml:space="preserve"> Act 2003</w:t>
      </w:r>
      <w:r w:rsidRPr="00197FDA">
        <w:rPr>
          <w:rFonts w:ascii="Arial" w:hAnsi="Arial" w:cs="Arial"/>
          <w:sz w:val="22"/>
          <w:szCs w:val="22"/>
        </w:rPr>
        <w:t>.</w:t>
      </w:r>
    </w:p>
    <w:p w14:paraId="55A77E03" w14:textId="46925365" w:rsidR="00C64545" w:rsidRPr="00082E52" w:rsidRDefault="00C64545"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pacing w:val="-1"/>
          <w:sz w:val="22"/>
          <w:szCs w:val="22"/>
        </w:rPr>
        <w:t>U</w:t>
      </w:r>
      <w:r w:rsidRPr="00197FDA">
        <w:rPr>
          <w:rFonts w:ascii="Arial" w:hAnsi="Arial" w:cs="Arial"/>
          <w:sz w:val="22"/>
          <w:szCs w:val="22"/>
        </w:rPr>
        <w:t>nd</w:t>
      </w:r>
      <w:r w:rsidRPr="00197FDA">
        <w:rPr>
          <w:rFonts w:ascii="Arial" w:hAnsi="Arial" w:cs="Arial"/>
          <w:spacing w:val="-1"/>
          <w:sz w:val="22"/>
          <w:szCs w:val="22"/>
        </w:rPr>
        <w:t>e</w:t>
      </w:r>
      <w:r w:rsidRPr="00197FDA">
        <w:rPr>
          <w:rFonts w:ascii="Arial" w:hAnsi="Arial" w:cs="Arial"/>
          <w:sz w:val="22"/>
          <w:szCs w:val="22"/>
        </w:rPr>
        <w:t>r</w:t>
      </w:r>
      <w:r w:rsidRPr="00197FDA">
        <w:rPr>
          <w:rFonts w:ascii="Arial" w:hAnsi="Arial" w:cs="Arial"/>
          <w:spacing w:val="23"/>
          <w:sz w:val="22"/>
          <w:szCs w:val="22"/>
        </w:rPr>
        <w:t xml:space="preserve"> </w:t>
      </w:r>
      <w:r w:rsidRPr="00197FDA">
        <w:rPr>
          <w:rFonts w:ascii="Arial" w:hAnsi="Arial" w:cs="Arial"/>
          <w:sz w:val="22"/>
          <w:szCs w:val="22"/>
        </w:rPr>
        <w:t>subs</w:t>
      </w:r>
      <w:r w:rsidRPr="00197FDA">
        <w:rPr>
          <w:rFonts w:ascii="Arial" w:hAnsi="Arial" w:cs="Arial"/>
          <w:spacing w:val="-1"/>
          <w:sz w:val="22"/>
          <w:szCs w:val="22"/>
        </w:rPr>
        <w:t>ec</w:t>
      </w:r>
      <w:r w:rsidRPr="00197FDA">
        <w:rPr>
          <w:rFonts w:ascii="Arial" w:hAnsi="Arial" w:cs="Arial"/>
          <w:sz w:val="22"/>
          <w:szCs w:val="22"/>
        </w:rPr>
        <w:t>tion</w:t>
      </w:r>
      <w:r w:rsidRPr="00197FDA">
        <w:rPr>
          <w:rFonts w:ascii="Arial" w:hAnsi="Arial" w:cs="Arial"/>
          <w:spacing w:val="24"/>
          <w:sz w:val="22"/>
          <w:szCs w:val="22"/>
        </w:rPr>
        <w:t xml:space="preserve"> </w:t>
      </w:r>
      <w:r w:rsidRPr="00197FDA">
        <w:rPr>
          <w:rFonts w:ascii="Arial" w:hAnsi="Arial" w:cs="Arial"/>
          <w:sz w:val="22"/>
          <w:szCs w:val="22"/>
        </w:rPr>
        <w:t>33</w:t>
      </w:r>
      <w:r w:rsidRPr="00197FDA">
        <w:rPr>
          <w:rFonts w:ascii="Arial" w:hAnsi="Arial" w:cs="Arial"/>
          <w:spacing w:val="-1"/>
          <w:sz w:val="22"/>
          <w:szCs w:val="22"/>
        </w:rPr>
        <w:t>(</w:t>
      </w:r>
      <w:r w:rsidRPr="00197FDA">
        <w:rPr>
          <w:rFonts w:ascii="Arial" w:hAnsi="Arial" w:cs="Arial"/>
          <w:sz w:val="22"/>
          <w:szCs w:val="22"/>
        </w:rPr>
        <w:t>3)</w:t>
      </w:r>
      <w:r w:rsidRPr="00197FDA">
        <w:rPr>
          <w:rFonts w:ascii="Arial" w:hAnsi="Arial" w:cs="Arial"/>
          <w:spacing w:val="25"/>
          <w:sz w:val="22"/>
          <w:szCs w:val="22"/>
        </w:rPr>
        <w:t xml:space="preserve"> </w:t>
      </w:r>
      <w:r w:rsidRPr="00197FDA">
        <w:rPr>
          <w:rFonts w:ascii="Arial" w:hAnsi="Arial" w:cs="Arial"/>
          <w:sz w:val="22"/>
          <w:szCs w:val="22"/>
        </w:rPr>
        <w:t>of</w:t>
      </w:r>
      <w:r w:rsidRPr="00197FDA">
        <w:rPr>
          <w:rFonts w:ascii="Arial" w:hAnsi="Arial" w:cs="Arial"/>
          <w:spacing w:val="23"/>
          <w:sz w:val="22"/>
          <w:szCs w:val="22"/>
        </w:rPr>
        <w:t xml:space="preserve"> </w:t>
      </w:r>
      <w:r w:rsidRPr="00197FDA">
        <w:rPr>
          <w:rFonts w:ascii="Arial" w:hAnsi="Arial" w:cs="Arial"/>
          <w:sz w:val="22"/>
          <w:szCs w:val="22"/>
        </w:rPr>
        <w:t>the</w:t>
      </w:r>
      <w:r w:rsidRPr="00197FDA">
        <w:rPr>
          <w:rFonts w:ascii="Arial" w:hAnsi="Arial" w:cs="Arial"/>
          <w:spacing w:val="23"/>
          <w:sz w:val="22"/>
          <w:szCs w:val="22"/>
        </w:rPr>
        <w:t xml:space="preserve"> </w:t>
      </w:r>
      <w:r w:rsidRPr="00197FDA">
        <w:rPr>
          <w:rFonts w:ascii="Arial" w:hAnsi="Arial" w:cs="Arial"/>
          <w:i/>
          <w:iCs/>
          <w:spacing w:val="-1"/>
          <w:sz w:val="22"/>
          <w:szCs w:val="22"/>
        </w:rPr>
        <w:t>Ac</w:t>
      </w:r>
      <w:r w:rsidRPr="00197FDA">
        <w:rPr>
          <w:rFonts w:ascii="Arial" w:hAnsi="Arial" w:cs="Arial"/>
          <w:i/>
          <w:iCs/>
          <w:sz w:val="22"/>
          <w:szCs w:val="22"/>
        </w:rPr>
        <w:t>ts</w:t>
      </w:r>
      <w:r w:rsidRPr="00197FDA">
        <w:rPr>
          <w:rFonts w:ascii="Arial" w:hAnsi="Arial" w:cs="Arial"/>
          <w:i/>
          <w:iCs/>
          <w:spacing w:val="24"/>
          <w:sz w:val="22"/>
          <w:szCs w:val="22"/>
        </w:rPr>
        <w:t xml:space="preserve"> </w:t>
      </w:r>
      <w:r w:rsidRPr="00197FDA">
        <w:rPr>
          <w:rFonts w:ascii="Arial" w:hAnsi="Arial" w:cs="Arial"/>
          <w:i/>
          <w:iCs/>
          <w:spacing w:val="-1"/>
          <w:sz w:val="22"/>
          <w:szCs w:val="22"/>
        </w:rPr>
        <w:t>I</w:t>
      </w:r>
      <w:r w:rsidRPr="00197FDA">
        <w:rPr>
          <w:rFonts w:ascii="Arial" w:hAnsi="Arial" w:cs="Arial"/>
          <w:i/>
          <w:iCs/>
          <w:sz w:val="22"/>
          <w:szCs w:val="22"/>
        </w:rPr>
        <w:t>nt</w:t>
      </w:r>
      <w:r w:rsidRPr="00197FDA">
        <w:rPr>
          <w:rFonts w:ascii="Arial" w:hAnsi="Arial" w:cs="Arial"/>
          <w:i/>
          <w:iCs/>
          <w:spacing w:val="-1"/>
          <w:sz w:val="22"/>
          <w:szCs w:val="22"/>
        </w:rPr>
        <w:t>e</w:t>
      </w:r>
      <w:r w:rsidRPr="00197FDA">
        <w:rPr>
          <w:rFonts w:ascii="Arial" w:hAnsi="Arial" w:cs="Arial"/>
          <w:i/>
          <w:iCs/>
          <w:sz w:val="22"/>
          <w:szCs w:val="22"/>
        </w:rPr>
        <w:t>rpr</w:t>
      </w:r>
      <w:r w:rsidRPr="00197FDA">
        <w:rPr>
          <w:rFonts w:ascii="Arial" w:hAnsi="Arial" w:cs="Arial"/>
          <w:i/>
          <w:iCs/>
          <w:spacing w:val="-1"/>
          <w:sz w:val="22"/>
          <w:szCs w:val="22"/>
        </w:rPr>
        <w:t>e</w:t>
      </w:r>
      <w:r w:rsidRPr="00197FDA">
        <w:rPr>
          <w:rFonts w:ascii="Arial" w:hAnsi="Arial" w:cs="Arial"/>
          <w:i/>
          <w:iCs/>
          <w:sz w:val="22"/>
          <w:szCs w:val="22"/>
        </w:rPr>
        <w:t>tation</w:t>
      </w:r>
      <w:r w:rsidRPr="00197FDA">
        <w:rPr>
          <w:rFonts w:ascii="Arial" w:hAnsi="Arial" w:cs="Arial"/>
          <w:i/>
          <w:iCs/>
          <w:spacing w:val="24"/>
          <w:sz w:val="22"/>
          <w:szCs w:val="22"/>
        </w:rPr>
        <w:t xml:space="preserve"> </w:t>
      </w:r>
      <w:r w:rsidRPr="00197FDA">
        <w:rPr>
          <w:rFonts w:ascii="Arial" w:hAnsi="Arial" w:cs="Arial"/>
          <w:i/>
          <w:iCs/>
          <w:spacing w:val="-1"/>
          <w:sz w:val="22"/>
          <w:szCs w:val="22"/>
        </w:rPr>
        <w:t>Ac</w:t>
      </w:r>
      <w:r w:rsidRPr="00197FDA">
        <w:rPr>
          <w:rFonts w:ascii="Arial" w:hAnsi="Arial" w:cs="Arial"/>
          <w:i/>
          <w:iCs/>
          <w:sz w:val="22"/>
          <w:szCs w:val="22"/>
        </w:rPr>
        <w:t>t</w:t>
      </w:r>
      <w:r w:rsidRPr="00197FDA">
        <w:rPr>
          <w:rFonts w:ascii="Arial" w:hAnsi="Arial" w:cs="Arial"/>
          <w:i/>
          <w:iCs/>
          <w:spacing w:val="24"/>
          <w:sz w:val="22"/>
          <w:szCs w:val="22"/>
        </w:rPr>
        <w:t xml:space="preserve"> </w:t>
      </w:r>
      <w:r w:rsidRPr="00197FDA">
        <w:rPr>
          <w:rFonts w:ascii="Arial" w:hAnsi="Arial" w:cs="Arial"/>
          <w:i/>
          <w:iCs/>
          <w:sz w:val="22"/>
          <w:szCs w:val="22"/>
        </w:rPr>
        <w:t>1901</w:t>
      </w:r>
      <w:r w:rsidRPr="00197FDA">
        <w:rPr>
          <w:rFonts w:ascii="Arial" w:hAnsi="Arial" w:cs="Arial"/>
          <w:sz w:val="22"/>
          <w:szCs w:val="22"/>
        </w:rPr>
        <w:t>,</w:t>
      </w:r>
      <w:r w:rsidRPr="00197FDA">
        <w:rPr>
          <w:rFonts w:ascii="Arial" w:hAnsi="Arial" w:cs="Arial"/>
          <w:spacing w:val="23"/>
          <w:sz w:val="22"/>
          <w:szCs w:val="22"/>
        </w:rPr>
        <w:t xml:space="preserve"> </w:t>
      </w:r>
      <w:r w:rsidRPr="00197FDA">
        <w:rPr>
          <w:rFonts w:ascii="Arial" w:hAnsi="Arial" w:cs="Arial"/>
          <w:spacing w:val="-1"/>
          <w:sz w:val="22"/>
          <w:szCs w:val="22"/>
        </w:rPr>
        <w:t>w</w:t>
      </w:r>
      <w:r w:rsidRPr="00197FDA">
        <w:rPr>
          <w:rFonts w:ascii="Arial" w:hAnsi="Arial" w:cs="Arial"/>
          <w:sz w:val="22"/>
          <w:szCs w:val="22"/>
        </w:rPr>
        <w:t>h</w:t>
      </w:r>
      <w:r w:rsidRPr="00197FDA">
        <w:rPr>
          <w:rFonts w:ascii="Arial" w:hAnsi="Arial" w:cs="Arial"/>
          <w:spacing w:val="-1"/>
          <w:sz w:val="22"/>
          <w:szCs w:val="22"/>
        </w:rPr>
        <w:t>er</w:t>
      </w:r>
      <w:r w:rsidRPr="00197FDA">
        <w:rPr>
          <w:rFonts w:ascii="Arial" w:hAnsi="Arial" w:cs="Arial"/>
          <w:sz w:val="22"/>
          <w:szCs w:val="22"/>
        </w:rPr>
        <w:t>e</w:t>
      </w:r>
      <w:r w:rsidRPr="00197FDA">
        <w:rPr>
          <w:rFonts w:ascii="Arial" w:hAnsi="Arial" w:cs="Arial"/>
          <w:spacing w:val="23"/>
          <w:sz w:val="22"/>
          <w:szCs w:val="22"/>
        </w:rPr>
        <w:t xml:space="preserve"> </w:t>
      </w:r>
      <w:r w:rsidRPr="00197FDA">
        <w:rPr>
          <w:rFonts w:ascii="Arial" w:hAnsi="Arial" w:cs="Arial"/>
          <w:spacing w:val="-1"/>
          <w:sz w:val="22"/>
          <w:szCs w:val="22"/>
        </w:rPr>
        <w:t>a</w:t>
      </w:r>
      <w:r w:rsidRPr="00197FDA">
        <w:rPr>
          <w:rFonts w:ascii="Arial" w:hAnsi="Arial" w:cs="Arial"/>
          <w:sz w:val="22"/>
          <w:szCs w:val="22"/>
        </w:rPr>
        <w:t>n</w:t>
      </w:r>
      <w:r w:rsidRPr="00197FDA">
        <w:rPr>
          <w:rFonts w:ascii="Arial" w:hAnsi="Arial" w:cs="Arial"/>
          <w:spacing w:val="24"/>
          <w:sz w:val="22"/>
          <w:szCs w:val="22"/>
        </w:rPr>
        <w:t xml:space="preserve"> </w:t>
      </w:r>
      <w:r w:rsidRPr="00197FDA">
        <w:rPr>
          <w:rFonts w:ascii="Arial" w:hAnsi="Arial" w:cs="Arial"/>
          <w:spacing w:val="1"/>
          <w:sz w:val="22"/>
          <w:szCs w:val="22"/>
        </w:rPr>
        <w:t>A</w:t>
      </w:r>
      <w:r w:rsidRPr="00197FDA">
        <w:rPr>
          <w:rFonts w:ascii="Arial" w:hAnsi="Arial" w:cs="Arial"/>
          <w:spacing w:val="-1"/>
          <w:sz w:val="22"/>
          <w:szCs w:val="22"/>
        </w:rPr>
        <w:t>ct c</w:t>
      </w:r>
      <w:r w:rsidRPr="00197FDA">
        <w:rPr>
          <w:rFonts w:ascii="Arial" w:hAnsi="Arial" w:cs="Arial"/>
          <w:sz w:val="22"/>
          <w:szCs w:val="22"/>
        </w:rPr>
        <w:t>on</w:t>
      </w:r>
      <w:r w:rsidRPr="00197FDA">
        <w:rPr>
          <w:rFonts w:ascii="Arial" w:hAnsi="Arial" w:cs="Arial"/>
          <w:spacing w:val="-1"/>
          <w:sz w:val="22"/>
          <w:szCs w:val="22"/>
        </w:rPr>
        <w:t>fer</w:t>
      </w:r>
      <w:r w:rsidRPr="00197FDA">
        <w:rPr>
          <w:rFonts w:ascii="Arial" w:hAnsi="Arial" w:cs="Arial"/>
          <w:sz w:val="22"/>
          <w:szCs w:val="22"/>
        </w:rPr>
        <w:t>s</w:t>
      </w:r>
      <w:r w:rsidRPr="00197FDA">
        <w:rPr>
          <w:rFonts w:ascii="Arial" w:hAnsi="Arial" w:cs="Arial"/>
          <w:spacing w:val="26"/>
          <w:sz w:val="22"/>
          <w:szCs w:val="22"/>
        </w:rPr>
        <w:t xml:space="preserve"> </w:t>
      </w:r>
      <w:r w:rsidRPr="00197FDA">
        <w:rPr>
          <w:rFonts w:ascii="Arial" w:hAnsi="Arial" w:cs="Arial"/>
          <w:sz w:val="22"/>
          <w:szCs w:val="22"/>
        </w:rPr>
        <w:t>a</w:t>
      </w:r>
      <w:r w:rsidRPr="00197FDA">
        <w:rPr>
          <w:rFonts w:ascii="Arial" w:hAnsi="Arial" w:cs="Arial"/>
          <w:spacing w:val="25"/>
          <w:sz w:val="22"/>
          <w:szCs w:val="22"/>
        </w:rPr>
        <w:t xml:space="preserve"> </w:t>
      </w:r>
      <w:r w:rsidRPr="00197FDA">
        <w:rPr>
          <w:rFonts w:ascii="Arial" w:hAnsi="Arial" w:cs="Arial"/>
          <w:sz w:val="22"/>
          <w:szCs w:val="22"/>
        </w:rPr>
        <w:t>po</w:t>
      </w:r>
      <w:r w:rsidRPr="00197FDA">
        <w:rPr>
          <w:rFonts w:ascii="Arial" w:hAnsi="Arial" w:cs="Arial"/>
          <w:spacing w:val="-1"/>
          <w:sz w:val="22"/>
          <w:szCs w:val="22"/>
        </w:rPr>
        <w:t>w</w:t>
      </w:r>
      <w:r w:rsidRPr="00197FDA">
        <w:rPr>
          <w:rFonts w:ascii="Arial" w:hAnsi="Arial" w:cs="Arial"/>
          <w:spacing w:val="1"/>
          <w:sz w:val="22"/>
          <w:szCs w:val="22"/>
        </w:rPr>
        <w:t>e</w:t>
      </w:r>
      <w:r w:rsidRPr="00197FDA">
        <w:rPr>
          <w:rFonts w:ascii="Arial" w:hAnsi="Arial" w:cs="Arial"/>
          <w:sz w:val="22"/>
          <w:szCs w:val="22"/>
        </w:rPr>
        <w:t>r</w:t>
      </w:r>
      <w:r w:rsidRPr="00197FDA">
        <w:rPr>
          <w:rFonts w:ascii="Arial" w:hAnsi="Arial" w:cs="Arial"/>
          <w:spacing w:val="23"/>
          <w:sz w:val="22"/>
          <w:szCs w:val="22"/>
        </w:rPr>
        <w:t xml:space="preserve"> </w:t>
      </w:r>
      <w:r w:rsidRPr="00197FDA">
        <w:rPr>
          <w:rFonts w:ascii="Arial" w:hAnsi="Arial" w:cs="Arial"/>
          <w:sz w:val="22"/>
          <w:szCs w:val="22"/>
        </w:rPr>
        <w:t>to</w:t>
      </w:r>
      <w:r w:rsidRPr="00197FDA">
        <w:rPr>
          <w:rFonts w:ascii="Arial" w:hAnsi="Arial" w:cs="Arial"/>
          <w:spacing w:val="24"/>
          <w:sz w:val="22"/>
          <w:szCs w:val="22"/>
        </w:rPr>
        <w:t xml:space="preserve"> </w:t>
      </w:r>
      <w:r w:rsidRPr="00197FDA">
        <w:rPr>
          <w:rFonts w:ascii="Arial" w:hAnsi="Arial" w:cs="Arial"/>
          <w:sz w:val="22"/>
          <w:szCs w:val="22"/>
        </w:rPr>
        <w:t>m</w:t>
      </w:r>
      <w:r w:rsidRPr="00197FDA">
        <w:rPr>
          <w:rFonts w:ascii="Arial" w:hAnsi="Arial" w:cs="Arial"/>
          <w:spacing w:val="-1"/>
          <w:sz w:val="22"/>
          <w:szCs w:val="22"/>
        </w:rPr>
        <w:t>a</w:t>
      </w:r>
      <w:r w:rsidRPr="00197FDA">
        <w:rPr>
          <w:rFonts w:ascii="Arial" w:hAnsi="Arial" w:cs="Arial"/>
          <w:spacing w:val="2"/>
          <w:sz w:val="22"/>
          <w:szCs w:val="22"/>
        </w:rPr>
        <w:t>k</w:t>
      </w:r>
      <w:r w:rsidRPr="00197FDA">
        <w:rPr>
          <w:rFonts w:ascii="Arial" w:hAnsi="Arial" w:cs="Arial"/>
          <w:spacing w:val="-1"/>
          <w:sz w:val="22"/>
          <w:szCs w:val="22"/>
        </w:rPr>
        <w:t>e</w:t>
      </w:r>
      <w:r w:rsidRPr="00197FDA">
        <w:rPr>
          <w:rFonts w:ascii="Arial" w:hAnsi="Arial" w:cs="Arial"/>
          <w:sz w:val="22"/>
          <w:szCs w:val="22"/>
        </w:rPr>
        <w:t>,</w:t>
      </w:r>
      <w:r w:rsidRPr="00197FDA">
        <w:rPr>
          <w:rFonts w:ascii="Arial" w:hAnsi="Arial" w:cs="Arial"/>
          <w:spacing w:val="26"/>
          <w:sz w:val="22"/>
          <w:szCs w:val="22"/>
        </w:rPr>
        <w:t xml:space="preserve"> </w:t>
      </w:r>
      <w:r w:rsidRPr="00197FDA">
        <w:rPr>
          <w:rFonts w:ascii="Arial" w:hAnsi="Arial" w:cs="Arial"/>
          <w:spacing w:val="-3"/>
          <w:sz w:val="22"/>
          <w:szCs w:val="22"/>
        </w:rPr>
        <w:t>g</w:t>
      </w:r>
      <w:r w:rsidRPr="00197FDA">
        <w:rPr>
          <w:rFonts w:ascii="Arial" w:hAnsi="Arial" w:cs="Arial"/>
          <w:spacing w:val="1"/>
          <w:sz w:val="22"/>
          <w:szCs w:val="22"/>
        </w:rPr>
        <w:t>r</w:t>
      </w:r>
      <w:r w:rsidRPr="00197FDA">
        <w:rPr>
          <w:rFonts w:ascii="Arial" w:hAnsi="Arial" w:cs="Arial"/>
          <w:spacing w:val="-1"/>
          <w:sz w:val="22"/>
          <w:szCs w:val="22"/>
        </w:rPr>
        <w:t>a</w:t>
      </w:r>
      <w:r w:rsidRPr="00197FDA">
        <w:rPr>
          <w:rFonts w:ascii="Arial" w:hAnsi="Arial" w:cs="Arial"/>
          <w:sz w:val="22"/>
          <w:szCs w:val="22"/>
        </w:rPr>
        <w:t>nt</w:t>
      </w:r>
      <w:r w:rsidRPr="00197FDA">
        <w:rPr>
          <w:rFonts w:ascii="Arial" w:hAnsi="Arial" w:cs="Arial"/>
          <w:spacing w:val="24"/>
          <w:sz w:val="22"/>
          <w:szCs w:val="22"/>
        </w:rPr>
        <w:t xml:space="preserve"> </w:t>
      </w:r>
      <w:r w:rsidRPr="00197FDA">
        <w:rPr>
          <w:rFonts w:ascii="Arial" w:hAnsi="Arial" w:cs="Arial"/>
          <w:sz w:val="22"/>
          <w:szCs w:val="22"/>
        </w:rPr>
        <w:t>or</w:t>
      </w:r>
      <w:r w:rsidRPr="00197FDA">
        <w:rPr>
          <w:rFonts w:ascii="Arial" w:hAnsi="Arial" w:cs="Arial"/>
          <w:spacing w:val="25"/>
          <w:sz w:val="22"/>
          <w:szCs w:val="22"/>
        </w:rPr>
        <w:t xml:space="preserve"> </w:t>
      </w:r>
      <w:r w:rsidRPr="00197FDA">
        <w:rPr>
          <w:rFonts w:ascii="Arial" w:hAnsi="Arial" w:cs="Arial"/>
          <w:sz w:val="22"/>
          <w:szCs w:val="22"/>
        </w:rPr>
        <w:t>issue</w:t>
      </w:r>
      <w:r w:rsidRPr="00197FDA">
        <w:rPr>
          <w:rFonts w:ascii="Arial" w:hAnsi="Arial" w:cs="Arial"/>
          <w:spacing w:val="23"/>
          <w:sz w:val="22"/>
          <w:szCs w:val="22"/>
        </w:rPr>
        <w:t xml:space="preserve"> </w:t>
      </w:r>
      <w:r w:rsidRPr="00197FDA">
        <w:rPr>
          <w:rFonts w:ascii="Arial" w:hAnsi="Arial" w:cs="Arial"/>
          <w:spacing w:val="-1"/>
          <w:sz w:val="22"/>
          <w:szCs w:val="22"/>
        </w:rPr>
        <w:t>a</w:t>
      </w:r>
      <w:r w:rsidRPr="00197FDA">
        <w:rPr>
          <w:rFonts w:ascii="Arial" w:hAnsi="Arial" w:cs="Arial"/>
          <w:spacing w:val="4"/>
          <w:sz w:val="22"/>
          <w:szCs w:val="22"/>
        </w:rPr>
        <w:t>n</w:t>
      </w:r>
      <w:r w:rsidRPr="00197FDA">
        <w:rPr>
          <w:rFonts w:ascii="Arial" w:hAnsi="Arial" w:cs="Arial"/>
          <w:sz w:val="22"/>
          <w:szCs w:val="22"/>
        </w:rPr>
        <w:t>y</w:t>
      </w:r>
      <w:r w:rsidRPr="00197FDA">
        <w:rPr>
          <w:rFonts w:ascii="Arial" w:hAnsi="Arial" w:cs="Arial"/>
          <w:spacing w:val="21"/>
          <w:sz w:val="22"/>
          <w:szCs w:val="22"/>
        </w:rPr>
        <w:t xml:space="preserve"> </w:t>
      </w:r>
      <w:r w:rsidRPr="00197FDA">
        <w:rPr>
          <w:rFonts w:ascii="Arial" w:hAnsi="Arial" w:cs="Arial"/>
          <w:sz w:val="22"/>
          <w:szCs w:val="22"/>
        </w:rPr>
        <w:t>in</w:t>
      </w:r>
      <w:r w:rsidRPr="00197FDA">
        <w:rPr>
          <w:rFonts w:ascii="Arial" w:hAnsi="Arial" w:cs="Arial"/>
          <w:spacing w:val="2"/>
          <w:sz w:val="22"/>
          <w:szCs w:val="22"/>
        </w:rPr>
        <w:t>s</w:t>
      </w:r>
      <w:r w:rsidRPr="00197FDA">
        <w:rPr>
          <w:rFonts w:ascii="Arial" w:hAnsi="Arial" w:cs="Arial"/>
          <w:sz w:val="22"/>
          <w:szCs w:val="22"/>
        </w:rPr>
        <w:t>t</w:t>
      </w:r>
      <w:r w:rsidRPr="00197FDA">
        <w:rPr>
          <w:rFonts w:ascii="Arial" w:hAnsi="Arial" w:cs="Arial"/>
          <w:spacing w:val="-1"/>
          <w:sz w:val="22"/>
          <w:szCs w:val="22"/>
        </w:rPr>
        <w:t>r</w:t>
      </w:r>
      <w:r w:rsidRPr="00197FDA">
        <w:rPr>
          <w:rFonts w:ascii="Arial" w:hAnsi="Arial" w:cs="Arial"/>
          <w:sz w:val="22"/>
          <w:szCs w:val="22"/>
        </w:rPr>
        <w:t>um</w:t>
      </w:r>
      <w:r w:rsidRPr="00197FDA">
        <w:rPr>
          <w:rFonts w:ascii="Arial" w:hAnsi="Arial" w:cs="Arial"/>
          <w:spacing w:val="-1"/>
          <w:sz w:val="22"/>
          <w:szCs w:val="22"/>
        </w:rPr>
        <w:t>e</w:t>
      </w:r>
      <w:r w:rsidRPr="00197FDA">
        <w:rPr>
          <w:rFonts w:ascii="Arial" w:hAnsi="Arial" w:cs="Arial"/>
          <w:sz w:val="22"/>
          <w:szCs w:val="22"/>
        </w:rPr>
        <w:t>nt</w:t>
      </w:r>
      <w:r w:rsidRPr="00197FDA">
        <w:rPr>
          <w:rFonts w:ascii="Arial" w:hAnsi="Arial" w:cs="Arial"/>
          <w:spacing w:val="24"/>
          <w:sz w:val="22"/>
          <w:szCs w:val="22"/>
        </w:rPr>
        <w:t xml:space="preserve"> </w:t>
      </w:r>
      <w:r w:rsidRPr="00197FDA">
        <w:rPr>
          <w:rFonts w:ascii="Arial" w:hAnsi="Arial" w:cs="Arial"/>
          <w:sz w:val="22"/>
          <w:szCs w:val="22"/>
        </w:rPr>
        <w:t>of</w:t>
      </w:r>
      <w:r w:rsidRPr="00197FDA">
        <w:rPr>
          <w:rFonts w:ascii="Arial" w:hAnsi="Arial" w:cs="Arial"/>
          <w:spacing w:val="25"/>
          <w:sz w:val="22"/>
          <w:szCs w:val="22"/>
        </w:rPr>
        <w:t xml:space="preserve"> </w:t>
      </w:r>
      <w:r w:rsidRPr="00197FDA">
        <w:rPr>
          <w:rFonts w:ascii="Arial" w:hAnsi="Arial" w:cs="Arial"/>
          <w:sz w:val="22"/>
          <w:szCs w:val="22"/>
        </w:rPr>
        <w:t>a</w:t>
      </w:r>
      <w:r w:rsidRPr="00197FDA">
        <w:rPr>
          <w:rFonts w:ascii="Arial" w:hAnsi="Arial" w:cs="Arial"/>
          <w:spacing w:val="23"/>
          <w:sz w:val="22"/>
          <w:szCs w:val="22"/>
        </w:rPr>
        <w:t xml:space="preserve"> </w:t>
      </w:r>
      <w:r w:rsidRPr="00197FDA">
        <w:rPr>
          <w:rFonts w:ascii="Arial" w:hAnsi="Arial" w:cs="Arial"/>
          <w:sz w:val="22"/>
          <w:szCs w:val="22"/>
        </w:rPr>
        <w:t>l</w:t>
      </w:r>
      <w:r w:rsidRPr="00197FDA">
        <w:rPr>
          <w:rFonts w:ascii="Arial" w:hAnsi="Arial" w:cs="Arial"/>
          <w:spacing w:val="1"/>
          <w:sz w:val="22"/>
          <w:szCs w:val="22"/>
        </w:rPr>
        <w:t>e</w:t>
      </w:r>
      <w:r w:rsidRPr="00197FDA">
        <w:rPr>
          <w:rFonts w:ascii="Arial" w:hAnsi="Arial" w:cs="Arial"/>
          <w:spacing w:val="-3"/>
          <w:sz w:val="22"/>
          <w:szCs w:val="22"/>
        </w:rPr>
        <w:t>g</w:t>
      </w:r>
      <w:r w:rsidRPr="00197FDA">
        <w:rPr>
          <w:rFonts w:ascii="Arial" w:hAnsi="Arial" w:cs="Arial"/>
          <w:sz w:val="22"/>
          <w:szCs w:val="22"/>
        </w:rPr>
        <w:t>isl</w:t>
      </w:r>
      <w:r w:rsidRPr="00197FDA">
        <w:rPr>
          <w:rFonts w:ascii="Arial" w:hAnsi="Arial" w:cs="Arial"/>
          <w:spacing w:val="-1"/>
          <w:sz w:val="22"/>
          <w:szCs w:val="22"/>
        </w:rPr>
        <w:t>a</w:t>
      </w:r>
      <w:r w:rsidRPr="00197FDA">
        <w:rPr>
          <w:rFonts w:ascii="Arial" w:hAnsi="Arial" w:cs="Arial"/>
          <w:sz w:val="22"/>
          <w:szCs w:val="22"/>
        </w:rPr>
        <w:t>tive</w:t>
      </w:r>
      <w:r w:rsidRPr="00197FDA">
        <w:rPr>
          <w:rFonts w:ascii="Arial" w:hAnsi="Arial" w:cs="Arial"/>
          <w:spacing w:val="27"/>
          <w:sz w:val="22"/>
          <w:szCs w:val="22"/>
        </w:rPr>
        <w:t xml:space="preserve"> </w:t>
      </w:r>
      <w:r w:rsidRPr="00197FDA">
        <w:rPr>
          <w:rFonts w:ascii="Arial" w:hAnsi="Arial" w:cs="Arial"/>
          <w:sz w:val="22"/>
          <w:szCs w:val="22"/>
        </w:rPr>
        <w:t xml:space="preserve">or </w:t>
      </w:r>
      <w:r w:rsidRPr="00197FDA">
        <w:rPr>
          <w:rFonts w:ascii="Arial" w:hAnsi="Arial" w:cs="Arial"/>
          <w:spacing w:val="-1"/>
          <w:sz w:val="22"/>
          <w:szCs w:val="22"/>
        </w:rPr>
        <w:t>a</w:t>
      </w:r>
      <w:r w:rsidRPr="00197FDA">
        <w:rPr>
          <w:rFonts w:ascii="Arial" w:hAnsi="Arial" w:cs="Arial"/>
          <w:sz w:val="22"/>
          <w:szCs w:val="22"/>
        </w:rPr>
        <w:t>dminist</w:t>
      </w:r>
      <w:r w:rsidRPr="00197FDA">
        <w:rPr>
          <w:rFonts w:ascii="Arial" w:hAnsi="Arial" w:cs="Arial"/>
          <w:spacing w:val="-1"/>
          <w:sz w:val="22"/>
          <w:szCs w:val="22"/>
        </w:rPr>
        <w:t>ra</w:t>
      </w:r>
      <w:r w:rsidRPr="00197FDA">
        <w:rPr>
          <w:rFonts w:ascii="Arial" w:hAnsi="Arial" w:cs="Arial"/>
          <w:sz w:val="22"/>
          <w:szCs w:val="22"/>
        </w:rPr>
        <w:t>tive</w:t>
      </w:r>
      <w:r w:rsidRPr="00197FDA">
        <w:rPr>
          <w:rFonts w:ascii="Arial" w:hAnsi="Arial" w:cs="Arial"/>
          <w:spacing w:val="1"/>
          <w:sz w:val="22"/>
          <w:szCs w:val="22"/>
        </w:rPr>
        <w:t xml:space="preserve"> </w:t>
      </w:r>
      <w:r w:rsidRPr="00197FDA">
        <w:rPr>
          <w:rFonts w:ascii="Arial" w:hAnsi="Arial" w:cs="Arial"/>
          <w:spacing w:val="-1"/>
          <w:sz w:val="22"/>
          <w:szCs w:val="22"/>
        </w:rPr>
        <w:t>c</w:t>
      </w:r>
      <w:r w:rsidRPr="00197FDA">
        <w:rPr>
          <w:rFonts w:ascii="Arial" w:hAnsi="Arial" w:cs="Arial"/>
          <w:sz w:val="22"/>
          <w:szCs w:val="22"/>
        </w:rPr>
        <w:t>h</w:t>
      </w:r>
      <w:r w:rsidRPr="00197FDA">
        <w:rPr>
          <w:rFonts w:ascii="Arial" w:hAnsi="Arial" w:cs="Arial"/>
          <w:spacing w:val="-1"/>
          <w:sz w:val="22"/>
          <w:szCs w:val="22"/>
        </w:rPr>
        <w:t>a</w:t>
      </w:r>
      <w:r w:rsidRPr="00197FDA">
        <w:rPr>
          <w:rFonts w:ascii="Arial" w:hAnsi="Arial" w:cs="Arial"/>
          <w:spacing w:val="1"/>
          <w:sz w:val="22"/>
          <w:szCs w:val="22"/>
        </w:rPr>
        <w:t>r</w:t>
      </w:r>
      <w:r w:rsidRPr="00197FDA">
        <w:rPr>
          <w:rFonts w:ascii="Arial" w:hAnsi="Arial" w:cs="Arial"/>
          <w:spacing w:val="-1"/>
          <w:sz w:val="22"/>
          <w:szCs w:val="22"/>
        </w:rPr>
        <w:t>ac</w:t>
      </w:r>
      <w:r w:rsidRPr="00197FDA">
        <w:rPr>
          <w:rFonts w:ascii="Arial" w:hAnsi="Arial" w:cs="Arial"/>
          <w:sz w:val="22"/>
          <w:szCs w:val="22"/>
        </w:rPr>
        <w:t>t</w:t>
      </w:r>
      <w:r w:rsidRPr="00197FDA">
        <w:rPr>
          <w:rFonts w:ascii="Arial" w:hAnsi="Arial" w:cs="Arial"/>
          <w:spacing w:val="-1"/>
          <w:sz w:val="22"/>
          <w:szCs w:val="22"/>
        </w:rPr>
        <w:t>e</w:t>
      </w:r>
      <w:r w:rsidRPr="00197FDA">
        <w:rPr>
          <w:rFonts w:ascii="Arial" w:hAnsi="Arial" w:cs="Arial"/>
          <w:sz w:val="22"/>
          <w:szCs w:val="22"/>
        </w:rPr>
        <w:t>r</w:t>
      </w:r>
      <w:r w:rsidRPr="00197FDA">
        <w:rPr>
          <w:rFonts w:ascii="Arial" w:hAnsi="Arial" w:cs="Arial"/>
          <w:spacing w:val="6"/>
          <w:sz w:val="22"/>
          <w:szCs w:val="22"/>
        </w:rPr>
        <w:t xml:space="preserve"> </w:t>
      </w:r>
      <w:r w:rsidRPr="00197FDA">
        <w:rPr>
          <w:rFonts w:ascii="Arial" w:hAnsi="Arial" w:cs="Arial"/>
          <w:spacing w:val="-1"/>
          <w:sz w:val="22"/>
          <w:szCs w:val="22"/>
        </w:rPr>
        <w:t>(</w:t>
      </w:r>
      <w:r w:rsidRPr="00197FDA">
        <w:rPr>
          <w:rFonts w:ascii="Arial" w:hAnsi="Arial" w:cs="Arial"/>
          <w:sz w:val="22"/>
          <w:szCs w:val="22"/>
        </w:rPr>
        <w:t>in</w:t>
      </w:r>
      <w:r w:rsidRPr="00197FDA">
        <w:rPr>
          <w:rFonts w:ascii="Arial" w:hAnsi="Arial" w:cs="Arial"/>
          <w:spacing w:val="-1"/>
          <w:sz w:val="22"/>
          <w:szCs w:val="22"/>
        </w:rPr>
        <w:t>c</w:t>
      </w:r>
      <w:r w:rsidRPr="00197FDA">
        <w:rPr>
          <w:rFonts w:ascii="Arial" w:hAnsi="Arial" w:cs="Arial"/>
          <w:sz w:val="22"/>
          <w:szCs w:val="22"/>
        </w:rPr>
        <w:t xml:space="preserve">luding </w:t>
      </w:r>
      <w:r w:rsidRPr="00197FDA">
        <w:rPr>
          <w:rFonts w:ascii="Arial" w:hAnsi="Arial" w:cs="Arial"/>
          <w:spacing w:val="-1"/>
          <w:sz w:val="22"/>
          <w:szCs w:val="22"/>
        </w:rPr>
        <w:t>r</w:t>
      </w:r>
      <w:r w:rsidRPr="00197FDA">
        <w:rPr>
          <w:rFonts w:ascii="Arial" w:hAnsi="Arial" w:cs="Arial"/>
          <w:sz w:val="22"/>
          <w:szCs w:val="22"/>
        </w:rPr>
        <w:t>u</w:t>
      </w:r>
      <w:r w:rsidRPr="00197FDA">
        <w:rPr>
          <w:rFonts w:ascii="Arial" w:hAnsi="Arial" w:cs="Arial"/>
          <w:spacing w:val="2"/>
          <w:sz w:val="22"/>
          <w:szCs w:val="22"/>
        </w:rPr>
        <w:t>l</w:t>
      </w:r>
      <w:r w:rsidRPr="00197FDA">
        <w:rPr>
          <w:rFonts w:ascii="Arial" w:hAnsi="Arial" w:cs="Arial"/>
          <w:spacing w:val="-1"/>
          <w:sz w:val="22"/>
          <w:szCs w:val="22"/>
        </w:rPr>
        <w:t>e</w:t>
      </w:r>
      <w:r w:rsidRPr="00197FDA">
        <w:rPr>
          <w:rFonts w:ascii="Arial" w:hAnsi="Arial" w:cs="Arial"/>
          <w:sz w:val="22"/>
          <w:szCs w:val="22"/>
        </w:rPr>
        <w:t>s,</w:t>
      </w:r>
      <w:r w:rsidRPr="00197FDA">
        <w:rPr>
          <w:rFonts w:ascii="Arial" w:hAnsi="Arial" w:cs="Arial"/>
          <w:spacing w:val="2"/>
          <w:sz w:val="22"/>
          <w:szCs w:val="22"/>
        </w:rPr>
        <w:t xml:space="preserve"> </w:t>
      </w:r>
      <w:r w:rsidRPr="00197FDA">
        <w:rPr>
          <w:rFonts w:ascii="Arial" w:hAnsi="Arial" w:cs="Arial"/>
          <w:spacing w:val="-1"/>
          <w:sz w:val="22"/>
          <w:szCs w:val="22"/>
        </w:rPr>
        <w:t>r</w:t>
      </w:r>
      <w:r w:rsidRPr="00197FDA">
        <w:rPr>
          <w:rFonts w:ascii="Arial" w:hAnsi="Arial" w:cs="Arial"/>
          <w:spacing w:val="1"/>
          <w:sz w:val="22"/>
          <w:szCs w:val="22"/>
        </w:rPr>
        <w:t>e</w:t>
      </w:r>
      <w:r w:rsidRPr="00197FDA">
        <w:rPr>
          <w:rFonts w:ascii="Arial" w:hAnsi="Arial" w:cs="Arial"/>
          <w:spacing w:val="-3"/>
          <w:sz w:val="22"/>
          <w:szCs w:val="22"/>
        </w:rPr>
        <w:t>g</w:t>
      </w:r>
      <w:r w:rsidRPr="00197FDA">
        <w:rPr>
          <w:rFonts w:ascii="Arial" w:hAnsi="Arial" w:cs="Arial"/>
          <w:sz w:val="22"/>
          <w:szCs w:val="22"/>
        </w:rPr>
        <w:t>ul</w:t>
      </w:r>
      <w:r w:rsidRPr="00197FDA">
        <w:rPr>
          <w:rFonts w:ascii="Arial" w:hAnsi="Arial" w:cs="Arial"/>
          <w:spacing w:val="-1"/>
          <w:sz w:val="22"/>
          <w:szCs w:val="22"/>
        </w:rPr>
        <w:t>a</w:t>
      </w:r>
      <w:r w:rsidRPr="00197FDA">
        <w:rPr>
          <w:rFonts w:ascii="Arial" w:hAnsi="Arial" w:cs="Arial"/>
          <w:sz w:val="22"/>
          <w:szCs w:val="22"/>
        </w:rPr>
        <w:t>t</w:t>
      </w:r>
      <w:r w:rsidRPr="00197FDA">
        <w:rPr>
          <w:rFonts w:ascii="Arial" w:hAnsi="Arial" w:cs="Arial"/>
          <w:spacing w:val="2"/>
          <w:sz w:val="22"/>
          <w:szCs w:val="22"/>
        </w:rPr>
        <w:t>i</w:t>
      </w:r>
      <w:r w:rsidRPr="00197FDA">
        <w:rPr>
          <w:rFonts w:ascii="Arial" w:hAnsi="Arial" w:cs="Arial"/>
          <w:sz w:val="22"/>
          <w:szCs w:val="22"/>
        </w:rPr>
        <w:t>ons</w:t>
      </w:r>
      <w:r w:rsidRPr="00197FDA">
        <w:rPr>
          <w:rFonts w:ascii="Arial" w:hAnsi="Arial" w:cs="Arial"/>
          <w:spacing w:val="2"/>
          <w:sz w:val="22"/>
          <w:szCs w:val="22"/>
        </w:rPr>
        <w:t xml:space="preserve"> </w:t>
      </w:r>
      <w:r w:rsidRPr="00197FDA">
        <w:rPr>
          <w:rFonts w:ascii="Arial" w:hAnsi="Arial" w:cs="Arial"/>
          <w:sz w:val="22"/>
          <w:szCs w:val="22"/>
        </w:rPr>
        <w:t>or</w:t>
      </w:r>
      <w:r w:rsidRPr="00197FDA">
        <w:rPr>
          <w:rFonts w:ascii="Arial" w:hAnsi="Arial" w:cs="Arial"/>
          <w:spacing w:val="1"/>
          <w:sz w:val="22"/>
          <w:szCs w:val="22"/>
        </w:rPr>
        <w:t xml:space="preserve"> </w:t>
      </w:r>
      <w:r w:rsidRPr="00197FDA">
        <w:rPr>
          <w:rFonts w:ascii="Arial" w:hAnsi="Arial" w:cs="Arial"/>
          <w:spacing w:val="2"/>
          <w:sz w:val="22"/>
          <w:szCs w:val="22"/>
        </w:rPr>
        <w:t>b</w:t>
      </w:r>
      <w:r w:rsidRPr="00197FDA">
        <w:rPr>
          <w:rFonts w:ascii="Arial" w:hAnsi="Arial" w:cs="Arial"/>
          <w:spacing w:val="-5"/>
          <w:sz w:val="22"/>
          <w:szCs w:val="22"/>
        </w:rPr>
        <w:t>y</w:t>
      </w:r>
      <w:r w:rsidRPr="00197FDA">
        <w:rPr>
          <w:rFonts w:ascii="Arial" w:hAnsi="Arial" w:cs="Arial"/>
          <w:spacing w:val="-1"/>
          <w:sz w:val="22"/>
          <w:szCs w:val="22"/>
        </w:rPr>
        <w:t>-</w:t>
      </w:r>
      <w:r w:rsidRPr="00197FDA">
        <w:rPr>
          <w:rFonts w:ascii="Arial" w:hAnsi="Arial" w:cs="Arial"/>
          <w:spacing w:val="2"/>
          <w:sz w:val="22"/>
          <w:szCs w:val="22"/>
        </w:rPr>
        <w:t>l</w:t>
      </w:r>
      <w:r w:rsidRPr="00197FDA">
        <w:rPr>
          <w:rFonts w:ascii="Arial" w:hAnsi="Arial" w:cs="Arial"/>
          <w:spacing w:val="-1"/>
          <w:sz w:val="22"/>
          <w:szCs w:val="22"/>
        </w:rPr>
        <w:t>aw</w:t>
      </w:r>
      <w:r w:rsidRPr="00197FDA">
        <w:rPr>
          <w:rFonts w:ascii="Arial" w:hAnsi="Arial" w:cs="Arial"/>
          <w:sz w:val="22"/>
          <w:szCs w:val="22"/>
        </w:rPr>
        <w:t>s</w:t>
      </w:r>
      <w:r w:rsidRPr="00197FDA">
        <w:rPr>
          <w:rFonts w:ascii="Arial" w:hAnsi="Arial" w:cs="Arial"/>
          <w:spacing w:val="-1"/>
          <w:sz w:val="22"/>
          <w:szCs w:val="22"/>
        </w:rPr>
        <w:t>)</w:t>
      </w:r>
      <w:r w:rsidRPr="00197FDA">
        <w:rPr>
          <w:rFonts w:ascii="Arial" w:hAnsi="Arial" w:cs="Arial"/>
          <w:sz w:val="22"/>
          <w:szCs w:val="22"/>
        </w:rPr>
        <w:t>,</w:t>
      </w:r>
      <w:r w:rsidRPr="00197FDA">
        <w:rPr>
          <w:rFonts w:ascii="Arial" w:hAnsi="Arial" w:cs="Arial"/>
          <w:spacing w:val="2"/>
          <w:sz w:val="22"/>
          <w:szCs w:val="22"/>
        </w:rPr>
        <w:t xml:space="preserve"> </w:t>
      </w:r>
      <w:r w:rsidRPr="00197FDA">
        <w:rPr>
          <w:rFonts w:ascii="Arial" w:hAnsi="Arial" w:cs="Arial"/>
          <w:sz w:val="22"/>
          <w:szCs w:val="22"/>
        </w:rPr>
        <w:t>the</w:t>
      </w:r>
      <w:r w:rsidRPr="00197FDA">
        <w:rPr>
          <w:rFonts w:ascii="Arial" w:hAnsi="Arial" w:cs="Arial"/>
          <w:spacing w:val="1"/>
          <w:sz w:val="22"/>
          <w:szCs w:val="22"/>
        </w:rPr>
        <w:t xml:space="preserve"> </w:t>
      </w:r>
      <w:r w:rsidRPr="00197FDA">
        <w:rPr>
          <w:rFonts w:ascii="Arial" w:hAnsi="Arial" w:cs="Arial"/>
          <w:sz w:val="22"/>
          <w:szCs w:val="22"/>
        </w:rPr>
        <w:t>p</w:t>
      </w:r>
      <w:r w:rsidRPr="00197FDA">
        <w:rPr>
          <w:rFonts w:ascii="Arial" w:hAnsi="Arial" w:cs="Arial"/>
          <w:spacing w:val="2"/>
          <w:sz w:val="22"/>
          <w:szCs w:val="22"/>
        </w:rPr>
        <w:t>o</w:t>
      </w:r>
      <w:r w:rsidRPr="00197FDA">
        <w:rPr>
          <w:rFonts w:ascii="Arial" w:hAnsi="Arial" w:cs="Arial"/>
          <w:spacing w:val="1"/>
          <w:sz w:val="22"/>
          <w:szCs w:val="22"/>
        </w:rPr>
        <w:t>w</w:t>
      </w:r>
      <w:r w:rsidRPr="00197FDA">
        <w:rPr>
          <w:rFonts w:ascii="Arial" w:hAnsi="Arial" w:cs="Arial"/>
          <w:spacing w:val="-1"/>
          <w:sz w:val="22"/>
          <w:szCs w:val="22"/>
        </w:rPr>
        <w:t xml:space="preserve">er </w:t>
      </w:r>
      <w:r w:rsidRPr="00197FDA">
        <w:rPr>
          <w:rFonts w:ascii="Arial" w:hAnsi="Arial" w:cs="Arial"/>
          <w:sz w:val="22"/>
          <w:szCs w:val="22"/>
        </w:rPr>
        <w:t>sh</w:t>
      </w:r>
      <w:r w:rsidRPr="00197FDA">
        <w:rPr>
          <w:rFonts w:ascii="Arial" w:hAnsi="Arial" w:cs="Arial"/>
          <w:spacing w:val="-1"/>
          <w:sz w:val="22"/>
          <w:szCs w:val="22"/>
        </w:rPr>
        <w:t>a</w:t>
      </w:r>
      <w:r w:rsidRPr="00197FDA">
        <w:rPr>
          <w:rFonts w:ascii="Arial" w:hAnsi="Arial" w:cs="Arial"/>
          <w:sz w:val="22"/>
          <w:szCs w:val="22"/>
        </w:rPr>
        <w:t>ll</w:t>
      </w:r>
      <w:r w:rsidRPr="00197FDA">
        <w:rPr>
          <w:rFonts w:ascii="Arial" w:hAnsi="Arial" w:cs="Arial"/>
          <w:spacing w:val="17"/>
          <w:sz w:val="22"/>
          <w:szCs w:val="22"/>
        </w:rPr>
        <w:t xml:space="preserve"> </w:t>
      </w:r>
      <w:r w:rsidRPr="00197FDA">
        <w:rPr>
          <w:rFonts w:ascii="Arial" w:hAnsi="Arial" w:cs="Arial"/>
          <w:sz w:val="22"/>
          <w:szCs w:val="22"/>
        </w:rPr>
        <w:t>be</w:t>
      </w:r>
      <w:r w:rsidRPr="00197FDA">
        <w:rPr>
          <w:rFonts w:ascii="Arial" w:hAnsi="Arial" w:cs="Arial"/>
          <w:spacing w:val="15"/>
          <w:sz w:val="22"/>
          <w:szCs w:val="22"/>
        </w:rPr>
        <w:t xml:space="preserve"> </w:t>
      </w:r>
      <w:r w:rsidRPr="00197FDA">
        <w:rPr>
          <w:rFonts w:ascii="Arial" w:hAnsi="Arial" w:cs="Arial"/>
          <w:spacing w:val="-1"/>
          <w:sz w:val="22"/>
          <w:szCs w:val="22"/>
        </w:rPr>
        <w:t>c</w:t>
      </w:r>
      <w:r w:rsidRPr="00197FDA">
        <w:rPr>
          <w:rFonts w:ascii="Arial" w:hAnsi="Arial" w:cs="Arial"/>
          <w:sz w:val="22"/>
          <w:szCs w:val="22"/>
        </w:rPr>
        <w:t>onst</w:t>
      </w:r>
      <w:r w:rsidRPr="00197FDA">
        <w:rPr>
          <w:rFonts w:ascii="Arial" w:hAnsi="Arial" w:cs="Arial"/>
          <w:spacing w:val="-1"/>
          <w:sz w:val="22"/>
          <w:szCs w:val="22"/>
        </w:rPr>
        <w:t>r</w:t>
      </w:r>
      <w:r w:rsidRPr="00197FDA">
        <w:rPr>
          <w:rFonts w:ascii="Arial" w:hAnsi="Arial" w:cs="Arial"/>
          <w:sz w:val="22"/>
          <w:szCs w:val="22"/>
        </w:rPr>
        <w:t>u</w:t>
      </w:r>
      <w:r w:rsidRPr="00197FDA">
        <w:rPr>
          <w:rFonts w:ascii="Arial" w:hAnsi="Arial" w:cs="Arial"/>
          <w:spacing w:val="-1"/>
          <w:sz w:val="22"/>
          <w:szCs w:val="22"/>
        </w:rPr>
        <w:t>e</w:t>
      </w:r>
      <w:r w:rsidRPr="00197FDA">
        <w:rPr>
          <w:rFonts w:ascii="Arial" w:hAnsi="Arial" w:cs="Arial"/>
          <w:sz w:val="22"/>
          <w:szCs w:val="22"/>
        </w:rPr>
        <w:t>d</w:t>
      </w:r>
      <w:r w:rsidRPr="00197FDA">
        <w:rPr>
          <w:rFonts w:ascii="Arial" w:hAnsi="Arial" w:cs="Arial"/>
          <w:spacing w:val="16"/>
          <w:sz w:val="22"/>
          <w:szCs w:val="22"/>
        </w:rPr>
        <w:t xml:space="preserve"> </w:t>
      </w:r>
      <w:r w:rsidRPr="00197FDA">
        <w:rPr>
          <w:rFonts w:ascii="Arial" w:hAnsi="Arial" w:cs="Arial"/>
          <w:spacing w:val="-1"/>
          <w:sz w:val="22"/>
          <w:szCs w:val="22"/>
        </w:rPr>
        <w:t>a</w:t>
      </w:r>
      <w:r w:rsidRPr="00197FDA">
        <w:rPr>
          <w:rFonts w:ascii="Arial" w:hAnsi="Arial" w:cs="Arial"/>
          <w:sz w:val="22"/>
          <w:szCs w:val="22"/>
        </w:rPr>
        <w:t>s</w:t>
      </w:r>
      <w:r w:rsidRPr="00197FDA">
        <w:rPr>
          <w:rFonts w:ascii="Arial" w:hAnsi="Arial" w:cs="Arial"/>
          <w:spacing w:val="17"/>
          <w:sz w:val="22"/>
          <w:szCs w:val="22"/>
        </w:rPr>
        <w:t xml:space="preserve"> </w:t>
      </w:r>
      <w:r w:rsidRPr="00197FDA">
        <w:rPr>
          <w:rFonts w:ascii="Arial" w:hAnsi="Arial" w:cs="Arial"/>
          <w:sz w:val="22"/>
          <w:szCs w:val="22"/>
        </w:rPr>
        <w:t>in</w:t>
      </w:r>
      <w:r w:rsidRPr="00197FDA">
        <w:rPr>
          <w:rFonts w:ascii="Arial" w:hAnsi="Arial" w:cs="Arial"/>
          <w:spacing w:val="-1"/>
          <w:sz w:val="22"/>
          <w:szCs w:val="22"/>
        </w:rPr>
        <w:t>c</w:t>
      </w:r>
      <w:r w:rsidRPr="00197FDA">
        <w:rPr>
          <w:rFonts w:ascii="Arial" w:hAnsi="Arial" w:cs="Arial"/>
          <w:sz w:val="22"/>
          <w:szCs w:val="22"/>
        </w:rPr>
        <w:t>luding</w:t>
      </w:r>
      <w:r w:rsidRPr="00197FDA">
        <w:rPr>
          <w:rFonts w:ascii="Arial" w:hAnsi="Arial" w:cs="Arial"/>
          <w:spacing w:val="14"/>
          <w:sz w:val="22"/>
          <w:szCs w:val="22"/>
        </w:rPr>
        <w:t xml:space="preserve"> </w:t>
      </w:r>
      <w:r w:rsidRPr="00197FDA">
        <w:rPr>
          <w:rFonts w:ascii="Arial" w:hAnsi="Arial" w:cs="Arial"/>
          <w:sz w:val="22"/>
          <w:szCs w:val="22"/>
        </w:rPr>
        <w:t>a</w:t>
      </w:r>
      <w:r w:rsidRPr="00197FDA">
        <w:rPr>
          <w:rFonts w:ascii="Arial" w:hAnsi="Arial" w:cs="Arial"/>
          <w:spacing w:val="15"/>
          <w:sz w:val="22"/>
          <w:szCs w:val="22"/>
        </w:rPr>
        <w:t xml:space="preserve"> </w:t>
      </w:r>
      <w:r w:rsidRPr="00197FDA">
        <w:rPr>
          <w:rFonts w:ascii="Arial" w:hAnsi="Arial" w:cs="Arial"/>
          <w:sz w:val="22"/>
          <w:szCs w:val="22"/>
        </w:rPr>
        <w:t>po</w:t>
      </w:r>
      <w:r w:rsidRPr="00197FDA">
        <w:rPr>
          <w:rFonts w:ascii="Arial" w:hAnsi="Arial" w:cs="Arial"/>
          <w:spacing w:val="-1"/>
          <w:sz w:val="22"/>
          <w:szCs w:val="22"/>
        </w:rPr>
        <w:t>we</w:t>
      </w:r>
      <w:r w:rsidRPr="00197FDA">
        <w:rPr>
          <w:rFonts w:ascii="Arial" w:hAnsi="Arial" w:cs="Arial"/>
          <w:sz w:val="22"/>
          <w:szCs w:val="22"/>
        </w:rPr>
        <w:t>r</w:t>
      </w:r>
      <w:r w:rsidRPr="00197FDA">
        <w:rPr>
          <w:rFonts w:ascii="Arial" w:hAnsi="Arial" w:cs="Arial"/>
          <w:spacing w:val="16"/>
          <w:sz w:val="22"/>
          <w:szCs w:val="22"/>
        </w:rPr>
        <w:t xml:space="preserve"> </w:t>
      </w:r>
      <w:r w:rsidRPr="00197FDA">
        <w:rPr>
          <w:rFonts w:ascii="Arial" w:hAnsi="Arial" w:cs="Arial"/>
          <w:spacing w:val="-1"/>
          <w:sz w:val="22"/>
          <w:szCs w:val="22"/>
        </w:rPr>
        <w:t>e</w:t>
      </w:r>
      <w:r w:rsidRPr="00197FDA">
        <w:rPr>
          <w:rFonts w:ascii="Arial" w:hAnsi="Arial" w:cs="Arial"/>
          <w:spacing w:val="2"/>
          <w:sz w:val="22"/>
          <w:szCs w:val="22"/>
        </w:rPr>
        <w:t>x</w:t>
      </w:r>
      <w:r w:rsidRPr="00197FDA">
        <w:rPr>
          <w:rFonts w:ascii="Arial" w:hAnsi="Arial" w:cs="Arial"/>
          <w:spacing w:val="-1"/>
          <w:sz w:val="22"/>
          <w:szCs w:val="22"/>
        </w:rPr>
        <w:t>erc</w:t>
      </w:r>
      <w:r w:rsidRPr="00197FDA">
        <w:rPr>
          <w:rFonts w:ascii="Arial" w:hAnsi="Arial" w:cs="Arial"/>
          <w:sz w:val="22"/>
          <w:szCs w:val="22"/>
        </w:rPr>
        <w:t>i</w:t>
      </w:r>
      <w:r w:rsidRPr="00197FDA">
        <w:rPr>
          <w:rFonts w:ascii="Arial" w:hAnsi="Arial" w:cs="Arial"/>
          <w:spacing w:val="2"/>
          <w:sz w:val="22"/>
          <w:szCs w:val="22"/>
        </w:rPr>
        <w:t>s</w:t>
      </w:r>
      <w:r w:rsidRPr="00197FDA">
        <w:rPr>
          <w:rFonts w:ascii="Arial" w:hAnsi="Arial" w:cs="Arial"/>
          <w:spacing w:val="-1"/>
          <w:sz w:val="22"/>
          <w:szCs w:val="22"/>
        </w:rPr>
        <w:t>a</w:t>
      </w:r>
      <w:r w:rsidRPr="00197FDA">
        <w:rPr>
          <w:rFonts w:ascii="Arial" w:hAnsi="Arial" w:cs="Arial"/>
          <w:spacing w:val="2"/>
          <w:sz w:val="22"/>
          <w:szCs w:val="22"/>
        </w:rPr>
        <w:t>b</w:t>
      </w:r>
      <w:r w:rsidRPr="00197FDA">
        <w:rPr>
          <w:rFonts w:ascii="Arial" w:hAnsi="Arial" w:cs="Arial"/>
          <w:sz w:val="22"/>
          <w:szCs w:val="22"/>
        </w:rPr>
        <w:t>le</w:t>
      </w:r>
      <w:r w:rsidRPr="00197FDA">
        <w:rPr>
          <w:rFonts w:ascii="Arial" w:hAnsi="Arial" w:cs="Arial"/>
          <w:spacing w:val="15"/>
          <w:sz w:val="22"/>
          <w:szCs w:val="22"/>
        </w:rPr>
        <w:t xml:space="preserve"> </w:t>
      </w:r>
      <w:r w:rsidRPr="00197FDA">
        <w:rPr>
          <w:rFonts w:ascii="Arial" w:hAnsi="Arial" w:cs="Arial"/>
          <w:sz w:val="22"/>
          <w:szCs w:val="22"/>
        </w:rPr>
        <w:t>in</w:t>
      </w:r>
      <w:r w:rsidRPr="00197FDA">
        <w:rPr>
          <w:rFonts w:ascii="Arial" w:hAnsi="Arial" w:cs="Arial"/>
          <w:spacing w:val="16"/>
          <w:sz w:val="22"/>
          <w:szCs w:val="22"/>
        </w:rPr>
        <w:t xml:space="preserve"> </w:t>
      </w:r>
      <w:r w:rsidRPr="00197FDA">
        <w:rPr>
          <w:rFonts w:ascii="Arial" w:hAnsi="Arial" w:cs="Arial"/>
          <w:sz w:val="22"/>
          <w:szCs w:val="22"/>
        </w:rPr>
        <w:t>the</w:t>
      </w:r>
      <w:r w:rsidRPr="00197FDA">
        <w:rPr>
          <w:rFonts w:ascii="Arial" w:hAnsi="Arial" w:cs="Arial"/>
          <w:spacing w:val="15"/>
          <w:sz w:val="22"/>
          <w:szCs w:val="22"/>
        </w:rPr>
        <w:t xml:space="preserve"> </w:t>
      </w:r>
      <w:r w:rsidRPr="00197FDA">
        <w:rPr>
          <w:rFonts w:ascii="Arial" w:hAnsi="Arial" w:cs="Arial"/>
          <w:sz w:val="22"/>
          <w:szCs w:val="22"/>
        </w:rPr>
        <w:t>like</w:t>
      </w:r>
      <w:r w:rsidRPr="00197FDA">
        <w:rPr>
          <w:rFonts w:ascii="Arial" w:hAnsi="Arial" w:cs="Arial"/>
          <w:spacing w:val="15"/>
          <w:sz w:val="22"/>
          <w:szCs w:val="22"/>
        </w:rPr>
        <w:t xml:space="preserve"> </w:t>
      </w:r>
      <w:r w:rsidRPr="00197FDA">
        <w:rPr>
          <w:rFonts w:ascii="Arial" w:hAnsi="Arial" w:cs="Arial"/>
          <w:sz w:val="22"/>
          <w:szCs w:val="22"/>
        </w:rPr>
        <w:t>m</w:t>
      </w:r>
      <w:r w:rsidRPr="00197FDA">
        <w:rPr>
          <w:rFonts w:ascii="Arial" w:hAnsi="Arial" w:cs="Arial"/>
          <w:spacing w:val="-1"/>
          <w:sz w:val="22"/>
          <w:szCs w:val="22"/>
        </w:rPr>
        <w:t>a</w:t>
      </w:r>
      <w:r w:rsidRPr="00197FDA">
        <w:rPr>
          <w:rFonts w:ascii="Arial" w:hAnsi="Arial" w:cs="Arial"/>
          <w:sz w:val="22"/>
          <w:szCs w:val="22"/>
        </w:rPr>
        <w:t>nn</w:t>
      </w:r>
      <w:r w:rsidRPr="00197FDA">
        <w:rPr>
          <w:rFonts w:ascii="Arial" w:hAnsi="Arial" w:cs="Arial"/>
          <w:spacing w:val="-1"/>
          <w:sz w:val="22"/>
          <w:szCs w:val="22"/>
        </w:rPr>
        <w:t>e</w:t>
      </w:r>
      <w:r w:rsidRPr="00197FDA">
        <w:rPr>
          <w:rFonts w:ascii="Arial" w:hAnsi="Arial" w:cs="Arial"/>
          <w:sz w:val="22"/>
          <w:szCs w:val="22"/>
        </w:rPr>
        <w:t>r</w:t>
      </w:r>
      <w:r w:rsidRPr="00197FDA">
        <w:rPr>
          <w:rFonts w:ascii="Arial" w:hAnsi="Arial" w:cs="Arial"/>
          <w:spacing w:val="16"/>
          <w:sz w:val="22"/>
          <w:szCs w:val="22"/>
        </w:rPr>
        <w:t xml:space="preserve"> </w:t>
      </w:r>
      <w:r w:rsidRPr="00197FDA">
        <w:rPr>
          <w:rFonts w:ascii="Arial" w:hAnsi="Arial" w:cs="Arial"/>
          <w:spacing w:val="-1"/>
          <w:sz w:val="22"/>
          <w:szCs w:val="22"/>
        </w:rPr>
        <w:t>a</w:t>
      </w:r>
      <w:r w:rsidRPr="00197FDA">
        <w:rPr>
          <w:rFonts w:ascii="Arial" w:hAnsi="Arial" w:cs="Arial"/>
          <w:sz w:val="22"/>
          <w:szCs w:val="22"/>
        </w:rPr>
        <w:t>nd subj</w:t>
      </w:r>
      <w:r w:rsidRPr="00197FDA">
        <w:rPr>
          <w:rFonts w:ascii="Arial" w:hAnsi="Arial" w:cs="Arial"/>
          <w:spacing w:val="-1"/>
          <w:sz w:val="22"/>
          <w:szCs w:val="22"/>
        </w:rPr>
        <w:t>ec</w:t>
      </w:r>
      <w:r w:rsidRPr="00197FDA">
        <w:rPr>
          <w:rFonts w:ascii="Arial" w:hAnsi="Arial" w:cs="Arial"/>
          <w:sz w:val="22"/>
          <w:szCs w:val="22"/>
        </w:rPr>
        <w:t>t</w:t>
      </w:r>
      <w:r w:rsidRPr="00197FDA">
        <w:rPr>
          <w:rFonts w:ascii="Arial" w:hAnsi="Arial" w:cs="Arial"/>
          <w:spacing w:val="19"/>
          <w:sz w:val="22"/>
          <w:szCs w:val="22"/>
        </w:rPr>
        <w:t xml:space="preserve"> </w:t>
      </w:r>
      <w:r w:rsidRPr="00197FDA">
        <w:rPr>
          <w:rFonts w:ascii="Arial" w:hAnsi="Arial" w:cs="Arial"/>
          <w:sz w:val="22"/>
          <w:szCs w:val="22"/>
        </w:rPr>
        <w:t>to</w:t>
      </w:r>
      <w:r w:rsidRPr="00197FDA">
        <w:rPr>
          <w:rFonts w:ascii="Arial" w:hAnsi="Arial" w:cs="Arial"/>
          <w:spacing w:val="19"/>
          <w:sz w:val="22"/>
          <w:szCs w:val="22"/>
        </w:rPr>
        <w:t xml:space="preserve"> </w:t>
      </w:r>
      <w:r w:rsidRPr="00197FDA">
        <w:rPr>
          <w:rFonts w:ascii="Arial" w:hAnsi="Arial" w:cs="Arial"/>
          <w:sz w:val="22"/>
          <w:szCs w:val="22"/>
        </w:rPr>
        <w:t>the</w:t>
      </w:r>
      <w:r w:rsidRPr="00197FDA">
        <w:rPr>
          <w:rFonts w:ascii="Arial" w:hAnsi="Arial" w:cs="Arial"/>
          <w:spacing w:val="18"/>
          <w:sz w:val="22"/>
          <w:szCs w:val="22"/>
        </w:rPr>
        <w:t xml:space="preserve"> </w:t>
      </w:r>
      <w:r w:rsidRPr="00197FDA">
        <w:rPr>
          <w:rFonts w:ascii="Arial" w:hAnsi="Arial" w:cs="Arial"/>
          <w:sz w:val="22"/>
          <w:szCs w:val="22"/>
        </w:rPr>
        <w:t>like</w:t>
      </w:r>
      <w:r w:rsidRPr="00197FDA">
        <w:rPr>
          <w:rFonts w:ascii="Arial" w:hAnsi="Arial" w:cs="Arial"/>
          <w:spacing w:val="18"/>
          <w:sz w:val="22"/>
          <w:szCs w:val="22"/>
        </w:rPr>
        <w:t xml:space="preserve"> </w:t>
      </w:r>
      <w:r w:rsidRPr="00197FDA">
        <w:rPr>
          <w:rFonts w:ascii="Arial" w:hAnsi="Arial" w:cs="Arial"/>
          <w:spacing w:val="-1"/>
          <w:sz w:val="22"/>
          <w:szCs w:val="22"/>
        </w:rPr>
        <w:t>c</w:t>
      </w:r>
      <w:r w:rsidRPr="00197FDA">
        <w:rPr>
          <w:rFonts w:ascii="Arial" w:hAnsi="Arial" w:cs="Arial"/>
          <w:sz w:val="22"/>
          <w:szCs w:val="22"/>
        </w:rPr>
        <w:t>ondi</w:t>
      </w:r>
      <w:r w:rsidRPr="00197FDA">
        <w:rPr>
          <w:rFonts w:ascii="Arial" w:hAnsi="Arial" w:cs="Arial"/>
          <w:spacing w:val="2"/>
          <w:sz w:val="22"/>
          <w:szCs w:val="22"/>
        </w:rPr>
        <w:t>t</w:t>
      </w:r>
      <w:r w:rsidRPr="00197FDA">
        <w:rPr>
          <w:rFonts w:ascii="Arial" w:hAnsi="Arial" w:cs="Arial"/>
          <w:sz w:val="22"/>
          <w:szCs w:val="22"/>
        </w:rPr>
        <w:t>ions</w:t>
      </w:r>
      <w:r w:rsidRPr="00197FDA">
        <w:rPr>
          <w:rFonts w:ascii="Arial" w:hAnsi="Arial" w:cs="Arial"/>
          <w:spacing w:val="19"/>
          <w:sz w:val="22"/>
          <w:szCs w:val="22"/>
        </w:rPr>
        <w:t xml:space="preserve"> </w:t>
      </w:r>
      <w:r w:rsidRPr="00197FDA">
        <w:rPr>
          <w:rFonts w:ascii="Arial" w:hAnsi="Arial" w:cs="Arial"/>
          <w:spacing w:val="-1"/>
          <w:sz w:val="22"/>
          <w:szCs w:val="22"/>
        </w:rPr>
        <w:t>(</w:t>
      </w:r>
      <w:r w:rsidRPr="00197FDA">
        <w:rPr>
          <w:rFonts w:ascii="Arial" w:hAnsi="Arial" w:cs="Arial"/>
          <w:sz w:val="22"/>
          <w:szCs w:val="22"/>
        </w:rPr>
        <w:t>if</w:t>
      </w:r>
      <w:r w:rsidRPr="00197FDA">
        <w:rPr>
          <w:rFonts w:ascii="Arial" w:hAnsi="Arial" w:cs="Arial"/>
          <w:spacing w:val="18"/>
          <w:sz w:val="22"/>
          <w:szCs w:val="22"/>
        </w:rPr>
        <w:t xml:space="preserve"> </w:t>
      </w:r>
      <w:r w:rsidRPr="00197FDA">
        <w:rPr>
          <w:rFonts w:ascii="Arial" w:hAnsi="Arial" w:cs="Arial"/>
          <w:spacing w:val="-1"/>
          <w:sz w:val="22"/>
          <w:szCs w:val="22"/>
        </w:rPr>
        <w:t>a</w:t>
      </w:r>
      <w:r w:rsidRPr="00197FDA">
        <w:rPr>
          <w:rFonts w:ascii="Arial" w:hAnsi="Arial" w:cs="Arial"/>
          <w:spacing w:val="4"/>
          <w:sz w:val="22"/>
          <w:szCs w:val="22"/>
        </w:rPr>
        <w:t>n</w:t>
      </w:r>
      <w:r w:rsidRPr="00197FDA">
        <w:rPr>
          <w:rFonts w:ascii="Arial" w:hAnsi="Arial" w:cs="Arial"/>
          <w:spacing w:val="-5"/>
          <w:sz w:val="22"/>
          <w:szCs w:val="22"/>
        </w:rPr>
        <w:t>y</w:t>
      </w:r>
      <w:r w:rsidRPr="00197FDA">
        <w:rPr>
          <w:rFonts w:ascii="Arial" w:hAnsi="Arial" w:cs="Arial"/>
          <w:sz w:val="22"/>
          <w:szCs w:val="22"/>
        </w:rPr>
        <w:t>)</w:t>
      </w:r>
      <w:r w:rsidRPr="00197FDA">
        <w:rPr>
          <w:rFonts w:ascii="Arial" w:hAnsi="Arial" w:cs="Arial"/>
          <w:spacing w:val="18"/>
          <w:sz w:val="22"/>
          <w:szCs w:val="22"/>
        </w:rPr>
        <w:t xml:space="preserve"> </w:t>
      </w:r>
      <w:r w:rsidRPr="00197FDA">
        <w:rPr>
          <w:rFonts w:ascii="Arial" w:hAnsi="Arial" w:cs="Arial"/>
          <w:sz w:val="22"/>
          <w:szCs w:val="22"/>
        </w:rPr>
        <w:t>to</w:t>
      </w:r>
      <w:r w:rsidRPr="00197FDA">
        <w:rPr>
          <w:rFonts w:ascii="Arial" w:hAnsi="Arial" w:cs="Arial"/>
          <w:spacing w:val="19"/>
          <w:sz w:val="22"/>
          <w:szCs w:val="22"/>
        </w:rPr>
        <w:t xml:space="preserve"> </w:t>
      </w:r>
      <w:r w:rsidRPr="00197FDA">
        <w:rPr>
          <w:rFonts w:ascii="Arial" w:hAnsi="Arial" w:cs="Arial"/>
          <w:spacing w:val="1"/>
          <w:sz w:val="22"/>
          <w:szCs w:val="22"/>
        </w:rPr>
        <w:t>r</w:t>
      </w:r>
      <w:r w:rsidRPr="00197FDA">
        <w:rPr>
          <w:rFonts w:ascii="Arial" w:hAnsi="Arial" w:cs="Arial"/>
          <w:spacing w:val="-1"/>
          <w:sz w:val="22"/>
          <w:szCs w:val="22"/>
        </w:rPr>
        <w:t>e</w:t>
      </w:r>
      <w:r w:rsidRPr="00197FDA">
        <w:rPr>
          <w:rFonts w:ascii="Arial" w:hAnsi="Arial" w:cs="Arial"/>
          <w:sz w:val="22"/>
          <w:szCs w:val="22"/>
        </w:rPr>
        <w:t>p</w:t>
      </w:r>
      <w:r w:rsidRPr="00197FDA">
        <w:rPr>
          <w:rFonts w:ascii="Arial" w:hAnsi="Arial" w:cs="Arial"/>
          <w:spacing w:val="-1"/>
          <w:sz w:val="22"/>
          <w:szCs w:val="22"/>
        </w:rPr>
        <w:t>ea</w:t>
      </w:r>
      <w:r w:rsidRPr="00197FDA">
        <w:rPr>
          <w:rFonts w:ascii="Arial" w:hAnsi="Arial" w:cs="Arial"/>
          <w:sz w:val="22"/>
          <w:szCs w:val="22"/>
        </w:rPr>
        <w:t>l,</w:t>
      </w:r>
      <w:r w:rsidRPr="00197FDA">
        <w:rPr>
          <w:rFonts w:ascii="Arial" w:hAnsi="Arial" w:cs="Arial"/>
          <w:spacing w:val="21"/>
          <w:sz w:val="22"/>
          <w:szCs w:val="22"/>
        </w:rPr>
        <w:t xml:space="preserve"> </w:t>
      </w:r>
      <w:r w:rsidRPr="00197FDA">
        <w:rPr>
          <w:rFonts w:ascii="Arial" w:hAnsi="Arial" w:cs="Arial"/>
          <w:spacing w:val="1"/>
          <w:sz w:val="22"/>
          <w:szCs w:val="22"/>
        </w:rPr>
        <w:t>r</w:t>
      </w:r>
      <w:r w:rsidRPr="00197FDA">
        <w:rPr>
          <w:rFonts w:ascii="Arial" w:hAnsi="Arial" w:cs="Arial"/>
          <w:spacing w:val="-1"/>
          <w:sz w:val="22"/>
          <w:szCs w:val="22"/>
        </w:rPr>
        <w:t>e</w:t>
      </w:r>
      <w:r w:rsidRPr="00197FDA">
        <w:rPr>
          <w:rFonts w:ascii="Arial" w:hAnsi="Arial" w:cs="Arial"/>
          <w:sz w:val="22"/>
          <w:szCs w:val="22"/>
        </w:rPr>
        <w:t>s</w:t>
      </w:r>
      <w:r w:rsidRPr="00197FDA">
        <w:rPr>
          <w:rFonts w:ascii="Arial" w:hAnsi="Arial" w:cs="Arial"/>
          <w:spacing w:val="-1"/>
          <w:sz w:val="22"/>
          <w:szCs w:val="22"/>
        </w:rPr>
        <w:t>c</w:t>
      </w:r>
      <w:r w:rsidRPr="00197FDA">
        <w:rPr>
          <w:rFonts w:ascii="Arial" w:hAnsi="Arial" w:cs="Arial"/>
          <w:sz w:val="22"/>
          <w:szCs w:val="22"/>
        </w:rPr>
        <w:t>ind,</w:t>
      </w:r>
      <w:r w:rsidRPr="00197FDA">
        <w:rPr>
          <w:rFonts w:ascii="Arial" w:hAnsi="Arial" w:cs="Arial"/>
          <w:spacing w:val="19"/>
          <w:sz w:val="22"/>
          <w:szCs w:val="22"/>
        </w:rPr>
        <w:t xml:space="preserve"> </w:t>
      </w:r>
      <w:r w:rsidRPr="00197FDA">
        <w:rPr>
          <w:rFonts w:ascii="Arial" w:hAnsi="Arial" w:cs="Arial"/>
          <w:spacing w:val="-1"/>
          <w:sz w:val="22"/>
          <w:szCs w:val="22"/>
        </w:rPr>
        <w:t>re</w:t>
      </w:r>
      <w:r w:rsidRPr="00197FDA">
        <w:rPr>
          <w:rFonts w:ascii="Arial" w:hAnsi="Arial" w:cs="Arial"/>
          <w:sz w:val="22"/>
          <w:szCs w:val="22"/>
        </w:rPr>
        <w:t>vo</w:t>
      </w:r>
      <w:r w:rsidRPr="00197FDA">
        <w:rPr>
          <w:rFonts w:ascii="Arial" w:hAnsi="Arial" w:cs="Arial"/>
          <w:spacing w:val="2"/>
          <w:sz w:val="22"/>
          <w:szCs w:val="22"/>
        </w:rPr>
        <w:t>k</w:t>
      </w:r>
      <w:r w:rsidRPr="00197FDA">
        <w:rPr>
          <w:rFonts w:ascii="Arial" w:hAnsi="Arial" w:cs="Arial"/>
          <w:spacing w:val="-1"/>
          <w:sz w:val="22"/>
          <w:szCs w:val="22"/>
        </w:rPr>
        <w:t>e</w:t>
      </w:r>
      <w:r w:rsidRPr="00197FDA">
        <w:rPr>
          <w:rFonts w:ascii="Arial" w:hAnsi="Arial" w:cs="Arial"/>
          <w:sz w:val="22"/>
          <w:szCs w:val="22"/>
        </w:rPr>
        <w:t>,</w:t>
      </w:r>
      <w:r w:rsidRPr="00197FDA">
        <w:rPr>
          <w:rFonts w:ascii="Arial" w:hAnsi="Arial" w:cs="Arial"/>
          <w:spacing w:val="19"/>
          <w:sz w:val="22"/>
          <w:szCs w:val="22"/>
        </w:rPr>
        <w:t xml:space="preserve"> </w:t>
      </w:r>
      <w:r w:rsidRPr="00197FDA">
        <w:rPr>
          <w:rFonts w:ascii="Arial" w:hAnsi="Arial" w:cs="Arial"/>
          <w:spacing w:val="-1"/>
          <w:sz w:val="22"/>
          <w:szCs w:val="22"/>
        </w:rPr>
        <w:t>a</w:t>
      </w:r>
      <w:r w:rsidRPr="00197FDA">
        <w:rPr>
          <w:rFonts w:ascii="Arial" w:hAnsi="Arial" w:cs="Arial"/>
          <w:sz w:val="22"/>
          <w:szCs w:val="22"/>
        </w:rPr>
        <w:t>m</w:t>
      </w:r>
      <w:r w:rsidRPr="00197FDA">
        <w:rPr>
          <w:rFonts w:ascii="Arial" w:hAnsi="Arial" w:cs="Arial"/>
          <w:spacing w:val="-1"/>
          <w:sz w:val="22"/>
          <w:szCs w:val="22"/>
        </w:rPr>
        <w:t>e</w:t>
      </w:r>
      <w:r w:rsidRPr="00197FDA">
        <w:rPr>
          <w:rFonts w:ascii="Arial" w:hAnsi="Arial" w:cs="Arial"/>
          <w:sz w:val="22"/>
          <w:szCs w:val="22"/>
        </w:rPr>
        <w:t>nd,</w:t>
      </w:r>
      <w:r w:rsidRPr="00197FDA">
        <w:rPr>
          <w:rFonts w:ascii="Arial" w:hAnsi="Arial" w:cs="Arial"/>
          <w:spacing w:val="19"/>
          <w:sz w:val="22"/>
          <w:szCs w:val="22"/>
        </w:rPr>
        <w:t xml:space="preserve"> </w:t>
      </w:r>
      <w:r w:rsidRPr="00197FDA">
        <w:rPr>
          <w:rFonts w:ascii="Arial" w:hAnsi="Arial" w:cs="Arial"/>
          <w:spacing w:val="2"/>
          <w:sz w:val="22"/>
          <w:szCs w:val="22"/>
        </w:rPr>
        <w:t>o</w:t>
      </w:r>
      <w:r w:rsidRPr="00197FDA">
        <w:rPr>
          <w:rFonts w:ascii="Arial" w:hAnsi="Arial" w:cs="Arial"/>
          <w:sz w:val="22"/>
          <w:szCs w:val="22"/>
        </w:rPr>
        <w:t>r v</w:t>
      </w:r>
      <w:r w:rsidRPr="00197FDA">
        <w:rPr>
          <w:rFonts w:ascii="Arial" w:hAnsi="Arial" w:cs="Arial"/>
          <w:spacing w:val="-1"/>
          <w:sz w:val="22"/>
          <w:szCs w:val="22"/>
        </w:rPr>
        <w:t>a</w:t>
      </w:r>
      <w:r w:rsidRPr="00197FDA">
        <w:rPr>
          <w:rFonts w:ascii="Arial" w:hAnsi="Arial" w:cs="Arial"/>
          <w:spacing w:val="4"/>
          <w:sz w:val="22"/>
          <w:szCs w:val="22"/>
        </w:rPr>
        <w:t>r</w:t>
      </w:r>
      <w:r w:rsidRPr="00197FDA">
        <w:rPr>
          <w:rFonts w:ascii="Arial" w:hAnsi="Arial" w:cs="Arial"/>
          <w:sz w:val="22"/>
          <w:szCs w:val="22"/>
        </w:rPr>
        <w:t>y</w:t>
      </w:r>
      <w:r w:rsidRPr="00197FDA">
        <w:rPr>
          <w:rFonts w:ascii="Arial" w:hAnsi="Arial" w:cs="Arial"/>
          <w:spacing w:val="-5"/>
          <w:sz w:val="22"/>
          <w:szCs w:val="22"/>
        </w:rPr>
        <w:t xml:space="preserve"> </w:t>
      </w:r>
      <w:r w:rsidRPr="00197FDA">
        <w:rPr>
          <w:rFonts w:ascii="Arial" w:hAnsi="Arial" w:cs="Arial"/>
          <w:spacing w:val="-1"/>
          <w:sz w:val="22"/>
          <w:szCs w:val="22"/>
        </w:rPr>
        <w:t>a</w:t>
      </w:r>
      <w:r w:rsidRPr="00197FDA">
        <w:rPr>
          <w:rFonts w:ascii="Arial" w:hAnsi="Arial" w:cs="Arial"/>
          <w:spacing w:val="4"/>
          <w:sz w:val="22"/>
          <w:szCs w:val="22"/>
        </w:rPr>
        <w:t>n</w:t>
      </w:r>
      <w:r w:rsidRPr="00197FDA">
        <w:rPr>
          <w:rFonts w:ascii="Arial" w:hAnsi="Arial" w:cs="Arial"/>
          <w:sz w:val="22"/>
          <w:szCs w:val="22"/>
        </w:rPr>
        <w:t>y</w:t>
      </w:r>
      <w:r w:rsidRPr="00197FDA">
        <w:rPr>
          <w:rFonts w:ascii="Arial" w:hAnsi="Arial" w:cs="Arial"/>
          <w:spacing w:val="-5"/>
          <w:sz w:val="22"/>
          <w:szCs w:val="22"/>
        </w:rPr>
        <w:t xml:space="preserve"> </w:t>
      </w:r>
      <w:r w:rsidRPr="00197FDA">
        <w:rPr>
          <w:rFonts w:ascii="Arial" w:hAnsi="Arial" w:cs="Arial"/>
          <w:sz w:val="22"/>
          <w:szCs w:val="22"/>
        </w:rPr>
        <w:t>su</w:t>
      </w:r>
      <w:r w:rsidRPr="00197FDA">
        <w:rPr>
          <w:rFonts w:ascii="Arial" w:hAnsi="Arial" w:cs="Arial"/>
          <w:spacing w:val="-1"/>
          <w:sz w:val="22"/>
          <w:szCs w:val="22"/>
        </w:rPr>
        <w:t>c</w:t>
      </w:r>
      <w:r w:rsidRPr="00197FDA">
        <w:rPr>
          <w:rFonts w:ascii="Arial" w:hAnsi="Arial" w:cs="Arial"/>
          <w:sz w:val="22"/>
          <w:szCs w:val="22"/>
        </w:rPr>
        <w:t>h inst</w:t>
      </w:r>
      <w:r w:rsidRPr="00197FDA">
        <w:rPr>
          <w:rFonts w:ascii="Arial" w:hAnsi="Arial" w:cs="Arial"/>
          <w:spacing w:val="-1"/>
          <w:sz w:val="22"/>
          <w:szCs w:val="22"/>
        </w:rPr>
        <w:t>r</w:t>
      </w:r>
      <w:r w:rsidRPr="00197FDA">
        <w:rPr>
          <w:rFonts w:ascii="Arial" w:hAnsi="Arial" w:cs="Arial"/>
          <w:sz w:val="22"/>
          <w:szCs w:val="22"/>
        </w:rPr>
        <w:t>um</w:t>
      </w:r>
      <w:r w:rsidRPr="00197FDA">
        <w:rPr>
          <w:rFonts w:ascii="Arial" w:hAnsi="Arial" w:cs="Arial"/>
          <w:spacing w:val="-1"/>
          <w:sz w:val="22"/>
          <w:szCs w:val="22"/>
        </w:rPr>
        <w:t>e</w:t>
      </w:r>
      <w:r w:rsidRPr="00197FDA">
        <w:rPr>
          <w:rFonts w:ascii="Arial" w:hAnsi="Arial" w:cs="Arial"/>
          <w:sz w:val="22"/>
          <w:szCs w:val="22"/>
        </w:rPr>
        <w:t>n</w:t>
      </w:r>
      <w:r w:rsidRPr="00197FDA">
        <w:rPr>
          <w:rFonts w:ascii="Arial" w:hAnsi="Arial" w:cs="Arial"/>
          <w:spacing w:val="2"/>
          <w:sz w:val="22"/>
          <w:szCs w:val="22"/>
        </w:rPr>
        <w:t>t.</w:t>
      </w:r>
    </w:p>
    <w:p w14:paraId="76961BE2" w14:textId="77777777" w:rsidR="00082E52" w:rsidRPr="00197FDA" w:rsidRDefault="00082E52" w:rsidP="00082E52">
      <w:pPr>
        <w:spacing w:after="120"/>
        <w:rPr>
          <w:rFonts w:ascii="Arial" w:hAnsi="Arial" w:cs="Arial"/>
          <w:sz w:val="22"/>
          <w:szCs w:val="22"/>
        </w:rPr>
      </w:pPr>
    </w:p>
    <w:p w14:paraId="159A16D4" w14:textId="77777777" w:rsidR="00486653" w:rsidRPr="00197FDA" w:rsidRDefault="00486653" w:rsidP="00197FDA">
      <w:pPr>
        <w:pStyle w:val="Heading2"/>
        <w:rPr>
          <w:rFonts w:cs="Arial"/>
          <w:szCs w:val="22"/>
        </w:rPr>
      </w:pPr>
      <w:r w:rsidRPr="00197FDA">
        <w:rPr>
          <w:rFonts w:cs="Arial"/>
          <w:szCs w:val="22"/>
        </w:rPr>
        <w:t>Date of effect</w:t>
      </w:r>
    </w:p>
    <w:p w14:paraId="14396561" w14:textId="175BBE23" w:rsidR="00097258" w:rsidRDefault="00C64545"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The instrument </w:t>
      </w:r>
      <w:r w:rsidR="00707974">
        <w:rPr>
          <w:rFonts w:ascii="Arial" w:hAnsi="Arial" w:cs="Arial"/>
          <w:sz w:val="22"/>
          <w:szCs w:val="22"/>
        </w:rPr>
        <w:t xml:space="preserve">is taken to have </w:t>
      </w:r>
      <w:r w:rsidRPr="00197FDA">
        <w:rPr>
          <w:rFonts w:ascii="Arial" w:hAnsi="Arial" w:cs="Arial"/>
          <w:sz w:val="22"/>
          <w:szCs w:val="22"/>
        </w:rPr>
        <w:t>commence</w:t>
      </w:r>
      <w:r w:rsidR="00707974">
        <w:rPr>
          <w:rFonts w:ascii="Arial" w:hAnsi="Arial" w:cs="Arial"/>
          <w:sz w:val="22"/>
          <w:szCs w:val="22"/>
        </w:rPr>
        <w:t>d</w:t>
      </w:r>
      <w:r w:rsidR="00423DCD">
        <w:rPr>
          <w:rFonts w:ascii="Arial" w:hAnsi="Arial" w:cs="Arial"/>
          <w:sz w:val="22"/>
          <w:szCs w:val="22"/>
        </w:rPr>
        <w:t xml:space="preserve"> </w:t>
      </w:r>
      <w:r w:rsidRPr="00197FDA">
        <w:rPr>
          <w:rFonts w:ascii="Arial" w:hAnsi="Arial" w:cs="Arial"/>
          <w:sz w:val="22"/>
          <w:szCs w:val="22"/>
        </w:rPr>
        <w:t>on</w:t>
      </w:r>
      <w:r w:rsidR="00894506" w:rsidRPr="00197FDA">
        <w:rPr>
          <w:rFonts w:ascii="Arial" w:hAnsi="Arial" w:cs="Arial"/>
          <w:sz w:val="22"/>
          <w:szCs w:val="22"/>
        </w:rPr>
        <w:t xml:space="preserve"> </w:t>
      </w:r>
      <w:r w:rsidR="00423DCD">
        <w:rPr>
          <w:rFonts w:ascii="Arial" w:hAnsi="Arial" w:cs="Arial"/>
          <w:sz w:val="22"/>
          <w:szCs w:val="22"/>
        </w:rPr>
        <w:t>1 July 2019</w:t>
      </w:r>
      <w:r w:rsidR="00894506" w:rsidRPr="00197FDA">
        <w:rPr>
          <w:rFonts w:ascii="Arial" w:hAnsi="Arial" w:cs="Arial"/>
          <w:sz w:val="22"/>
          <w:szCs w:val="22"/>
        </w:rPr>
        <w:t>.</w:t>
      </w:r>
    </w:p>
    <w:p w14:paraId="723FE896" w14:textId="683BB207" w:rsidR="00595AF0" w:rsidRDefault="00595AF0" w:rsidP="00595AF0">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For the purposes of subsection 12(2) of the </w:t>
      </w:r>
      <w:r w:rsidRPr="00197FDA">
        <w:rPr>
          <w:rFonts w:ascii="Arial" w:hAnsi="Arial" w:cs="Arial"/>
          <w:i/>
          <w:sz w:val="22"/>
          <w:szCs w:val="22"/>
        </w:rPr>
        <w:t>Legislation Act 2003</w:t>
      </w:r>
      <w:r w:rsidRPr="00197FDA">
        <w:rPr>
          <w:rFonts w:ascii="Arial" w:hAnsi="Arial" w:cs="Arial"/>
          <w:sz w:val="22"/>
          <w:szCs w:val="22"/>
        </w:rPr>
        <w:t xml:space="preserve"> this instrument does not adversely affect the rights or liabilities of any person</w:t>
      </w:r>
      <w:r>
        <w:rPr>
          <w:rFonts w:ascii="Arial" w:hAnsi="Arial" w:cs="Arial"/>
          <w:sz w:val="22"/>
          <w:szCs w:val="22"/>
        </w:rPr>
        <w:t xml:space="preserve"> as the retrospective action of this instrument is beneficial </w:t>
      </w:r>
      <w:r w:rsidR="00552B61">
        <w:rPr>
          <w:rFonts w:ascii="Arial" w:hAnsi="Arial" w:cs="Arial"/>
          <w:sz w:val="22"/>
          <w:szCs w:val="22"/>
        </w:rPr>
        <w:t>by providing</w:t>
      </w:r>
      <w:bookmarkStart w:id="0" w:name="_GoBack"/>
      <w:bookmarkEnd w:id="0"/>
      <w:r>
        <w:rPr>
          <w:rFonts w:ascii="Arial" w:hAnsi="Arial" w:cs="Arial"/>
          <w:sz w:val="22"/>
          <w:szCs w:val="22"/>
        </w:rPr>
        <w:t xml:space="preserve"> a reporting exemption</w:t>
      </w:r>
      <w:r w:rsidRPr="00197FDA">
        <w:rPr>
          <w:rFonts w:ascii="Arial" w:hAnsi="Arial" w:cs="Arial"/>
          <w:sz w:val="22"/>
          <w:szCs w:val="22"/>
        </w:rPr>
        <w:t>.</w:t>
      </w:r>
    </w:p>
    <w:p w14:paraId="19B964F1" w14:textId="77777777" w:rsidR="00683A22" w:rsidRPr="00197FDA" w:rsidRDefault="00683A22" w:rsidP="00082E52">
      <w:pPr>
        <w:spacing w:after="120"/>
        <w:rPr>
          <w:rFonts w:ascii="Arial" w:hAnsi="Arial" w:cs="Arial"/>
          <w:sz w:val="22"/>
          <w:szCs w:val="22"/>
        </w:rPr>
      </w:pPr>
    </w:p>
    <w:p w14:paraId="3E274431" w14:textId="77777777" w:rsidR="00EC6007" w:rsidRPr="00197FDA" w:rsidRDefault="00EC6007" w:rsidP="00197FDA">
      <w:pPr>
        <w:pStyle w:val="Heading2"/>
        <w:rPr>
          <w:rFonts w:cs="Arial"/>
          <w:color w:val="000000"/>
          <w:szCs w:val="22"/>
        </w:rPr>
      </w:pPr>
      <w:r w:rsidRPr="00197FDA">
        <w:rPr>
          <w:rFonts w:cs="Arial"/>
          <w:szCs w:val="22"/>
        </w:rPr>
        <w:t>What is the effect of this instrument</w:t>
      </w:r>
    </w:p>
    <w:p w14:paraId="036FDA7B" w14:textId="7A9C2970" w:rsidR="002B412C" w:rsidRDefault="002B412C" w:rsidP="00197FDA">
      <w:pPr>
        <w:numPr>
          <w:ilvl w:val="0"/>
          <w:numId w:val="4"/>
        </w:numPr>
        <w:tabs>
          <w:tab w:val="clear" w:pos="720"/>
        </w:tabs>
        <w:spacing w:after="120"/>
        <w:ind w:left="709" w:hanging="709"/>
        <w:rPr>
          <w:rFonts w:ascii="Arial" w:hAnsi="Arial" w:cs="Arial"/>
          <w:color w:val="000000" w:themeColor="text1"/>
          <w:sz w:val="22"/>
          <w:szCs w:val="22"/>
        </w:rPr>
      </w:pPr>
      <w:r w:rsidRPr="00197FDA">
        <w:rPr>
          <w:rFonts w:ascii="Arial" w:hAnsi="Arial" w:cs="Arial"/>
          <w:color w:val="000000" w:themeColor="text1"/>
          <w:sz w:val="22"/>
          <w:szCs w:val="22"/>
        </w:rPr>
        <w:t xml:space="preserve">This instrument </w:t>
      </w:r>
      <w:r w:rsidR="007B5A6D">
        <w:rPr>
          <w:rFonts w:ascii="Arial" w:hAnsi="Arial" w:cs="Arial"/>
          <w:color w:val="000000" w:themeColor="text1"/>
          <w:sz w:val="22"/>
          <w:szCs w:val="22"/>
        </w:rPr>
        <w:t>exempt</w:t>
      </w:r>
      <w:r w:rsidR="007B5A6D" w:rsidRPr="00197FDA">
        <w:rPr>
          <w:rFonts w:ascii="Arial" w:hAnsi="Arial" w:cs="Arial"/>
          <w:color w:val="000000" w:themeColor="text1"/>
          <w:sz w:val="22"/>
          <w:szCs w:val="22"/>
        </w:rPr>
        <w:t xml:space="preserve">s </w:t>
      </w:r>
      <w:r w:rsidRPr="00197FDA">
        <w:rPr>
          <w:rFonts w:ascii="Arial" w:hAnsi="Arial" w:cs="Arial"/>
          <w:color w:val="000000" w:themeColor="text1"/>
          <w:sz w:val="22"/>
          <w:szCs w:val="22"/>
        </w:rPr>
        <w:t xml:space="preserve">a class </w:t>
      </w:r>
      <w:r w:rsidR="008240EE">
        <w:rPr>
          <w:rFonts w:ascii="Arial" w:hAnsi="Arial" w:cs="Arial"/>
          <w:color w:val="000000" w:themeColor="text1"/>
          <w:sz w:val="22"/>
          <w:szCs w:val="22"/>
        </w:rPr>
        <w:t xml:space="preserve">of </w:t>
      </w:r>
      <w:r w:rsidR="00707974">
        <w:rPr>
          <w:rFonts w:ascii="Arial" w:hAnsi="Arial" w:cs="Arial"/>
          <w:color w:val="000000" w:themeColor="text1"/>
          <w:sz w:val="22"/>
          <w:szCs w:val="22"/>
        </w:rPr>
        <w:t xml:space="preserve">entities </w:t>
      </w:r>
      <w:r w:rsidR="003A7DD6">
        <w:rPr>
          <w:rFonts w:ascii="Arial" w:hAnsi="Arial" w:cs="Arial"/>
          <w:color w:val="000000" w:themeColor="text1"/>
          <w:sz w:val="22"/>
          <w:szCs w:val="22"/>
        </w:rPr>
        <w:t>from</w:t>
      </w:r>
      <w:r w:rsidR="003A7DD6" w:rsidRPr="00197FDA">
        <w:rPr>
          <w:rFonts w:ascii="Arial" w:hAnsi="Arial" w:cs="Arial"/>
          <w:color w:val="000000" w:themeColor="text1"/>
          <w:sz w:val="22"/>
          <w:szCs w:val="22"/>
        </w:rPr>
        <w:t xml:space="preserve"> </w:t>
      </w:r>
      <w:r w:rsidR="00707974">
        <w:rPr>
          <w:rFonts w:ascii="Arial" w:hAnsi="Arial" w:cs="Arial"/>
          <w:color w:val="000000" w:themeColor="text1"/>
          <w:sz w:val="22"/>
          <w:szCs w:val="22"/>
        </w:rPr>
        <w:t xml:space="preserve">the obligation </w:t>
      </w:r>
      <w:r w:rsidR="00707974" w:rsidRPr="00197FDA">
        <w:rPr>
          <w:rFonts w:ascii="Arial" w:hAnsi="Arial" w:cs="Arial"/>
          <w:color w:val="000000" w:themeColor="text1"/>
          <w:sz w:val="22"/>
          <w:szCs w:val="22"/>
        </w:rPr>
        <w:t xml:space="preserve">under section 389-5 of Schedule 1 to the TAA </w:t>
      </w:r>
      <w:r w:rsidR="00707974">
        <w:rPr>
          <w:rFonts w:ascii="Arial" w:hAnsi="Arial" w:cs="Arial"/>
          <w:color w:val="000000" w:themeColor="text1"/>
          <w:sz w:val="22"/>
          <w:szCs w:val="22"/>
        </w:rPr>
        <w:t>1953 to report to the Commissioner of Taxation amounts that are paid to</w:t>
      </w:r>
      <w:r w:rsidRPr="00197FDA">
        <w:rPr>
          <w:rFonts w:ascii="Arial" w:hAnsi="Arial" w:cs="Arial"/>
          <w:color w:val="000000" w:themeColor="text1"/>
          <w:sz w:val="22"/>
          <w:szCs w:val="22"/>
        </w:rPr>
        <w:t xml:space="preserve"> </w:t>
      </w:r>
      <w:r w:rsidR="00707974">
        <w:rPr>
          <w:rFonts w:ascii="Arial" w:hAnsi="Arial" w:cs="Arial"/>
          <w:color w:val="000000" w:themeColor="text1"/>
          <w:sz w:val="22"/>
          <w:szCs w:val="22"/>
        </w:rPr>
        <w:t>certain employees defined for the purposes of th</w:t>
      </w:r>
      <w:r w:rsidR="003A7DD6">
        <w:rPr>
          <w:rFonts w:ascii="Arial" w:hAnsi="Arial" w:cs="Arial"/>
          <w:color w:val="000000" w:themeColor="text1"/>
          <w:sz w:val="22"/>
          <w:szCs w:val="22"/>
        </w:rPr>
        <w:t>is</w:t>
      </w:r>
      <w:r w:rsidR="00707974">
        <w:rPr>
          <w:rFonts w:ascii="Arial" w:hAnsi="Arial" w:cs="Arial"/>
          <w:color w:val="000000" w:themeColor="text1"/>
          <w:sz w:val="22"/>
          <w:szCs w:val="22"/>
        </w:rPr>
        <w:t xml:space="preserve"> instrument as “closely held payees”</w:t>
      </w:r>
      <w:r w:rsidRPr="00197FDA">
        <w:rPr>
          <w:rFonts w:ascii="Arial" w:hAnsi="Arial" w:cs="Arial"/>
          <w:color w:val="000000" w:themeColor="text1"/>
          <w:sz w:val="22"/>
          <w:szCs w:val="22"/>
        </w:rPr>
        <w:t>.</w:t>
      </w:r>
    </w:p>
    <w:p w14:paraId="1CA8E0EA" w14:textId="5929252C" w:rsidR="007B5A6D" w:rsidRPr="00197FDA" w:rsidRDefault="007B5A6D" w:rsidP="007B5A6D">
      <w:pPr>
        <w:numPr>
          <w:ilvl w:val="0"/>
          <w:numId w:val="4"/>
        </w:numPr>
        <w:tabs>
          <w:tab w:val="clear" w:pos="720"/>
        </w:tabs>
        <w:spacing w:after="120"/>
        <w:ind w:left="709" w:hanging="709"/>
        <w:rPr>
          <w:rFonts w:ascii="Arial" w:hAnsi="Arial" w:cs="Arial"/>
          <w:color w:val="000000" w:themeColor="text1"/>
          <w:sz w:val="22"/>
          <w:szCs w:val="22"/>
        </w:rPr>
      </w:pPr>
      <w:r>
        <w:rPr>
          <w:rFonts w:ascii="Arial" w:hAnsi="Arial" w:cs="Arial"/>
          <w:sz w:val="22"/>
          <w:szCs w:val="22"/>
        </w:rPr>
        <w:t xml:space="preserve">An entity is within the class of entities if </w:t>
      </w:r>
      <w:r w:rsidR="00397483">
        <w:rPr>
          <w:rFonts w:ascii="Arial" w:hAnsi="Arial" w:cs="Arial"/>
          <w:sz w:val="22"/>
          <w:szCs w:val="22"/>
        </w:rPr>
        <w:t>it</w:t>
      </w:r>
      <w:r w:rsidRPr="00197FDA">
        <w:rPr>
          <w:rFonts w:ascii="Arial" w:hAnsi="Arial" w:cs="Arial"/>
          <w:color w:val="000000" w:themeColor="text1"/>
          <w:sz w:val="22"/>
          <w:szCs w:val="22"/>
        </w:rPr>
        <w:t>:</w:t>
      </w:r>
    </w:p>
    <w:p w14:paraId="15C92DED" w14:textId="51AFBE2B" w:rsidR="007B5A6D" w:rsidRPr="00197FDA" w:rsidRDefault="007B5A6D" w:rsidP="007B5A6D">
      <w:pPr>
        <w:numPr>
          <w:ilvl w:val="1"/>
          <w:numId w:val="18"/>
        </w:numPr>
        <w:spacing w:after="120"/>
        <w:ind w:left="1418" w:hanging="709"/>
        <w:rPr>
          <w:rFonts w:ascii="Arial" w:hAnsi="Arial" w:cs="Arial"/>
          <w:color w:val="000000" w:themeColor="text1"/>
          <w:sz w:val="22"/>
          <w:szCs w:val="22"/>
        </w:rPr>
      </w:pPr>
      <w:r w:rsidRPr="00197FDA">
        <w:rPr>
          <w:rFonts w:ascii="Arial" w:hAnsi="Arial" w:cs="Arial"/>
          <w:color w:val="000000" w:themeColor="text1"/>
          <w:sz w:val="22"/>
          <w:szCs w:val="22"/>
        </w:rPr>
        <w:t>was not a ‘substantial employer’ for the purposes of STP reporting before 1 April 2019</w:t>
      </w:r>
      <w:r>
        <w:rPr>
          <w:rFonts w:ascii="Arial" w:hAnsi="Arial" w:cs="Arial"/>
          <w:color w:val="000000" w:themeColor="text1"/>
          <w:sz w:val="22"/>
          <w:szCs w:val="22"/>
        </w:rPr>
        <w:t>;</w:t>
      </w:r>
      <w:r w:rsidRPr="00197FDA">
        <w:rPr>
          <w:rFonts w:ascii="Arial" w:hAnsi="Arial" w:cs="Arial"/>
          <w:color w:val="000000" w:themeColor="text1"/>
          <w:sz w:val="22"/>
          <w:szCs w:val="22"/>
        </w:rPr>
        <w:t xml:space="preserve"> </w:t>
      </w:r>
    </w:p>
    <w:p w14:paraId="61F3AA6C" w14:textId="513276A5" w:rsidR="007B5A6D" w:rsidRPr="00197FDA" w:rsidRDefault="007B5A6D" w:rsidP="007B5A6D">
      <w:pPr>
        <w:numPr>
          <w:ilvl w:val="1"/>
          <w:numId w:val="18"/>
        </w:numPr>
        <w:spacing w:after="120"/>
        <w:ind w:left="1418" w:hanging="709"/>
        <w:rPr>
          <w:rFonts w:ascii="Arial" w:hAnsi="Arial" w:cs="Arial"/>
          <w:color w:val="000000" w:themeColor="text1"/>
          <w:sz w:val="22"/>
          <w:szCs w:val="22"/>
        </w:rPr>
      </w:pPr>
      <w:r w:rsidRPr="00197FDA">
        <w:rPr>
          <w:rFonts w:ascii="Arial" w:hAnsi="Arial" w:cs="Arial"/>
          <w:color w:val="000000" w:themeColor="text1"/>
          <w:sz w:val="22"/>
          <w:szCs w:val="22"/>
        </w:rPr>
        <w:t>pa</w:t>
      </w:r>
      <w:r>
        <w:rPr>
          <w:rFonts w:ascii="Arial" w:hAnsi="Arial" w:cs="Arial"/>
          <w:color w:val="000000" w:themeColor="text1"/>
          <w:sz w:val="22"/>
          <w:szCs w:val="22"/>
        </w:rPr>
        <w:t>id</w:t>
      </w:r>
      <w:r w:rsidRPr="00197FDA">
        <w:rPr>
          <w:rFonts w:ascii="Arial" w:hAnsi="Arial" w:cs="Arial"/>
          <w:color w:val="000000" w:themeColor="text1"/>
          <w:sz w:val="22"/>
          <w:szCs w:val="22"/>
        </w:rPr>
        <w:t xml:space="preserve"> an amount to a closely held payee and is required to report </w:t>
      </w:r>
      <w:r w:rsidR="00E51A8E">
        <w:rPr>
          <w:rFonts w:ascii="Arial" w:hAnsi="Arial" w:cs="Arial"/>
          <w:color w:val="000000" w:themeColor="text1"/>
          <w:sz w:val="22"/>
          <w:szCs w:val="22"/>
        </w:rPr>
        <w:t xml:space="preserve">that an amount was paid </w:t>
      </w:r>
      <w:r w:rsidRPr="00197FDA">
        <w:rPr>
          <w:rFonts w:ascii="Arial" w:hAnsi="Arial" w:cs="Arial"/>
          <w:color w:val="000000" w:themeColor="text1"/>
          <w:sz w:val="22"/>
          <w:szCs w:val="22"/>
        </w:rPr>
        <w:t>in STP</w:t>
      </w:r>
      <w:r>
        <w:rPr>
          <w:rFonts w:ascii="Arial" w:hAnsi="Arial" w:cs="Arial"/>
          <w:color w:val="000000" w:themeColor="text1"/>
          <w:sz w:val="22"/>
          <w:szCs w:val="22"/>
        </w:rPr>
        <w:t>;</w:t>
      </w:r>
    </w:p>
    <w:p w14:paraId="5BDDDC75" w14:textId="44026152" w:rsidR="007B5A6D" w:rsidRPr="00197FDA" w:rsidRDefault="007B5A6D" w:rsidP="007B5A6D">
      <w:pPr>
        <w:numPr>
          <w:ilvl w:val="1"/>
          <w:numId w:val="18"/>
        </w:numPr>
        <w:spacing w:after="120"/>
        <w:ind w:left="1418" w:hanging="709"/>
        <w:rPr>
          <w:rFonts w:ascii="Arial" w:hAnsi="Arial" w:cs="Arial"/>
          <w:color w:val="000000" w:themeColor="text1"/>
          <w:sz w:val="22"/>
          <w:szCs w:val="22"/>
        </w:rPr>
      </w:pPr>
      <w:r w:rsidRPr="00197FDA">
        <w:rPr>
          <w:rFonts w:ascii="Arial" w:hAnsi="Arial" w:cs="Arial"/>
          <w:color w:val="000000" w:themeColor="text1"/>
          <w:sz w:val="22"/>
          <w:szCs w:val="22"/>
        </w:rPr>
        <w:t xml:space="preserve">is registered with the Commissioner </w:t>
      </w:r>
      <w:r>
        <w:rPr>
          <w:rFonts w:ascii="Arial" w:hAnsi="Arial" w:cs="Arial"/>
          <w:color w:val="000000" w:themeColor="text1"/>
          <w:sz w:val="22"/>
          <w:szCs w:val="22"/>
        </w:rPr>
        <w:t xml:space="preserve">of Taxation </w:t>
      </w:r>
      <w:r w:rsidRPr="00197FDA">
        <w:rPr>
          <w:rFonts w:ascii="Arial" w:hAnsi="Arial" w:cs="Arial"/>
          <w:color w:val="000000" w:themeColor="text1"/>
          <w:sz w:val="22"/>
          <w:szCs w:val="22"/>
        </w:rPr>
        <w:t xml:space="preserve">in respect of </w:t>
      </w:r>
      <w:r w:rsidRPr="00082C71">
        <w:rPr>
          <w:rFonts w:ascii="Arial" w:hAnsi="Arial" w:cs="Arial"/>
          <w:color w:val="000000" w:themeColor="text1"/>
          <w:sz w:val="22"/>
          <w:szCs w:val="22"/>
        </w:rPr>
        <w:t>pay as you go</w:t>
      </w:r>
      <w:r w:rsidRPr="00197FDA">
        <w:rPr>
          <w:rFonts w:ascii="Arial" w:hAnsi="Arial" w:cs="Arial"/>
          <w:color w:val="000000" w:themeColor="text1"/>
          <w:sz w:val="22"/>
          <w:szCs w:val="22"/>
        </w:rPr>
        <w:t xml:space="preserve"> withholding (</w:t>
      </w:r>
      <w:r w:rsidRPr="00082C71">
        <w:rPr>
          <w:rFonts w:ascii="Arial" w:hAnsi="Arial" w:cs="Arial"/>
          <w:color w:val="000000" w:themeColor="text1"/>
          <w:sz w:val="22"/>
          <w:szCs w:val="22"/>
        </w:rPr>
        <w:t>Subdivision</w:t>
      </w:r>
      <w:r w:rsidRPr="00197FDA">
        <w:rPr>
          <w:rFonts w:ascii="Arial" w:hAnsi="Arial" w:cs="Arial"/>
          <w:color w:val="000000" w:themeColor="text1"/>
          <w:sz w:val="22"/>
          <w:szCs w:val="22"/>
        </w:rPr>
        <w:t xml:space="preserve"> 16-BA of Schedule 1 to the </w:t>
      </w:r>
      <w:r w:rsidRPr="00082C71">
        <w:rPr>
          <w:rFonts w:ascii="Arial" w:hAnsi="Arial" w:cs="Arial"/>
          <w:color w:val="000000" w:themeColor="text1"/>
          <w:sz w:val="22"/>
          <w:szCs w:val="22"/>
        </w:rPr>
        <w:t>TAA 1953</w:t>
      </w:r>
      <w:r w:rsidRPr="00197FDA">
        <w:rPr>
          <w:rFonts w:ascii="Arial" w:hAnsi="Arial" w:cs="Arial"/>
          <w:color w:val="000000" w:themeColor="text1"/>
          <w:sz w:val="22"/>
          <w:szCs w:val="22"/>
        </w:rPr>
        <w:t>)</w:t>
      </w:r>
      <w:r>
        <w:rPr>
          <w:rFonts w:ascii="Arial" w:hAnsi="Arial" w:cs="Arial"/>
          <w:color w:val="000000" w:themeColor="text1"/>
          <w:sz w:val="22"/>
          <w:szCs w:val="22"/>
        </w:rPr>
        <w:t>,</w:t>
      </w:r>
      <w:r w:rsidRPr="00197FDA">
        <w:rPr>
          <w:rFonts w:ascii="Arial" w:hAnsi="Arial" w:cs="Arial"/>
          <w:color w:val="000000" w:themeColor="text1"/>
          <w:sz w:val="22"/>
          <w:szCs w:val="22"/>
        </w:rPr>
        <w:t xml:space="preserve"> and</w:t>
      </w:r>
    </w:p>
    <w:p w14:paraId="695F4B92" w14:textId="77777777" w:rsidR="007B5A6D" w:rsidRPr="00197FDA" w:rsidRDefault="007B5A6D" w:rsidP="007B5A6D">
      <w:pPr>
        <w:numPr>
          <w:ilvl w:val="1"/>
          <w:numId w:val="18"/>
        </w:numPr>
        <w:spacing w:after="120"/>
        <w:ind w:left="1418" w:hanging="709"/>
        <w:rPr>
          <w:rFonts w:ascii="Arial" w:hAnsi="Arial" w:cs="Arial"/>
          <w:color w:val="000000" w:themeColor="text1"/>
          <w:sz w:val="22"/>
          <w:szCs w:val="22"/>
        </w:rPr>
      </w:pPr>
      <w:r w:rsidRPr="00197FDA">
        <w:rPr>
          <w:rFonts w:ascii="Arial" w:hAnsi="Arial" w:cs="Arial"/>
          <w:color w:val="000000" w:themeColor="text1"/>
          <w:sz w:val="22"/>
          <w:szCs w:val="22"/>
        </w:rPr>
        <w:lastRenderedPageBreak/>
        <w:t xml:space="preserve">is not a large withholder for the purposes of </w:t>
      </w:r>
      <w:r w:rsidRPr="00082C71">
        <w:rPr>
          <w:rFonts w:ascii="Arial" w:hAnsi="Arial" w:cs="Arial"/>
          <w:color w:val="000000" w:themeColor="text1"/>
          <w:sz w:val="22"/>
          <w:szCs w:val="22"/>
        </w:rPr>
        <w:t>pay as you go</w:t>
      </w:r>
      <w:r w:rsidRPr="00197FDA">
        <w:rPr>
          <w:rFonts w:ascii="Arial" w:hAnsi="Arial" w:cs="Arial"/>
          <w:color w:val="000000" w:themeColor="text1"/>
          <w:sz w:val="22"/>
          <w:szCs w:val="22"/>
        </w:rPr>
        <w:t xml:space="preserve"> withholding (section 16-95 of Schedule 1 to the </w:t>
      </w:r>
      <w:r w:rsidRPr="00082C71">
        <w:rPr>
          <w:rFonts w:ascii="Arial" w:hAnsi="Arial" w:cs="Arial"/>
          <w:color w:val="000000" w:themeColor="text1"/>
          <w:sz w:val="22"/>
          <w:szCs w:val="22"/>
        </w:rPr>
        <w:t>TAA 1953</w:t>
      </w:r>
      <w:r w:rsidRPr="00197FDA">
        <w:rPr>
          <w:rFonts w:ascii="Arial" w:hAnsi="Arial" w:cs="Arial"/>
          <w:color w:val="000000" w:themeColor="text1"/>
          <w:sz w:val="22"/>
          <w:szCs w:val="22"/>
        </w:rPr>
        <w:t>).</w:t>
      </w:r>
    </w:p>
    <w:p w14:paraId="07E2FC6E" w14:textId="18400D3E" w:rsidR="007B5A6D" w:rsidRPr="00197FDA" w:rsidRDefault="007B5A6D" w:rsidP="007B5A6D">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A closely held payee is an </w:t>
      </w:r>
      <w:r>
        <w:rPr>
          <w:rFonts w:ascii="Arial" w:hAnsi="Arial" w:cs="Arial"/>
          <w:sz w:val="22"/>
          <w:szCs w:val="22"/>
        </w:rPr>
        <w:t>employee</w:t>
      </w:r>
      <w:r w:rsidR="00E51A8E">
        <w:rPr>
          <w:rFonts w:ascii="Arial" w:hAnsi="Arial" w:cs="Arial"/>
          <w:sz w:val="22"/>
          <w:szCs w:val="22"/>
        </w:rPr>
        <w:t xml:space="preserve"> of the entity who is </w:t>
      </w:r>
      <w:r w:rsidR="00397483">
        <w:rPr>
          <w:rFonts w:ascii="Arial" w:hAnsi="Arial" w:cs="Arial"/>
          <w:sz w:val="22"/>
          <w:szCs w:val="22"/>
        </w:rPr>
        <w:t>also an associate of</w:t>
      </w:r>
      <w:r w:rsidR="00E51A8E">
        <w:rPr>
          <w:rFonts w:ascii="Arial" w:hAnsi="Arial" w:cs="Arial"/>
          <w:sz w:val="22"/>
          <w:szCs w:val="22"/>
        </w:rPr>
        <w:t xml:space="preserve"> the entity. </w:t>
      </w:r>
    </w:p>
    <w:p w14:paraId="29FABA04" w14:textId="1E39DAFD" w:rsidR="007B5A6D" w:rsidRPr="00197FDA" w:rsidRDefault="007B5A6D" w:rsidP="007B5A6D">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Typical examples of a closely held payee include </w:t>
      </w:r>
      <w:r w:rsidR="00397483">
        <w:rPr>
          <w:rFonts w:ascii="Arial" w:hAnsi="Arial" w:cs="Arial"/>
          <w:sz w:val="22"/>
          <w:szCs w:val="22"/>
        </w:rPr>
        <w:t>a son or daughter</w:t>
      </w:r>
      <w:r w:rsidRPr="00197FDA">
        <w:rPr>
          <w:rFonts w:ascii="Arial" w:hAnsi="Arial" w:cs="Arial"/>
          <w:sz w:val="22"/>
          <w:szCs w:val="22"/>
        </w:rPr>
        <w:t xml:space="preserve"> </w:t>
      </w:r>
      <w:r w:rsidR="00E51A8E">
        <w:rPr>
          <w:rFonts w:ascii="Arial" w:hAnsi="Arial" w:cs="Arial"/>
          <w:sz w:val="22"/>
          <w:szCs w:val="22"/>
        </w:rPr>
        <w:t xml:space="preserve">employed by a company operating </w:t>
      </w:r>
      <w:r w:rsidRPr="00197FDA">
        <w:rPr>
          <w:rFonts w:ascii="Arial" w:hAnsi="Arial" w:cs="Arial"/>
          <w:sz w:val="22"/>
          <w:szCs w:val="22"/>
        </w:rPr>
        <w:t>a family business</w:t>
      </w:r>
      <w:r w:rsidR="00E51A8E">
        <w:rPr>
          <w:rFonts w:ascii="Arial" w:hAnsi="Arial" w:cs="Arial"/>
          <w:sz w:val="22"/>
          <w:szCs w:val="22"/>
        </w:rPr>
        <w:t xml:space="preserve"> controlled by </w:t>
      </w:r>
      <w:r w:rsidR="00397483">
        <w:rPr>
          <w:rFonts w:ascii="Arial" w:hAnsi="Arial" w:cs="Arial"/>
          <w:sz w:val="22"/>
          <w:szCs w:val="22"/>
        </w:rPr>
        <w:t xml:space="preserve">his or her </w:t>
      </w:r>
      <w:r w:rsidR="00E51A8E">
        <w:rPr>
          <w:rFonts w:ascii="Arial" w:hAnsi="Arial" w:cs="Arial"/>
          <w:sz w:val="22"/>
          <w:szCs w:val="22"/>
        </w:rPr>
        <w:t>mum and dad</w:t>
      </w:r>
      <w:r w:rsidRPr="00197FDA">
        <w:rPr>
          <w:rFonts w:ascii="Arial" w:hAnsi="Arial" w:cs="Arial"/>
          <w:sz w:val="22"/>
          <w:szCs w:val="22"/>
        </w:rPr>
        <w:t xml:space="preserve">, </w:t>
      </w:r>
      <w:r w:rsidR="00397483">
        <w:rPr>
          <w:rFonts w:ascii="Arial" w:hAnsi="Arial" w:cs="Arial"/>
          <w:sz w:val="22"/>
          <w:szCs w:val="22"/>
        </w:rPr>
        <w:t xml:space="preserve">a </w:t>
      </w:r>
      <w:r w:rsidRPr="00197FDA">
        <w:rPr>
          <w:rFonts w:ascii="Arial" w:hAnsi="Arial" w:cs="Arial"/>
          <w:sz w:val="22"/>
          <w:szCs w:val="22"/>
        </w:rPr>
        <w:t xml:space="preserve">director or shareholder </w:t>
      </w:r>
      <w:r w:rsidR="00E51A8E">
        <w:rPr>
          <w:rFonts w:ascii="Arial" w:hAnsi="Arial" w:cs="Arial"/>
          <w:sz w:val="22"/>
          <w:szCs w:val="22"/>
        </w:rPr>
        <w:t xml:space="preserve">employed by the </w:t>
      </w:r>
      <w:r w:rsidRPr="00197FDA">
        <w:rPr>
          <w:rFonts w:ascii="Arial" w:hAnsi="Arial" w:cs="Arial"/>
          <w:sz w:val="22"/>
          <w:szCs w:val="22"/>
        </w:rPr>
        <w:t>company</w:t>
      </w:r>
      <w:r w:rsidR="00E51A8E">
        <w:rPr>
          <w:rFonts w:ascii="Arial" w:hAnsi="Arial" w:cs="Arial"/>
          <w:sz w:val="22"/>
          <w:szCs w:val="22"/>
        </w:rPr>
        <w:t xml:space="preserve"> which they control</w:t>
      </w:r>
      <w:r w:rsidRPr="00197FDA">
        <w:rPr>
          <w:rFonts w:ascii="Arial" w:hAnsi="Arial" w:cs="Arial"/>
          <w:sz w:val="22"/>
          <w:szCs w:val="22"/>
        </w:rPr>
        <w:t xml:space="preserve">, </w:t>
      </w:r>
      <w:r w:rsidR="00397483">
        <w:rPr>
          <w:rFonts w:ascii="Arial" w:hAnsi="Arial" w:cs="Arial"/>
          <w:sz w:val="22"/>
          <w:szCs w:val="22"/>
        </w:rPr>
        <w:t xml:space="preserve">and an </w:t>
      </w:r>
      <w:r w:rsidR="00E51A8E">
        <w:rPr>
          <w:rFonts w:ascii="Arial" w:hAnsi="Arial" w:cs="Arial"/>
          <w:sz w:val="22"/>
          <w:szCs w:val="22"/>
        </w:rPr>
        <w:t>employee</w:t>
      </w:r>
      <w:r w:rsidR="00397483">
        <w:rPr>
          <w:rFonts w:ascii="Arial" w:hAnsi="Arial" w:cs="Arial"/>
          <w:sz w:val="22"/>
          <w:szCs w:val="22"/>
        </w:rPr>
        <w:t xml:space="preserve"> of a trust</w:t>
      </w:r>
      <w:r w:rsidR="00E51A8E">
        <w:rPr>
          <w:rFonts w:ascii="Arial" w:hAnsi="Arial" w:cs="Arial"/>
          <w:sz w:val="22"/>
          <w:szCs w:val="22"/>
        </w:rPr>
        <w:t xml:space="preserve"> who </w:t>
      </w:r>
      <w:r w:rsidR="00397483">
        <w:rPr>
          <w:rFonts w:ascii="Arial" w:hAnsi="Arial" w:cs="Arial"/>
          <w:sz w:val="22"/>
          <w:szCs w:val="22"/>
        </w:rPr>
        <w:t>is also a</w:t>
      </w:r>
      <w:r w:rsidR="00E51A8E">
        <w:rPr>
          <w:rFonts w:ascii="Arial" w:hAnsi="Arial" w:cs="Arial"/>
          <w:sz w:val="22"/>
          <w:szCs w:val="22"/>
        </w:rPr>
        <w:t xml:space="preserve"> </w:t>
      </w:r>
      <w:r w:rsidRPr="00197FDA">
        <w:rPr>
          <w:rFonts w:ascii="Arial" w:hAnsi="Arial" w:cs="Arial"/>
          <w:sz w:val="22"/>
          <w:szCs w:val="22"/>
        </w:rPr>
        <w:t>beneficiar</w:t>
      </w:r>
      <w:r w:rsidR="00397483">
        <w:rPr>
          <w:rFonts w:ascii="Arial" w:hAnsi="Arial" w:cs="Arial"/>
          <w:sz w:val="22"/>
          <w:szCs w:val="22"/>
        </w:rPr>
        <w:t>y</w:t>
      </w:r>
      <w:r w:rsidRPr="00197FDA">
        <w:rPr>
          <w:rFonts w:ascii="Arial" w:hAnsi="Arial" w:cs="Arial"/>
          <w:sz w:val="22"/>
          <w:szCs w:val="22"/>
        </w:rPr>
        <w:t xml:space="preserve"> of </w:t>
      </w:r>
      <w:r w:rsidR="00397483">
        <w:rPr>
          <w:rFonts w:ascii="Arial" w:hAnsi="Arial" w:cs="Arial"/>
          <w:sz w:val="22"/>
          <w:szCs w:val="22"/>
        </w:rPr>
        <w:t>that</w:t>
      </w:r>
      <w:r w:rsidR="00397483" w:rsidRPr="00197FDA">
        <w:rPr>
          <w:rFonts w:ascii="Arial" w:hAnsi="Arial" w:cs="Arial"/>
          <w:sz w:val="22"/>
          <w:szCs w:val="22"/>
        </w:rPr>
        <w:t xml:space="preserve"> </w:t>
      </w:r>
      <w:r w:rsidRPr="00197FDA">
        <w:rPr>
          <w:rFonts w:ascii="Arial" w:hAnsi="Arial" w:cs="Arial"/>
          <w:sz w:val="22"/>
          <w:szCs w:val="22"/>
        </w:rPr>
        <w:t>trust.</w:t>
      </w:r>
    </w:p>
    <w:p w14:paraId="751D4984" w14:textId="5D506965" w:rsidR="00BF01C9" w:rsidRPr="00197FDA" w:rsidRDefault="00BF01C9" w:rsidP="00197FDA">
      <w:pPr>
        <w:numPr>
          <w:ilvl w:val="0"/>
          <w:numId w:val="4"/>
        </w:numPr>
        <w:tabs>
          <w:tab w:val="clear" w:pos="720"/>
        </w:tabs>
        <w:spacing w:after="120"/>
        <w:ind w:left="709" w:hanging="709"/>
        <w:rPr>
          <w:rFonts w:ascii="Arial" w:hAnsi="Arial" w:cs="Arial"/>
          <w:color w:val="000000" w:themeColor="text1"/>
          <w:sz w:val="22"/>
          <w:szCs w:val="22"/>
        </w:rPr>
      </w:pPr>
      <w:r w:rsidRPr="00197FDA">
        <w:rPr>
          <w:rFonts w:ascii="Arial" w:hAnsi="Arial" w:cs="Arial"/>
          <w:color w:val="000000" w:themeColor="text1"/>
          <w:sz w:val="22"/>
          <w:szCs w:val="22"/>
        </w:rPr>
        <w:t xml:space="preserve">Entities will be exempt from the </w:t>
      </w:r>
      <w:r w:rsidR="00397483">
        <w:rPr>
          <w:rFonts w:ascii="Arial" w:hAnsi="Arial" w:cs="Arial"/>
          <w:color w:val="000000" w:themeColor="text1"/>
          <w:sz w:val="22"/>
          <w:szCs w:val="22"/>
        </w:rPr>
        <w:t xml:space="preserve">reporting </w:t>
      </w:r>
      <w:r w:rsidRPr="00197FDA">
        <w:rPr>
          <w:rFonts w:ascii="Arial" w:hAnsi="Arial" w:cs="Arial"/>
          <w:color w:val="000000" w:themeColor="text1"/>
          <w:sz w:val="22"/>
          <w:szCs w:val="22"/>
        </w:rPr>
        <w:t xml:space="preserve">requirement </w:t>
      </w:r>
      <w:r w:rsidR="003A7DD6">
        <w:rPr>
          <w:rFonts w:ascii="Arial" w:hAnsi="Arial" w:cs="Arial"/>
          <w:color w:val="000000" w:themeColor="text1"/>
          <w:sz w:val="22"/>
          <w:szCs w:val="22"/>
        </w:rPr>
        <w:t>in</w:t>
      </w:r>
      <w:r w:rsidRPr="00197FDA">
        <w:rPr>
          <w:rFonts w:ascii="Arial" w:hAnsi="Arial" w:cs="Arial"/>
          <w:color w:val="000000" w:themeColor="text1"/>
          <w:sz w:val="22"/>
          <w:szCs w:val="22"/>
        </w:rPr>
        <w:t xml:space="preserve"> the 20</w:t>
      </w:r>
      <w:r w:rsidR="00097258" w:rsidRPr="00197FDA">
        <w:rPr>
          <w:rFonts w:ascii="Arial" w:hAnsi="Arial" w:cs="Arial"/>
          <w:color w:val="000000" w:themeColor="text1"/>
          <w:sz w:val="22"/>
          <w:szCs w:val="22"/>
        </w:rPr>
        <w:t>19</w:t>
      </w:r>
      <w:r w:rsidR="00097258" w:rsidRPr="00197FDA">
        <w:rPr>
          <w:rFonts w:ascii="Arial" w:hAnsi="Arial" w:cs="Arial"/>
          <w:color w:val="000000" w:themeColor="text1"/>
          <w:sz w:val="22"/>
          <w:szCs w:val="22"/>
        </w:rPr>
        <w:noBreakHyphen/>
        <w:t>20</w:t>
      </w:r>
      <w:r w:rsidRPr="00197FDA">
        <w:rPr>
          <w:rFonts w:ascii="Arial" w:hAnsi="Arial" w:cs="Arial"/>
          <w:color w:val="000000" w:themeColor="text1"/>
          <w:sz w:val="22"/>
          <w:szCs w:val="22"/>
        </w:rPr>
        <w:t xml:space="preserve"> and 20</w:t>
      </w:r>
      <w:r w:rsidR="00097258" w:rsidRPr="00197FDA">
        <w:rPr>
          <w:rFonts w:ascii="Arial" w:hAnsi="Arial" w:cs="Arial"/>
          <w:color w:val="000000" w:themeColor="text1"/>
          <w:sz w:val="22"/>
          <w:szCs w:val="22"/>
        </w:rPr>
        <w:t>20</w:t>
      </w:r>
      <w:r w:rsidR="00097258" w:rsidRPr="00197FDA">
        <w:rPr>
          <w:rFonts w:ascii="Arial" w:hAnsi="Arial" w:cs="Arial"/>
          <w:color w:val="000000" w:themeColor="text1"/>
          <w:sz w:val="22"/>
          <w:szCs w:val="22"/>
        </w:rPr>
        <w:noBreakHyphen/>
        <w:t>21</w:t>
      </w:r>
      <w:r w:rsidRPr="00197FDA">
        <w:rPr>
          <w:rFonts w:ascii="Arial" w:hAnsi="Arial" w:cs="Arial"/>
          <w:color w:val="000000" w:themeColor="text1"/>
          <w:sz w:val="22"/>
          <w:szCs w:val="22"/>
        </w:rPr>
        <w:t xml:space="preserve"> </w:t>
      </w:r>
      <w:r w:rsidR="003A7DD6">
        <w:rPr>
          <w:rFonts w:ascii="Arial" w:hAnsi="Arial" w:cs="Arial"/>
          <w:color w:val="000000" w:themeColor="text1"/>
          <w:sz w:val="22"/>
          <w:szCs w:val="22"/>
        </w:rPr>
        <w:t>income</w:t>
      </w:r>
      <w:r w:rsidR="003A7DD6" w:rsidRPr="00197FDA">
        <w:rPr>
          <w:rFonts w:ascii="Arial" w:hAnsi="Arial" w:cs="Arial"/>
          <w:color w:val="000000" w:themeColor="text1"/>
          <w:sz w:val="22"/>
          <w:szCs w:val="22"/>
        </w:rPr>
        <w:t xml:space="preserve"> </w:t>
      </w:r>
      <w:r w:rsidRPr="00197FDA">
        <w:rPr>
          <w:rFonts w:ascii="Arial" w:hAnsi="Arial" w:cs="Arial"/>
          <w:color w:val="000000" w:themeColor="text1"/>
          <w:sz w:val="22"/>
          <w:szCs w:val="22"/>
        </w:rPr>
        <w:t>year</w:t>
      </w:r>
      <w:r w:rsidR="00423DCD">
        <w:rPr>
          <w:rFonts w:ascii="Arial" w:hAnsi="Arial" w:cs="Arial"/>
          <w:color w:val="000000" w:themeColor="text1"/>
          <w:sz w:val="22"/>
          <w:szCs w:val="22"/>
        </w:rPr>
        <w:t>s</w:t>
      </w:r>
      <w:r w:rsidRPr="00197FDA">
        <w:rPr>
          <w:rFonts w:ascii="Arial" w:hAnsi="Arial" w:cs="Arial"/>
          <w:color w:val="000000" w:themeColor="text1"/>
          <w:sz w:val="22"/>
          <w:szCs w:val="22"/>
        </w:rPr>
        <w:t>.</w:t>
      </w:r>
      <w:r w:rsidR="00661B4F">
        <w:rPr>
          <w:rFonts w:ascii="Arial" w:hAnsi="Arial" w:cs="Arial"/>
          <w:color w:val="000000" w:themeColor="text1"/>
          <w:sz w:val="22"/>
          <w:szCs w:val="22"/>
        </w:rPr>
        <w:t xml:space="preserve"> The</w:t>
      </w:r>
      <w:r w:rsidR="005B6DFA">
        <w:rPr>
          <w:rFonts w:ascii="Arial" w:hAnsi="Arial" w:cs="Arial"/>
          <w:color w:val="000000" w:themeColor="text1"/>
          <w:sz w:val="22"/>
          <w:szCs w:val="22"/>
        </w:rPr>
        <w:t xml:space="preserve"> 2019-20</w:t>
      </w:r>
      <w:r w:rsidR="00661B4F">
        <w:rPr>
          <w:rFonts w:ascii="Arial" w:hAnsi="Arial" w:cs="Arial"/>
          <w:color w:val="000000" w:themeColor="text1"/>
          <w:sz w:val="22"/>
          <w:szCs w:val="22"/>
        </w:rPr>
        <w:t xml:space="preserve"> income year</w:t>
      </w:r>
      <w:r w:rsidR="005B6DFA">
        <w:rPr>
          <w:rFonts w:ascii="Arial" w:hAnsi="Arial" w:cs="Arial"/>
          <w:color w:val="000000" w:themeColor="text1"/>
          <w:sz w:val="22"/>
          <w:szCs w:val="22"/>
        </w:rPr>
        <w:t xml:space="preserve"> is the first year of mandatory reporting through STP.</w:t>
      </w:r>
    </w:p>
    <w:p w14:paraId="516A5507" w14:textId="2EE9EF14" w:rsidR="000037DC" w:rsidRPr="00197FDA" w:rsidRDefault="00397483" w:rsidP="000037DC">
      <w:pPr>
        <w:numPr>
          <w:ilvl w:val="0"/>
          <w:numId w:val="4"/>
        </w:numPr>
        <w:tabs>
          <w:tab w:val="clear" w:pos="720"/>
        </w:tabs>
        <w:spacing w:after="120"/>
        <w:ind w:left="709" w:hanging="709"/>
        <w:rPr>
          <w:rFonts w:ascii="Arial" w:hAnsi="Arial" w:cs="Arial"/>
          <w:color w:val="000000" w:themeColor="text1"/>
          <w:sz w:val="22"/>
          <w:szCs w:val="22"/>
        </w:rPr>
      </w:pPr>
      <w:r>
        <w:rPr>
          <w:rFonts w:ascii="Arial" w:hAnsi="Arial" w:cs="Arial"/>
          <w:color w:val="000000" w:themeColor="text1"/>
          <w:sz w:val="22"/>
          <w:szCs w:val="22"/>
        </w:rPr>
        <w:t>An</w:t>
      </w:r>
      <w:r w:rsidR="000037DC" w:rsidRPr="00197FDA">
        <w:rPr>
          <w:rFonts w:ascii="Arial" w:hAnsi="Arial" w:cs="Arial"/>
          <w:color w:val="000000" w:themeColor="text1"/>
          <w:sz w:val="22"/>
          <w:szCs w:val="22"/>
        </w:rPr>
        <w:t xml:space="preserve"> entity </w:t>
      </w:r>
      <w:r>
        <w:rPr>
          <w:rFonts w:ascii="Arial" w:hAnsi="Arial" w:cs="Arial"/>
          <w:color w:val="000000" w:themeColor="text1"/>
          <w:sz w:val="22"/>
          <w:szCs w:val="22"/>
        </w:rPr>
        <w:t>to which this instrument applies</w:t>
      </w:r>
      <w:r w:rsidR="000037DC" w:rsidRPr="00197FDA">
        <w:rPr>
          <w:rFonts w:ascii="Arial" w:hAnsi="Arial" w:cs="Arial"/>
          <w:color w:val="000000" w:themeColor="text1"/>
          <w:sz w:val="22"/>
          <w:szCs w:val="22"/>
        </w:rPr>
        <w:t xml:space="preserve"> may still choose to report </w:t>
      </w:r>
      <w:r w:rsidR="003A7DD6">
        <w:rPr>
          <w:rFonts w:ascii="Arial" w:hAnsi="Arial" w:cs="Arial"/>
          <w:color w:val="000000" w:themeColor="text1"/>
          <w:sz w:val="22"/>
          <w:szCs w:val="22"/>
        </w:rPr>
        <w:t>that an amount has been paid to a closely held payee</w:t>
      </w:r>
      <w:r w:rsidR="000037DC" w:rsidRPr="00197FDA">
        <w:rPr>
          <w:rFonts w:ascii="Arial" w:hAnsi="Arial" w:cs="Arial"/>
          <w:color w:val="000000" w:themeColor="text1"/>
          <w:sz w:val="22"/>
          <w:szCs w:val="22"/>
        </w:rPr>
        <w:t xml:space="preserve"> through STP. If </w:t>
      </w:r>
      <w:r w:rsidR="003A7DD6">
        <w:rPr>
          <w:rFonts w:ascii="Arial" w:hAnsi="Arial" w:cs="Arial"/>
          <w:color w:val="000000" w:themeColor="text1"/>
          <w:sz w:val="22"/>
          <w:szCs w:val="22"/>
        </w:rPr>
        <w:t>the</w:t>
      </w:r>
      <w:r w:rsidR="003A7DD6" w:rsidRPr="00197FDA">
        <w:rPr>
          <w:rFonts w:ascii="Arial" w:hAnsi="Arial" w:cs="Arial"/>
          <w:color w:val="000000" w:themeColor="text1"/>
          <w:sz w:val="22"/>
          <w:szCs w:val="22"/>
        </w:rPr>
        <w:t xml:space="preserve"> </w:t>
      </w:r>
      <w:r w:rsidR="000037DC" w:rsidRPr="00197FDA">
        <w:rPr>
          <w:rFonts w:ascii="Arial" w:hAnsi="Arial" w:cs="Arial"/>
          <w:color w:val="000000" w:themeColor="text1"/>
          <w:sz w:val="22"/>
          <w:szCs w:val="22"/>
        </w:rPr>
        <w:t>entity cho</w:t>
      </w:r>
      <w:r w:rsidR="003A7DD6">
        <w:rPr>
          <w:rFonts w:ascii="Arial" w:hAnsi="Arial" w:cs="Arial"/>
          <w:color w:val="000000" w:themeColor="text1"/>
          <w:sz w:val="22"/>
          <w:szCs w:val="22"/>
        </w:rPr>
        <w:t>o</w:t>
      </w:r>
      <w:r w:rsidR="000037DC" w:rsidRPr="00197FDA">
        <w:rPr>
          <w:rFonts w:ascii="Arial" w:hAnsi="Arial" w:cs="Arial"/>
          <w:color w:val="000000" w:themeColor="text1"/>
          <w:sz w:val="22"/>
          <w:szCs w:val="22"/>
        </w:rPr>
        <w:t xml:space="preserve">ses to do so, it will be able to access relief from its obligations to provide payment summaries to the closely held payees, </w:t>
      </w:r>
      <w:r w:rsidR="003A7DD6">
        <w:rPr>
          <w:rFonts w:ascii="Arial" w:hAnsi="Arial" w:cs="Arial"/>
          <w:color w:val="000000" w:themeColor="text1"/>
          <w:sz w:val="22"/>
          <w:szCs w:val="22"/>
        </w:rPr>
        <w:t>as well as</w:t>
      </w:r>
      <w:r w:rsidR="003A7DD6" w:rsidRPr="00197FDA">
        <w:rPr>
          <w:rFonts w:ascii="Arial" w:hAnsi="Arial" w:cs="Arial"/>
          <w:color w:val="000000" w:themeColor="text1"/>
          <w:sz w:val="22"/>
          <w:szCs w:val="22"/>
        </w:rPr>
        <w:t xml:space="preserve"> </w:t>
      </w:r>
      <w:r w:rsidR="000037DC" w:rsidRPr="00197FDA">
        <w:rPr>
          <w:rFonts w:ascii="Arial" w:hAnsi="Arial" w:cs="Arial"/>
          <w:color w:val="000000" w:themeColor="text1"/>
          <w:sz w:val="22"/>
          <w:szCs w:val="22"/>
        </w:rPr>
        <w:t xml:space="preserve">a </w:t>
      </w:r>
      <w:r w:rsidR="000037DC" w:rsidRPr="00082C71">
        <w:rPr>
          <w:rFonts w:ascii="Arial" w:hAnsi="Arial" w:cs="Arial"/>
          <w:color w:val="000000" w:themeColor="text1"/>
          <w:sz w:val="22"/>
          <w:szCs w:val="22"/>
        </w:rPr>
        <w:t>payment summary</w:t>
      </w:r>
      <w:r w:rsidR="000037DC" w:rsidRPr="00197FDA">
        <w:rPr>
          <w:rFonts w:ascii="Arial" w:hAnsi="Arial" w:cs="Arial"/>
          <w:color w:val="000000" w:themeColor="text1"/>
          <w:sz w:val="22"/>
          <w:szCs w:val="22"/>
        </w:rPr>
        <w:t xml:space="preserve"> annual report to the Commissioner, provided </w:t>
      </w:r>
      <w:r w:rsidR="003A7DD6">
        <w:rPr>
          <w:rFonts w:ascii="Arial" w:hAnsi="Arial" w:cs="Arial"/>
          <w:color w:val="000000" w:themeColor="text1"/>
          <w:sz w:val="22"/>
          <w:szCs w:val="22"/>
        </w:rPr>
        <w:t>the entity</w:t>
      </w:r>
      <w:r w:rsidR="003A7DD6" w:rsidRPr="00197FDA">
        <w:rPr>
          <w:rFonts w:ascii="Arial" w:hAnsi="Arial" w:cs="Arial"/>
          <w:color w:val="000000" w:themeColor="text1"/>
          <w:sz w:val="22"/>
          <w:szCs w:val="22"/>
        </w:rPr>
        <w:t xml:space="preserve"> </w:t>
      </w:r>
      <w:r w:rsidR="000037DC" w:rsidRPr="00197FDA">
        <w:rPr>
          <w:rFonts w:ascii="Arial" w:hAnsi="Arial" w:cs="Arial"/>
          <w:color w:val="000000" w:themeColor="text1"/>
          <w:sz w:val="22"/>
          <w:szCs w:val="22"/>
        </w:rPr>
        <w:t xml:space="preserve">makes a declaration under section 389-20 </w:t>
      </w:r>
      <w:r w:rsidR="000037DC" w:rsidRPr="00197FDA">
        <w:rPr>
          <w:rFonts w:ascii="Arial" w:hAnsi="Arial" w:cs="Arial"/>
          <w:sz w:val="22"/>
          <w:szCs w:val="22"/>
        </w:rPr>
        <w:t xml:space="preserve">of Schedule 1 to the </w:t>
      </w:r>
      <w:r w:rsidR="000037DC" w:rsidRPr="00082C71">
        <w:rPr>
          <w:rFonts w:ascii="Arial" w:hAnsi="Arial" w:cs="Arial"/>
          <w:iCs/>
          <w:sz w:val="22"/>
          <w:szCs w:val="22"/>
        </w:rPr>
        <w:t>TAA 1953</w:t>
      </w:r>
      <w:r w:rsidR="000037DC" w:rsidRPr="00197FDA">
        <w:rPr>
          <w:rFonts w:ascii="Arial" w:hAnsi="Arial" w:cs="Arial"/>
          <w:i/>
          <w:iCs/>
          <w:sz w:val="22"/>
          <w:szCs w:val="22"/>
        </w:rPr>
        <w:t xml:space="preserve"> </w:t>
      </w:r>
      <w:r w:rsidR="000037DC" w:rsidRPr="00197FDA">
        <w:rPr>
          <w:rFonts w:ascii="Arial" w:hAnsi="Arial" w:cs="Arial"/>
          <w:color w:val="000000" w:themeColor="text1"/>
          <w:sz w:val="22"/>
          <w:szCs w:val="22"/>
        </w:rPr>
        <w:t>by the due date.</w:t>
      </w:r>
    </w:p>
    <w:p w14:paraId="7F9A4CED" w14:textId="5D669E45" w:rsidR="00EC6007" w:rsidRPr="00197FDA" w:rsidRDefault="003A7DD6" w:rsidP="00197FDA">
      <w:pPr>
        <w:numPr>
          <w:ilvl w:val="0"/>
          <w:numId w:val="4"/>
        </w:numPr>
        <w:tabs>
          <w:tab w:val="clear" w:pos="720"/>
        </w:tabs>
        <w:spacing w:after="120"/>
        <w:ind w:left="709" w:hanging="709"/>
        <w:rPr>
          <w:rFonts w:ascii="Arial" w:hAnsi="Arial" w:cs="Arial"/>
          <w:color w:val="000000" w:themeColor="text1"/>
          <w:sz w:val="22"/>
          <w:szCs w:val="22"/>
        </w:rPr>
      </w:pPr>
      <w:r>
        <w:rPr>
          <w:rFonts w:ascii="Arial" w:hAnsi="Arial" w:cs="Arial"/>
          <w:color w:val="000000" w:themeColor="text1"/>
          <w:sz w:val="22"/>
          <w:szCs w:val="22"/>
        </w:rPr>
        <w:t>An entity to which this instrument applies</w:t>
      </w:r>
      <w:r w:rsidR="00BF01C9" w:rsidRPr="00197FDA">
        <w:rPr>
          <w:rFonts w:ascii="Arial" w:hAnsi="Arial" w:cs="Arial"/>
          <w:color w:val="000000" w:themeColor="text1"/>
          <w:sz w:val="22"/>
          <w:szCs w:val="22"/>
        </w:rPr>
        <w:t xml:space="preserve"> </w:t>
      </w:r>
      <w:r>
        <w:rPr>
          <w:rFonts w:ascii="Arial" w:hAnsi="Arial" w:cs="Arial"/>
          <w:color w:val="000000" w:themeColor="text1"/>
          <w:sz w:val="22"/>
          <w:szCs w:val="22"/>
        </w:rPr>
        <w:t>is</w:t>
      </w:r>
      <w:r w:rsidR="00EC6007" w:rsidRPr="00197FDA">
        <w:rPr>
          <w:rFonts w:ascii="Arial" w:hAnsi="Arial" w:cs="Arial"/>
          <w:color w:val="000000" w:themeColor="text1"/>
          <w:sz w:val="22"/>
          <w:szCs w:val="22"/>
        </w:rPr>
        <w:t xml:space="preserve"> not exempt from </w:t>
      </w:r>
      <w:r>
        <w:rPr>
          <w:rFonts w:ascii="Arial" w:hAnsi="Arial" w:cs="Arial"/>
          <w:color w:val="000000" w:themeColor="text1"/>
          <w:sz w:val="22"/>
          <w:szCs w:val="22"/>
        </w:rPr>
        <w:t>being</w:t>
      </w:r>
      <w:r w:rsidRPr="00197FDA">
        <w:rPr>
          <w:rFonts w:ascii="Arial" w:hAnsi="Arial" w:cs="Arial"/>
          <w:color w:val="000000" w:themeColor="text1"/>
          <w:sz w:val="22"/>
          <w:szCs w:val="22"/>
        </w:rPr>
        <w:t xml:space="preserve"> require</w:t>
      </w:r>
      <w:r>
        <w:rPr>
          <w:rFonts w:ascii="Arial" w:hAnsi="Arial" w:cs="Arial"/>
          <w:color w:val="000000" w:themeColor="text1"/>
          <w:sz w:val="22"/>
          <w:szCs w:val="22"/>
        </w:rPr>
        <w:t>d</w:t>
      </w:r>
      <w:r w:rsidRPr="00197FDA">
        <w:rPr>
          <w:rFonts w:ascii="Arial" w:hAnsi="Arial" w:cs="Arial"/>
          <w:color w:val="000000" w:themeColor="text1"/>
          <w:sz w:val="22"/>
          <w:szCs w:val="22"/>
        </w:rPr>
        <w:t xml:space="preserve"> </w:t>
      </w:r>
      <w:r w:rsidR="00EC6007" w:rsidRPr="00197FDA">
        <w:rPr>
          <w:rFonts w:ascii="Arial" w:hAnsi="Arial" w:cs="Arial"/>
          <w:color w:val="000000" w:themeColor="text1"/>
          <w:sz w:val="22"/>
          <w:szCs w:val="22"/>
        </w:rPr>
        <w:t xml:space="preserve">to report </w:t>
      </w:r>
      <w:r>
        <w:rPr>
          <w:rFonts w:ascii="Arial" w:hAnsi="Arial" w:cs="Arial"/>
          <w:color w:val="000000" w:themeColor="text1"/>
          <w:sz w:val="22"/>
          <w:szCs w:val="22"/>
        </w:rPr>
        <w:t>amounts paid to employees that are not closely held payees.</w:t>
      </w:r>
      <w:r w:rsidRPr="00197FDA">
        <w:rPr>
          <w:rFonts w:ascii="Arial" w:hAnsi="Arial" w:cs="Arial"/>
          <w:color w:val="000000" w:themeColor="text1"/>
          <w:sz w:val="22"/>
          <w:szCs w:val="22"/>
        </w:rPr>
        <w:t xml:space="preserve"> </w:t>
      </w:r>
      <w:r w:rsidR="00EC6007" w:rsidRPr="00197FDA">
        <w:rPr>
          <w:rFonts w:ascii="Arial" w:hAnsi="Arial" w:cs="Arial"/>
          <w:color w:val="000000" w:themeColor="text1"/>
          <w:sz w:val="22"/>
          <w:szCs w:val="22"/>
        </w:rPr>
        <w:t xml:space="preserve">The entity </w:t>
      </w:r>
      <w:r w:rsidR="00397483">
        <w:rPr>
          <w:rFonts w:ascii="Arial" w:hAnsi="Arial" w:cs="Arial"/>
          <w:color w:val="000000" w:themeColor="text1"/>
          <w:sz w:val="22"/>
          <w:szCs w:val="22"/>
        </w:rPr>
        <w:t>is still</w:t>
      </w:r>
      <w:r w:rsidR="00EC6007" w:rsidRPr="00197FDA">
        <w:rPr>
          <w:rFonts w:ascii="Arial" w:hAnsi="Arial" w:cs="Arial"/>
          <w:color w:val="000000" w:themeColor="text1"/>
          <w:sz w:val="22"/>
          <w:szCs w:val="22"/>
        </w:rPr>
        <w:t xml:space="preserve"> required to report this information through STP.</w:t>
      </w:r>
    </w:p>
    <w:p w14:paraId="4E8DECA5" w14:textId="3951D797" w:rsidR="002C06D1" w:rsidRDefault="00C10C76" w:rsidP="00082E52">
      <w:pPr>
        <w:numPr>
          <w:ilvl w:val="0"/>
          <w:numId w:val="4"/>
        </w:numPr>
        <w:tabs>
          <w:tab w:val="clear" w:pos="720"/>
        </w:tabs>
        <w:spacing w:after="120"/>
        <w:ind w:left="709" w:hanging="709"/>
        <w:rPr>
          <w:rFonts w:ascii="Arial" w:hAnsi="Arial" w:cs="Arial"/>
          <w:color w:val="000000"/>
          <w:sz w:val="22"/>
          <w:szCs w:val="22"/>
        </w:rPr>
      </w:pPr>
      <w:r w:rsidRPr="00197FDA">
        <w:rPr>
          <w:rFonts w:ascii="Arial" w:hAnsi="Arial" w:cs="Arial"/>
          <w:color w:val="000000"/>
          <w:sz w:val="22"/>
          <w:szCs w:val="22"/>
        </w:rPr>
        <w:t xml:space="preserve">Compliance cost impact: </w:t>
      </w:r>
      <w:r w:rsidR="00BB5069">
        <w:rPr>
          <w:rFonts w:ascii="Arial" w:hAnsi="Arial" w:cs="Arial"/>
          <w:color w:val="000000"/>
          <w:sz w:val="22"/>
          <w:szCs w:val="22"/>
        </w:rPr>
        <w:t>Minor</w:t>
      </w:r>
      <w:r w:rsidR="00166509">
        <w:rPr>
          <w:rFonts w:ascii="Arial" w:hAnsi="Arial" w:cs="Arial"/>
          <w:color w:val="000000"/>
          <w:sz w:val="22"/>
          <w:szCs w:val="22"/>
        </w:rPr>
        <w:t xml:space="preserve"> – </w:t>
      </w:r>
      <w:r w:rsidRPr="00197FDA">
        <w:rPr>
          <w:rFonts w:ascii="Arial" w:hAnsi="Arial" w:cs="Arial"/>
          <w:color w:val="000000"/>
          <w:sz w:val="22"/>
          <w:szCs w:val="22"/>
        </w:rPr>
        <w:t xml:space="preserve">there will be minimal impact for both implementation and ongoing compliance costs. The legislative instrument is minor and machinery in </w:t>
      </w:r>
      <w:r w:rsidRPr="00082E52">
        <w:rPr>
          <w:rFonts w:ascii="Arial" w:hAnsi="Arial" w:cs="Arial"/>
          <w:color w:val="000000" w:themeColor="text1"/>
          <w:sz w:val="22"/>
          <w:szCs w:val="22"/>
        </w:rPr>
        <w:t>nature</w:t>
      </w:r>
      <w:r w:rsidRPr="00197FDA">
        <w:rPr>
          <w:rFonts w:ascii="Arial" w:hAnsi="Arial" w:cs="Arial"/>
          <w:color w:val="000000"/>
          <w:sz w:val="22"/>
          <w:szCs w:val="22"/>
        </w:rPr>
        <w:t>.</w:t>
      </w:r>
    </w:p>
    <w:p w14:paraId="67EE5251" w14:textId="77777777" w:rsidR="00683A22" w:rsidRPr="00082E52" w:rsidRDefault="00683A22" w:rsidP="00683A22">
      <w:pPr>
        <w:spacing w:after="120"/>
        <w:rPr>
          <w:rFonts w:ascii="Arial" w:hAnsi="Arial" w:cs="Arial"/>
          <w:sz w:val="22"/>
          <w:szCs w:val="22"/>
        </w:rPr>
      </w:pPr>
    </w:p>
    <w:p w14:paraId="35BC484A" w14:textId="77777777" w:rsidR="00486653" w:rsidRPr="00197FDA" w:rsidRDefault="005A5F88" w:rsidP="00197FDA">
      <w:pPr>
        <w:pStyle w:val="Heading2"/>
        <w:keepNext w:val="0"/>
        <w:rPr>
          <w:rFonts w:cs="Arial"/>
          <w:szCs w:val="22"/>
        </w:rPr>
      </w:pPr>
      <w:r w:rsidRPr="00197FDA">
        <w:rPr>
          <w:rFonts w:cs="Arial"/>
          <w:szCs w:val="22"/>
        </w:rPr>
        <w:t>Background</w:t>
      </w:r>
    </w:p>
    <w:p w14:paraId="132E0A44" w14:textId="166E53A5" w:rsidR="002B412C" w:rsidRPr="00197FDA" w:rsidRDefault="002B412C" w:rsidP="00197FDA">
      <w:pPr>
        <w:numPr>
          <w:ilvl w:val="0"/>
          <w:numId w:val="4"/>
        </w:numPr>
        <w:tabs>
          <w:tab w:val="clear" w:pos="720"/>
        </w:tabs>
        <w:spacing w:after="120"/>
        <w:ind w:left="709" w:hanging="709"/>
        <w:rPr>
          <w:rFonts w:ascii="Arial" w:hAnsi="Arial" w:cs="Arial"/>
          <w:color w:val="000000" w:themeColor="text1"/>
          <w:sz w:val="22"/>
          <w:szCs w:val="22"/>
        </w:rPr>
      </w:pPr>
      <w:r w:rsidRPr="00197FDA">
        <w:rPr>
          <w:rFonts w:ascii="Arial" w:hAnsi="Arial" w:cs="Arial"/>
          <w:color w:val="000000" w:themeColor="text1"/>
          <w:sz w:val="22"/>
          <w:szCs w:val="22"/>
        </w:rPr>
        <w:t xml:space="preserve">Subsection 389-10(1) </w:t>
      </w:r>
      <w:r w:rsidRPr="00197FDA">
        <w:rPr>
          <w:rFonts w:ascii="Arial" w:hAnsi="Arial" w:cs="Arial"/>
          <w:sz w:val="22"/>
          <w:szCs w:val="22"/>
        </w:rPr>
        <w:t xml:space="preserve">of Schedule 1 to the </w:t>
      </w:r>
      <w:r w:rsidRPr="00082C71">
        <w:rPr>
          <w:rFonts w:ascii="Arial" w:hAnsi="Arial" w:cs="Arial"/>
          <w:iCs/>
          <w:sz w:val="22"/>
          <w:szCs w:val="22"/>
        </w:rPr>
        <w:t>TAA 1953</w:t>
      </w:r>
      <w:r w:rsidRPr="00197FDA">
        <w:rPr>
          <w:rFonts w:ascii="Arial" w:hAnsi="Arial" w:cs="Arial"/>
          <w:color w:val="000000" w:themeColor="text1"/>
          <w:sz w:val="22"/>
          <w:szCs w:val="22"/>
        </w:rPr>
        <w:t xml:space="preserve"> allows the Commissioner of Taxation by legislative instrument to exempt a class of entities from reporting under STP.</w:t>
      </w:r>
    </w:p>
    <w:p w14:paraId="76EB6E67" w14:textId="77777777" w:rsidR="00097258" w:rsidRPr="00197FDA" w:rsidRDefault="002B412C" w:rsidP="00197FDA">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Subsection 389-10(2) of Schedule 1 to the </w:t>
      </w:r>
      <w:r w:rsidRPr="00082C71">
        <w:rPr>
          <w:rFonts w:ascii="Arial" w:hAnsi="Arial" w:cs="Arial"/>
          <w:iCs/>
          <w:sz w:val="22"/>
          <w:szCs w:val="22"/>
        </w:rPr>
        <w:t>TAA 1953</w:t>
      </w:r>
      <w:r w:rsidRPr="00197FDA">
        <w:rPr>
          <w:rFonts w:ascii="Arial" w:hAnsi="Arial" w:cs="Arial"/>
          <w:i/>
          <w:iCs/>
          <w:sz w:val="22"/>
          <w:szCs w:val="22"/>
        </w:rPr>
        <w:t xml:space="preserve"> </w:t>
      </w:r>
      <w:r w:rsidRPr="00197FDA">
        <w:rPr>
          <w:rFonts w:ascii="Arial" w:hAnsi="Arial" w:cs="Arial"/>
          <w:sz w:val="22"/>
          <w:szCs w:val="22"/>
        </w:rPr>
        <w:t>provides the exemption may be limited to the extent specified in the instrument.</w:t>
      </w:r>
    </w:p>
    <w:p w14:paraId="2CCD1DE8" w14:textId="4906A192" w:rsidR="00867AB7" w:rsidRPr="00E05F54" w:rsidRDefault="00867AB7" w:rsidP="00867AB7">
      <w:pPr>
        <w:numPr>
          <w:ilvl w:val="0"/>
          <w:numId w:val="4"/>
        </w:numPr>
        <w:tabs>
          <w:tab w:val="clear" w:pos="720"/>
        </w:tabs>
        <w:spacing w:after="120"/>
        <w:ind w:left="709" w:hanging="709"/>
        <w:rPr>
          <w:rFonts w:ascii="Arial" w:hAnsi="Arial" w:cs="Arial"/>
          <w:color w:val="000000" w:themeColor="text1"/>
          <w:sz w:val="22"/>
          <w:szCs w:val="22"/>
        </w:rPr>
      </w:pPr>
      <w:r w:rsidRPr="00E05F54">
        <w:rPr>
          <w:rFonts w:ascii="Arial" w:hAnsi="Arial" w:cs="Arial"/>
          <w:sz w:val="22"/>
          <w:szCs w:val="22"/>
        </w:rPr>
        <w:t>Prior to 2019, the ATO received feedback</w:t>
      </w:r>
      <w:r>
        <w:rPr>
          <w:szCs w:val="24"/>
        </w:rPr>
        <w:t xml:space="preserve"> </w:t>
      </w:r>
      <w:r>
        <w:rPr>
          <w:rFonts w:ascii="Arial" w:hAnsi="Arial" w:cs="Arial"/>
          <w:sz w:val="22"/>
          <w:szCs w:val="22"/>
        </w:rPr>
        <w:t xml:space="preserve">from payroll, tax and bookkeeping professionals that many </w:t>
      </w:r>
      <w:r w:rsidR="00B530EE">
        <w:rPr>
          <w:rFonts w:ascii="Arial" w:hAnsi="Arial" w:cs="Arial"/>
          <w:sz w:val="22"/>
          <w:szCs w:val="22"/>
        </w:rPr>
        <w:t>small</w:t>
      </w:r>
      <w:r>
        <w:rPr>
          <w:rFonts w:ascii="Arial" w:hAnsi="Arial" w:cs="Arial"/>
          <w:sz w:val="22"/>
          <w:szCs w:val="22"/>
        </w:rPr>
        <w:t xml:space="preserve"> businesses would find it challenging to transition to reporting amounts they paid to closely held payees using STP from 1 July 2019. </w:t>
      </w:r>
      <w:r w:rsidRPr="00E05F54">
        <w:rPr>
          <w:rFonts w:ascii="Arial" w:hAnsi="Arial" w:cs="Arial"/>
          <w:sz w:val="22"/>
          <w:szCs w:val="22"/>
        </w:rPr>
        <w:t>In response to this feedback the ATO determined that it would be appropriate to exempt these businesses from reporting amounts they paid to their closely held payees through STP for the first financial year (2019-20) to</w:t>
      </w:r>
      <w:r>
        <w:rPr>
          <w:rFonts w:ascii="Arial" w:hAnsi="Arial" w:cs="Arial"/>
          <w:sz w:val="22"/>
          <w:szCs w:val="22"/>
        </w:rPr>
        <w:t xml:space="preserve"> assist those which also had regular employees to successfully commence STP reporting in relation to those employees from 1 July 2019.</w:t>
      </w:r>
      <w:r w:rsidRPr="00E05F54">
        <w:rPr>
          <w:rFonts w:ascii="Arial" w:hAnsi="Arial" w:cs="Arial"/>
          <w:szCs w:val="24"/>
        </w:rPr>
        <w:t xml:space="preserve"> </w:t>
      </w:r>
    </w:p>
    <w:p w14:paraId="5401246C" w14:textId="77777777" w:rsidR="00867AB7" w:rsidRPr="00E05F54" w:rsidRDefault="00867AB7" w:rsidP="00867AB7">
      <w:pPr>
        <w:numPr>
          <w:ilvl w:val="0"/>
          <w:numId w:val="4"/>
        </w:numPr>
        <w:tabs>
          <w:tab w:val="clear" w:pos="720"/>
        </w:tabs>
        <w:spacing w:after="120"/>
        <w:ind w:left="709" w:hanging="709"/>
        <w:rPr>
          <w:rFonts w:ascii="Arial" w:hAnsi="Arial" w:cs="Arial"/>
          <w:color w:val="000000" w:themeColor="text1"/>
          <w:sz w:val="22"/>
          <w:szCs w:val="22"/>
        </w:rPr>
      </w:pPr>
      <w:r w:rsidRPr="00E05F54">
        <w:rPr>
          <w:rFonts w:ascii="Arial" w:hAnsi="Arial" w:cs="Arial"/>
          <w:sz w:val="22"/>
          <w:szCs w:val="22"/>
        </w:rPr>
        <w:t xml:space="preserve">In early 2020, </w:t>
      </w:r>
      <w:r>
        <w:rPr>
          <w:rFonts w:ascii="Arial" w:hAnsi="Arial" w:cs="Arial"/>
          <w:sz w:val="22"/>
          <w:szCs w:val="22"/>
        </w:rPr>
        <w:t>in response to the</w:t>
      </w:r>
      <w:r w:rsidRPr="00E05F54">
        <w:rPr>
          <w:rFonts w:ascii="Arial" w:hAnsi="Arial" w:cs="Arial"/>
          <w:sz w:val="22"/>
          <w:szCs w:val="22"/>
        </w:rPr>
        <w:t xml:space="preserve"> additional pressures </w:t>
      </w:r>
      <w:r>
        <w:rPr>
          <w:rFonts w:ascii="Arial" w:hAnsi="Arial" w:cs="Arial"/>
          <w:sz w:val="22"/>
          <w:szCs w:val="22"/>
        </w:rPr>
        <w:t>experienced by</w:t>
      </w:r>
      <w:r w:rsidRPr="00E05F54">
        <w:rPr>
          <w:rFonts w:ascii="Arial" w:hAnsi="Arial" w:cs="Arial"/>
          <w:sz w:val="22"/>
          <w:szCs w:val="22"/>
        </w:rPr>
        <w:t xml:space="preserve"> small business</w:t>
      </w:r>
      <w:r>
        <w:rPr>
          <w:rFonts w:ascii="Arial" w:hAnsi="Arial" w:cs="Arial"/>
          <w:sz w:val="22"/>
          <w:szCs w:val="22"/>
        </w:rPr>
        <w:t>es</w:t>
      </w:r>
      <w:r w:rsidRPr="00E05F54">
        <w:rPr>
          <w:rFonts w:ascii="Arial" w:hAnsi="Arial" w:cs="Arial"/>
          <w:sz w:val="22"/>
          <w:szCs w:val="22"/>
        </w:rPr>
        <w:t xml:space="preserve"> as a result of the coronavirus situation, </w:t>
      </w:r>
      <w:r>
        <w:rPr>
          <w:rFonts w:ascii="Arial" w:hAnsi="Arial" w:cs="Arial"/>
          <w:sz w:val="22"/>
          <w:szCs w:val="22"/>
        </w:rPr>
        <w:t>the Commissioner</w:t>
      </w:r>
      <w:r w:rsidRPr="00E05F54">
        <w:rPr>
          <w:rFonts w:ascii="Arial" w:hAnsi="Arial" w:cs="Arial"/>
          <w:sz w:val="22"/>
          <w:szCs w:val="22"/>
        </w:rPr>
        <w:t xml:space="preserve"> determined that it would be appropriate to extend th</w:t>
      </w:r>
      <w:r>
        <w:rPr>
          <w:rFonts w:ascii="Arial" w:hAnsi="Arial" w:cs="Arial"/>
          <w:sz w:val="22"/>
          <w:szCs w:val="22"/>
        </w:rPr>
        <w:t>e</w:t>
      </w:r>
      <w:r w:rsidRPr="00E05F54">
        <w:rPr>
          <w:rFonts w:ascii="Arial" w:hAnsi="Arial" w:cs="Arial"/>
          <w:sz w:val="22"/>
          <w:szCs w:val="22"/>
        </w:rPr>
        <w:t xml:space="preserve"> exemption for a</w:t>
      </w:r>
      <w:r>
        <w:rPr>
          <w:rFonts w:ascii="Arial" w:hAnsi="Arial" w:cs="Arial"/>
          <w:sz w:val="22"/>
          <w:szCs w:val="22"/>
        </w:rPr>
        <w:t>nother</w:t>
      </w:r>
      <w:r w:rsidRPr="00E05F54">
        <w:rPr>
          <w:rFonts w:ascii="Arial" w:hAnsi="Arial" w:cs="Arial"/>
          <w:sz w:val="22"/>
          <w:szCs w:val="22"/>
        </w:rPr>
        <w:t xml:space="preserve"> year (2020-21</w:t>
      </w:r>
      <w:r>
        <w:rPr>
          <w:rFonts w:ascii="Arial" w:hAnsi="Arial" w:cs="Arial"/>
          <w:sz w:val="22"/>
          <w:szCs w:val="22"/>
        </w:rPr>
        <w:t>).</w:t>
      </w:r>
    </w:p>
    <w:p w14:paraId="55BD7594" w14:textId="44D3DDB3" w:rsidR="00350CE2" w:rsidRDefault="00350CE2" w:rsidP="00197FDA">
      <w:pPr>
        <w:numPr>
          <w:ilvl w:val="0"/>
          <w:numId w:val="4"/>
        </w:numPr>
        <w:tabs>
          <w:tab w:val="clear" w:pos="720"/>
        </w:tabs>
        <w:spacing w:after="120"/>
        <w:ind w:left="709" w:hanging="709"/>
        <w:rPr>
          <w:rFonts w:ascii="Arial" w:hAnsi="Arial" w:cs="Arial"/>
          <w:sz w:val="22"/>
          <w:szCs w:val="22"/>
        </w:rPr>
      </w:pPr>
      <w:r>
        <w:rPr>
          <w:rFonts w:ascii="Arial" w:hAnsi="Arial" w:cs="Arial"/>
          <w:sz w:val="22"/>
          <w:szCs w:val="22"/>
        </w:rPr>
        <w:t>The exemption provided by this instrument ends on 30 June 2021. The ATO has introduced concessional reporting arrangements to support businesses that were covered by this exemption transition to STP reporting from 1 July 2021.</w:t>
      </w:r>
    </w:p>
    <w:p w14:paraId="66A8A79C" w14:textId="77777777" w:rsidR="00683A22" w:rsidRPr="00197FDA" w:rsidRDefault="00683A22" w:rsidP="00683A22">
      <w:pPr>
        <w:spacing w:after="120"/>
        <w:rPr>
          <w:rFonts w:ascii="Arial" w:hAnsi="Arial" w:cs="Arial"/>
          <w:sz w:val="22"/>
          <w:szCs w:val="22"/>
        </w:rPr>
      </w:pPr>
    </w:p>
    <w:p w14:paraId="481EDC2A" w14:textId="6F32FD56" w:rsidR="005A5F88" w:rsidRPr="00197FDA" w:rsidRDefault="005A5F88" w:rsidP="00197FDA">
      <w:pPr>
        <w:pStyle w:val="Heading2"/>
        <w:rPr>
          <w:rFonts w:cs="Arial"/>
          <w:szCs w:val="22"/>
        </w:rPr>
      </w:pPr>
      <w:r w:rsidRPr="00197FDA">
        <w:rPr>
          <w:rFonts w:cs="Arial"/>
          <w:szCs w:val="22"/>
        </w:rPr>
        <w:lastRenderedPageBreak/>
        <w:t>Consultation</w:t>
      </w:r>
    </w:p>
    <w:p w14:paraId="032C1DA1" w14:textId="6E542533" w:rsidR="00527D87" w:rsidRDefault="005A5F88" w:rsidP="00527D87">
      <w:pPr>
        <w:numPr>
          <w:ilvl w:val="0"/>
          <w:numId w:val="4"/>
        </w:numPr>
        <w:tabs>
          <w:tab w:val="clear" w:pos="720"/>
        </w:tabs>
        <w:spacing w:after="120"/>
        <w:ind w:left="709" w:hanging="709"/>
        <w:rPr>
          <w:rFonts w:ascii="Arial" w:hAnsi="Arial" w:cs="Arial"/>
          <w:sz w:val="22"/>
          <w:szCs w:val="22"/>
        </w:rPr>
      </w:pPr>
      <w:r w:rsidRPr="00197FDA">
        <w:rPr>
          <w:rFonts w:ascii="Arial" w:hAnsi="Arial" w:cs="Arial"/>
          <w:sz w:val="22"/>
          <w:szCs w:val="22"/>
        </w:rPr>
        <w:t xml:space="preserve">Subsection 17(1) of the </w:t>
      </w:r>
      <w:r w:rsidRPr="00082C71">
        <w:rPr>
          <w:rFonts w:ascii="Arial" w:hAnsi="Arial" w:cs="Arial"/>
          <w:i/>
          <w:iCs/>
          <w:sz w:val="22"/>
          <w:szCs w:val="22"/>
        </w:rPr>
        <w:t>Legislation Act 2003</w:t>
      </w:r>
      <w:r w:rsidRPr="00197FDA">
        <w:rPr>
          <w:rFonts w:ascii="Arial" w:hAnsi="Arial" w:cs="Arial"/>
          <w:sz w:val="22"/>
          <w:szCs w:val="22"/>
        </w:rPr>
        <w:t xml:space="preserve"> requires, before the making of a determination, that the Commissioner is satisfied that appropriate and reasonably practicable consultation has been undertaken.</w:t>
      </w:r>
    </w:p>
    <w:p w14:paraId="13571EF5" w14:textId="78742B31" w:rsidR="00166509" w:rsidRDefault="000E68FB" w:rsidP="00705A61">
      <w:pPr>
        <w:numPr>
          <w:ilvl w:val="0"/>
          <w:numId w:val="4"/>
        </w:numPr>
        <w:tabs>
          <w:tab w:val="clear" w:pos="720"/>
        </w:tabs>
        <w:spacing w:after="120"/>
        <w:ind w:hanging="720"/>
        <w:rPr>
          <w:rFonts w:ascii="Arial" w:hAnsi="Arial" w:cs="Arial"/>
          <w:sz w:val="22"/>
          <w:szCs w:val="22"/>
        </w:rPr>
      </w:pPr>
      <w:r w:rsidRPr="00705A61">
        <w:rPr>
          <w:rFonts w:ascii="Arial" w:hAnsi="Arial" w:cs="Arial"/>
          <w:sz w:val="22"/>
          <w:szCs w:val="22"/>
        </w:rPr>
        <w:t xml:space="preserve">The draft determination and draft explanatory statement were published on the ATO Legal </w:t>
      </w:r>
      <w:r w:rsidR="00705A61">
        <w:rPr>
          <w:rFonts w:ascii="Arial" w:hAnsi="Arial" w:cs="Arial"/>
          <w:sz w:val="22"/>
          <w:szCs w:val="22"/>
        </w:rPr>
        <w:t>D</w:t>
      </w:r>
      <w:r w:rsidRPr="00705A61">
        <w:rPr>
          <w:rFonts w:ascii="Arial" w:hAnsi="Arial" w:cs="Arial"/>
          <w:sz w:val="22"/>
          <w:szCs w:val="22"/>
        </w:rPr>
        <w:t xml:space="preserve">atabase seeking feedback and comments </w:t>
      </w:r>
      <w:r w:rsidR="007D5CF2">
        <w:rPr>
          <w:rFonts w:ascii="Arial" w:hAnsi="Arial" w:cs="Arial"/>
          <w:sz w:val="22"/>
          <w:szCs w:val="22"/>
        </w:rPr>
        <w:t xml:space="preserve">on 11 June 2020 </w:t>
      </w:r>
      <w:r w:rsidRPr="00705A61">
        <w:rPr>
          <w:rFonts w:ascii="Arial" w:hAnsi="Arial" w:cs="Arial"/>
          <w:sz w:val="22"/>
          <w:szCs w:val="22"/>
        </w:rPr>
        <w:t>for a period of four weeks. Notice of the draft determination was also published on ato.gov.au and subscriptions alerts issued.</w:t>
      </w:r>
    </w:p>
    <w:p w14:paraId="32FF8001" w14:textId="77777777" w:rsidR="00166509" w:rsidRDefault="000E68FB" w:rsidP="00705A61">
      <w:pPr>
        <w:numPr>
          <w:ilvl w:val="0"/>
          <w:numId w:val="4"/>
        </w:numPr>
        <w:tabs>
          <w:tab w:val="clear" w:pos="720"/>
        </w:tabs>
        <w:spacing w:after="120"/>
        <w:ind w:hanging="720"/>
        <w:rPr>
          <w:rFonts w:ascii="Arial" w:hAnsi="Arial" w:cs="Arial"/>
          <w:sz w:val="22"/>
          <w:szCs w:val="22"/>
        </w:rPr>
      </w:pPr>
      <w:r w:rsidRPr="000E68FB">
        <w:rPr>
          <w:rFonts w:ascii="Arial" w:hAnsi="Arial" w:cs="Arial"/>
          <w:sz w:val="22"/>
          <w:szCs w:val="22"/>
        </w:rPr>
        <w:t>Tax professionals and tax associations regularly review both the Legal database and http://www.ato.gov.au and further promulgate advice of new drafts issued in their internal news bulletins.</w:t>
      </w:r>
    </w:p>
    <w:p w14:paraId="08D4FD79" w14:textId="77777777" w:rsidR="00166509" w:rsidRDefault="000E68FB" w:rsidP="00705A61">
      <w:pPr>
        <w:numPr>
          <w:ilvl w:val="0"/>
          <w:numId w:val="4"/>
        </w:numPr>
        <w:tabs>
          <w:tab w:val="clear" w:pos="720"/>
        </w:tabs>
        <w:spacing w:after="120"/>
        <w:ind w:hanging="720"/>
        <w:rPr>
          <w:rFonts w:ascii="Arial" w:hAnsi="Arial" w:cs="Arial"/>
          <w:sz w:val="22"/>
          <w:szCs w:val="22"/>
        </w:rPr>
      </w:pPr>
      <w:r w:rsidRPr="000E68FB">
        <w:rPr>
          <w:rFonts w:ascii="Arial" w:hAnsi="Arial" w:cs="Arial"/>
          <w:sz w:val="22"/>
          <w:szCs w:val="22"/>
        </w:rPr>
        <w:t>The major legal publishers also publish news of the drafts in their key tax alerting services</w:t>
      </w:r>
      <w:r w:rsidR="00166509">
        <w:rPr>
          <w:rFonts w:ascii="Arial" w:hAnsi="Arial" w:cs="Arial"/>
          <w:sz w:val="22"/>
          <w:szCs w:val="22"/>
        </w:rPr>
        <w:t xml:space="preserve"> – </w:t>
      </w:r>
      <w:r w:rsidRPr="000E68FB">
        <w:rPr>
          <w:rFonts w:ascii="Arial" w:hAnsi="Arial" w:cs="Arial"/>
          <w:sz w:val="22"/>
          <w:szCs w:val="22"/>
        </w:rPr>
        <w:t>such as the Weekly Tax Bulletin (published by Thomson Reuters Australia) and Tax Tracker and Tax Week (published by CCH Australia).</w:t>
      </w:r>
    </w:p>
    <w:p w14:paraId="1F9566F4" w14:textId="0EDE7FAE" w:rsidR="00705A61" w:rsidRDefault="00705A61" w:rsidP="00705A61">
      <w:pPr>
        <w:numPr>
          <w:ilvl w:val="0"/>
          <w:numId w:val="4"/>
        </w:numPr>
        <w:tabs>
          <w:tab w:val="clear" w:pos="720"/>
        </w:tabs>
        <w:spacing w:after="120"/>
        <w:ind w:hanging="720"/>
        <w:rPr>
          <w:rFonts w:ascii="Arial" w:hAnsi="Arial" w:cs="Arial"/>
          <w:sz w:val="22"/>
          <w:szCs w:val="22"/>
        </w:rPr>
      </w:pPr>
      <w:r>
        <w:rPr>
          <w:rFonts w:ascii="Arial" w:hAnsi="Arial" w:cs="Arial"/>
          <w:sz w:val="22"/>
          <w:szCs w:val="22"/>
        </w:rPr>
        <w:t>Following the closure of the formal comments period, the draft determination and explanatory statement remained available on the ATO Legal Database for a further 10 months.</w:t>
      </w:r>
    </w:p>
    <w:p w14:paraId="1A8C2312" w14:textId="4D33C5B3" w:rsidR="000E68FB" w:rsidRPr="000E68FB" w:rsidRDefault="000E68FB" w:rsidP="00705A61">
      <w:pPr>
        <w:numPr>
          <w:ilvl w:val="0"/>
          <w:numId w:val="4"/>
        </w:numPr>
        <w:tabs>
          <w:tab w:val="clear" w:pos="720"/>
        </w:tabs>
        <w:spacing w:after="120"/>
        <w:ind w:hanging="720"/>
        <w:rPr>
          <w:rFonts w:ascii="Arial" w:hAnsi="Arial" w:cs="Arial"/>
          <w:sz w:val="22"/>
          <w:szCs w:val="22"/>
        </w:rPr>
      </w:pPr>
      <w:r w:rsidRPr="000E68FB">
        <w:rPr>
          <w:rFonts w:ascii="Arial" w:hAnsi="Arial" w:cs="Arial"/>
          <w:sz w:val="22"/>
          <w:szCs w:val="22"/>
        </w:rPr>
        <w:t xml:space="preserve">No submissions </w:t>
      </w:r>
      <w:r w:rsidR="00705A61">
        <w:rPr>
          <w:rFonts w:ascii="Arial" w:hAnsi="Arial" w:cs="Arial"/>
          <w:sz w:val="22"/>
          <w:szCs w:val="22"/>
        </w:rPr>
        <w:t xml:space="preserve">on the draft determination and explanatory statement </w:t>
      </w:r>
      <w:r w:rsidRPr="000E68FB">
        <w:rPr>
          <w:rFonts w:ascii="Arial" w:hAnsi="Arial" w:cs="Arial"/>
          <w:sz w:val="22"/>
          <w:szCs w:val="22"/>
        </w:rPr>
        <w:t>were received.</w:t>
      </w:r>
    </w:p>
    <w:p w14:paraId="5D9C3BFA" w14:textId="77777777" w:rsidR="001A6D48" w:rsidRPr="00082E52" w:rsidRDefault="001A6D48" w:rsidP="00082E52">
      <w:pPr>
        <w:spacing w:after="120"/>
        <w:rPr>
          <w:rFonts w:ascii="Arial" w:hAnsi="Arial" w:cs="Arial"/>
          <w:sz w:val="22"/>
          <w:szCs w:val="22"/>
        </w:rPr>
      </w:pPr>
    </w:p>
    <w:p w14:paraId="4DB5C26E" w14:textId="3134C462" w:rsidR="00075B58" w:rsidRDefault="00075B58" w:rsidP="00082E52">
      <w:pPr>
        <w:spacing w:after="120"/>
        <w:rPr>
          <w:rFonts w:ascii="Arial" w:hAnsi="Arial" w:cs="Arial"/>
          <w:sz w:val="22"/>
          <w:szCs w:val="22"/>
        </w:rPr>
      </w:pPr>
    </w:p>
    <w:p w14:paraId="505EAE88" w14:textId="77777777" w:rsidR="00082C71" w:rsidRPr="00082E52" w:rsidRDefault="00082C71" w:rsidP="00082E52">
      <w:pPr>
        <w:spacing w:after="120"/>
        <w:rPr>
          <w:rFonts w:ascii="Arial" w:hAnsi="Arial" w:cs="Arial"/>
          <w:sz w:val="22"/>
          <w:szCs w:val="22"/>
        </w:rPr>
      </w:pPr>
    </w:p>
    <w:p w14:paraId="50F0E348" w14:textId="77777777" w:rsidR="00075B58" w:rsidRPr="00082E52" w:rsidRDefault="00075B58" w:rsidP="00082E52">
      <w:pPr>
        <w:spacing w:after="120"/>
        <w:rPr>
          <w:rFonts w:ascii="Arial" w:hAnsi="Arial" w:cs="Arial"/>
          <w:sz w:val="22"/>
          <w:szCs w:val="22"/>
        </w:rPr>
      </w:pPr>
    </w:p>
    <w:p w14:paraId="444C1B85" w14:textId="77777777" w:rsidR="00486653" w:rsidRPr="006A5CF3" w:rsidRDefault="00486653" w:rsidP="006A5CF3">
      <w:pPr>
        <w:pStyle w:val="Heading2"/>
        <w:spacing w:after="60"/>
        <w:rPr>
          <w:rFonts w:cs="Arial"/>
          <w:i/>
          <w:iCs/>
          <w:szCs w:val="22"/>
        </w:rPr>
      </w:pPr>
      <w:r w:rsidRPr="006A5CF3">
        <w:rPr>
          <w:rFonts w:cs="Arial"/>
          <w:i/>
          <w:iCs/>
          <w:szCs w:val="22"/>
        </w:rPr>
        <w:t>Legislative references:</w:t>
      </w:r>
    </w:p>
    <w:p w14:paraId="36C89967" w14:textId="77777777" w:rsidR="00C64545" w:rsidRPr="00197FDA" w:rsidRDefault="00C64545" w:rsidP="006A5CF3">
      <w:pPr>
        <w:rPr>
          <w:rFonts w:ascii="Arial" w:hAnsi="Arial" w:cs="Arial"/>
          <w:i/>
          <w:sz w:val="22"/>
          <w:szCs w:val="22"/>
        </w:rPr>
      </w:pPr>
      <w:r w:rsidRPr="00197FDA">
        <w:rPr>
          <w:rFonts w:ascii="Arial" w:hAnsi="Arial" w:cs="Arial"/>
          <w:i/>
          <w:sz w:val="22"/>
          <w:szCs w:val="22"/>
        </w:rPr>
        <w:t>Acts Interpretation Act 1901</w:t>
      </w:r>
    </w:p>
    <w:p w14:paraId="48B1E753" w14:textId="77777777" w:rsidR="0084069A" w:rsidRPr="00197FDA" w:rsidRDefault="0084069A" w:rsidP="006A5CF3">
      <w:pPr>
        <w:rPr>
          <w:rFonts w:ascii="Arial" w:hAnsi="Arial" w:cs="Arial"/>
          <w:i/>
          <w:sz w:val="22"/>
          <w:szCs w:val="22"/>
        </w:rPr>
      </w:pPr>
      <w:r w:rsidRPr="00197FDA">
        <w:rPr>
          <w:rFonts w:ascii="Arial" w:hAnsi="Arial" w:cs="Arial"/>
          <w:i/>
          <w:sz w:val="22"/>
          <w:szCs w:val="22"/>
        </w:rPr>
        <w:t>Human Rights (</w:t>
      </w:r>
      <w:r w:rsidRPr="00082C71">
        <w:rPr>
          <w:rFonts w:ascii="Arial" w:hAnsi="Arial" w:cs="Arial"/>
          <w:i/>
          <w:sz w:val="22"/>
          <w:szCs w:val="22"/>
        </w:rPr>
        <w:t>Parliament</w:t>
      </w:r>
      <w:r w:rsidRPr="00197FDA">
        <w:rPr>
          <w:rFonts w:ascii="Arial" w:hAnsi="Arial" w:cs="Arial"/>
          <w:i/>
          <w:sz w:val="22"/>
          <w:szCs w:val="22"/>
        </w:rPr>
        <w:t>ary Scrutiny) Act 2011</w:t>
      </w:r>
    </w:p>
    <w:p w14:paraId="6C042BFF" w14:textId="77777777" w:rsidR="000F3553" w:rsidRPr="00197FDA" w:rsidRDefault="000F3553" w:rsidP="006A5CF3">
      <w:pPr>
        <w:rPr>
          <w:rFonts w:ascii="Arial" w:hAnsi="Arial" w:cs="Arial"/>
          <w:i/>
          <w:color w:val="000000"/>
          <w:sz w:val="22"/>
          <w:szCs w:val="22"/>
        </w:rPr>
      </w:pPr>
      <w:r w:rsidRPr="00197FDA">
        <w:rPr>
          <w:rFonts w:ascii="Arial" w:hAnsi="Arial" w:cs="Arial"/>
          <w:i/>
          <w:color w:val="000000"/>
          <w:sz w:val="22"/>
          <w:szCs w:val="22"/>
        </w:rPr>
        <w:t>Legislation Act 2003</w:t>
      </w:r>
    </w:p>
    <w:p w14:paraId="7718D576" w14:textId="77777777" w:rsidR="000F3553" w:rsidRPr="00197FDA" w:rsidRDefault="000F3553" w:rsidP="006A5CF3">
      <w:pPr>
        <w:rPr>
          <w:rFonts w:ascii="Arial" w:hAnsi="Arial" w:cs="Arial"/>
          <w:i/>
          <w:color w:val="000000"/>
          <w:sz w:val="22"/>
          <w:szCs w:val="22"/>
        </w:rPr>
      </w:pPr>
      <w:r w:rsidRPr="00197FDA">
        <w:rPr>
          <w:rFonts w:ascii="Arial" w:hAnsi="Arial" w:cs="Arial"/>
          <w:i/>
          <w:color w:val="000000"/>
          <w:sz w:val="22"/>
          <w:szCs w:val="22"/>
        </w:rPr>
        <w:t>Taxation Administration Act 1953</w:t>
      </w:r>
    </w:p>
    <w:p w14:paraId="0EC20B94" w14:textId="77777777" w:rsidR="00BE2B79" w:rsidRPr="00197FDA" w:rsidRDefault="00BE2B79" w:rsidP="00197FDA">
      <w:pPr>
        <w:pStyle w:val="Heading2"/>
        <w:rPr>
          <w:rFonts w:cs="Arial"/>
          <w:szCs w:val="22"/>
        </w:rPr>
      </w:pPr>
      <w:r w:rsidRPr="00197FDA">
        <w:rPr>
          <w:rFonts w:cs="Arial"/>
          <w:szCs w:val="22"/>
        </w:rPr>
        <w:br w:type="page"/>
      </w:r>
    </w:p>
    <w:p w14:paraId="4542DC0C" w14:textId="77777777" w:rsidR="00BE2B79" w:rsidRPr="00197FDA" w:rsidRDefault="00BE2B79" w:rsidP="006A5CF3">
      <w:pPr>
        <w:pStyle w:val="Heading3"/>
        <w:jc w:val="center"/>
      </w:pPr>
      <w:r w:rsidRPr="00197FDA">
        <w:lastRenderedPageBreak/>
        <w:t>Statement of Compatibility with Human Rights</w:t>
      </w:r>
    </w:p>
    <w:p w14:paraId="31008370" w14:textId="77777777" w:rsidR="00BE2B79" w:rsidRPr="00197FDA" w:rsidRDefault="00BE2B79" w:rsidP="00197FDA">
      <w:pPr>
        <w:spacing w:after="120"/>
        <w:rPr>
          <w:rFonts w:ascii="Arial" w:hAnsi="Arial" w:cs="Arial"/>
          <w:sz w:val="22"/>
          <w:szCs w:val="22"/>
        </w:rPr>
      </w:pPr>
    </w:p>
    <w:p w14:paraId="7BBF39AC" w14:textId="77777777" w:rsidR="00BE2B79" w:rsidRPr="00197FDA" w:rsidRDefault="00BE2B79" w:rsidP="00197FDA">
      <w:pPr>
        <w:spacing w:after="120"/>
        <w:rPr>
          <w:rFonts w:ascii="Arial" w:hAnsi="Arial" w:cs="Arial"/>
          <w:sz w:val="22"/>
          <w:szCs w:val="22"/>
        </w:rPr>
      </w:pPr>
      <w:r w:rsidRPr="00197FDA">
        <w:rPr>
          <w:rFonts w:ascii="Arial" w:hAnsi="Arial" w:cs="Arial"/>
          <w:sz w:val="22"/>
          <w:szCs w:val="22"/>
        </w:rPr>
        <w:t xml:space="preserve">This Statement is prepared in accordance with Part 3 of the </w:t>
      </w:r>
      <w:r w:rsidRPr="00197FDA">
        <w:rPr>
          <w:rFonts w:ascii="Arial" w:hAnsi="Arial" w:cs="Arial"/>
          <w:i/>
          <w:sz w:val="22"/>
          <w:szCs w:val="22"/>
        </w:rPr>
        <w:t>Human Rights (</w:t>
      </w:r>
      <w:r w:rsidRPr="00082C71">
        <w:rPr>
          <w:rFonts w:ascii="Arial" w:hAnsi="Arial" w:cs="Arial"/>
          <w:i/>
          <w:sz w:val="22"/>
          <w:szCs w:val="22"/>
        </w:rPr>
        <w:t>Parliament</w:t>
      </w:r>
      <w:r w:rsidRPr="00197FDA">
        <w:rPr>
          <w:rFonts w:ascii="Arial" w:hAnsi="Arial" w:cs="Arial"/>
          <w:i/>
          <w:sz w:val="22"/>
          <w:szCs w:val="22"/>
        </w:rPr>
        <w:t>ary Scrutiny) Act 2011</w:t>
      </w:r>
      <w:r w:rsidRPr="00197FDA">
        <w:rPr>
          <w:rFonts w:ascii="Arial" w:hAnsi="Arial" w:cs="Arial"/>
          <w:sz w:val="22"/>
          <w:szCs w:val="22"/>
        </w:rPr>
        <w:t>.</w:t>
      </w:r>
    </w:p>
    <w:p w14:paraId="72148174" w14:textId="77777777" w:rsidR="00BE2B79" w:rsidRPr="00166509" w:rsidRDefault="00BE2B79" w:rsidP="00166509">
      <w:pPr>
        <w:spacing w:after="120"/>
        <w:rPr>
          <w:rFonts w:ascii="Arial" w:hAnsi="Arial" w:cs="Arial"/>
          <w:sz w:val="22"/>
          <w:szCs w:val="22"/>
        </w:rPr>
      </w:pPr>
    </w:p>
    <w:p w14:paraId="02299014" w14:textId="4C218A26" w:rsidR="00097258" w:rsidRPr="00683A22" w:rsidRDefault="001B6C3B" w:rsidP="00683A22">
      <w:pPr>
        <w:pStyle w:val="Heading2"/>
        <w:jc w:val="center"/>
        <w:rPr>
          <w:rFonts w:cs="Arial"/>
          <w:i/>
          <w:iCs/>
          <w:szCs w:val="22"/>
        </w:rPr>
      </w:pPr>
      <w:r w:rsidRPr="00683A22">
        <w:rPr>
          <w:rFonts w:cs="Arial"/>
          <w:i/>
          <w:iCs/>
          <w:szCs w:val="22"/>
        </w:rPr>
        <w:t xml:space="preserve">Taxation Administration – Single Touch Payroll – </w:t>
      </w:r>
      <w:r w:rsidR="00EC6007" w:rsidRPr="00683A22">
        <w:rPr>
          <w:rFonts w:cs="Arial"/>
          <w:i/>
          <w:iCs/>
          <w:szCs w:val="22"/>
        </w:rPr>
        <w:t>20</w:t>
      </w:r>
      <w:r w:rsidR="00097258" w:rsidRPr="00683A22">
        <w:rPr>
          <w:rFonts w:cs="Arial"/>
          <w:i/>
          <w:iCs/>
          <w:szCs w:val="22"/>
        </w:rPr>
        <w:t>19</w:t>
      </w:r>
      <w:r w:rsidR="00097258" w:rsidRPr="00683A22">
        <w:rPr>
          <w:rFonts w:cs="Arial"/>
          <w:i/>
          <w:iCs/>
          <w:szCs w:val="22"/>
        </w:rPr>
        <w:noBreakHyphen/>
        <w:t>20</w:t>
      </w:r>
      <w:r w:rsidR="00EC6007" w:rsidRPr="00683A22">
        <w:rPr>
          <w:rFonts w:cs="Arial"/>
          <w:i/>
          <w:iCs/>
          <w:szCs w:val="22"/>
        </w:rPr>
        <w:t xml:space="preserve"> and 20</w:t>
      </w:r>
      <w:r w:rsidR="00097258" w:rsidRPr="00683A22">
        <w:rPr>
          <w:rFonts w:cs="Arial"/>
          <w:i/>
          <w:iCs/>
          <w:szCs w:val="22"/>
        </w:rPr>
        <w:t>20</w:t>
      </w:r>
      <w:r w:rsidR="00097258" w:rsidRPr="00683A22">
        <w:rPr>
          <w:rFonts w:cs="Arial"/>
          <w:i/>
          <w:iCs/>
          <w:szCs w:val="22"/>
        </w:rPr>
        <w:noBreakHyphen/>
        <w:t>21</w:t>
      </w:r>
      <w:r w:rsidR="00EC6007" w:rsidRPr="00683A22">
        <w:rPr>
          <w:rFonts w:cs="Arial"/>
          <w:i/>
          <w:iCs/>
          <w:szCs w:val="22"/>
        </w:rPr>
        <w:t xml:space="preserve"> </w:t>
      </w:r>
      <w:r w:rsidR="00A90255">
        <w:rPr>
          <w:rFonts w:cs="Arial"/>
          <w:i/>
          <w:iCs/>
          <w:szCs w:val="22"/>
        </w:rPr>
        <w:t>Income Y</w:t>
      </w:r>
      <w:r w:rsidR="00A90255" w:rsidRPr="00683A22">
        <w:rPr>
          <w:rFonts w:cs="Arial"/>
          <w:i/>
          <w:iCs/>
          <w:szCs w:val="22"/>
        </w:rPr>
        <w:t>ear</w:t>
      </w:r>
      <w:r w:rsidR="00A90255">
        <w:rPr>
          <w:rFonts w:cs="Arial"/>
          <w:i/>
          <w:iCs/>
          <w:szCs w:val="22"/>
        </w:rPr>
        <w:t>s</w:t>
      </w:r>
      <w:r w:rsidR="00A90255" w:rsidRPr="00683A22">
        <w:rPr>
          <w:rFonts w:cs="Arial"/>
          <w:i/>
          <w:iCs/>
          <w:szCs w:val="22"/>
        </w:rPr>
        <w:t xml:space="preserve"> </w:t>
      </w:r>
      <w:r w:rsidR="00EC6007" w:rsidRPr="00683A22">
        <w:rPr>
          <w:rFonts w:cs="Arial"/>
          <w:i/>
          <w:iCs/>
          <w:szCs w:val="22"/>
        </w:rPr>
        <w:t>Closely Held Payees Exemption 202</w:t>
      </w:r>
      <w:r w:rsidR="001E24CD">
        <w:rPr>
          <w:rFonts w:cs="Arial"/>
          <w:i/>
          <w:iCs/>
          <w:szCs w:val="22"/>
        </w:rPr>
        <w:t>1</w:t>
      </w:r>
    </w:p>
    <w:p w14:paraId="6AB873B7" w14:textId="7A011A10" w:rsidR="00BE2B79" w:rsidRDefault="00BE2B79" w:rsidP="00197FDA">
      <w:pPr>
        <w:spacing w:after="120"/>
        <w:rPr>
          <w:rFonts w:ascii="Arial" w:hAnsi="Arial" w:cs="Arial"/>
          <w:i/>
          <w:sz w:val="22"/>
          <w:szCs w:val="22"/>
        </w:rPr>
      </w:pPr>
      <w:r w:rsidRPr="00197FDA">
        <w:rPr>
          <w:rFonts w:ascii="Arial" w:hAnsi="Arial" w:cs="Arial"/>
          <w:sz w:val="22"/>
          <w:szCs w:val="22"/>
        </w:rPr>
        <w:t xml:space="preserve">This </w:t>
      </w:r>
      <w:r w:rsidR="00166509">
        <w:rPr>
          <w:rFonts w:ascii="Arial" w:hAnsi="Arial" w:cs="Arial"/>
          <w:sz w:val="22"/>
          <w:szCs w:val="22"/>
        </w:rPr>
        <w:t>l</w:t>
      </w:r>
      <w:r w:rsidRPr="00197FDA">
        <w:rPr>
          <w:rFonts w:ascii="Arial" w:hAnsi="Arial" w:cs="Arial"/>
          <w:sz w:val="22"/>
          <w:szCs w:val="22"/>
        </w:rPr>
        <w:t xml:space="preserve">egislative </w:t>
      </w:r>
      <w:r w:rsidR="00166509">
        <w:rPr>
          <w:rFonts w:ascii="Arial" w:hAnsi="Arial" w:cs="Arial"/>
          <w:sz w:val="22"/>
          <w:szCs w:val="22"/>
        </w:rPr>
        <w:t>i</w:t>
      </w:r>
      <w:r w:rsidRPr="00197FDA">
        <w:rPr>
          <w:rFonts w:ascii="Arial" w:hAnsi="Arial" w:cs="Arial"/>
          <w:sz w:val="22"/>
          <w:szCs w:val="22"/>
        </w:rPr>
        <w:t>nstrument</w:t>
      </w:r>
      <w:r w:rsidR="00F7383A" w:rsidRPr="00197FDA">
        <w:rPr>
          <w:rFonts w:ascii="Arial" w:hAnsi="Arial" w:cs="Arial"/>
          <w:sz w:val="22"/>
          <w:szCs w:val="22"/>
        </w:rPr>
        <w:t xml:space="preserve"> </w:t>
      </w:r>
      <w:r w:rsidRPr="00197FDA">
        <w:rPr>
          <w:rFonts w:ascii="Arial" w:hAnsi="Arial" w:cs="Arial"/>
          <w:sz w:val="22"/>
          <w:szCs w:val="22"/>
        </w:rPr>
        <w:t xml:space="preserve">is compatible with the human rights and freedoms recognised or declared in the international instruments listed in section 3 of the </w:t>
      </w:r>
      <w:r w:rsidRPr="00197FDA">
        <w:rPr>
          <w:rFonts w:ascii="Arial" w:hAnsi="Arial" w:cs="Arial"/>
          <w:i/>
          <w:sz w:val="22"/>
          <w:szCs w:val="22"/>
        </w:rPr>
        <w:t>Human Rights (</w:t>
      </w:r>
      <w:r w:rsidRPr="00082C71">
        <w:rPr>
          <w:rFonts w:ascii="Arial" w:hAnsi="Arial" w:cs="Arial"/>
          <w:i/>
          <w:sz w:val="22"/>
          <w:szCs w:val="22"/>
        </w:rPr>
        <w:t>Parliament</w:t>
      </w:r>
      <w:r w:rsidRPr="00197FDA">
        <w:rPr>
          <w:rFonts w:ascii="Arial" w:hAnsi="Arial" w:cs="Arial"/>
          <w:i/>
          <w:sz w:val="22"/>
          <w:szCs w:val="22"/>
        </w:rPr>
        <w:t>ary Scrutiny) Act 2011.</w:t>
      </w:r>
    </w:p>
    <w:p w14:paraId="5B18D6D4" w14:textId="77777777" w:rsidR="00683A22" w:rsidRPr="00197FDA" w:rsidRDefault="00683A22" w:rsidP="00197FDA">
      <w:pPr>
        <w:spacing w:after="120"/>
        <w:rPr>
          <w:rFonts w:ascii="Arial" w:hAnsi="Arial" w:cs="Arial"/>
          <w:sz w:val="22"/>
          <w:szCs w:val="22"/>
        </w:rPr>
      </w:pPr>
    </w:p>
    <w:p w14:paraId="413C2586" w14:textId="77777777" w:rsidR="00BE2B79" w:rsidRPr="00197FDA" w:rsidRDefault="00BE2B79" w:rsidP="00683A22">
      <w:pPr>
        <w:pStyle w:val="Heading2"/>
        <w:rPr>
          <w:rFonts w:cs="Arial"/>
          <w:szCs w:val="22"/>
        </w:rPr>
      </w:pPr>
      <w:r w:rsidRPr="00683A22">
        <w:rPr>
          <w:rFonts w:cs="Arial"/>
          <w:szCs w:val="22"/>
        </w:rPr>
        <w:t>Overview</w:t>
      </w:r>
      <w:r w:rsidR="003E6906" w:rsidRPr="00683A22">
        <w:rPr>
          <w:rFonts w:cs="Arial"/>
          <w:szCs w:val="22"/>
        </w:rPr>
        <w:t xml:space="preserve"> of the Legislative Instrument</w:t>
      </w:r>
    </w:p>
    <w:p w14:paraId="13248844" w14:textId="23CC0B56" w:rsidR="00097258" w:rsidRDefault="00BE2B79" w:rsidP="00197FDA">
      <w:pPr>
        <w:spacing w:after="120"/>
        <w:rPr>
          <w:rFonts w:ascii="Arial" w:hAnsi="Arial" w:cs="Arial"/>
          <w:sz w:val="22"/>
          <w:szCs w:val="22"/>
        </w:rPr>
      </w:pPr>
      <w:r w:rsidRPr="00197FDA">
        <w:rPr>
          <w:rFonts w:ascii="Arial" w:hAnsi="Arial" w:cs="Arial"/>
          <w:sz w:val="22"/>
          <w:szCs w:val="22"/>
        </w:rPr>
        <w:t xml:space="preserve">The </w:t>
      </w:r>
      <w:r w:rsidR="00C86687" w:rsidRPr="00197FDA">
        <w:rPr>
          <w:rFonts w:ascii="Arial" w:hAnsi="Arial" w:cs="Arial"/>
          <w:sz w:val="22"/>
          <w:szCs w:val="22"/>
        </w:rPr>
        <w:t xml:space="preserve">instrument provides </w:t>
      </w:r>
      <w:r w:rsidR="00023029" w:rsidRPr="00197FDA">
        <w:rPr>
          <w:rFonts w:ascii="Arial" w:hAnsi="Arial" w:cs="Arial"/>
          <w:sz w:val="22"/>
          <w:szCs w:val="22"/>
        </w:rPr>
        <w:t>an exemption</w:t>
      </w:r>
      <w:r w:rsidR="00303792" w:rsidRPr="00197FDA">
        <w:rPr>
          <w:rFonts w:ascii="Arial" w:hAnsi="Arial" w:cs="Arial"/>
          <w:sz w:val="22"/>
          <w:szCs w:val="22"/>
        </w:rPr>
        <w:t xml:space="preserve"> </w:t>
      </w:r>
      <w:r w:rsidR="001E24CD">
        <w:rPr>
          <w:rFonts w:ascii="Arial" w:hAnsi="Arial" w:cs="Arial"/>
          <w:sz w:val="22"/>
          <w:szCs w:val="22"/>
        </w:rPr>
        <w:t>for</w:t>
      </w:r>
      <w:r w:rsidR="001E24CD" w:rsidRPr="00197FDA">
        <w:rPr>
          <w:rFonts w:ascii="Arial" w:hAnsi="Arial" w:cs="Arial"/>
          <w:sz w:val="22"/>
          <w:szCs w:val="22"/>
        </w:rPr>
        <w:t xml:space="preserve"> </w:t>
      </w:r>
      <w:r w:rsidR="00A137B7" w:rsidRPr="00197FDA">
        <w:rPr>
          <w:rFonts w:ascii="Arial" w:hAnsi="Arial" w:cs="Arial"/>
          <w:sz w:val="22"/>
          <w:szCs w:val="22"/>
        </w:rPr>
        <w:t xml:space="preserve">the </w:t>
      </w:r>
      <w:r w:rsidR="005A5F88" w:rsidRPr="00197FDA">
        <w:rPr>
          <w:rFonts w:ascii="Arial" w:hAnsi="Arial" w:cs="Arial"/>
          <w:sz w:val="22"/>
          <w:szCs w:val="22"/>
        </w:rPr>
        <w:t>20</w:t>
      </w:r>
      <w:r w:rsidR="00097258" w:rsidRPr="00197FDA">
        <w:rPr>
          <w:rFonts w:ascii="Arial" w:hAnsi="Arial" w:cs="Arial"/>
          <w:sz w:val="22"/>
          <w:szCs w:val="22"/>
        </w:rPr>
        <w:t>19</w:t>
      </w:r>
      <w:r w:rsidR="00097258" w:rsidRPr="00197FDA">
        <w:rPr>
          <w:rFonts w:ascii="Arial" w:hAnsi="Arial" w:cs="Arial"/>
          <w:sz w:val="22"/>
          <w:szCs w:val="22"/>
        </w:rPr>
        <w:noBreakHyphen/>
        <w:t>20</w:t>
      </w:r>
      <w:r w:rsidR="005A5F88" w:rsidRPr="00197FDA">
        <w:rPr>
          <w:rFonts w:ascii="Arial" w:hAnsi="Arial" w:cs="Arial"/>
          <w:sz w:val="22"/>
          <w:szCs w:val="22"/>
        </w:rPr>
        <w:t xml:space="preserve"> and 20</w:t>
      </w:r>
      <w:r w:rsidR="00097258" w:rsidRPr="00197FDA">
        <w:rPr>
          <w:rFonts w:ascii="Arial" w:hAnsi="Arial" w:cs="Arial"/>
          <w:sz w:val="22"/>
          <w:szCs w:val="22"/>
        </w:rPr>
        <w:t>20</w:t>
      </w:r>
      <w:r w:rsidR="00097258" w:rsidRPr="00197FDA">
        <w:rPr>
          <w:rFonts w:ascii="Arial" w:hAnsi="Arial" w:cs="Arial"/>
          <w:sz w:val="22"/>
          <w:szCs w:val="22"/>
        </w:rPr>
        <w:noBreakHyphen/>
        <w:t>21</w:t>
      </w:r>
      <w:r w:rsidR="005A5F88" w:rsidRPr="00197FDA">
        <w:rPr>
          <w:rFonts w:ascii="Arial" w:hAnsi="Arial" w:cs="Arial"/>
          <w:sz w:val="22"/>
          <w:szCs w:val="22"/>
        </w:rPr>
        <w:t xml:space="preserve"> financial </w:t>
      </w:r>
      <w:r w:rsidR="00A137B7" w:rsidRPr="00197FDA">
        <w:rPr>
          <w:rFonts w:ascii="Arial" w:hAnsi="Arial" w:cs="Arial"/>
          <w:sz w:val="22"/>
          <w:szCs w:val="22"/>
        </w:rPr>
        <w:t>year</w:t>
      </w:r>
      <w:r w:rsidR="005A5F88" w:rsidRPr="00197FDA">
        <w:rPr>
          <w:rFonts w:ascii="Arial" w:hAnsi="Arial" w:cs="Arial"/>
          <w:sz w:val="22"/>
          <w:szCs w:val="22"/>
        </w:rPr>
        <w:t>s</w:t>
      </w:r>
      <w:r w:rsidR="00A137B7" w:rsidRPr="00197FDA">
        <w:rPr>
          <w:rFonts w:ascii="Arial" w:hAnsi="Arial" w:cs="Arial"/>
          <w:sz w:val="22"/>
          <w:szCs w:val="22"/>
        </w:rPr>
        <w:t xml:space="preserve"> </w:t>
      </w:r>
      <w:r w:rsidR="001E24CD">
        <w:rPr>
          <w:rFonts w:ascii="Arial" w:hAnsi="Arial" w:cs="Arial"/>
          <w:sz w:val="22"/>
          <w:szCs w:val="22"/>
        </w:rPr>
        <w:t>from</w:t>
      </w:r>
      <w:r w:rsidR="001E24CD" w:rsidRPr="00197FDA">
        <w:rPr>
          <w:rFonts w:ascii="Arial" w:hAnsi="Arial" w:cs="Arial"/>
          <w:sz w:val="22"/>
          <w:szCs w:val="22"/>
        </w:rPr>
        <w:t xml:space="preserve"> </w:t>
      </w:r>
      <w:r w:rsidR="00023029" w:rsidRPr="00197FDA">
        <w:rPr>
          <w:rFonts w:ascii="Arial" w:hAnsi="Arial" w:cs="Arial"/>
          <w:sz w:val="22"/>
          <w:szCs w:val="22"/>
        </w:rPr>
        <w:t>mandatory reporting through</w:t>
      </w:r>
      <w:r w:rsidR="003E312C" w:rsidRPr="00197FDA">
        <w:rPr>
          <w:rFonts w:ascii="Arial" w:hAnsi="Arial" w:cs="Arial"/>
          <w:sz w:val="22"/>
          <w:szCs w:val="22"/>
        </w:rPr>
        <w:t xml:space="preserve"> Single Touch Payroll to employers </w:t>
      </w:r>
      <w:r w:rsidR="001F6960" w:rsidRPr="00197FDA">
        <w:rPr>
          <w:rFonts w:ascii="Arial" w:hAnsi="Arial" w:cs="Arial"/>
          <w:sz w:val="22"/>
          <w:szCs w:val="22"/>
        </w:rPr>
        <w:t xml:space="preserve">that </w:t>
      </w:r>
      <w:r w:rsidR="00A137B7" w:rsidRPr="00197FDA">
        <w:rPr>
          <w:rFonts w:ascii="Arial" w:hAnsi="Arial" w:cs="Arial"/>
          <w:sz w:val="22"/>
          <w:szCs w:val="22"/>
        </w:rPr>
        <w:t xml:space="preserve">make payments to </w:t>
      </w:r>
      <w:r w:rsidR="00BA76F7" w:rsidRPr="00197FDA">
        <w:rPr>
          <w:rFonts w:ascii="Arial" w:hAnsi="Arial" w:cs="Arial"/>
          <w:sz w:val="22"/>
          <w:szCs w:val="22"/>
        </w:rPr>
        <w:t>closely</w:t>
      </w:r>
      <w:r w:rsidR="00EC6007" w:rsidRPr="00197FDA">
        <w:rPr>
          <w:rFonts w:ascii="Arial" w:hAnsi="Arial" w:cs="Arial"/>
          <w:sz w:val="22"/>
          <w:szCs w:val="22"/>
        </w:rPr>
        <w:t xml:space="preserve"> </w:t>
      </w:r>
      <w:r w:rsidR="00BA76F7" w:rsidRPr="00197FDA">
        <w:rPr>
          <w:rFonts w:ascii="Arial" w:hAnsi="Arial" w:cs="Arial"/>
          <w:sz w:val="22"/>
          <w:szCs w:val="22"/>
        </w:rPr>
        <w:t>held</w:t>
      </w:r>
      <w:r w:rsidR="00A137B7" w:rsidRPr="00197FDA">
        <w:rPr>
          <w:rFonts w:ascii="Arial" w:hAnsi="Arial" w:cs="Arial"/>
          <w:sz w:val="22"/>
          <w:szCs w:val="22"/>
        </w:rPr>
        <w:t xml:space="preserve"> </w:t>
      </w:r>
      <w:r w:rsidR="001A6D48" w:rsidRPr="00197FDA">
        <w:rPr>
          <w:rFonts w:ascii="Arial" w:hAnsi="Arial" w:cs="Arial"/>
          <w:sz w:val="22"/>
          <w:szCs w:val="22"/>
        </w:rPr>
        <w:t xml:space="preserve">payees such as </w:t>
      </w:r>
      <w:r w:rsidR="0064768C">
        <w:rPr>
          <w:rFonts w:ascii="Arial" w:hAnsi="Arial" w:cs="Arial"/>
          <w:sz w:val="22"/>
          <w:szCs w:val="22"/>
        </w:rPr>
        <w:t>a son or daughter</w:t>
      </w:r>
      <w:r w:rsidR="0064768C" w:rsidRPr="00197FDA">
        <w:rPr>
          <w:rFonts w:ascii="Arial" w:hAnsi="Arial" w:cs="Arial"/>
          <w:sz w:val="22"/>
          <w:szCs w:val="22"/>
        </w:rPr>
        <w:t xml:space="preserve"> </w:t>
      </w:r>
      <w:r w:rsidR="0064768C">
        <w:rPr>
          <w:rFonts w:ascii="Arial" w:hAnsi="Arial" w:cs="Arial"/>
          <w:sz w:val="22"/>
          <w:szCs w:val="22"/>
        </w:rPr>
        <w:t xml:space="preserve">employed by a company operating </w:t>
      </w:r>
      <w:r w:rsidR="0064768C" w:rsidRPr="00197FDA">
        <w:rPr>
          <w:rFonts w:ascii="Arial" w:hAnsi="Arial" w:cs="Arial"/>
          <w:sz w:val="22"/>
          <w:szCs w:val="22"/>
        </w:rPr>
        <w:t>a family business</w:t>
      </w:r>
      <w:r w:rsidR="0064768C">
        <w:rPr>
          <w:rFonts w:ascii="Arial" w:hAnsi="Arial" w:cs="Arial"/>
          <w:sz w:val="22"/>
          <w:szCs w:val="22"/>
        </w:rPr>
        <w:t xml:space="preserve"> controlled by his or her mum and dad</w:t>
      </w:r>
      <w:r w:rsidR="0064768C" w:rsidRPr="00197FDA">
        <w:rPr>
          <w:rFonts w:ascii="Arial" w:hAnsi="Arial" w:cs="Arial"/>
          <w:sz w:val="22"/>
          <w:szCs w:val="22"/>
        </w:rPr>
        <w:t xml:space="preserve">, </w:t>
      </w:r>
      <w:r w:rsidR="0064768C">
        <w:rPr>
          <w:rFonts w:ascii="Arial" w:hAnsi="Arial" w:cs="Arial"/>
          <w:sz w:val="22"/>
          <w:szCs w:val="22"/>
        </w:rPr>
        <w:t xml:space="preserve">a </w:t>
      </w:r>
      <w:r w:rsidR="0064768C" w:rsidRPr="00197FDA">
        <w:rPr>
          <w:rFonts w:ascii="Arial" w:hAnsi="Arial" w:cs="Arial"/>
          <w:sz w:val="22"/>
          <w:szCs w:val="22"/>
        </w:rPr>
        <w:t xml:space="preserve">director or shareholder </w:t>
      </w:r>
      <w:r w:rsidR="0064768C">
        <w:rPr>
          <w:rFonts w:ascii="Arial" w:hAnsi="Arial" w:cs="Arial"/>
          <w:sz w:val="22"/>
          <w:szCs w:val="22"/>
        </w:rPr>
        <w:t xml:space="preserve">employed by the </w:t>
      </w:r>
      <w:r w:rsidR="0064768C" w:rsidRPr="00197FDA">
        <w:rPr>
          <w:rFonts w:ascii="Arial" w:hAnsi="Arial" w:cs="Arial"/>
          <w:sz w:val="22"/>
          <w:szCs w:val="22"/>
        </w:rPr>
        <w:t>company</w:t>
      </w:r>
      <w:r w:rsidR="0064768C">
        <w:rPr>
          <w:rFonts w:ascii="Arial" w:hAnsi="Arial" w:cs="Arial"/>
          <w:sz w:val="22"/>
          <w:szCs w:val="22"/>
        </w:rPr>
        <w:t xml:space="preserve"> which they control</w:t>
      </w:r>
      <w:r w:rsidR="0064768C" w:rsidRPr="00197FDA">
        <w:rPr>
          <w:rFonts w:ascii="Arial" w:hAnsi="Arial" w:cs="Arial"/>
          <w:sz w:val="22"/>
          <w:szCs w:val="22"/>
        </w:rPr>
        <w:t xml:space="preserve">, </w:t>
      </w:r>
      <w:r w:rsidR="0064768C">
        <w:rPr>
          <w:rFonts w:ascii="Arial" w:hAnsi="Arial" w:cs="Arial"/>
          <w:sz w:val="22"/>
          <w:szCs w:val="22"/>
        </w:rPr>
        <w:t xml:space="preserve">and an employee of a trust who is also a </w:t>
      </w:r>
      <w:r w:rsidR="0064768C" w:rsidRPr="00197FDA">
        <w:rPr>
          <w:rFonts w:ascii="Arial" w:hAnsi="Arial" w:cs="Arial"/>
          <w:sz w:val="22"/>
          <w:szCs w:val="22"/>
        </w:rPr>
        <w:t>beneficiar</w:t>
      </w:r>
      <w:r w:rsidR="0064768C">
        <w:rPr>
          <w:rFonts w:ascii="Arial" w:hAnsi="Arial" w:cs="Arial"/>
          <w:sz w:val="22"/>
          <w:szCs w:val="22"/>
        </w:rPr>
        <w:t>y</w:t>
      </w:r>
      <w:r w:rsidR="0064768C" w:rsidRPr="00197FDA">
        <w:rPr>
          <w:rFonts w:ascii="Arial" w:hAnsi="Arial" w:cs="Arial"/>
          <w:sz w:val="22"/>
          <w:szCs w:val="22"/>
        </w:rPr>
        <w:t xml:space="preserve"> of </w:t>
      </w:r>
      <w:r w:rsidR="0064768C">
        <w:rPr>
          <w:rFonts w:ascii="Arial" w:hAnsi="Arial" w:cs="Arial"/>
          <w:sz w:val="22"/>
          <w:szCs w:val="22"/>
        </w:rPr>
        <w:t>that</w:t>
      </w:r>
      <w:r w:rsidR="0064768C" w:rsidRPr="00197FDA">
        <w:rPr>
          <w:rFonts w:ascii="Arial" w:hAnsi="Arial" w:cs="Arial"/>
          <w:sz w:val="22"/>
          <w:szCs w:val="22"/>
        </w:rPr>
        <w:t xml:space="preserve"> trust.</w:t>
      </w:r>
    </w:p>
    <w:p w14:paraId="46E5C642" w14:textId="77777777" w:rsidR="00683A22" w:rsidRPr="00197FDA" w:rsidRDefault="00683A22" w:rsidP="00197FDA">
      <w:pPr>
        <w:spacing w:after="120"/>
        <w:rPr>
          <w:rFonts w:ascii="Arial" w:hAnsi="Arial" w:cs="Arial"/>
          <w:sz w:val="22"/>
          <w:szCs w:val="22"/>
        </w:rPr>
      </w:pPr>
    </w:p>
    <w:p w14:paraId="10D626F2" w14:textId="0F88EE24" w:rsidR="00BE2B79" w:rsidRPr="00683A22" w:rsidRDefault="00BE2B79" w:rsidP="00683A22">
      <w:pPr>
        <w:pStyle w:val="Heading2"/>
        <w:rPr>
          <w:rFonts w:cs="Arial"/>
          <w:szCs w:val="22"/>
        </w:rPr>
      </w:pPr>
      <w:r w:rsidRPr="00683A22">
        <w:rPr>
          <w:rFonts w:cs="Arial"/>
          <w:szCs w:val="22"/>
        </w:rPr>
        <w:t>Human rights implications</w:t>
      </w:r>
    </w:p>
    <w:p w14:paraId="511109D9" w14:textId="2E9A1436" w:rsidR="00097258" w:rsidRDefault="00BE2B79" w:rsidP="00197FDA">
      <w:pPr>
        <w:keepLines/>
        <w:spacing w:after="120"/>
        <w:rPr>
          <w:rFonts w:ascii="Arial" w:hAnsi="Arial" w:cs="Arial"/>
          <w:sz w:val="22"/>
          <w:szCs w:val="22"/>
        </w:rPr>
      </w:pPr>
      <w:r w:rsidRPr="00197FDA">
        <w:rPr>
          <w:rFonts w:ascii="Arial" w:hAnsi="Arial" w:cs="Arial"/>
          <w:sz w:val="22"/>
          <w:szCs w:val="22"/>
        </w:rPr>
        <w:t xml:space="preserve">This </w:t>
      </w:r>
      <w:r w:rsidRPr="00197FDA">
        <w:rPr>
          <w:rFonts w:ascii="Arial" w:hAnsi="Arial" w:cs="Arial"/>
          <w:bCs/>
          <w:sz w:val="22"/>
          <w:szCs w:val="22"/>
        </w:rPr>
        <w:t>legislative instrument</w:t>
      </w:r>
      <w:r w:rsidRPr="00197FDA">
        <w:rPr>
          <w:rFonts w:ascii="Arial" w:hAnsi="Arial" w:cs="Arial"/>
          <w:sz w:val="22"/>
          <w:szCs w:val="22"/>
        </w:rPr>
        <w:t xml:space="preserve"> does not engage any of the applicable rights or freedoms because the instrument is minor or machinery </w:t>
      </w:r>
      <w:r w:rsidR="001E24CD">
        <w:rPr>
          <w:rFonts w:ascii="Arial" w:hAnsi="Arial" w:cs="Arial"/>
          <w:sz w:val="22"/>
          <w:szCs w:val="22"/>
        </w:rPr>
        <w:t xml:space="preserve">in </w:t>
      </w:r>
      <w:r w:rsidRPr="00197FDA">
        <w:rPr>
          <w:rFonts w:ascii="Arial" w:hAnsi="Arial" w:cs="Arial"/>
          <w:sz w:val="22"/>
          <w:szCs w:val="22"/>
        </w:rPr>
        <w:t>nature</w:t>
      </w:r>
      <w:r w:rsidR="001F6960" w:rsidRPr="00197FDA">
        <w:rPr>
          <w:rFonts w:ascii="Arial" w:hAnsi="Arial" w:cs="Arial"/>
          <w:sz w:val="22"/>
          <w:szCs w:val="22"/>
        </w:rPr>
        <w:t xml:space="preserve"> </w:t>
      </w:r>
      <w:r w:rsidR="00A137B7" w:rsidRPr="00197FDA">
        <w:rPr>
          <w:rFonts w:ascii="Arial" w:hAnsi="Arial" w:cs="Arial"/>
          <w:sz w:val="22"/>
          <w:szCs w:val="22"/>
        </w:rPr>
        <w:t xml:space="preserve">and </w:t>
      </w:r>
      <w:r w:rsidR="001F6960" w:rsidRPr="00197FDA">
        <w:rPr>
          <w:rFonts w:ascii="Arial" w:hAnsi="Arial" w:cs="Arial"/>
          <w:sz w:val="22"/>
          <w:szCs w:val="22"/>
        </w:rPr>
        <w:t xml:space="preserve">allows a certain group </w:t>
      </w:r>
      <w:r w:rsidR="00A137B7" w:rsidRPr="00197FDA">
        <w:rPr>
          <w:rFonts w:ascii="Arial" w:hAnsi="Arial" w:cs="Arial"/>
          <w:sz w:val="22"/>
          <w:szCs w:val="22"/>
        </w:rPr>
        <w:t>relief</w:t>
      </w:r>
      <w:r w:rsidR="001F6960" w:rsidRPr="00197FDA">
        <w:rPr>
          <w:rFonts w:ascii="Arial" w:hAnsi="Arial" w:cs="Arial"/>
          <w:sz w:val="22"/>
          <w:szCs w:val="22"/>
        </w:rPr>
        <w:t xml:space="preserve"> from a reporting requirement for a </w:t>
      </w:r>
      <w:r w:rsidR="000037DC">
        <w:rPr>
          <w:rFonts w:ascii="Arial" w:hAnsi="Arial" w:cs="Arial"/>
          <w:sz w:val="22"/>
          <w:szCs w:val="22"/>
        </w:rPr>
        <w:t>specified</w:t>
      </w:r>
      <w:r w:rsidR="001F6960" w:rsidRPr="00197FDA">
        <w:rPr>
          <w:rFonts w:ascii="Arial" w:hAnsi="Arial" w:cs="Arial"/>
          <w:sz w:val="22"/>
          <w:szCs w:val="22"/>
        </w:rPr>
        <w:t xml:space="preserve"> period</w:t>
      </w:r>
      <w:r w:rsidRPr="00197FDA">
        <w:rPr>
          <w:rFonts w:ascii="Arial" w:hAnsi="Arial" w:cs="Arial"/>
          <w:sz w:val="22"/>
          <w:szCs w:val="22"/>
        </w:rPr>
        <w:t>.</w:t>
      </w:r>
    </w:p>
    <w:p w14:paraId="43A866F0" w14:textId="77777777" w:rsidR="00683A22" w:rsidRPr="00197FDA" w:rsidRDefault="00683A22" w:rsidP="00527D87">
      <w:pPr>
        <w:spacing w:after="120"/>
        <w:rPr>
          <w:rFonts w:ascii="Arial" w:hAnsi="Arial" w:cs="Arial"/>
          <w:sz w:val="22"/>
          <w:szCs w:val="22"/>
        </w:rPr>
      </w:pPr>
    </w:p>
    <w:p w14:paraId="6BE6E8D4" w14:textId="7B8C511F" w:rsidR="00BE2B79" w:rsidRPr="00683A22" w:rsidRDefault="00BE2B79" w:rsidP="00683A22">
      <w:pPr>
        <w:pStyle w:val="Heading2"/>
        <w:rPr>
          <w:rFonts w:cs="Arial"/>
          <w:szCs w:val="22"/>
        </w:rPr>
      </w:pPr>
      <w:r w:rsidRPr="00683A22">
        <w:rPr>
          <w:rFonts w:cs="Arial"/>
          <w:szCs w:val="22"/>
        </w:rPr>
        <w:t>Conclusion</w:t>
      </w:r>
    </w:p>
    <w:p w14:paraId="644B7E25" w14:textId="34633D37" w:rsidR="008540EA" w:rsidRPr="00197FDA" w:rsidRDefault="00BE2B79" w:rsidP="00197FDA">
      <w:pPr>
        <w:spacing w:after="120"/>
        <w:rPr>
          <w:rFonts w:ascii="Arial" w:hAnsi="Arial" w:cs="Arial"/>
          <w:sz w:val="22"/>
          <w:szCs w:val="22"/>
        </w:rPr>
      </w:pPr>
      <w:r w:rsidRPr="00197FDA">
        <w:rPr>
          <w:rFonts w:ascii="Arial" w:hAnsi="Arial" w:cs="Arial"/>
          <w:sz w:val="22"/>
          <w:szCs w:val="22"/>
        </w:rPr>
        <w:t xml:space="preserve">This </w:t>
      </w:r>
      <w:r w:rsidRPr="00197FDA">
        <w:rPr>
          <w:rFonts w:ascii="Arial" w:hAnsi="Arial" w:cs="Arial"/>
          <w:bCs/>
          <w:sz w:val="22"/>
          <w:szCs w:val="22"/>
        </w:rPr>
        <w:t>legislative instrument</w:t>
      </w:r>
      <w:r w:rsidRPr="00197FDA">
        <w:rPr>
          <w:rFonts w:ascii="Arial" w:hAnsi="Arial" w:cs="Arial"/>
          <w:sz w:val="22"/>
          <w:szCs w:val="22"/>
        </w:rPr>
        <w:t xml:space="preserve"> </w:t>
      </w:r>
      <w:r w:rsidR="00C10828" w:rsidRPr="00197FDA">
        <w:rPr>
          <w:rFonts w:ascii="Arial" w:hAnsi="Arial" w:cs="Arial"/>
          <w:sz w:val="22"/>
          <w:szCs w:val="22"/>
        </w:rPr>
        <w:t xml:space="preserve">is compatible with human rights as it </w:t>
      </w:r>
      <w:r w:rsidRPr="00197FDA">
        <w:rPr>
          <w:rFonts w:ascii="Arial" w:hAnsi="Arial" w:cs="Arial"/>
          <w:sz w:val="22"/>
          <w:szCs w:val="22"/>
        </w:rPr>
        <w:t>does not raise any human rights issues.</w:t>
      </w:r>
    </w:p>
    <w:sectPr w:rsidR="008540EA" w:rsidRPr="00197FDA" w:rsidSect="00146ED8">
      <w:headerReference w:type="even" r:id="rId7"/>
      <w:headerReference w:type="default" r:id="rId8"/>
      <w:headerReference w:type="first" r:id="rId9"/>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2DED" w14:textId="77777777" w:rsidR="00E905F9" w:rsidRDefault="00E905F9">
      <w:r>
        <w:separator/>
      </w:r>
    </w:p>
  </w:endnote>
  <w:endnote w:type="continuationSeparator" w:id="0">
    <w:p w14:paraId="56E9E7E5" w14:textId="77777777" w:rsidR="00E905F9" w:rsidRDefault="00E9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B9AB" w14:textId="77777777" w:rsidR="00E905F9" w:rsidRDefault="00E905F9">
      <w:r>
        <w:separator/>
      </w:r>
    </w:p>
  </w:footnote>
  <w:footnote w:type="continuationSeparator" w:id="0">
    <w:p w14:paraId="1F67560A" w14:textId="77777777" w:rsidR="00E905F9" w:rsidRDefault="00E9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D9ED" w14:textId="6E0CB477" w:rsidR="000E68FB" w:rsidRPr="00166509" w:rsidRDefault="000E68FB" w:rsidP="00166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DD21" w14:textId="1065AC96" w:rsidR="000E68FB" w:rsidRDefault="000E68FB"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5010" w14:textId="44E79E6A" w:rsidR="000E68FB" w:rsidRPr="00333FE9" w:rsidRDefault="000E68FB" w:rsidP="00916ECB">
    <w:pPr>
      <w:framePr w:w="4381" w:h="732" w:hSpace="180" w:wrap="around" w:vAnchor="page" w:hAnchor="page" w:x="5986" w:y="108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17616B9A" w14:textId="2FD3C28E" w:rsidR="000E68FB" w:rsidRPr="00146ED8" w:rsidRDefault="000E68FB" w:rsidP="00916ECB">
    <w:pPr>
      <w:framePr w:w="4381" w:h="732" w:hSpace="180" w:wrap="around" w:vAnchor="page" w:hAnchor="page" w:x="5986" w:y="108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Instrument ID:</w:t>
    </w:r>
    <w:r>
      <w:rPr>
        <w:rFonts w:ascii="Arial" w:hAnsi="Arial" w:cs="Arial"/>
        <w:b/>
        <w:sz w:val="28"/>
        <w:szCs w:val="28"/>
      </w:rPr>
      <w:t xml:space="preserve"> </w:t>
    </w:r>
    <w:r w:rsidRPr="00C10828">
      <w:rPr>
        <w:rFonts w:ascii="Arial" w:hAnsi="Arial" w:cs="Arial"/>
        <w:b/>
        <w:sz w:val="28"/>
        <w:szCs w:val="28"/>
      </w:rPr>
      <w:t>20</w:t>
    </w:r>
    <w:r>
      <w:rPr>
        <w:rFonts w:ascii="Arial" w:hAnsi="Arial" w:cs="Arial"/>
        <w:b/>
        <w:sz w:val="28"/>
        <w:szCs w:val="28"/>
      </w:rPr>
      <w:t>20</w:t>
    </w:r>
    <w:r w:rsidRPr="00C10828">
      <w:rPr>
        <w:rFonts w:ascii="Arial" w:hAnsi="Arial" w:cs="Arial"/>
        <w:b/>
        <w:sz w:val="28"/>
        <w:szCs w:val="28"/>
      </w:rPr>
      <w:t>/</w:t>
    </w:r>
    <w:r w:rsidRPr="00C364C0">
      <w:rPr>
        <w:rFonts w:ascii="Arial" w:hAnsi="Arial" w:cs="Arial"/>
        <w:b/>
        <w:sz w:val="28"/>
        <w:szCs w:val="28"/>
      </w:rPr>
      <w:t>SEO</w:t>
    </w:r>
    <w:r w:rsidRPr="00C10828">
      <w:rPr>
        <w:rFonts w:ascii="Arial" w:hAnsi="Arial" w:cs="Arial"/>
        <w:b/>
        <w:sz w:val="28"/>
        <w:szCs w:val="28"/>
      </w:rPr>
      <w:t>/</w:t>
    </w:r>
    <w:r>
      <w:rPr>
        <w:rFonts w:ascii="Arial" w:hAnsi="Arial" w:cs="Arial"/>
        <w:b/>
        <w:sz w:val="28"/>
        <w:szCs w:val="28"/>
      </w:rPr>
      <w:t>0024</w:t>
    </w:r>
  </w:p>
  <w:p w14:paraId="0F69BB1B" w14:textId="77777777" w:rsidR="000E68FB" w:rsidRDefault="000E68FB" w:rsidP="001828A4">
    <w:pPr>
      <w:pStyle w:val="Header"/>
      <w:tabs>
        <w:tab w:val="clear" w:pos="4153"/>
        <w:tab w:val="clear" w:pos="8306"/>
      </w:tabs>
      <w:rPr>
        <w:rFonts w:ascii="Arial" w:hAnsi="Arial" w:cs="Arial"/>
        <w:sz w:val="20"/>
      </w:rPr>
    </w:pPr>
    <w:r>
      <w:rPr>
        <w:noProof/>
      </w:rPr>
      <w:drawing>
        <wp:inline distT="0" distB="0" distL="0" distR="0" wp14:anchorId="3CDA134C" wp14:editId="15230C66">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63BAB36" w14:textId="6CC4468E" w:rsidR="000E68FB" w:rsidRPr="001A6644" w:rsidRDefault="000E68FB"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6A6"/>
    <w:multiLevelType w:val="hybridMultilevel"/>
    <w:tmpl w:val="1E0E7A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19078B3"/>
    <w:multiLevelType w:val="hybridMultilevel"/>
    <w:tmpl w:val="863894E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B61987"/>
    <w:multiLevelType w:val="hybridMultilevel"/>
    <w:tmpl w:val="47587DE8"/>
    <w:lvl w:ilvl="0" w:tplc="0C090001">
      <w:start w:val="1"/>
      <w:numFmt w:val="bullet"/>
      <w:lvlText w:val=""/>
      <w:lvlJc w:val="left"/>
      <w:pPr>
        <w:ind w:left="1080" w:hanging="360"/>
      </w:pPr>
      <w:rPr>
        <w:rFonts w:ascii="Symbol" w:hAnsi="Symbol" w:hint="default"/>
      </w:rPr>
    </w:lvl>
    <w:lvl w:ilvl="1" w:tplc="0C09001B">
      <w:start w:val="1"/>
      <w:numFmt w:val="lowerRoman"/>
      <w:lvlText w:val="%2."/>
      <w:lvlJc w:val="righ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2E55CFF"/>
    <w:multiLevelType w:val="multilevel"/>
    <w:tmpl w:val="B4F6C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C11307"/>
    <w:multiLevelType w:val="hybridMultilevel"/>
    <w:tmpl w:val="C1A08D84"/>
    <w:lvl w:ilvl="0" w:tplc="92B48330">
      <w:start w:val="6"/>
      <w:numFmt w:val="decimal"/>
      <w:lvlText w:val="%1."/>
      <w:lvlJc w:val="left"/>
      <w:pPr>
        <w:tabs>
          <w:tab w:val="num" w:pos="720"/>
        </w:tabs>
        <w:ind w:left="720" w:hanging="360"/>
      </w:pPr>
      <w:rPr>
        <w:rFonts w:ascii="Arial" w:hAnsi="Arial" w:cs="Arial" w:hint="default"/>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4A26A3"/>
    <w:multiLevelType w:val="hybridMultilevel"/>
    <w:tmpl w:val="0868D2BA"/>
    <w:lvl w:ilvl="0" w:tplc="A1B8AF14">
      <w:start w:val="6"/>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261C84"/>
    <w:multiLevelType w:val="hybridMultilevel"/>
    <w:tmpl w:val="9816ECA8"/>
    <w:lvl w:ilvl="0" w:tplc="92B48330">
      <w:start w:val="6"/>
      <w:numFmt w:val="decimal"/>
      <w:lvlText w:val="%1."/>
      <w:lvlJc w:val="left"/>
      <w:pPr>
        <w:tabs>
          <w:tab w:val="num" w:pos="720"/>
        </w:tabs>
        <w:ind w:left="720" w:hanging="360"/>
      </w:pPr>
      <w:rPr>
        <w:rFonts w:ascii="Arial" w:hAnsi="Arial" w:cs="Arial" w:hint="default"/>
        <w:i w:val="0"/>
        <w:sz w:val="22"/>
        <w:szCs w:val="22"/>
      </w:rPr>
    </w:lvl>
    <w:lvl w:ilvl="1" w:tplc="7002647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A28EC"/>
    <w:multiLevelType w:val="hybridMultilevel"/>
    <w:tmpl w:val="19982348"/>
    <w:lvl w:ilvl="0" w:tplc="DF90599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70D7D"/>
    <w:multiLevelType w:val="hybridMultilevel"/>
    <w:tmpl w:val="C1A08D84"/>
    <w:lvl w:ilvl="0" w:tplc="92B48330">
      <w:start w:val="6"/>
      <w:numFmt w:val="decimal"/>
      <w:lvlText w:val="%1."/>
      <w:lvlJc w:val="left"/>
      <w:pPr>
        <w:tabs>
          <w:tab w:val="num" w:pos="720"/>
        </w:tabs>
        <w:ind w:left="720" w:hanging="360"/>
      </w:pPr>
      <w:rPr>
        <w:rFonts w:ascii="Arial" w:hAnsi="Arial" w:cs="Arial" w:hint="default"/>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42058D"/>
    <w:multiLevelType w:val="hybridMultilevel"/>
    <w:tmpl w:val="5FD49F18"/>
    <w:lvl w:ilvl="0" w:tplc="0C090001">
      <w:start w:val="1"/>
      <w:numFmt w:val="bullet"/>
      <w:lvlText w:val=""/>
      <w:lvlJc w:val="left"/>
      <w:pPr>
        <w:tabs>
          <w:tab w:val="num" w:pos="720"/>
        </w:tabs>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B07D2"/>
    <w:multiLevelType w:val="hybridMultilevel"/>
    <w:tmpl w:val="749AD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C3903"/>
    <w:multiLevelType w:val="hybridMultilevel"/>
    <w:tmpl w:val="8C7E5C3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A5311C4"/>
    <w:multiLevelType w:val="hybridMultilevel"/>
    <w:tmpl w:val="0868D2BA"/>
    <w:lvl w:ilvl="0" w:tplc="A1B8AF14">
      <w:start w:val="6"/>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8C5938"/>
    <w:multiLevelType w:val="hybridMultilevel"/>
    <w:tmpl w:val="1AB265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C546A3"/>
    <w:multiLevelType w:val="hybridMultilevel"/>
    <w:tmpl w:val="606C9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294B3A"/>
    <w:multiLevelType w:val="hybridMultilevel"/>
    <w:tmpl w:val="765628D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9A9708D"/>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20" w15:restartNumberingAfterBreak="0">
    <w:nsid w:val="5C2A03AA"/>
    <w:multiLevelType w:val="hybridMultilevel"/>
    <w:tmpl w:val="8432DAD4"/>
    <w:lvl w:ilvl="0" w:tplc="70026472">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647C237A"/>
    <w:multiLevelType w:val="hybridMultilevel"/>
    <w:tmpl w:val="8A0C8F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5275524"/>
    <w:multiLevelType w:val="hybridMultilevel"/>
    <w:tmpl w:val="FE407E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7F65211E"/>
    <w:multiLevelType w:val="hybridMultilevel"/>
    <w:tmpl w:val="A68E46C2"/>
    <w:lvl w:ilvl="0" w:tplc="0C09000F">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13"/>
  </w:num>
  <w:num w:numId="4">
    <w:abstractNumId w:val="24"/>
  </w:num>
  <w:num w:numId="5">
    <w:abstractNumId w:val="16"/>
  </w:num>
  <w:num w:numId="6">
    <w:abstractNumId w:val="0"/>
  </w:num>
  <w:num w:numId="7">
    <w:abstractNumId w:val="2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3"/>
  </w:num>
  <w:num w:numId="13">
    <w:abstractNumId w:val="22"/>
  </w:num>
  <w:num w:numId="14">
    <w:abstractNumId w:val="2"/>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10"/>
  </w:num>
  <w:num w:numId="20">
    <w:abstractNumId w:val="17"/>
  </w:num>
  <w:num w:numId="21">
    <w:abstractNumId w:val="6"/>
  </w:num>
  <w:num w:numId="22">
    <w:abstractNumId w:val="12"/>
  </w:num>
  <w:num w:numId="23">
    <w:abstractNumId w:val="14"/>
  </w:num>
  <w:num w:numId="24">
    <w:abstractNumId w:val="1"/>
  </w:num>
  <w:num w:numId="25">
    <w:abstractNumId w:val="19"/>
  </w:num>
  <w:num w:numId="26">
    <w:abstractNumId w:val="18"/>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7DC"/>
    <w:rsid w:val="00004550"/>
    <w:rsid w:val="000117B2"/>
    <w:rsid w:val="000137F7"/>
    <w:rsid w:val="0001796D"/>
    <w:rsid w:val="00017BF0"/>
    <w:rsid w:val="0002190C"/>
    <w:rsid w:val="00023029"/>
    <w:rsid w:val="0002568B"/>
    <w:rsid w:val="0002623A"/>
    <w:rsid w:val="00027238"/>
    <w:rsid w:val="00032069"/>
    <w:rsid w:val="00032C00"/>
    <w:rsid w:val="0003794B"/>
    <w:rsid w:val="00043FA7"/>
    <w:rsid w:val="00052558"/>
    <w:rsid w:val="000552E8"/>
    <w:rsid w:val="00056585"/>
    <w:rsid w:val="0005674F"/>
    <w:rsid w:val="00063D1E"/>
    <w:rsid w:val="00065C6E"/>
    <w:rsid w:val="00073F1B"/>
    <w:rsid w:val="00075B58"/>
    <w:rsid w:val="000760A0"/>
    <w:rsid w:val="00080C7E"/>
    <w:rsid w:val="00082C71"/>
    <w:rsid w:val="00082E52"/>
    <w:rsid w:val="00097258"/>
    <w:rsid w:val="000A2FC7"/>
    <w:rsid w:val="000B11DD"/>
    <w:rsid w:val="000C0912"/>
    <w:rsid w:val="000C390A"/>
    <w:rsid w:val="000C4A27"/>
    <w:rsid w:val="000C77DD"/>
    <w:rsid w:val="000E295B"/>
    <w:rsid w:val="000E45A0"/>
    <w:rsid w:val="000E68FB"/>
    <w:rsid w:val="000F3553"/>
    <w:rsid w:val="000F3ECC"/>
    <w:rsid w:val="00103FA9"/>
    <w:rsid w:val="00104FD3"/>
    <w:rsid w:val="00107460"/>
    <w:rsid w:val="00112415"/>
    <w:rsid w:val="00115D93"/>
    <w:rsid w:val="0011622B"/>
    <w:rsid w:val="00125248"/>
    <w:rsid w:val="001359D7"/>
    <w:rsid w:val="0013678D"/>
    <w:rsid w:val="00140A34"/>
    <w:rsid w:val="00143F9B"/>
    <w:rsid w:val="00146ED8"/>
    <w:rsid w:val="00160652"/>
    <w:rsid w:val="00166509"/>
    <w:rsid w:val="00167202"/>
    <w:rsid w:val="00167468"/>
    <w:rsid w:val="001828A4"/>
    <w:rsid w:val="00197FDA"/>
    <w:rsid w:val="001A366B"/>
    <w:rsid w:val="001A3BE2"/>
    <w:rsid w:val="001A6D48"/>
    <w:rsid w:val="001B6C3B"/>
    <w:rsid w:val="001B770E"/>
    <w:rsid w:val="001B7F18"/>
    <w:rsid w:val="001C35E7"/>
    <w:rsid w:val="001C4578"/>
    <w:rsid w:val="001D6810"/>
    <w:rsid w:val="001E24CD"/>
    <w:rsid w:val="001F28A6"/>
    <w:rsid w:val="001F2A16"/>
    <w:rsid w:val="001F5634"/>
    <w:rsid w:val="001F6921"/>
    <w:rsid w:val="001F6960"/>
    <w:rsid w:val="001F7C3E"/>
    <w:rsid w:val="00201969"/>
    <w:rsid w:val="00213FA5"/>
    <w:rsid w:val="00230BD7"/>
    <w:rsid w:val="00234F70"/>
    <w:rsid w:val="0023733A"/>
    <w:rsid w:val="0024044F"/>
    <w:rsid w:val="0024248A"/>
    <w:rsid w:val="002455DB"/>
    <w:rsid w:val="00245D00"/>
    <w:rsid w:val="00257F2D"/>
    <w:rsid w:val="00262808"/>
    <w:rsid w:val="00262F9F"/>
    <w:rsid w:val="00266D2D"/>
    <w:rsid w:val="00271593"/>
    <w:rsid w:val="0027331F"/>
    <w:rsid w:val="00273DCE"/>
    <w:rsid w:val="00285E76"/>
    <w:rsid w:val="00287C4B"/>
    <w:rsid w:val="002949C3"/>
    <w:rsid w:val="002A10A4"/>
    <w:rsid w:val="002A26FE"/>
    <w:rsid w:val="002A5321"/>
    <w:rsid w:val="002B1423"/>
    <w:rsid w:val="002B412C"/>
    <w:rsid w:val="002C06D1"/>
    <w:rsid w:val="002C7630"/>
    <w:rsid w:val="002E0865"/>
    <w:rsid w:val="002F1257"/>
    <w:rsid w:val="002F2D50"/>
    <w:rsid w:val="002F4C7A"/>
    <w:rsid w:val="0030021D"/>
    <w:rsid w:val="00300881"/>
    <w:rsid w:val="00303792"/>
    <w:rsid w:val="00310C61"/>
    <w:rsid w:val="0031126F"/>
    <w:rsid w:val="003171B3"/>
    <w:rsid w:val="00321C39"/>
    <w:rsid w:val="0032559D"/>
    <w:rsid w:val="00332050"/>
    <w:rsid w:val="00344575"/>
    <w:rsid w:val="00350CE2"/>
    <w:rsid w:val="0035113C"/>
    <w:rsid w:val="00354525"/>
    <w:rsid w:val="003626AB"/>
    <w:rsid w:val="0036419B"/>
    <w:rsid w:val="00376E51"/>
    <w:rsid w:val="00380CC4"/>
    <w:rsid w:val="00381482"/>
    <w:rsid w:val="00381959"/>
    <w:rsid w:val="00397483"/>
    <w:rsid w:val="003A7B08"/>
    <w:rsid w:val="003A7DD6"/>
    <w:rsid w:val="003C0686"/>
    <w:rsid w:val="003D08CF"/>
    <w:rsid w:val="003D09EF"/>
    <w:rsid w:val="003D0CBA"/>
    <w:rsid w:val="003D0F6A"/>
    <w:rsid w:val="003D4BA8"/>
    <w:rsid w:val="003D6A9B"/>
    <w:rsid w:val="003E312C"/>
    <w:rsid w:val="003E5269"/>
    <w:rsid w:val="003E6906"/>
    <w:rsid w:val="003F646E"/>
    <w:rsid w:val="00401B90"/>
    <w:rsid w:val="00405394"/>
    <w:rsid w:val="004066E4"/>
    <w:rsid w:val="0040680B"/>
    <w:rsid w:val="00407361"/>
    <w:rsid w:val="00410867"/>
    <w:rsid w:val="00417C55"/>
    <w:rsid w:val="00423DCD"/>
    <w:rsid w:val="00424A7B"/>
    <w:rsid w:val="0042704B"/>
    <w:rsid w:val="00427ACE"/>
    <w:rsid w:val="004447C1"/>
    <w:rsid w:val="00452A42"/>
    <w:rsid w:val="004538A4"/>
    <w:rsid w:val="0046211F"/>
    <w:rsid w:val="004639E0"/>
    <w:rsid w:val="004657F8"/>
    <w:rsid w:val="0046787B"/>
    <w:rsid w:val="00474B73"/>
    <w:rsid w:val="00474F8B"/>
    <w:rsid w:val="0047518C"/>
    <w:rsid w:val="00486653"/>
    <w:rsid w:val="004872AC"/>
    <w:rsid w:val="004A5FDA"/>
    <w:rsid w:val="004B0EB0"/>
    <w:rsid w:val="004B115A"/>
    <w:rsid w:val="004B21BB"/>
    <w:rsid w:val="004B51C1"/>
    <w:rsid w:val="004C61FF"/>
    <w:rsid w:val="004C71A6"/>
    <w:rsid w:val="004D098C"/>
    <w:rsid w:val="004D24A9"/>
    <w:rsid w:val="004E5357"/>
    <w:rsid w:val="004F4A07"/>
    <w:rsid w:val="004F5EB1"/>
    <w:rsid w:val="004F6887"/>
    <w:rsid w:val="005030AD"/>
    <w:rsid w:val="005034C7"/>
    <w:rsid w:val="00504BA7"/>
    <w:rsid w:val="0050644E"/>
    <w:rsid w:val="00510DDA"/>
    <w:rsid w:val="0051249C"/>
    <w:rsid w:val="005176E7"/>
    <w:rsid w:val="00520330"/>
    <w:rsid w:val="00523331"/>
    <w:rsid w:val="00524B6B"/>
    <w:rsid w:val="00524B88"/>
    <w:rsid w:val="00525CE4"/>
    <w:rsid w:val="00527D87"/>
    <w:rsid w:val="00532837"/>
    <w:rsid w:val="005413EE"/>
    <w:rsid w:val="00542316"/>
    <w:rsid w:val="0054405D"/>
    <w:rsid w:val="00546CD7"/>
    <w:rsid w:val="00552B61"/>
    <w:rsid w:val="00557AB1"/>
    <w:rsid w:val="005602B4"/>
    <w:rsid w:val="00573380"/>
    <w:rsid w:val="00584C8B"/>
    <w:rsid w:val="00587443"/>
    <w:rsid w:val="00587C50"/>
    <w:rsid w:val="00590929"/>
    <w:rsid w:val="005917F3"/>
    <w:rsid w:val="00595AF0"/>
    <w:rsid w:val="005A25A6"/>
    <w:rsid w:val="005A5F88"/>
    <w:rsid w:val="005B0ACD"/>
    <w:rsid w:val="005B50A2"/>
    <w:rsid w:val="005B6104"/>
    <w:rsid w:val="005B6DFA"/>
    <w:rsid w:val="005C3408"/>
    <w:rsid w:val="005D611B"/>
    <w:rsid w:val="005F1ACE"/>
    <w:rsid w:val="005F256D"/>
    <w:rsid w:val="0060183A"/>
    <w:rsid w:val="0060297D"/>
    <w:rsid w:val="00603110"/>
    <w:rsid w:val="00611C8E"/>
    <w:rsid w:val="0063115D"/>
    <w:rsid w:val="00631F30"/>
    <w:rsid w:val="006375EB"/>
    <w:rsid w:val="00642420"/>
    <w:rsid w:val="00646158"/>
    <w:rsid w:val="0064768C"/>
    <w:rsid w:val="00661B4F"/>
    <w:rsid w:val="0066622C"/>
    <w:rsid w:val="00666487"/>
    <w:rsid w:val="006701E4"/>
    <w:rsid w:val="00673B37"/>
    <w:rsid w:val="00677170"/>
    <w:rsid w:val="00680A6D"/>
    <w:rsid w:val="00683A22"/>
    <w:rsid w:val="00692355"/>
    <w:rsid w:val="006945EA"/>
    <w:rsid w:val="006A273B"/>
    <w:rsid w:val="006A5CF3"/>
    <w:rsid w:val="006B2EE1"/>
    <w:rsid w:val="006B5470"/>
    <w:rsid w:val="006C0C02"/>
    <w:rsid w:val="006D0138"/>
    <w:rsid w:val="006D0250"/>
    <w:rsid w:val="006D0DBA"/>
    <w:rsid w:val="006D4992"/>
    <w:rsid w:val="006D6F52"/>
    <w:rsid w:val="00700B10"/>
    <w:rsid w:val="00701718"/>
    <w:rsid w:val="00705A61"/>
    <w:rsid w:val="00707974"/>
    <w:rsid w:val="00710359"/>
    <w:rsid w:val="00710C40"/>
    <w:rsid w:val="00712FFF"/>
    <w:rsid w:val="00715BE9"/>
    <w:rsid w:val="00720572"/>
    <w:rsid w:val="00722DBF"/>
    <w:rsid w:val="00735157"/>
    <w:rsid w:val="007460C6"/>
    <w:rsid w:val="00757EDE"/>
    <w:rsid w:val="00760510"/>
    <w:rsid w:val="00774A61"/>
    <w:rsid w:val="00775490"/>
    <w:rsid w:val="0078472D"/>
    <w:rsid w:val="00787F69"/>
    <w:rsid w:val="00790109"/>
    <w:rsid w:val="007933B7"/>
    <w:rsid w:val="00795D0C"/>
    <w:rsid w:val="007A55BA"/>
    <w:rsid w:val="007A6D80"/>
    <w:rsid w:val="007B5A6D"/>
    <w:rsid w:val="007C1FBD"/>
    <w:rsid w:val="007D5CF2"/>
    <w:rsid w:val="007E16DF"/>
    <w:rsid w:val="007E22F5"/>
    <w:rsid w:val="007E5647"/>
    <w:rsid w:val="007E674A"/>
    <w:rsid w:val="007F25F3"/>
    <w:rsid w:val="007F4901"/>
    <w:rsid w:val="007F7034"/>
    <w:rsid w:val="008035E6"/>
    <w:rsid w:val="00804CA0"/>
    <w:rsid w:val="008240EE"/>
    <w:rsid w:val="0082622C"/>
    <w:rsid w:val="00836B02"/>
    <w:rsid w:val="0084069A"/>
    <w:rsid w:val="008467D4"/>
    <w:rsid w:val="00850FB0"/>
    <w:rsid w:val="0085238E"/>
    <w:rsid w:val="008540EA"/>
    <w:rsid w:val="00866A00"/>
    <w:rsid w:val="00867AB7"/>
    <w:rsid w:val="008702A6"/>
    <w:rsid w:val="00871F3D"/>
    <w:rsid w:val="008757CE"/>
    <w:rsid w:val="00880EBA"/>
    <w:rsid w:val="0088392C"/>
    <w:rsid w:val="00893E99"/>
    <w:rsid w:val="00894506"/>
    <w:rsid w:val="008948B2"/>
    <w:rsid w:val="0089545C"/>
    <w:rsid w:val="00897C0E"/>
    <w:rsid w:val="00897E31"/>
    <w:rsid w:val="008A046F"/>
    <w:rsid w:val="008A405A"/>
    <w:rsid w:val="008A509A"/>
    <w:rsid w:val="008A6A6A"/>
    <w:rsid w:val="008B650A"/>
    <w:rsid w:val="008B787C"/>
    <w:rsid w:val="008C3898"/>
    <w:rsid w:val="008C59F2"/>
    <w:rsid w:val="008C66CC"/>
    <w:rsid w:val="008E15EC"/>
    <w:rsid w:val="008F483C"/>
    <w:rsid w:val="008F5A18"/>
    <w:rsid w:val="00903DF6"/>
    <w:rsid w:val="00904F85"/>
    <w:rsid w:val="00912D61"/>
    <w:rsid w:val="00913193"/>
    <w:rsid w:val="00916ECB"/>
    <w:rsid w:val="00921058"/>
    <w:rsid w:val="00927D27"/>
    <w:rsid w:val="00930717"/>
    <w:rsid w:val="00930C81"/>
    <w:rsid w:val="009322D7"/>
    <w:rsid w:val="00932BDE"/>
    <w:rsid w:val="00936010"/>
    <w:rsid w:val="00941DF3"/>
    <w:rsid w:val="00956F4E"/>
    <w:rsid w:val="00960A9B"/>
    <w:rsid w:val="00967725"/>
    <w:rsid w:val="009902F8"/>
    <w:rsid w:val="00993BB8"/>
    <w:rsid w:val="0099555F"/>
    <w:rsid w:val="009A22A1"/>
    <w:rsid w:val="009B3A1B"/>
    <w:rsid w:val="009B6332"/>
    <w:rsid w:val="009C0912"/>
    <w:rsid w:val="009C203A"/>
    <w:rsid w:val="009C6267"/>
    <w:rsid w:val="009C796C"/>
    <w:rsid w:val="009D6694"/>
    <w:rsid w:val="009E4C96"/>
    <w:rsid w:val="009F0300"/>
    <w:rsid w:val="00A02D5E"/>
    <w:rsid w:val="00A137B7"/>
    <w:rsid w:val="00A167A8"/>
    <w:rsid w:val="00A20E9C"/>
    <w:rsid w:val="00A21F0A"/>
    <w:rsid w:val="00A26011"/>
    <w:rsid w:val="00A26EF1"/>
    <w:rsid w:val="00A37A72"/>
    <w:rsid w:val="00A4122E"/>
    <w:rsid w:val="00A506C2"/>
    <w:rsid w:val="00A51D20"/>
    <w:rsid w:val="00A57573"/>
    <w:rsid w:val="00A62886"/>
    <w:rsid w:val="00A63C03"/>
    <w:rsid w:val="00A707A3"/>
    <w:rsid w:val="00A74C38"/>
    <w:rsid w:val="00A77D24"/>
    <w:rsid w:val="00A809CE"/>
    <w:rsid w:val="00A8572F"/>
    <w:rsid w:val="00A90255"/>
    <w:rsid w:val="00A93E07"/>
    <w:rsid w:val="00A977EA"/>
    <w:rsid w:val="00A979CF"/>
    <w:rsid w:val="00AA4DF8"/>
    <w:rsid w:val="00AA74F7"/>
    <w:rsid w:val="00AB220A"/>
    <w:rsid w:val="00AB780C"/>
    <w:rsid w:val="00AC0692"/>
    <w:rsid w:val="00AD0188"/>
    <w:rsid w:val="00AD5ADE"/>
    <w:rsid w:val="00AE7138"/>
    <w:rsid w:val="00AF4CAF"/>
    <w:rsid w:val="00B05B7D"/>
    <w:rsid w:val="00B0760F"/>
    <w:rsid w:val="00B117BA"/>
    <w:rsid w:val="00B20D87"/>
    <w:rsid w:val="00B25A2B"/>
    <w:rsid w:val="00B34A39"/>
    <w:rsid w:val="00B40C85"/>
    <w:rsid w:val="00B453ED"/>
    <w:rsid w:val="00B46AF5"/>
    <w:rsid w:val="00B530EE"/>
    <w:rsid w:val="00B578AC"/>
    <w:rsid w:val="00B6433F"/>
    <w:rsid w:val="00B64742"/>
    <w:rsid w:val="00B64CF5"/>
    <w:rsid w:val="00B66F16"/>
    <w:rsid w:val="00B73DC1"/>
    <w:rsid w:val="00B76C9B"/>
    <w:rsid w:val="00B779F7"/>
    <w:rsid w:val="00B823A1"/>
    <w:rsid w:val="00B83E21"/>
    <w:rsid w:val="00B840BF"/>
    <w:rsid w:val="00B8428B"/>
    <w:rsid w:val="00B8665E"/>
    <w:rsid w:val="00B87FD8"/>
    <w:rsid w:val="00BA0D92"/>
    <w:rsid w:val="00BA39D2"/>
    <w:rsid w:val="00BA41F5"/>
    <w:rsid w:val="00BA76BE"/>
    <w:rsid w:val="00BA76F7"/>
    <w:rsid w:val="00BB367C"/>
    <w:rsid w:val="00BB3C9C"/>
    <w:rsid w:val="00BB5069"/>
    <w:rsid w:val="00BC2B9B"/>
    <w:rsid w:val="00BC33ED"/>
    <w:rsid w:val="00BC77C7"/>
    <w:rsid w:val="00BE1872"/>
    <w:rsid w:val="00BE2B79"/>
    <w:rsid w:val="00BE5809"/>
    <w:rsid w:val="00BF01C9"/>
    <w:rsid w:val="00BF4822"/>
    <w:rsid w:val="00C01D22"/>
    <w:rsid w:val="00C06263"/>
    <w:rsid w:val="00C104B6"/>
    <w:rsid w:val="00C10828"/>
    <w:rsid w:val="00C10C76"/>
    <w:rsid w:val="00C10F02"/>
    <w:rsid w:val="00C114F4"/>
    <w:rsid w:val="00C11D03"/>
    <w:rsid w:val="00C14646"/>
    <w:rsid w:val="00C15E9A"/>
    <w:rsid w:val="00C253F7"/>
    <w:rsid w:val="00C30743"/>
    <w:rsid w:val="00C31967"/>
    <w:rsid w:val="00C353A8"/>
    <w:rsid w:val="00C364C0"/>
    <w:rsid w:val="00C371DE"/>
    <w:rsid w:val="00C4050A"/>
    <w:rsid w:val="00C409AE"/>
    <w:rsid w:val="00C42D50"/>
    <w:rsid w:val="00C44C35"/>
    <w:rsid w:val="00C45694"/>
    <w:rsid w:val="00C46F0E"/>
    <w:rsid w:val="00C535E0"/>
    <w:rsid w:val="00C54DF8"/>
    <w:rsid w:val="00C60B49"/>
    <w:rsid w:val="00C64545"/>
    <w:rsid w:val="00C7440A"/>
    <w:rsid w:val="00C865ED"/>
    <w:rsid w:val="00C86687"/>
    <w:rsid w:val="00C8775A"/>
    <w:rsid w:val="00CA0877"/>
    <w:rsid w:val="00CA4FB0"/>
    <w:rsid w:val="00CA6B59"/>
    <w:rsid w:val="00CB3B6C"/>
    <w:rsid w:val="00CC1833"/>
    <w:rsid w:val="00CC189F"/>
    <w:rsid w:val="00CC3368"/>
    <w:rsid w:val="00CF19C4"/>
    <w:rsid w:val="00CF2A80"/>
    <w:rsid w:val="00D13C04"/>
    <w:rsid w:val="00D20A78"/>
    <w:rsid w:val="00D278BA"/>
    <w:rsid w:val="00D32A8D"/>
    <w:rsid w:val="00D37859"/>
    <w:rsid w:val="00D40454"/>
    <w:rsid w:val="00D4059C"/>
    <w:rsid w:val="00D43C40"/>
    <w:rsid w:val="00D46299"/>
    <w:rsid w:val="00D47164"/>
    <w:rsid w:val="00D53D8F"/>
    <w:rsid w:val="00D547BE"/>
    <w:rsid w:val="00D565C1"/>
    <w:rsid w:val="00D61C76"/>
    <w:rsid w:val="00D65DF9"/>
    <w:rsid w:val="00D66043"/>
    <w:rsid w:val="00D77015"/>
    <w:rsid w:val="00D77349"/>
    <w:rsid w:val="00D8002F"/>
    <w:rsid w:val="00D807E8"/>
    <w:rsid w:val="00D86BBC"/>
    <w:rsid w:val="00D92B48"/>
    <w:rsid w:val="00DB1693"/>
    <w:rsid w:val="00DB4213"/>
    <w:rsid w:val="00DC1E47"/>
    <w:rsid w:val="00DD2820"/>
    <w:rsid w:val="00DD5B07"/>
    <w:rsid w:val="00DE6821"/>
    <w:rsid w:val="00DF2022"/>
    <w:rsid w:val="00DF34BE"/>
    <w:rsid w:val="00DF5D59"/>
    <w:rsid w:val="00DF7820"/>
    <w:rsid w:val="00E018A5"/>
    <w:rsid w:val="00E02849"/>
    <w:rsid w:val="00E1743D"/>
    <w:rsid w:val="00E17C7B"/>
    <w:rsid w:val="00E239E4"/>
    <w:rsid w:val="00E26EAC"/>
    <w:rsid w:val="00E27D4F"/>
    <w:rsid w:val="00E33D89"/>
    <w:rsid w:val="00E36A38"/>
    <w:rsid w:val="00E41A8A"/>
    <w:rsid w:val="00E45AA6"/>
    <w:rsid w:val="00E50BFD"/>
    <w:rsid w:val="00E51A8E"/>
    <w:rsid w:val="00E53399"/>
    <w:rsid w:val="00E77995"/>
    <w:rsid w:val="00E80C70"/>
    <w:rsid w:val="00E87099"/>
    <w:rsid w:val="00E87E32"/>
    <w:rsid w:val="00E905F9"/>
    <w:rsid w:val="00E93E67"/>
    <w:rsid w:val="00EA28E6"/>
    <w:rsid w:val="00EA780C"/>
    <w:rsid w:val="00EB0D7B"/>
    <w:rsid w:val="00EC6007"/>
    <w:rsid w:val="00EE2832"/>
    <w:rsid w:val="00EF78C4"/>
    <w:rsid w:val="00F00530"/>
    <w:rsid w:val="00F04CD7"/>
    <w:rsid w:val="00F06133"/>
    <w:rsid w:val="00F13469"/>
    <w:rsid w:val="00F15F87"/>
    <w:rsid w:val="00F23E15"/>
    <w:rsid w:val="00F244A2"/>
    <w:rsid w:val="00F33CEB"/>
    <w:rsid w:val="00F35064"/>
    <w:rsid w:val="00F374D8"/>
    <w:rsid w:val="00F53EB7"/>
    <w:rsid w:val="00F5684D"/>
    <w:rsid w:val="00F57AB6"/>
    <w:rsid w:val="00F6480F"/>
    <w:rsid w:val="00F720FF"/>
    <w:rsid w:val="00F7383A"/>
    <w:rsid w:val="00F77E62"/>
    <w:rsid w:val="00F83754"/>
    <w:rsid w:val="00F86713"/>
    <w:rsid w:val="00F86E01"/>
    <w:rsid w:val="00F932E0"/>
    <w:rsid w:val="00F9408E"/>
    <w:rsid w:val="00FA01D3"/>
    <w:rsid w:val="00FA1230"/>
    <w:rsid w:val="00FB7701"/>
    <w:rsid w:val="00FC101D"/>
    <w:rsid w:val="00FC40F0"/>
    <w:rsid w:val="00FC61C7"/>
    <w:rsid w:val="00FC6D3B"/>
    <w:rsid w:val="00FD0129"/>
    <w:rsid w:val="00FD2F9C"/>
    <w:rsid w:val="00FD3700"/>
    <w:rsid w:val="00FD62D0"/>
    <w:rsid w:val="00FE0CDA"/>
    <w:rsid w:val="00FE17ED"/>
    <w:rsid w:val="00FE4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7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qFormat/>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uiPriority w:val="99"/>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1"/>
      </w:numPr>
    </w:pPr>
  </w:style>
  <w:style w:type="character" w:styleId="FollowedHyperlink">
    <w:name w:val="FollowedHyperlink"/>
    <w:basedOn w:val="DefaultParagraphFont"/>
    <w:rsid w:val="00960A9B"/>
    <w:rPr>
      <w:color w:val="800080" w:themeColor="followedHyperlink"/>
      <w:u w:val="single"/>
    </w:rPr>
  </w:style>
  <w:style w:type="paragraph" w:customStyle="1" w:styleId="subsection">
    <w:name w:val="subsection"/>
    <w:basedOn w:val="Normal"/>
    <w:rsid w:val="00FD62D0"/>
    <w:pPr>
      <w:spacing w:before="100" w:beforeAutospacing="1" w:after="100" w:afterAutospacing="1"/>
    </w:pPr>
    <w:rPr>
      <w:szCs w:val="24"/>
    </w:rPr>
  </w:style>
  <w:style w:type="paragraph" w:customStyle="1" w:styleId="paragraph">
    <w:name w:val="paragraph"/>
    <w:basedOn w:val="Normal"/>
    <w:rsid w:val="00FD62D0"/>
    <w:pPr>
      <w:spacing w:before="100" w:beforeAutospacing="1" w:after="100" w:afterAutospacing="1"/>
    </w:pPr>
    <w:rPr>
      <w:szCs w:val="24"/>
    </w:rPr>
  </w:style>
  <w:style w:type="paragraph" w:styleId="NoSpacing">
    <w:name w:val="No Spacing"/>
    <w:uiPriority w:val="1"/>
    <w:qFormat/>
    <w:rsid w:val="000760A0"/>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sid w:val="0089545C"/>
  </w:style>
  <w:style w:type="character" w:customStyle="1" w:styleId="CommentTextChar">
    <w:name w:val="Comment Text Char"/>
    <w:basedOn w:val="DefaultParagraphFont"/>
    <w:link w:val="CommentText"/>
    <w:semiHidden/>
    <w:rsid w:val="00532837"/>
  </w:style>
  <w:style w:type="numbering" w:customStyle="1" w:styleId="Bullets">
    <w:name w:val="Bullets"/>
    <w:basedOn w:val="NoList"/>
    <w:uiPriority w:val="99"/>
    <w:rsid w:val="00BF01C9"/>
    <w:pPr>
      <w:numPr>
        <w:numId w:val="25"/>
      </w:numPr>
    </w:pPr>
  </w:style>
  <w:style w:type="paragraph" w:customStyle="1" w:styleId="Boxbulletedlist1">
    <w:name w:val="Box bulleted list 1"/>
    <w:basedOn w:val="Normal"/>
    <w:uiPriority w:val="25"/>
    <w:semiHidden/>
    <w:qFormat/>
    <w:rsid w:val="00BF01C9"/>
    <w:pPr>
      <w:numPr>
        <w:ilvl w:val="3"/>
        <w:numId w:val="25"/>
      </w:numPr>
      <w:spacing w:before="140" w:line="240" w:lineRule="atLeast"/>
      <w:ind w:right="340"/>
    </w:pPr>
    <w:rPr>
      <w:rFonts w:asciiTheme="minorHAnsi" w:eastAsiaTheme="minorHAnsi" w:hAnsiTheme="minorHAnsi"/>
      <w:color w:val="000000" w:themeColor="text1"/>
      <w:sz w:val="22"/>
      <w:lang w:eastAsia="en-US"/>
    </w:rPr>
  </w:style>
  <w:style w:type="paragraph" w:customStyle="1" w:styleId="Boxbulletedlist2">
    <w:name w:val="Box bulleted list 2"/>
    <w:basedOn w:val="Normal"/>
    <w:uiPriority w:val="25"/>
    <w:semiHidden/>
    <w:qFormat/>
    <w:rsid w:val="00BF01C9"/>
    <w:pPr>
      <w:numPr>
        <w:ilvl w:val="4"/>
        <w:numId w:val="25"/>
      </w:numPr>
      <w:spacing w:before="140" w:line="240" w:lineRule="atLeast"/>
      <w:ind w:right="340"/>
    </w:pPr>
    <w:rPr>
      <w:rFonts w:asciiTheme="minorHAnsi" w:eastAsiaTheme="minorHAnsi" w:hAnsiTheme="minorHAnsi"/>
      <w:color w:val="000000" w:themeColor="text1"/>
      <w:sz w:val="22"/>
      <w:lang w:eastAsia="en-US"/>
    </w:rPr>
  </w:style>
  <w:style w:type="paragraph" w:customStyle="1" w:styleId="Boxbulletedlist3">
    <w:name w:val="Box bulleted list 3"/>
    <w:basedOn w:val="Normal"/>
    <w:uiPriority w:val="25"/>
    <w:semiHidden/>
    <w:qFormat/>
    <w:rsid w:val="00BF01C9"/>
    <w:pPr>
      <w:numPr>
        <w:ilvl w:val="5"/>
        <w:numId w:val="25"/>
      </w:numPr>
      <w:spacing w:before="140" w:line="240" w:lineRule="atLeast"/>
      <w:ind w:right="340"/>
    </w:pPr>
    <w:rPr>
      <w:rFonts w:asciiTheme="minorHAnsi" w:eastAsiaTheme="minorHAnsi" w:hAnsiTheme="minorHAnsi"/>
      <w:color w:val="000000" w:themeColor="text1"/>
      <w:sz w:val="22"/>
      <w:lang w:eastAsia="en-US"/>
    </w:rPr>
  </w:style>
  <w:style w:type="paragraph" w:customStyle="1" w:styleId="Bulletedlist1">
    <w:name w:val="Bulleted list 1"/>
    <w:basedOn w:val="Normal"/>
    <w:uiPriority w:val="1"/>
    <w:qFormat/>
    <w:rsid w:val="00BF01C9"/>
    <w:pPr>
      <w:numPr>
        <w:numId w:val="25"/>
      </w:numPr>
      <w:spacing w:before="85" w:line="240" w:lineRule="atLeast"/>
    </w:pPr>
    <w:rPr>
      <w:rFonts w:asciiTheme="minorHAnsi" w:eastAsiaTheme="minorHAnsi" w:hAnsiTheme="minorHAnsi"/>
      <w:color w:val="000000" w:themeColor="text1"/>
      <w:sz w:val="22"/>
      <w:lang w:eastAsia="en-US"/>
    </w:rPr>
  </w:style>
  <w:style w:type="paragraph" w:customStyle="1" w:styleId="Bulletedlist2">
    <w:name w:val="Bulleted list 2"/>
    <w:basedOn w:val="Normal"/>
    <w:uiPriority w:val="1"/>
    <w:qFormat/>
    <w:rsid w:val="00BF01C9"/>
    <w:pPr>
      <w:numPr>
        <w:ilvl w:val="1"/>
        <w:numId w:val="25"/>
      </w:numPr>
      <w:spacing w:before="85" w:line="240" w:lineRule="atLeast"/>
    </w:pPr>
    <w:rPr>
      <w:rFonts w:asciiTheme="minorHAnsi" w:eastAsiaTheme="minorHAnsi" w:hAnsiTheme="minorHAnsi"/>
      <w:color w:val="000000" w:themeColor="text1"/>
      <w:sz w:val="22"/>
      <w:lang w:eastAsia="en-US"/>
    </w:rPr>
  </w:style>
  <w:style w:type="paragraph" w:customStyle="1" w:styleId="Bulletedlist3">
    <w:name w:val="Bulleted list 3"/>
    <w:basedOn w:val="Normal"/>
    <w:uiPriority w:val="1"/>
    <w:qFormat/>
    <w:rsid w:val="00BF01C9"/>
    <w:pPr>
      <w:numPr>
        <w:ilvl w:val="2"/>
        <w:numId w:val="25"/>
      </w:numPr>
      <w:spacing w:before="57" w:line="240" w:lineRule="atLeast"/>
    </w:pPr>
    <w:rPr>
      <w:rFonts w:asciiTheme="minorHAnsi" w:eastAsiaTheme="minorHAnsi" w:hAnsiTheme="minorHAnsi"/>
      <w:color w:val="000000" w:themeColor="text1"/>
      <w:sz w:val="22"/>
      <w:lang w:eastAsia="en-US"/>
    </w:rPr>
  </w:style>
  <w:style w:type="paragraph" w:customStyle="1" w:styleId="Tablebulletedlist1">
    <w:name w:val="Table bulleted list 1"/>
    <w:basedOn w:val="Normal"/>
    <w:uiPriority w:val="20"/>
    <w:qFormat/>
    <w:rsid w:val="00BF01C9"/>
    <w:pPr>
      <w:numPr>
        <w:ilvl w:val="6"/>
        <w:numId w:val="25"/>
      </w:numPr>
      <w:spacing w:before="85" w:line="240" w:lineRule="atLeast"/>
      <w:ind w:right="227"/>
    </w:pPr>
    <w:rPr>
      <w:rFonts w:asciiTheme="minorHAnsi" w:eastAsiaTheme="minorHAnsi" w:hAnsiTheme="minorHAnsi"/>
      <w:color w:val="000000" w:themeColor="text1"/>
      <w:sz w:val="22"/>
      <w:lang w:eastAsia="en-US"/>
    </w:rPr>
  </w:style>
  <w:style w:type="paragraph" w:customStyle="1" w:styleId="Tablebulletedlist2">
    <w:name w:val="Table bulleted list 2"/>
    <w:basedOn w:val="Normal"/>
    <w:uiPriority w:val="20"/>
    <w:qFormat/>
    <w:rsid w:val="00BF01C9"/>
    <w:pPr>
      <w:numPr>
        <w:ilvl w:val="7"/>
        <w:numId w:val="25"/>
      </w:numPr>
      <w:spacing w:before="85" w:line="240" w:lineRule="atLeast"/>
      <w:ind w:right="227"/>
    </w:pPr>
    <w:rPr>
      <w:rFonts w:asciiTheme="minorHAnsi" w:eastAsiaTheme="minorHAnsi" w:hAnsiTheme="minorHAnsi"/>
      <w:color w:val="000000" w:themeColor="text1"/>
      <w:sz w:val="22"/>
      <w:lang w:eastAsia="en-US"/>
    </w:rPr>
  </w:style>
  <w:style w:type="paragraph" w:customStyle="1" w:styleId="Tablebulletedlist3">
    <w:name w:val="Table bulleted list 3"/>
    <w:basedOn w:val="Normal"/>
    <w:uiPriority w:val="20"/>
    <w:qFormat/>
    <w:rsid w:val="00BF01C9"/>
    <w:pPr>
      <w:numPr>
        <w:ilvl w:val="8"/>
        <w:numId w:val="25"/>
      </w:numPr>
      <w:spacing w:before="57" w:line="240" w:lineRule="atLeast"/>
      <w:ind w:right="227"/>
    </w:pPr>
    <w:rPr>
      <w:rFonts w:asciiTheme="minorHAnsi" w:eastAsiaTheme="minorHAnsi" w:hAnsiTheme="minorHAnsi"/>
      <w:color w:val="000000" w:themeColor="text1"/>
      <w:sz w:val="22"/>
      <w:lang w:eastAsia="en-US"/>
    </w:rPr>
  </w:style>
  <w:style w:type="character" w:styleId="UnresolvedMention">
    <w:name w:val="Unresolved Mention"/>
    <w:basedOn w:val="DefaultParagraphFont"/>
    <w:uiPriority w:val="99"/>
    <w:semiHidden/>
    <w:unhideWhenUsed/>
    <w:rsid w:val="00C10C76"/>
    <w:rPr>
      <w:color w:val="605E5C"/>
      <w:shd w:val="clear" w:color="auto" w:fill="E1DFDD"/>
    </w:rPr>
  </w:style>
  <w:style w:type="paragraph" w:customStyle="1" w:styleId="NumberedList1">
    <w:name w:val="Numbered List 1"/>
    <w:basedOn w:val="Normal"/>
    <w:rsid w:val="005B6DFA"/>
    <w:rPr>
      <w:sz w:val="20"/>
    </w:rPr>
  </w:style>
  <w:style w:type="paragraph" w:styleId="Revision">
    <w:name w:val="Revision"/>
    <w:hidden/>
    <w:uiPriority w:val="99"/>
    <w:semiHidden/>
    <w:rsid w:val="008240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83437">
      <w:bodyDiv w:val="1"/>
      <w:marLeft w:val="0"/>
      <w:marRight w:val="0"/>
      <w:marTop w:val="0"/>
      <w:marBottom w:val="0"/>
      <w:divBdr>
        <w:top w:val="none" w:sz="0" w:space="0" w:color="auto"/>
        <w:left w:val="none" w:sz="0" w:space="0" w:color="auto"/>
        <w:bottom w:val="none" w:sz="0" w:space="0" w:color="auto"/>
        <w:right w:val="none" w:sz="0" w:space="0" w:color="auto"/>
      </w:divBdr>
    </w:div>
    <w:div w:id="819544717">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477912058">
      <w:bodyDiv w:val="1"/>
      <w:marLeft w:val="0"/>
      <w:marRight w:val="0"/>
      <w:marTop w:val="0"/>
      <w:marBottom w:val="0"/>
      <w:divBdr>
        <w:top w:val="none" w:sz="0" w:space="0" w:color="auto"/>
        <w:left w:val="none" w:sz="0" w:space="0" w:color="auto"/>
        <w:bottom w:val="none" w:sz="0" w:space="0" w:color="auto"/>
        <w:right w:val="none" w:sz="0" w:space="0" w:color="auto"/>
      </w:divBdr>
    </w:div>
    <w:div w:id="1715697573">
      <w:bodyDiv w:val="1"/>
      <w:marLeft w:val="30"/>
      <w:marRight w:val="30"/>
      <w:marTop w:val="0"/>
      <w:marBottom w:val="0"/>
      <w:divBdr>
        <w:top w:val="none" w:sz="0" w:space="0" w:color="auto"/>
        <w:left w:val="none" w:sz="0" w:space="0" w:color="auto"/>
        <w:bottom w:val="none" w:sz="0" w:space="0" w:color="auto"/>
        <w:right w:val="none" w:sz="0" w:space="0" w:color="auto"/>
      </w:divBdr>
      <w:divsChild>
        <w:div w:id="320279613">
          <w:marLeft w:val="0"/>
          <w:marRight w:val="0"/>
          <w:marTop w:val="0"/>
          <w:marBottom w:val="0"/>
          <w:divBdr>
            <w:top w:val="none" w:sz="0" w:space="0" w:color="auto"/>
            <w:left w:val="none" w:sz="0" w:space="0" w:color="auto"/>
            <w:bottom w:val="none" w:sz="0" w:space="0" w:color="auto"/>
            <w:right w:val="none" w:sz="0" w:space="0" w:color="auto"/>
          </w:divBdr>
          <w:divsChild>
            <w:div w:id="688873159">
              <w:marLeft w:val="0"/>
              <w:marRight w:val="0"/>
              <w:marTop w:val="0"/>
              <w:marBottom w:val="0"/>
              <w:divBdr>
                <w:top w:val="none" w:sz="0" w:space="0" w:color="auto"/>
                <w:left w:val="none" w:sz="0" w:space="0" w:color="auto"/>
                <w:bottom w:val="none" w:sz="0" w:space="0" w:color="auto"/>
                <w:right w:val="none" w:sz="0" w:space="0" w:color="auto"/>
              </w:divBdr>
              <w:divsChild>
                <w:div w:id="575825198">
                  <w:marLeft w:val="180"/>
                  <w:marRight w:val="0"/>
                  <w:marTop w:val="0"/>
                  <w:marBottom w:val="0"/>
                  <w:divBdr>
                    <w:top w:val="none" w:sz="0" w:space="0" w:color="auto"/>
                    <w:left w:val="none" w:sz="0" w:space="0" w:color="auto"/>
                    <w:bottom w:val="none" w:sz="0" w:space="0" w:color="auto"/>
                    <w:right w:val="none" w:sz="0" w:space="0" w:color="auto"/>
                  </w:divBdr>
                  <w:divsChild>
                    <w:div w:id="11910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240">
          <w:marLeft w:val="0"/>
          <w:marRight w:val="0"/>
          <w:marTop w:val="0"/>
          <w:marBottom w:val="0"/>
          <w:divBdr>
            <w:top w:val="none" w:sz="0" w:space="0" w:color="auto"/>
            <w:left w:val="none" w:sz="0" w:space="0" w:color="auto"/>
            <w:bottom w:val="none" w:sz="0" w:space="0" w:color="auto"/>
            <w:right w:val="none" w:sz="0" w:space="0" w:color="auto"/>
          </w:divBdr>
          <w:divsChild>
            <w:div w:id="1176456173">
              <w:marLeft w:val="0"/>
              <w:marRight w:val="0"/>
              <w:marTop w:val="0"/>
              <w:marBottom w:val="0"/>
              <w:divBdr>
                <w:top w:val="none" w:sz="0" w:space="0" w:color="auto"/>
                <w:left w:val="none" w:sz="0" w:space="0" w:color="auto"/>
                <w:bottom w:val="none" w:sz="0" w:space="0" w:color="auto"/>
                <w:right w:val="none" w:sz="0" w:space="0" w:color="auto"/>
              </w:divBdr>
              <w:divsChild>
                <w:div w:id="1822766185">
                  <w:marLeft w:val="180"/>
                  <w:marRight w:val="0"/>
                  <w:marTop w:val="0"/>
                  <w:marBottom w:val="0"/>
                  <w:divBdr>
                    <w:top w:val="none" w:sz="0" w:space="0" w:color="auto"/>
                    <w:left w:val="none" w:sz="0" w:space="0" w:color="auto"/>
                    <w:bottom w:val="none" w:sz="0" w:space="0" w:color="auto"/>
                    <w:right w:val="none" w:sz="0" w:space="0" w:color="auto"/>
                  </w:divBdr>
                  <w:divsChild>
                    <w:div w:id="11402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8190">
      <w:bodyDiv w:val="1"/>
      <w:marLeft w:val="0"/>
      <w:marRight w:val="0"/>
      <w:marTop w:val="0"/>
      <w:marBottom w:val="0"/>
      <w:divBdr>
        <w:top w:val="none" w:sz="0" w:space="0" w:color="auto"/>
        <w:left w:val="none" w:sz="0" w:space="0" w:color="auto"/>
        <w:bottom w:val="none" w:sz="0" w:space="0" w:color="auto"/>
        <w:right w:val="none" w:sz="0" w:space="0" w:color="auto"/>
      </w:divBdr>
    </w:div>
    <w:div w:id="2033266574">
      <w:bodyDiv w:val="1"/>
      <w:marLeft w:val="0"/>
      <w:marRight w:val="0"/>
      <w:marTop w:val="0"/>
      <w:marBottom w:val="0"/>
      <w:divBdr>
        <w:top w:val="none" w:sz="0" w:space="0" w:color="auto"/>
        <w:left w:val="none" w:sz="0" w:space="0" w:color="auto"/>
        <w:bottom w:val="none" w:sz="0" w:space="0" w:color="auto"/>
        <w:right w:val="none" w:sz="0" w:space="0" w:color="auto"/>
      </w:divBdr>
      <w:divsChild>
        <w:div w:id="933781564">
          <w:marLeft w:val="0"/>
          <w:marRight w:val="0"/>
          <w:marTop w:val="0"/>
          <w:marBottom w:val="0"/>
          <w:divBdr>
            <w:top w:val="none" w:sz="0" w:space="0" w:color="auto"/>
            <w:left w:val="none" w:sz="0" w:space="0" w:color="auto"/>
            <w:bottom w:val="none" w:sz="0" w:space="0" w:color="auto"/>
            <w:right w:val="none" w:sz="0" w:space="0" w:color="auto"/>
          </w:divBdr>
          <w:divsChild>
            <w:div w:id="910307353">
              <w:marLeft w:val="-225"/>
              <w:marRight w:val="-225"/>
              <w:marTop w:val="0"/>
              <w:marBottom w:val="0"/>
              <w:divBdr>
                <w:top w:val="none" w:sz="0" w:space="0" w:color="auto"/>
                <w:left w:val="none" w:sz="0" w:space="0" w:color="auto"/>
                <w:bottom w:val="none" w:sz="0" w:space="0" w:color="auto"/>
                <w:right w:val="none" w:sz="0" w:space="0" w:color="auto"/>
              </w:divBdr>
              <w:divsChild>
                <w:div w:id="1773475506">
                  <w:marLeft w:val="0"/>
                  <w:marRight w:val="0"/>
                  <w:marTop w:val="0"/>
                  <w:marBottom w:val="0"/>
                  <w:divBdr>
                    <w:top w:val="none" w:sz="0" w:space="0" w:color="auto"/>
                    <w:left w:val="none" w:sz="0" w:space="0" w:color="auto"/>
                    <w:bottom w:val="none" w:sz="0" w:space="0" w:color="auto"/>
                    <w:right w:val="none" w:sz="0" w:space="0" w:color="auto"/>
                  </w:divBdr>
                  <w:divsChild>
                    <w:div w:id="8818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6319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2021-07-27T23:00:00Z</dcterms:created>
  <dcterms:modified xsi:type="dcterms:W3CDTF">2021-07-28T00:24:00Z</dcterms:modified>
</cp:coreProperties>
</file>