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3CA7" w14:textId="77777777" w:rsidR="00486C68" w:rsidRPr="00527A45" w:rsidRDefault="00486C68" w:rsidP="00F77AA0">
      <w:pPr>
        <w:pStyle w:val="Heading1"/>
        <w:spacing w:before="0" w:after="0"/>
        <w:jc w:val="center"/>
        <w:rPr>
          <w:rFonts w:ascii="Times New Roman" w:hAnsi="Times New Roman"/>
          <w:sz w:val="24"/>
          <w:szCs w:val="24"/>
          <w:u w:val="single"/>
        </w:rPr>
      </w:pPr>
      <w:bookmarkStart w:id="0" w:name="_GoBack"/>
      <w:bookmarkEnd w:id="0"/>
      <w:r w:rsidRPr="00527A45">
        <w:rPr>
          <w:rFonts w:ascii="Times New Roman" w:hAnsi="Times New Roman"/>
          <w:sz w:val="24"/>
          <w:szCs w:val="24"/>
          <w:u w:val="single"/>
        </w:rPr>
        <w:t>EXPLANATORY STATEMENT</w:t>
      </w:r>
    </w:p>
    <w:p w14:paraId="216E9116" w14:textId="77777777" w:rsidR="00486C68" w:rsidRPr="00527A45" w:rsidRDefault="00486C68" w:rsidP="00F77AA0">
      <w:pPr>
        <w:jc w:val="center"/>
        <w:rPr>
          <w:rFonts w:cs="Times New Roman"/>
          <w:szCs w:val="24"/>
        </w:rPr>
      </w:pPr>
    </w:p>
    <w:p w14:paraId="29C0B83C" w14:textId="77777777" w:rsidR="00486C68" w:rsidRPr="00527A45" w:rsidRDefault="00486C68" w:rsidP="00F77AA0">
      <w:pPr>
        <w:jc w:val="center"/>
        <w:rPr>
          <w:rFonts w:cs="Times New Roman"/>
          <w:szCs w:val="24"/>
        </w:rPr>
      </w:pPr>
      <w:r w:rsidRPr="00527A45">
        <w:rPr>
          <w:rFonts w:cs="Times New Roman"/>
          <w:szCs w:val="24"/>
        </w:rPr>
        <w:t>Issued by the authority of the Assistant Minister for Regional Development and Territories, Parliamentary Secretary to the Deputy Prime Minister and Minister for Infrastructure, Transport and Regional Development</w:t>
      </w:r>
    </w:p>
    <w:p w14:paraId="616894F6" w14:textId="77777777" w:rsidR="00486C68" w:rsidRPr="00527A45" w:rsidRDefault="00486C68" w:rsidP="00F77AA0">
      <w:pPr>
        <w:jc w:val="center"/>
        <w:rPr>
          <w:rFonts w:cs="Times New Roman"/>
          <w:szCs w:val="24"/>
        </w:rPr>
      </w:pPr>
    </w:p>
    <w:p w14:paraId="7A6389C6" w14:textId="5E7A1DBB" w:rsidR="00486C68" w:rsidRDefault="005D1A7D" w:rsidP="00F77AA0">
      <w:pPr>
        <w:jc w:val="center"/>
        <w:rPr>
          <w:i/>
        </w:rPr>
      </w:pPr>
      <w:r>
        <w:rPr>
          <w:i/>
        </w:rPr>
        <w:t>Australian Capital Territory (Self-Government) Act 1988</w:t>
      </w:r>
    </w:p>
    <w:p w14:paraId="0DD37002" w14:textId="77777777" w:rsidR="005D1A7D" w:rsidRPr="00527A45" w:rsidRDefault="005D1A7D" w:rsidP="00F77AA0">
      <w:pPr>
        <w:jc w:val="center"/>
        <w:rPr>
          <w:rFonts w:cs="Times New Roman"/>
          <w:i/>
          <w:szCs w:val="24"/>
        </w:rPr>
      </w:pPr>
    </w:p>
    <w:p w14:paraId="5AD48F23" w14:textId="77777777" w:rsidR="005D1A7D" w:rsidRPr="005D1A7D" w:rsidRDefault="005D1A7D" w:rsidP="005D1A7D">
      <w:pPr>
        <w:ind w:left="1440" w:right="91"/>
        <w:rPr>
          <w:b/>
          <w:i/>
        </w:rPr>
      </w:pPr>
      <w:r w:rsidRPr="005D1A7D">
        <w:rPr>
          <w:b/>
          <w:i/>
        </w:rPr>
        <w:t>Australian Capital Territory (Self-Government) Regulations 2021</w:t>
      </w:r>
    </w:p>
    <w:p w14:paraId="1BAAC86A" w14:textId="77777777" w:rsidR="004C6BE8" w:rsidRPr="00527A45" w:rsidRDefault="004C6BE8" w:rsidP="006538AB">
      <w:pPr>
        <w:rPr>
          <w:rFonts w:cs="Times New Roman"/>
          <w:szCs w:val="24"/>
        </w:rPr>
      </w:pPr>
    </w:p>
    <w:p w14:paraId="01D73838" w14:textId="77777777" w:rsidR="004C6BE8" w:rsidRPr="00527A45" w:rsidRDefault="004C6BE8" w:rsidP="00F77AA0">
      <w:pPr>
        <w:rPr>
          <w:rFonts w:cs="Times New Roman"/>
          <w:szCs w:val="24"/>
          <w:u w:val="single"/>
        </w:rPr>
      </w:pPr>
      <w:r w:rsidRPr="00527A45">
        <w:rPr>
          <w:rFonts w:cs="Times New Roman"/>
          <w:szCs w:val="24"/>
          <w:u w:val="single"/>
        </w:rPr>
        <w:t>Authority</w:t>
      </w:r>
    </w:p>
    <w:p w14:paraId="3894682D" w14:textId="77777777" w:rsidR="00F77AA0" w:rsidRPr="00527A45" w:rsidRDefault="00F77AA0" w:rsidP="00F77AA0">
      <w:pPr>
        <w:rPr>
          <w:rFonts w:cs="Times New Roman"/>
          <w:szCs w:val="24"/>
          <w:u w:val="single"/>
        </w:rPr>
      </w:pPr>
    </w:p>
    <w:p w14:paraId="306D6A28" w14:textId="7EA80C10" w:rsidR="00933340" w:rsidRPr="00527A45" w:rsidRDefault="00933340" w:rsidP="00F77AA0">
      <w:pPr>
        <w:ind w:right="91"/>
        <w:rPr>
          <w:rFonts w:cs="Times New Roman"/>
          <w:szCs w:val="24"/>
        </w:rPr>
      </w:pPr>
      <w:r w:rsidRPr="00527A45">
        <w:rPr>
          <w:rFonts w:cs="Times New Roman"/>
          <w:szCs w:val="24"/>
        </w:rPr>
        <w:t xml:space="preserve">The </w:t>
      </w:r>
      <w:r w:rsidR="005D1A7D">
        <w:rPr>
          <w:i/>
        </w:rPr>
        <w:t>Australian Capital Territory (Self-Government) Act 1988</w:t>
      </w:r>
      <w:r w:rsidR="005D1A7D" w:rsidRPr="00527A45">
        <w:rPr>
          <w:rFonts w:cs="Times New Roman"/>
          <w:szCs w:val="24"/>
        </w:rPr>
        <w:t xml:space="preserve"> </w:t>
      </w:r>
      <w:r w:rsidRPr="00527A45">
        <w:rPr>
          <w:rFonts w:cs="Times New Roman"/>
          <w:szCs w:val="24"/>
        </w:rPr>
        <w:t>(</w:t>
      </w:r>
      <w:r w:rsidR="005D1A7D">
        <w:rPr>
          <w:rFonts w:cs="Times New Roman"/>
          <w:szCs w:val="24"/>
        </w:rPr>
        <w:t>the</w:t>
      </w:r>
      <w:r w:rsidRPr="00527A45">
        <w:rPr>
          <w:rFonts w:cs="Times New Roman"/>
          <w:szCs w:val="24"/>
        </w:rPr>
        <w:t xml:space="preserve"> Act) provides for the </w:t>
      </w:r>
      <w:r w:rsidR="005D1A7D">
        <w:rPr>
          <w:rFonts w:cs="Times New Roman"/>
          <w:szCs w:val="24"/>
        </w:rPr>
        <w:t xml:space="preserve">government of the Australian Capital Territory and related purposes. </w:t>
      </w:r>
      <w:r w:rsidRPr="00527A45">
        <w:rPr>
          <w:rFonts w:cs="Times New Roman"/>
          <w:szCs w:val="24"/>
        </w:rPr>
        <w:t xml:space="preserve">Section </w:t>
      </w:r>
      <w:r w:rsidR="005D1A7D">
        <w:rPr>
          <w:rFonts w:cs="Times New Roman"/>
          <w:szCs w:val="24"/>
        </w:rPr>
        <w:t xml:space="preserve">74 of the Act provides that the </w:t>
      </w:r>
      <w:r w:rsidRPr="00527A45">
        <w:rPr>
          <w:rFonts w:cs="Times New Roman"/>
          <w:szCs w:val="24"/>
        </w:rPr>
        <w:t>Governor</w:t>
      </w:r>
      <w:r w:rsidRPr="00527A45">
        <w:rPr>
          <w:rFonts w:cs="Times New Roman"/>
          <w:szCs w:val="24"/>
        </w:rPr>
        <w:noBreakHyphen/>
        <w:t xml:space="preserve">General may make </w:t>
      </w:r>
      <w:r w:rsidR="005D1A7D">
        <w:rPr>
          <w:rFonts w:cs="Times New Roman"/>
          <w:szCs w:val="24"/>
        </w:rPr>
        <w:t xml:space="preserve">regulations prescribing matters required or permitted by this Act to be prescribed, or necessary or convenient to be prescribed for carrying out of giving effect to this Act. </w:t>
      </w:r>
    </w:p>
    <w:p w14:paraId="708E48E9" w14:textId="77777777" w:rsidR="00F77AA0" w:rsidRPr="00527A45" w:rsidRDefault="00F77AA0" w:rsidP="00F77AA0">
      <w:pPr>
        <w:ind w:right="91"/>
        <w:rPr>
          <w:rFonts w:cs="Times New Roman"/>
          <w:szCs w:val="24"/>
        </w:rPr>
      </w:pPr>
    </w:p>
    <w:p w14:paraId="1D8FFE52" w14:textId="65B60D6E" w:rsidR="00F77AA0" w:rsidRPr="00527A45" w:rsidRDefault="00933340" w:rsidP="00F77AA0">
      <w:pPr>
        <w:ind w:right="91"/>
        <w:rPr>
          <w:rFonts w:cs="Times New Roman"/>
          <w:szCs w:val="24"/>
        </w:rPr>
      </w:pPr>
      <w:r w:rsidRPr="00527A45">
        <w:rPr>
          <w:rFonts w:cs="Times New Roman"/>
          <w:szCs w:val="24"/>
        </w:rPr>
        <w:t>The</w:t>
      </w:r>
      <w:r w:rsidR="005D1A7D">
        <w:rPr>
          <w:rFonts w:cs="Times New Roman"/>
          <w:szCs w:val="24"/>
        </w:rPr>
        <w:t xml:space="preserve"> </w:t>
      </w:r>
      <w:r w:rsidR="005D1A7D" w:rsidRPr="005D1A7D">
        <w:rPr>
          <w:i/>
        </w:rPr>
        <w:t>Australian Capital Territory (Self-Government) Regulations 2021</w:t>
      </w:r>
      <w:r w:rsidRPr="00527A45">
        <w:rPr>
          <w:rFonts w:cs="Times New Roman"/>
          <w:szCs w:val="24"/>
        </w:rPr>
        <w:t xml:space="preserve"> (the </w:t>
      </w:r>
      <w:r w:rsidR="005D1A7D">
        <w:rPr>
          <w:rFonts w:cs="Times New Roman"/>
          <w:szCs w:val="24"/>
        </w:rPr>
        <w:t>Regulations</w:t>
      </w:r>
      <w:r w:rsidRPr="00527A45">
        <w:rPr>
          <w:rFonts w:cs="Times New Roman"/>
          <w:szCs w:val="24"/>
        </w:rPr>
        <w:t xml:space="preserve">) </w:t>
      </w:r>
      <w:r w:rsidR="005D1A7D">
        <w:rPr>
          <w:rFonts w:cs="Times New Roman"/>
          <w:szCs w:val="24"/>
        </w:rPr>
        <w:t>are</w:t>
      </w:r>
      <w:r w:rsidRPr="00527A45">
        <w:rPr>
          <w:rFonts w:cs="Times New Roman"/>
          <w:szCs w:val="24"/>
        </w:rPr>
        <w:t xml:space="preserve"> made under section </w:t>
      </w:r>
      <w:r w:rsidR="001A1FA0">
        <w:rPr>
          <w:rFonts w:cs="Times New Roman"/>
          <w:szCs w:val="24"/>
        </w:rPr>
        <w:t>27 of the Act which provide that</w:t>
      </w:r>
      <w:r w:rsidR="000850BD">
        <w:rPr>
          <w:rFonts w:cs="Times New Roman"/>
          <w:szCs w:val="24"/>
        </w:rPr>
        <w:t>,</w:t>
      </w:r>
      <w:r w:rsidR="001A1FA0">
        <w:rPr>
          <w:rFonts w:cs="Times New Roman"/>
          <w:szCs w:val="24"/>
        </w:rPr>
        <w:t xml:space="preserve"> except as provided by the regulations, an enactment does not bind the Crown in right of the Commonwealth. </w:t>
      </w:r>
    </w:p>
    <w:p w14:paraId="381C4404" w14:textId="77777777" w:rsidR="00F77AA0" w:rsidRPr="00527A45" w:rsidRDefault="00F77AA0" w:rsidP="00F77AA0">
      <w:pPr>
        <w:ind w:right="91"/>
        <w:rPr>
          <w:rFonts w:cs="Times New Roman"/>
          <w:szCs w:val="24"/>
        </w:rPr>
      </w:pPr>
    </w:p>
    <w:p w14:paraId="6122C805" w14:textId="77777777" w:rsidR="004C6BE8" w:rsidRPr="00527A45" w:rsidRDefault="004C6BE8" w:rsidP="00F77AA0">
      <w:pPr>
        <w:rPr>
          <w:rFonts w:cs="Times New Roman"/>
          <w:szCs w:val="24"/>
          <w:u w:val="single"/>
        </w:rPr>
      </w:pPr>
      <w:r w:rsidRPr="00527A45">
        <w:rPr>
          <w:rFonts w:cs="Times New Roman"/>
          <w:szCs w:val="24"/>
          <w:u w:val="single"/>
        </w:rPr>
        <w:t>Purpose and operation</w:t>
      </w:r>
    </w:p>
    <w:p w14:paraId="0E605B6F" w14:textId="55F4E296" w:rsidR="00933340" w:rsidRDefault="00933340" w:rsidP="00F77AA0">
      <w:pPr>
        <w:rPr>
          <w:rFonts w:cs="Times New Roman"/>
          <w:szCs w:val="24"/>
          <w:u w:val="single"/>
        </w:rPr>
      </w:pPr>
    </w:p>
    <w:p w14:paraId="13FDDB6F" w14:textId="77777777" w:rsidR="00336F4A" w:rsidRDefault="001A1FA0" w:rsidP="00E9076A">
      <w:pPr>
        <w:rPr>
          <w:szCs w:val="24"/>
        </w:rPr>
      </w:pPr>
      <w:r>
        <w:rPr>
          <w:rFonts w:cs="Times New Roman"/>
          <w:szCs w:val="24"/>
        </w:rPr>
        <w:t xml:space="preserve">The Regulations replace the </w:t>
      </w:r>
      <w:r w:rsidRPr="001A1FA0">
        <w:rPr>
          <w:rFonts w:cs="Times New Roman"/>
          <w:i/>
          <w:szCs w:val="24"/>
        </w:rPr>
        <w:t>Australian Capital Territory (Self-Government) Regulations</w:t>
      </w:r>
      <w:r>
        <w:rPr>
          <w:rFonts w:cs="Times New Roman"/>
          <w:i/>
          <w:szCs w:val="24"/>
        </w:rPr>
        <w:t> </w:t>
      </w:r>
      <w:r w:rsidRPr="001A1FA0">
        <w:rPr>
          <w:rFonts w:cs="Times New Roman"/>
          <w:i/>
          <w:szCs w:val="24"/>
        </w:rPr>
        <w:t>1989</w:t>
      </w:r>
      <w:r>
        <w:rPr>
          <w:rFonts w:cs="Times New Roman"/>
          <w:szCs w:val="24"/>
        </w:rPr>
        <w:t xml:space="preserve"> which are due to sunset on 1 April 2022.</w:t>
      </w:r>
      <w:r w:rsidR="00336F4A">
        <w:rPr>
          <w:rFonts w:cs="Times New Roman"/>
          <w:szCs w:val="24"/>
        </w:rPr>
        <w:t xml:space="preserve"> </w:t>
      </w:r>
      <w:r w:rsidR="008D576B" w:rsidRPr="001A1FA0">
        <w:rPr>
          <w:szCs w:val="24"/>
        </w:rPr>
        <w:t>The</w:t>
      </w:r>
      <w:r w:rsidRPr="001A1FA0">
        <w:rPr>
          <w:szCs w:val="24"/>
        </w:rPr>
        <w:t xml:space="preserve"> Regulations </w:t>
      </w:r>
      <w:r w:rsidR="00336F4A">
        <w:rPr>
          <w:szCs w:val="24"/>
        </w:rPr>
        <w:t>have been amended to remove provisions which are no longer required and to update the list of enactments which bind the Crown in right of the Commonwealth.</w:t>
      </w:r>
    </w:p>
    <w:p w14:paraId="317D644B" w14:textId="77777777" w:rsidR="00336F4A" w:rsidRDefault="00336F4A" w:rsidP="00E9076A">
      <w:pPr>
        <w:rPr>
          <w:szCs w:val="24"/>
        </w:rPr>
      </w:pPr>
    </w:p>
    <w:p w14:paraId="20D663A1" w14:textId="05B5116E" w:rsidR="001A1FA0" w:rsidRPr="00336F4A" w:rsidRDefault="00336F4A" w:rsidP="00E9076A">
      <w:pPr>
        <w:rPr>
          <w:szCs w:val="24"/>
          <w:u w:val="single"/>
        </w:rPr>
      </w:pPr>
      <w:r w:rsidRPr="00336F4A">
        <w:rPr>
          <w:szCs w:val="24"/>
          <w:u w:val="single"/>
        </w:rPr>
        <w:t>Consultation</w:t>
      </w:r>
    </w:p>
    <w:p w14:paraId="6D3D7CCD" w14:textId="4879543E" w:rsidR="001A1FA0" w:rsidRPr="001A1FA0" w:rsidRDefault="001A1FA0" w:rsidP="00E9076A">
      <w:pPr>
        <w:rPr>
          <w:szCs w:val="24"/>
        </w:rPr>
      </w:pPr>
    </w:p>
    <w:p w14:paraId="0ECA0C2A" w14:textId="1A799DEC" w:rsidR="005E2777" w:rsidRDefault="00336F4A" w:rsidP="002E7744">
      <w:r>
        <w:t>The ACT Government and Australian Government agencies were consulted about the list of enactments in the Regulations which bind the Crown in right of the Commonwealth.</w:t>
      </w:r>
    </w:p>
    <w:p w14:paraId="0B8759AF" w14:textId="77777777" w:rsidR="00336F4A" w:rsidRPr="00527A45" w:rsidRDefault="00336F4A" w:rsidP="002E7744"/>
    <w:p w14:paraId="33D1E1F8" w14:textId="77777777" w:rsidR="004C6BE8" w:rsidRPr="00527A45" w:rsidRDefault="00B3281D" w:rsidP="00F77AA0">
      <w:pPr>
        <w:rPr>
          <w:rFonts w:cs="Times New Roman"/>
          <w:szCs w:val="24"/>
          <w:u w:val="single"/>
        </w:rPr>
      </w:pPr>
      <w:r w:rsidRPr="00527A45">
        <w:rPr>
          <w:rFonts w:cs="Times New Roman"/>
          <w:szCs w:val="24"/>
          <w:u w:val="single"/>
        </w:rPr>
        <w:t>Other</w:t>
      </w:r>
    </w:p>
    <w:p w14:paraId="15D6A729" w14:textId="77777777" w:rsidR="00F77AA0" w:rsidRPr="00527A45" w:rsidRDefault="00F77AA0" w:rsidP="00F77AA0">
      <w:pPr>
        <w:rPr>
          <w:rFonts w:cs="Times New Roman"/>
          <w:szCs w:val="24"/>
          <w:u w:val="single"/>
        </w:rPr>
      </w:pPr>
    </w:p>
    <w:p w14:paraId="66D78EFB" w14:textId="6681FC83" w:rsidR="00B3281D" w:rsidRPr="00527A45" w:rsidRDefault="00B3281D" w:rsidP="00F77AA0">
      <w:pPr>
        <w:tabs>
          <w:tab w:val="left" w:pos="1701"/>
          <w:tab w:val="right" w:pos="9072"/>
        </w:tabs>
        <w:ind w:right="91"/>
        <w:rPr>
          <w:rFonts w:cs="Times New Roman"/>
        </w:rPr>
      </w:pPr>
      <w:r w:rsidRPr="00527A45">
        <w:rPr>
          <w:rFonts w:cs="Times New Roman"/>
        </w:rPr>
        <w:t xml:space="preserve">The </w:t>
      </w:r>
      <w:r w:rsidR="00336F4A">
        <w:rPr>
          <w:rFonts w:cs="Times New Roman"/>
        </w:rPr>
        <w:t>Regulations are</w:t>
      </w:r>
      <w:r w:rsidRPr="00527A45">
        <w:rPr>
          <w:rFonts w:cs="Times New Roman"/>
        </w:rPr>
        <w:t xml:space="preserve"> a legislative instrument for the purposes of the </w:t>
      </w:r>
      <w:r w:rsidRPr="00527A45">
        <w:rPr>
          <w:rFonts w:cs="Times New Roman"/>
          <w:i/>
        </w:rPr>
        <w:t>Legislation Act 2003</w:t>
      </w:r>
      <w:r w:rsidRPr="00527A45">
        <w:rPr>
          <w:rFonts w:cs="Times New Roman"/>
        </w:rPr>
        <w:t>.</w:t>
      </w:r>
    </w:p>
    <w:p w14:paraId="76953123" w14:textId="77777777" w:rsidR="0087522E" w:rsidRPr="00527A45" w:rsidRDefault="0087522E" w:rsidP="00F77AA0">
      <w:pPr>
        <w:tabs>
          <w:tab w:val="left" w:pos="1701"/>
          <w:tab w:val="right" w:pos="9072"/>
        </w:tabs>
        <w:ind w:right="91"/>
        <w:rPr>
          <w:rFonts w:cs="Times New Roman"/>
        </w:rPr>
      </w:pPr>
    </w:p>
    <w:p w14:paraId="548AF284" w14:textId="011588A1" w:rsidR="00933340" w:rsidRPr="00527A45" w:rsidRDefault="00933340" w:rsidP="00F77AA0">
      <w:pPr>
        <w:tabs>
          <w:tab w:val="left" w:pos="1701"/>
          <w:tab w:val="right" w:pos="9072"/>
        </w:tabs>
        <w:ind w:right="91"/>
        <w:rPr>
          <w:rFonts w:cs="Times New Roman"/>
        </w:rPr>
      </w:pPr>
      <w:r w:rsidRPr="00527A45">
        <w:rPr>
          <w:rFonts w:cs="Times New Roman"/>
        </w:rPr>
        <w:t xml:space="preserve">The </w:t>
      </w:r>
      <w:r w:rsidR="00336F4A">
        <w:rPr>
          <w:rFonts w:cs="Times New Roman"/>
        </w:rPr>
        <w:t>Regulations</w:t>
      </w:r>
      <w:r w:rsidRPr="00527A45">
        <w:rPr>
          <w:rFonts w:cs="Times New Roman"/>
        </w:rPr>
        <w:t xml:space="preserve"> commence the day after registration on the Federal Register of Legislation.</w:t>
      </w:r>
    </w:p>
    <w:p w14:paraId="718693E2" w14:textId="77777777" w:rsidR="00F77AA0" w:rsidRPr="00527A45" w:rsidRDefault="00F77AA0" w:rsidP="00F77AA0">
      <w:pPr>
        <w:tabs>
          <w:tab w:val="left" w:pos="1701"/>
          <w:tab w:val="right" w:pos="9072"/>
        </w:tabs>
        <w:ind w:right="91"/>
        <w:rPr>
          <w:rFonts w:cs="Times New Roman"/>
        </w:rPr>
      </w:pPr>
    </w:p>
    <w:p w14:paraId="52E42E73" w14:textId="6AC2CA35" w:rsidR="00B3281D" w:rsidRPr="00527A45" w:rsidRDefault="00B3281D" w:rsidP="00F77AA0">
      <w:pPr>
        <w:tabs>
          <w:tab w:val="left" w:pos="1701"/>
          <w:tab w:val="right" w:pos="9072"/>
        </w:tabs>
        <w:ind w:right="91"/>
        <w:rPr>
          <w:rFonts w:cs="Times New Roman"/>
        </w:rPr>
      </w:pPr>
      <w:r w:rsidRPr="00527A45">
        <w:rPr>
          <w:rFonts w:cs="Times New Roman"/>
        </w:rPr>
        <w:t xml:space="preserve">Details of the </w:t>
      </w:r>
      <w:r w:rsidR="00336F4A">
        <w:rPr>
          <w:rFonts w:cs="Times New Roman"/>
        </w:rPr>
        <w:t>Regulations</w:t>
      </w:r>
      <w:r w:rsidRPr="00527A45">
        <w:rPr>
          <w:rFonts w:cs="Times New Roman"/>
        </w:rPr>
        <w:t xml:space="preserve"> are set out in the </w:t>
      </w:r>
      <w:r w:rsidRPr="00527A45">
        <w:rPr>
          <w:rFonts w:cs="Times New Roman"/>
          <w:u w:val="single"/>
        </w:rPr>
        <w:t>Attachment</w:t>
      </w:r>
      <w:r w:rsidRPr="00527A45">
        <w:rPr>
          <w:rFonts w:cs="Times New Roman"/>
        </w:rPr>
        <w:t>.</w:t>
      </w:r>
    </w:p>
    <w:p w14:paraId="16D6DA9B" w14:textId="77777777" w:rsidR="00C42F21" w:rsidRPr="00527A45" w:rsidRDefault="00C42F21" w:rsidP="00F77AA0">
      <w:pPr>
        <w:rPr>
          <w:rFonts w:cs="Times New Roman"/>
          <w:b/>
          <w:sz w:val="28"/>
        </w:rPr>
      </w:pPr>
    </w:p>
    <w:p w14:paraId="7EC70C46" w14:textId="77777777" w:rsidR="00D51EDB" w:rsidRPr="00527A45" w:rsidRDefault="00D51EDB">
      <w:pPr>
        <w:spacing w:after="200" w:line="276" w:lineRule="auto"/>
        <w:rPr>
          <w:rFonts w:cs="Times New Roman"/>
          <w:b/>
          <w:szCs w:val="28"/>
        </w:rPr>
      </w:pPr>
      <w:r w:rsidRPr="00527A45">
        <w:rPr>
          <w:rFonts w:cs="Times New Roman"/>
        </w:rPr>
        <w:br w:type="page"/>
      </w:r>
    </w:p>
    <w:p w14:paraId="00B2CC11" w14:textId="43892115" w:rsidR="00064431" w:rsidRPr="00527A45" w:rsidRDefault="00064431" w:rsidP="00AB0A6C">
      <w:pPr>
        <w:pStyle w:val="Heading2"/>
        <w:spacing w:before="0"/>
        <w:rPr>
          <w:rFonts w:cs="Times New Roman"/>
        </w:rPr>
      </w:pPr>
      <w:r w:rsidRPr="00527A45">
        <w:rPr>
          <w:rFonts w:cs="Times New Roman"/>
        </w:rPr>
        <w:lastRenderedPageBreak/>
        <w:t>Statement of Compatibility with Human Rights</w:t>
      </w:r>
    </w:p>
    <w:p w14:paraId="664B4E3D" w14:textId="77777777" w:rsidR="00064431" w:rsidRPr="00527A45" w:rsidRDefault="00064431" w:rsidP="00F77AA0">
      <w:pPr>
        <w:jc w:val="center"/>
        <w:rPr>
          <w:rFonts w:cs="Times New Roman"/>
          <w:szCs w:val="24"/>
        </w:rPr>
      </w:pPr>
      <w:r w:rsidRPr="00527A45">
        <w:rPr>
          <w:rFonts w:cs="Times New Roman"/>
          <w:i/>
          <w:szCs w:val="24"/>
        </w:rPr>
        <w:t>Prepared in accordance with Part 3 of the Human Rights (Parliamentary Scrutiny) Act 2011</w:t>
      </w:r>
    </w:p>
    <w:p w14:paraId="72055E7D" w14:textId="77777777" w:rsidR="00064431" w:rsidRPr="00527A45" w:rsidRDefault="00064431" w:rsidP="00F77AA0">
      <w:pPr>
        <w:jc w:val="center"/>
        <w:rPr>
          <w:rFonts w:cs="Times New Roman"/>
          <w:szCs w:val="24"/>
        </w:rPr>
      </w:pPr>
    </w:p>
    <w:p w14:paraId="1BC381C3" w14:textId="77777777" w:rsidR="00336F4A" w:rsidRPr="005D1A7D" w:rsidRDefault="00336F4A" w:rsidP="00336F4A">
      <w:pPr>
        <w:ind w:left="1440" w:right="91"/>
        <w:rPr>
          <w:b/>
          <w:i/>
        </w:rPr>
      </w:pPr>
      <w:r w:rsidRPr="005D1A7D">
        <w:rPr>
          <w:b/>
          <w:i/>
        </w:rPr>
        <w:t>Australian Capital Territory (Self-Government) Regulations 2021</w:t>
      </w:r>
    </w:p>
    <w:p w14:paraId="474135DB" w14:textId="77777777" w:rsidR="00064431" w:rsidRPr="00527A45" w:rsidRDefault="00064431" w:rsidP="00AB0A6C">
      <w:pPr>
        <w:jc w:val="center"/>
        <w:rPr>
          <w:rFonts w:cs="Times New Roman"/>
          <w:szCs w:val="24"/>
        </w:rPr>
      </w:pPr>
    </w:p>
    <w:p w14:paraId="2BBBE522" w14:textId="77777777" w:rsidR="00064431" w:rsidRPr="00527A45" w:rsidRDefault="004C6BE8" w:rsidP="00AB0A6C">
      <w:pPr>
        <w:jc w:val="center"/>
        <w:rPr>
          <w:rFonts w:cs="Times New Roman"/>
          <w:szCs w:val="24"/>
        </w:rPr>
      </w:pPr>
      <w:r w:rsidRPr="00527A45">
        <w:rPr>
          <w:rFonts w:cs="Times New Roman"/>
          <w:szCs w:val="24"/>
        </w:rPr>
        <w:t xml:space="preserve">This Disallowable Legislative Instrument </w:t>
      </w:r>
      <w:r w:rsidR="00064431" w:rsidRPr="00527A45">
        <w:rPr>
          <w:rFonts w:cs="Times New Roman"/>
          <w:szCs w:val="24"/>
        </w:rPr>
        <w:t xml:space="preserve">is compatible with the human rights and freedoms recognised or declared in the international instruments listed in section 3 of the </w:t>
      </w:r>
      <w:r w:rsidR="00064431" w:rsidRPr="00527A45">
        <w:rPr>
          <w:rFonts w:cs="Times New Roman"/>
          <w:i/>
          <w:szCs w:val="24"/>
        </w:rPr>
        <w:t>Human Rights (Parliamentary Scrutiny) Act 2011</w:t>
      </w:r>
      <w:r w:rsidR="00064431" w:rsidRPr="00527A45">
        <w:rPr>
          <w:rFonts w:cs="Times New Roman"/>
          <w:szCs w:val="24"/>
        </w:rPr>
        <w:t>.</w:t>
      </w:r>
    </w:p>
    <w:p w14:paraId="62520345" w14:textId="77777777" w:rsidR="00064431" w:rsidRPr="00527A45" w:rsidRDefault="00064431" w:rsidP="00AB0A6C">
      <w:pPr>
        <w:rPr>
          <w:rFonts w:cs="Times New Roman"/>
          <w:szCs w:val="24"/>
        </w:rPr>
      </w:pPr>
    </w:p>
    <w:p w14:paraId="7F545790" w14:textId="021E8A2C" w:rsidR="00064431" w:rsidRPr="00527A45" w:rsidRDefault="00064431" w:rsidP="00AB0A6C">
      <w:pPr>
        <w:pStyle w:val="Heading3"/>
        <w:spacing w:before="0" w:after="0"/>
        <w:rPr>
          <w:rFonts w:cs="Times New Roman"/>
        </w:rPr>
      </w:pPr>
      <w:r w:rsidRPr="00527A45">
        <w:rPr>
          <w:rFonts w:cs="Times New Roman"/>
        </w:rPr>
        <w:t xml:space="preserve">Overview of the </w:t>
      </w:r>
      <w:r w:rsidR="00336F4A">
        <w:rPr>
          <w:rFonts w:cs="Times New Roman"/>
        </w:rPr>
        <w:t>Regulations</w:t>
      </w:r>
    </w:p>
    <w:p w14:paraId="61B025EC" w14:textId="77777777" w:rsidR="00F77AA0" w:rsidRPr="00527A45" w:rsidRDefault="00F77AA0" w:rsidP="00AB0A6C"/>
    <w:p w14:paraId="274AF145" w14:textId="77777777" w:rsidR="00336F4A" w:rsidRPr="00527A45" w:rsidRDefault="00336F4A" w:rsidP="00336F4A">
      <w:pPr>
        <w:rPr>
          <w:rFonts w:cs="Times New Roman"/>
          <w:szCs w:val="24"/>
          <w:u w:val="single"/>
        </w:rPr>
      </w:pPr>
      <w:r w:rsidRPr="00527A45">
        <w:rPr>
          <w:rFonts w:cs="Times New Roman"/>
          <w:szCs w:val="24"/>
          <w:u w:val="single"/>
        </w:rPr>
        <w:t>Purpose and operation</w:t>
      </w:r>
    </w:p>
    <w:p w14:paraId="0116AC9A" w14:textId="77777777" w:rsidR="00336F4A" w:rsidRDefault="00336F4A" w:rsidP="00336F4A">
      <w:pPr>
        <w:rPr>
          <w:rFonts w:cs="Times New Roman"/>
          <w:szCs w:val="24"/>
          <w:u w:val="single"/>
        </w:rPr>
      </w:pPr>
    </w:p>
    <w:p w14:paraId="5DE83CD3" w14:textId="3AB51B90" w:rsidR="00336F4A" w:rsidRDefault="00336F4A" w:rsidP="00336F4A">
      <w:pPr>
        <w:rPr>
          <w:szCs w:val="24"/>
        </w:rPr>
      </w:pPr>
      <w:r>
        <w:rPr>
          <w:rFonts w:cs="Times New Roman"/>
          <w:szCs w:val="24"/>
        </w:rPr>
        <w:t xml:space="preserve">The Regulations replace the </w:t>
      </w:r>
      <w:r w:rsidRPr="001A1FA0">
        <w:rPr>
          <w:rFonts w:cs="Times New Roman"/>
          <w:i/>
          <w:szCs w:val="24"/>
        </w:rPr>
        <w:t>Australian Capital Territory (Self-Government) Regulations</w:t>
      </w:r>
      <w:r>
        <w:rPr>
          <w:rFonts w:cs="Times New Roman"/>
          <w:i/>
          <w:szCs w:val="24"/>
        </w:rPr>
        <w:t> </w:t>
      </w:r>
      <w:r w:rsidRPr="001A1FA0">
        <w:rPr>
          <w:rFonts w:cs="Times New Roman"/>
          <w:i/>
          <w:szCs w:val="24"/>
        </w:rPr>
        <w:t>1989</w:t>
      </w:r>
      <w:r>
        <w:rPr>
          <w:rFonts w:cs="Times New Roman"/>
          <w:szCs w:val="24"/>
        </w:rPr>
        <w:t xml:space="preserve"> which are due to sunset on 1 April 2022. </w:t>
      </w:r>
      <w:r w:rsidRPr="001A1FA0">
        <w:rPr>
          <w:szCs w:val="24"/>
        </w:rPr>
        <w:t xml:space="preserve">The Regulations </w:t>
      </w:r>
      <w:r>
        <w:rPr>
          <w:szCs w:val="24"/>
        </w:rPr>
        <w:t>have been amended to remove provisions which are no longer required and to update the list of enactments which bind the Crown in right of the Commonwealth.</w:t>
      </w:r>
    </w:p>
    <w:p w14:paraId="50EF3462" w14:textId="77777777" w:rsidR="00336F4A" w:rsidRDefault="00336F4A" w:rsidP="00336F4A">
      <w:pPr>
        <w:rPr>
          <w:szCs w:val="24"/>
        </w:rPr>
      </w:pPr>
    </w:p>
    <w:p w14:paraId="3817F057" w14:textId="7EDEAACA" w:rsidR="00064431" w:rsidRPr="00527A45" w:rsidRDefault="00064431" w:rsidP="00AB0A6C">
      <w:pPr>
        <w:pStyle w:val="Heading3"/>
        <w:keepNext/>
        <w:keepLines/>
        <w:spacing w:before="0" w:after="0"/>
        <w:rPr>
          <w:rFonts w:cs="Times New Roman"/>
        </w:rPr>
      </w:pPr>
      <w:r w:rsidRPr="00527A45">
        <w:rPr>
          <w:rFonts w:cs="Times New Roman"/>
        </w:rPr>
        <w:t>Human rights implications</w:t>
      </w:r>
    </w:p>
    <w:p w14:paraId="096BFBB2" w14:textId="77777777" w:rsidR="00B72E71" w:rsidRPr="00527A45" w:rsidRDefault="00B72E71" w:rsidP="00AB0A6C"/>
    <w:p w14:paraId="1DA2D5FC" w14:textId="0F7F2F19" w:rsidR="00AB0A6C" w:rsidRPr="00527A45" w:rsidRDefault="00AB0A6C" w:rsidP="00AB0A6C">
      <w:pPr>
        <w:rPr>
          <w:rFonts w:cs="Times New Roman"/>
          <w:b/>
          <w:szCs w:val="24"/>
        </w:rPr>
      </w:pPr>
      <w:r w:rsidRPr="00527A45">
        <w:rPr>
          <w:szCs w:val="24"/>
        </w:rPr>
        <w:t>Th</w:t>
      </w:r>
      <w:r w:rsidR="00336F4A">
        <w:rPr>
          <w:szCs w:val="24"/>
        </w:rPr>
        <w:t xml:space="preserve">e Regulations </w:t>
      </w:r>
      <w:r w:rsidRPr="00527A45">
        <w:rPr>
          <w:szCs w:val="24"/>
        </w:rPr>
        <w:t xml:space="preserve">do not engage any of the applicable rights or </w:t>
      </w:r>
      <w:r w:rsidRPr="00527A45">
        <w:rPr>
          <w:rFonts w:cs="Times New Roman"/>
          <w:szCs w:val="24"/>
        </w:rPr>
        <w:t>freedoms.</w:t>
      </w:r>
    </w:p>
    <w:p w14:paraId="5F4DEB0B" w14:textId="77777777" w:rsidR="002D7586" w:rsidRPr="00527A45" w:rsidRDefault="002D7586" w:rsidP="00AB0A6C">
      <w:pPr>
        <w:rPr>
          <w:rFonts w:asciiTheme="minorHAnsi" w:hAnsiTheme="minorHAnsi" w:cstheme="minorHAnsi"/>
          <w:sz w:val="20"/>
          <w:szCs w:val="24"/>
        </w:rPr>
      </w:pPr>
    </w:p>
    <w:p w14:paraId="4A2C4E35" w14:textId="77777777" w:rsidR="0065380C" w:rsidRPr="00527A45" w:rsidRDefault="00064431" w:rsidP="00AB0A6C">
      <w:pPr>
        <w:pStyle w:val="Heading3"/>
        <w:spacing w:before="0" w:after="0"/>
        <w:rPr>
          <w:rFonts w:cs="Times New Roman"/>
        </w:rPr>
      </w:pPr>
      <w:r w:rsidRPr="00527A45">
        <w:rPr>
          <w:rFonts w:cs="Times New Roman"/>
        </w:rPr>
        <w:t>Conclusion</w:t>
      </w:r>
    </w:p>
    <w:p w14:paraId="3FDDFD75" w14:textId="2583BE67" w:rsidR="00064431" w:rsidRPr="00527A45" w:rsidRDefault="00064431" w:rsidP="00AB0A6C">
      <w:pPr>
        <w:pStyle w:val="Heading3"/>
        <w:spacing w:before="0" w:after="0"/>
        <w:rPr>
          <w:rFonts w:cs="Times New Roman"/>
        </w:rPr>
      </w:pPr>
      <w:r w:rsidRPr="00527A45">
        <w:rPr>
          <w:rFonts w:cs="Times New Roman"/>
        </w:rPr>
        <w:t xml:space="preserve"> </w:t>
      </w:r>
    </w:p>
    <w:p w14:paraId="50A20C90" w14:textId="513D27F2" w:rsidR="00AB0A6C" w:rsidRPr="00527A45" w:rsidRDefault="00AB0A6C" w:rsidP="00AB0A6C">
      <w:pPr>
        <w:spacing w:after="120"/>
        <w:rPr>
          <w:szCs w:val="24"/>
        </w:rPr>
      </w:pPr>
      <w:r w:rsidRPr="00527A45">
        <w:rPr>
          <w:szCs w:val="24"/>
        </w:rPr>
        <w:t>Th</w:t>
      </w:r>
      <w:r w:rsidR="00336F4A">
        <w:rPr>
          <w:szCs w:val="24"/>
        </w:rPr>
        <w:t>e Regulations are</w:t>
      </w:r>
      <w:r w:rsidRPr="00527A45">
        <w:rPr>
          <w:szCs w:val="24"/>
        </w:rPr>
        <w:t xml:space="preserve"> compatible with human rights as </w:t>
      </w:r>
      <w:r w:rsidR="00336F4A">
        <w:rPr>
          <w:szCs w:val="24"/>
        </w:rPr>
        <w:t xml:space="preserve">they </w:t>
      </w:r>
      <w:r w:rsidRPr="00527A45">
        <w:rPr>
          <w:szCs w:val="24"/>
        </w:rPr>
        <w:t>do not raise any human rights issues.</w:t>
      </w:r>
    </w:p>
    <w:p w14:paraId="446DD903" w14:textId="77777777" w:rsidR="00D40D0D" w:rsidRPr="00527A45" w:rsidRDefault="00D40D0D" w:rsidP="00AB0A6C">
      <w:pPr>
        <w:rPr>
          <w:rFonts w:cs="Times New Roman"/>
          <w:szCs w:val="24"/>
        </w:rPr>
      </w:pPr>
    </w:p>
    <w:p w14:paraId="452B1484" w14:textId="77777777" w:rsidR="00B72E71" w:rsidRPr="00527A45" w:rsidRDefault="00B72E71" w:rsidP="00AB0A6C">
      <w:pPr>
        <w:keepNext/>
        <w:keepLines/>
        <w:jc w:val="center"/>
        <w:rPr>
          <w:rFonts w:cs="Times New Roman"/>
          <w:b/>
        </w:rPr>
      </w:pPr>
      <w:r w:rsidRPr="00527A45">
        <w:rPr>
          <w:rFonts w:cs="Times New Roman"/>
          <w:b/>
        </w:rPr>
        <w:t xml:space="preserve">Assistant Minister for Regional Development and Territories, </w:t>
      </w:r>
    </w:p>
    <w:p w14:paraId="20BEF049" w14:textId="77777777" w:rsidR="00B72E71" w:rsidRPr="00527A45" w:rsidRDefault="00B72E71" w:rsidP="00AB0A6C">
      <w:pPr>
        <w:keepNext/>
        <w:keepLines/>
        <w:jc w:val="center"/>
        <w:rPr>
          <w:rFonts w:cs="Times New Roman"/>
          <w:b/>
        </w:rPr>
      </w:pPr>
      <w:r w:rsidRPr="00527A45">
        <w:rPr>
          <w:rFonts w:cs="Times New Roman"/>
          <w:b/>
        </w:rPr>
        <w:t>Parliamentary Secretary to the Deputy Prime Minister and Minister for Infrastructure, Transport and Regional Development</w:t>
      </w:r>
    </w:p>
    <w:p w14:paraId="5814DC50" w14:textId="77777777" w:rsidR="00B72E71" w:rsidRPr="00527A45" w:rsidRDefault="00B72E71" w:rsidP="00AB0A6C">
      <w:pPr>
        <w:keepNext/>
        <w:keepLines/>
        <w:jc w:val="center"/>
        <w:rPr>
          <w:rFonts w:cs="Times New Roman"/>
          <w:b/>
        </w:rPr>
      </w:pPr>
    </w:p>
    <w:p w14:paraId="557B2CF4" w14:textId="33E92EEB" w:rsidR="00D40D0D" w:rsidRPr="00527A45" w:rsidRDefault="00B72E71" w:rsidP="00AB0A6C">
      <w:pPr>
        <w:keepNext/>
        <w:keepLines/>
        <w:jc w:val="center"/>
        <w:rPr>
          <w:rFonts w:cs="Times New Roman"/>
          <w:b/>
        </w:rPr>
      </w:pPr>
      <w:r w:rsidRPr="00527A45">
        <w:rPr>
          <w:rFonts w:cs="Times New Roman"/>
          <w:b/>
        </w:rPr>
        <w:t>The Hon Nola Marino MP</w:t>
      </w:r>
    </w:p>
    <w:p w14:paraId="0B666FD2" w14:textId="77777777" w:rsidR="006C54BF" w:rsidRPr="00527A45" w:rsidRDefault="006C54BF" w:rsidP="00AB0A6C">
      <w:pPr>
        <w:spacing w:after="200" w:line="276" w:lineRule="auto"/>
        <w:rPr>
          <w:rFonts w:cs="Times New Roman"/>
          <w:b/>
          <w:szCs w:val="24"/>
          <w:u w:val="single"/>
        </w:rPr>
      </w:pPr>
      <w:r w:rsidRPr="00527A45">
        <w:rPr>
          <w:rFonts w:cs="Times New Roman"/>
          <w:b/>
          <w:szCs w:val="24"/>
          <w:u w:val="single"/>
        </w:rPr>
        <w:br w:type="page"/>
      </w:r>
    </w:p>
    <w:p w14:paraId="3FEA10B8" w14:textId="312C4BD8" w:rsidR="00B72E71" w:rsidRPr="00527A45" w:rsidRDefault="00B72E71" w:rsidP="008B74D0">
      <w:pPr>
        <w:rPr>
          <w:rFonts w:cs="Times New Roman"/>
          <w:b/>
          <w:szCs w:val="24"/>
          <w:u w:val="single"/>
        </w:rPr>
      </w:pPr>
      <w:r w:rsidRPr="00527A45">
        <w:rPr>
          <w:rFonts w:cs="Times New Roman"/>
          <w:b/>
          <w:szCs w:val="24"/>
          <w:u w:val="single"/>
        </w:rPr>
        <w:lastRenderedPageBreak/>
        <w:t>ATTACHMENT—NOTES ON CLAUSES</w:t>
      </w:r>
    </w:p>
    <w:p w14:paraId="796E47D1" w14:textId="77777777" w:rsidR="008B74D0" w:rsidRDefault="008B74D0" w:rsidP="008B74D0">
      <w:pPr>
        <w:rPr>
          <w:rFonts w:cs="Times New Roman"/>
          <w:szCs w:val="24"/>
        </w:rPr>
      </w:pPr>
    </w:p>
    <w:p w14:paraId="11904381" w14:textId="16DD3D1F" w:rsidR="00B72E71" w:rsidRDefault="00B72E71" w:rsidP="008B74D0">
      <w:pPr>
        <w:rPr>
          <w:rFonts w:cs="Times New Roman"/>
          <w:szCs w:val="24"/>
        </w:rPr>
      </w:pPr>
      <w:r w:rsidRPr="00527A45">
        <w:rPr>
          <w:rFonts w:cs="Times New Roman"/>
          <w:szCs w:val="24"/>
        </w:rPr>
        <w:t xml:space="preserve">This attachment explains the operation of individual provisions in the </w:t>
      </w:r>
      <w:r w:rsidR="00336F4A" w:rsidRPr="00336F4A">
        <w:rPr>
          <w:i/>
        </w:rPr>
        <w:t>Australian Capital Territory (Self-Government) Regulations 2021</w:t>
      </w:r>
      <w:r w:rsidR="002E16DF" w:rsidRPr="00527A45">
        <w:rPr>
          <w:rFonts w:cs="Times New Roman"/>
          <w:szCs w:val="24"/>
        </w:rPr>
        <w:t>.</w:t>
      </w:r>
      <w:r w:rsidRPr="00527A45">
        <w:rPr>
          <w:rFonts w:cs="Times New Roman"/>
          <w:szCs w:val="24"/>
        </w:rPr>
        <w:t xml:space="preserve"> </w:t>
      </w:r>
    </w:p>
    <w:p w14:paraId="30CA3DAD" w14:textId="77777777" w:rsidR="00BC6E0A" w:rsidRDefault="00BC6E0A" w:rsidP="00C04E4C">
      <w:pPr>
        <w:rPr>
          <w:rFonts w:cs="Times New Roman"/>
          <w:szCs w:val="24"/>
        </w:rPr>
      </w:pPr>
    </w:p>
    <w:p w14:paraId="1073902A" w14:textId="6B1B9E38" w:rsidR="00BC6E0A" w:rsidRPr="00BC6E0A" w:rsidRDefault="00BC6E0A" w:rsidP="00C04E4C">
      <w:pPr>
        <w:rPr>
          <w:rFonts w:cs="Times New Roman"/>
          <w:b/>
          <w:szCs w:val="24"/>
        </w:rPr>
      </w:pPr>
      <w:r w:rsidRPr="00BC6E0A">
        <w:rPr>
          <w:rFonts w:cs="Times New Roman"/>
          <w:b/>
          <w:szCs w:val="24"/>
        </w:rPr>
        <w:t>Part 1—Preliminary</w:t>
      </w:r>
    </w:p>
    <w:p w14:paraId="5C1FA33D" w14:textId="77777777" w:rsidR="00336F4A" w:rsidRDefault="00336F4A" w:rsidP="002E7744">
      <w:pPr>
        <w:ind w:right="91"/>
        <w:rPr>
          <w:u w:val="single"/>
        </w:rPr>
      </w:pPr>
    </w:p>
    <w:p w14:paraId="12382516" w14:textId="78A48F70" w:rsidR="002E7744" w:rsidRPr="00527A45" w:rsidRDefault="002E7744" w:rsidP="002E7744">
      <w:pPr>
        <w:ind w:right="91"/>
      </w:pPr>
      <w:r w:rsidRPr="00527A45">
        <w:rPr>
          <w:u w:val="single"/>
        </w:rPr>
        <w:t xml:space="preserve">Section 1 – </w:t>
      </w:r>
      <w:r w:rsidR="008B74D0">
        <w:rPr>
          <w:u w:val="single"/>
        </w:rPr>
        <w:t>Name</w:t>
      </w:r>
    </w:p>
    <w:p w14:paraId="0EF3696E" w14:textId="77777777" w:rsidR="002E7744" w:rsidRPr="00527A45" w:rsidRDefault="002E7744" w:rsidP="002E7744">
      <w:pPr>
        <w:ind w:right="91"/>
      </w:pPr>
    </w:p>
    <w:p w14:paraId="2B20496C" w14:textId="05EBFC42" w:rsidR="002E7744" w:rsidRPr="00527A45" w:rsidRDefault="002E7744" w:rsidP="002E7744">
      <w:pPr>
        <w:ind w:right="91"/>
        <w:rPr>
          <w:i/>
        </w:rPr>
      </w:pPr>
      <w:r w:rsidRPr="00527A45">
        <w:t xml:space="preserve">This section provides that the name of the </w:t>
      </w:r>
      <w:r w:rsidR="00BC6E0A">
        <w:t>Regulations is t</w:t>
      </w:r>
      <w:r w:rsidRPr="00527A45">
        <w:t xml:space="preserve">he </w:t>
      </w:r>
      <w:r w:rsidR="00BC6E0A" w:rsidRPr="00BC6E0A">
        <w:rPr>
          <w:i/>
        </w:rPr>
        <w:t>Australian Capital Territory (Self-Government) Regulations 2021</w:t>
      </w:r>
      <w:r w:rsidR="00BC6E0A" w:rsidRPr="00527A45">
        <w:t xml:space="preserve"> </w:t>
      </w:r>
      <w:r w:rsidRPr="00527A45">
        <w:t xml:space="preserve">(the </w:t>
      </w:r>
      <w:r w:rsidR="00BC6E0A">
        <w:t>Regulations</w:t>
      </w:r>
      <w:r w:rsidRPr="00527A45">
        <w:t>)</w:t>
      </w:r>
      <w:r w:rsidRPr="00527A45">
        <w:rPr>
          <w:i/>
        </w:rPr>
        <w:t>.</w:t>
      </w:r>
    </w:p>
    <w:p w14:paraId="10AD9160" w14:textId="77777777" w:rsidR="002E7744" w:rsidRPr="00527A45" w:rsidRDefault="002E7744" w:rsidP="002E7744">
      <w:pPr>
        <w:ind w:right="91"/>
      </w:pPr>
    </w:p>
    <w:p w14:paraId="6DAEBAE2" w14:textId="77777777" w:rsidR="002E7744" w:rsidRPr="00527A45" w:rsidRDefault="002E7744" w:rsidP="002E7744">
      <w:pPr>
        <w:ind w:right="91"/>
        <w:rPr>
          <w:u w:val="single"/>
        </w:rPr>
      </w:pPr>
      <w:r w:rsidRPr="00527A45">
        <w:rPr>
          <w:u w:val="single"/>
        </w:rPr>
        <w:t>Section 2 – Commencement</w:t>
      </w:r>
    </w:p>
    <w:p w14:paraId="634453FB" w14:textId="77777777" w:rsidR="002E7744" w:rsidRPr="00527A45" w:rsidRDefault="002E7744" w:rsidP="002E7744">
      <w:pPr>
        <w:ind w:right="91"/>
      </w:pPr>
    </w:p>
    <w:p w14:paraId="4F56A2F8" w14:textId="3344680C" w:rsidR="002E7744" w:rsidRPr="00527A45" w:rsidRDefault="002E7744" w:rsidP="002E7744">
      <w:pPr>
        <w:tabs>
          <w:tab w:val="left" w:pos="6521"/>
        </w:tabs>
        <w:ind w:right="91"/>
      </w:pPr>
      <w:r w:rsidRPr="00527A45">
        <w:t xml:space="preserve">This section provides for the </w:t>
      </w:r>
      <w:r w:rsidR="00BC6E0A">
        <w:t>Regulations</w:t>
      </w:r>
      <w:r w:rsidRPr="00527A45">
        <w:t xml:space="preserve"> to commence on the day after th</w:t>
      </w:r>
      <w:r w:rsidR="004E404C" w:rsidRPr="00527A45">
        <w:t>e</w:t>
      </w:r>
      <w:r w:rsidRPr="00527A45">
        <w:t xml:space="preserve"> </w:t>
      </w:r>
      <w:r w:rsidR="00BC6E0A">
        <w:t xml:space="preserve">Regulations are </w:t>
      </w:r>
      <w:r w:rsidRPr="00527A45">
        <w:t>registered</w:t>
      </w:r>
      <w:r w:rsidR="00C04E4C">
        <w:t xml:space="preserve"> on the Federal Register of Legislation</w:t>
      </w:r>
      <w:r w:rsidRPr="00527A45">
        <w:t xml:space="preserve">. </w:t>
      </w:r>
    </w:p>
    <w:p w14:paraId="49B6D551" w14:textId="77777777" w:rsidR="002E7744" w:rsidRPr="00527A45" w:rsidRDefault="002E7744" w:rsidP="002E7744">
      <w:pPr>
        <w:ind w:right="91"/>
      </w:pPr>
    </w:p>
    <w:p w14:paraId="06225A5F" w14:textId="77777777" w:rsidR="002E7744" w:rsidRPr="00527A45" w:rsidRDefault="002E7744" w:rsidP="002E7744">
      <w:pPr>
        <w:ind w:right="91"/>
      </w:pPr>
      <w:r w:rsidRPr="00527A45">
        <w:rPr>
          <w:u w:val="single"/>
        </w:rPr>
        <w:t>Section 3 – Authority</w:t>
      </w:r>
    </w:p>
    <w:p w14:paraId="6EF1AF19" w14:textId="77777777" w:rsidR="002E7744" w:rsidRPr="00527A45" w:rsidRDefault="002E7744" w:rsidP="002E7744">
      <w:pPr>
        <w:ind w:right="91"/>
      </w:pPr>
    </w:p>
    <w:p w14:paraId="788E520C" w14:textId="0D778043" w:rsidR="00BC6E0A" w:rsidRDefault="002E7744" w:rsidP="00BC6E0A">
      <w:pPr>
        <w:rPr>
          <w:i/>
        </w:rPr>
      </w:pPr>
      <w:r w:rsidRPr="00527A45">
        <w:t xml:space="preserve">This section provides that the </w:t>
      </w:r>
      <w:r w:rsidR="00BC6E0A">
        <w:t>Regulations are</w:t>
      </w:r>
      <w:r w:rsidRPr="00527A45">
        <w:t xml:space="preserve"> made under </w:t>
      </w:r>
      <w:r w:rsidR="00BC6E0A">
        <w:t xml:space="preserve">the </w:t>
      </w:r>
      <w:r w:rsidR="00BC6E0A">
        <w:rPr>
          <w:i/>
        </w:rPr>
        <w:t>Australian Capital Territory (Self-Government) Act 1988</w:t>
      </w:r>
      <w:r w:rsidR="001E1FAC">
        <w:rPr>
          <w:i/>
        </w:rPr>
        <w:t>.</w:t>
      </w:r>
    </w:p>
    <w:p w14:paraId="48D741F3" w14:textId="1179B697" w:rsidR="002E7744" w:rsidRPr="00527A45" w:rsidRDefault="002E7744" w:rsidP="00BC6E0A">
      <w:pPr>
        <w:ind w:right="91"/>
      </w:pPr>
    </w:p>
    <w:p w14:paraId="6827C0E5" w14:textId="2EABCB17" w:rsidR="002E7744" w:rsidRPr="00527A45" w:rsidRDefault="002E7744" w:rsidP="002E7744">
      <w:pPr>
        <w:ind w:right="91"/>
        <w:rPr>
          <w:u w:val="single"/>
        </w:rPr>
      </w:pPr>
      <w:r w:rsidRPr="00527A45">
        <w:rPr>
          <w:u w:val="single"/>
        </w:rPr>
        <w:t>Section 4 – Schedule</w:t>
      </w:r>
      <w:r w:rsidR="00BC6E0A">
        <w:rPr>
          <w:u w:val="single"/>
        </w:rPr>
        <w:t xml:space="preserve"> 1</w:t>
      </w:r>
    </w:p>
    <w:p w14:paraId="581FFCB6" w14:textId="77777777" w:rsidR="002E7744" w:rsidRPr="00527A45" w:rsidRDefault="002E7744" w:rsidP="002E7744"/>
    <w:p w14:paraId="5E2EC50E" w14:textId="53E6FCF6" w:rsidR="002E7744" w:rsidRPr="00527A45" w:rsidRDefault="002E7744" w:rsidP="002E7744">
      <w:r w:rsidRPr="00527A45">
        <w:t>This section provides that each instrument that is specified in a Schedule to th</w:t>
      </w:r>
      <w:r w:rsidR="004E404C" w:rsidRPr="00527A45">
        <w:t>e</w:t>
      </w:r>
      <w:r w:rsidRPr="00527A45">
        <w:t xml:space="preserve"> </w:t>
      </w:r>
      <w:r w:rsidR="00BC6E0A">
        <w:t>Regulations</w:t>
      </w:r>
      <w:r w:rsidRPr="00527A45">
        <w:t xml:space="preserve"> is amended or repealed as set out in the applicable items in th</w:t>
      </w:r>
      <w:r w:rsidR="00BC6E0A">
        <w:t>at</w:t>
      </w:r>
      <w:r w:rsidRPr="00527A45">
        <w:t xml:space="preserve"> Schedule, and any other item in </w:t>
      </w:r>
      <w:r w:rsidR="00BC6E0A">
        <w:t xml:space="preserve">that </w:t>
      </w:r>
      <w:r w:rsidRPr="00527A45">
        <w:t xml:space="preserve">Schedule </w:t>
      </w:r>
      <w:r w:rsidR="00BC6E0A">
        <w:t>has</w:t>
      </w:r>
      <w:r w:rsidRPr="00527A45">
        <w:t xml:space="preserve"> effect according to its terms.</w:t>
      </w:r>
    </w:p>
    <w:p w14:paraId="434A9C5A" w14:textId="77777777" w:rsidR="002E7744" w:rsidRPr="00527A45" w:rsidRDefault="002E7744" w:rsidP="002E7744">
      <w:pPr>
        <w:ind w:right="91"/>
        <w:rPr>
          <w:u w:val="single"/>
        </w:rPr>
      </w:pPr>
    </w:p>
    <w:p w14:paraId="3EB2569D" w14:textId="1A951C8A" w:rsidR="00BC6E0A" w:rsidRDefault="00BC6E0A" w:rsidP="002E7744">
      <w:pPr>
        <w:ind w:right="91"/>
        <w:rPr>
          <w:b/>
        </w:rPr>
      </w:pPr>
      <w:r>
        <w:rPr>
          <w:b/>
        </w:rPr>
        <w:t>Part 2—Enactments that bind the Crown in right of the Commonwealth</w:t>
      </w:r>
    </w:p>
    <w:p w14:paraId="6574AB94" w14:textId="77777777" w:rsidR="00BC6E0A" w:rsidRDefault="00BC6E0A" w:rsidP="002E7744">
      <w:pPr>
        <w:ind w:right="91"/>
        <w:rPr>
          <w:b/>
        </w:rPr>
      </w:pPr>
    </w:p>
    <w:p w14:paraId="3D0CB7A3" w14:textId="123107B7" w:rsidR="00BC6E0A" w:rsidRPr="00BC6E0A" w:rsidRDefault="00BC6E0A" w:rsidP="002E7744">
      <w:pPr>
        <w:ind w:right="91"/>
        <w:rPr>
          <w:u w:val="single"/>
        </w:rPr>
      </w:pPr>
      <w:r w:rsidRPr="00BC6E0A">
        <w:rPr>
          <w:u w:val="single"/>
        </w:rPr>
        <w:t>Section 5 – Enactments that bind the Crown in right of the Commonwealth</w:t>
      </w:r>
    </w:p>
    <w:p w14:paraId="2E6DB39B" w14:textId="77777777" w:rsidR="00BC6E0A" w:rsidRDefault="00BC6E0A" w:rsidP="002E7744">
      <w:pPr>
        <w:ind w:right="91"/>
        <w:rPr>
          <w:b/>
        </w:rPr>
      </w:pPr>
    </w:p>
    <w:p w14:paraId="33A7627F" w14:textId="65B3761B" w:rsidR="00BC6E0A" w:rsidRPr="00BC6E0A" w:rsidRDefault="00BC6E0A" w:rsidP="00BC6E0A">
      <w:pPr>
        <w:rPr>
          <w:szCs w:val="24"/>
        </w:rPr>
      </w:pPr>
      <w:r w:rsidRPr="00BC6E0A">
        <w:rPr>
          <w:szCs w:val="24"/>
        </w:rPr>
        <w:t>S</w:t>
      </w:r>
      <w:r>
        <w:rPr>
          <w:szCs w:val="24"/>
        </w:rPr>
        <w:t>ubs</w:t>
      </w:r>
      <w:r w:rsidRPr="00BC6E0A">
        <w:rPr>
          <w:szCs w:val="24"/>
        </w:rPr>
        <w:t>ection 5</w:t>
      </w:r>
      <w:r>
        <w:rPr>
          <w:szCs w:val="24"/>
        </w:rPr>
        <w:t>(1)</w:t>
      </w:r>
      <w:r w:rsidRPr="00BC6E0A">
        <w:rPr>
          <w:szCs w:val="24"/>
        </w:rPr>
        <w:t xml:space="preserve"> provides </w:t>
      </w:r>
      <w:r>
        <w:rPr>
          <w:szCs w:val="24"/>
        </w:rPr>
        <w:t>that the</w:t>
      </w:r>
      <w:r w:rsidRPr="00BC6E0A">
        <w:rPr>
          <w:szCs w:val="24"/>
        </w:rPr>
        <w:t xml:space="preserve"> following enactments bind the Crown in right of the Commonwealth</w:t>
      </w:r>
      <w:r>
        <w:rPr>
          <w:szCs w:val="24"/>
        </w:rPr>
        <w:t xml:space="preserve"> if the enactment would do so apart from </w:t>
      </w:r>
      <w:r w:rsidR="00B71C4F">
        <w:rPr>
          <w:szCs w:val="24"/>
        </w:rPr>
        <w:t>section 27 of the Act</w:t>
      </w:r>
      <w:r w:rsidRPr="00BC6E0A">
        <w:rPr>
          <w:szCs w:val="24"/>
        </w:rPr>
        <w:t xml:space="preserve">:  </w:t>
      </w:r>
    </w:p>
    <w:p w14:paraId="377A6918" w14:textId="77777777" w:rsidR="00BC6E0A" w:rsidRPr="00BC6E0A" w:rsidRDefault="00BC6E0A" w:rsidP="00BC6E0A">
      <w:pPr>
        <w:rPr>
          <w:szCs w:val="24"/>
        </w:rPr>
      </w:pPr>
    </w:p>
    <w:p w14:paraId="6E1E9814"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Adoption Act 1993</w:t>
      </w:r>
      <w:r w:rsidRPr="00BC6E0A">
        <w:rPr>
          <w:sz w:val="24"/>
          <w:szCs w:val="24"/>
        </w:rPr>
        <w:t xml:space="preserve"> (ACT);</w:t>
      </w:r>
    </w:p>
    <w:p w14:paraId="26BD39B8"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Commercial Arbitration Act 2017</w:t>
      </w:r>
      <w:r w:rsidRPr="00BC6E0A">
        <w:rPr>
          <w:sz w:val="24"/>
          <w:szCs w:val="24"/>
        </w:rPr>
        <w:t xml:space="preserve"> (ACT);</w:t>
      </w:r>
    </w:p>
    <w:p w14:paraId="445C0476"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Common Boundaries Act 1981</w:t>
      </w:r>
      <w:r w:rsidRPr="00BC6E0A">
        <w:rPr>
          <w:sz w:val="24"/>
          <w:szCs w:val="24"/>
        </w:rPr>
        <w:t xml:space="preserve"> (ACT);</w:t>
      </w:r>
    </w:p>
    <w:p w14:paraId="1923FAB0"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Dangerous Substances Act 2004</w:t>
      </w:r>
      <w:r w:rsidRPr="00BC6E0A">
        <w:rPr>
          <w:sz w:val="24"/>
          <w:szCs w:val="24"/>
        </w:rPr>
        <w:t xml:space="preserve"> (ACT);</w:t>
      </w:r>
    </w:p>
    <w:p w14:paraId="1454E0EC"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Domestic Animals Act 2000</w:t>
      </w:r>
      <w:r w:rsidRPr="00BC6E0A">
        <w:rPr>
          <w:sz w:val="24"/>
          <w:szCs w:val="24"/>
        </w:rPr>
        <w:t xml:space="preserve"> (ACT);</w:t>
      </w:r>
    </w:p>
    <w:p w14:paraId="17456CF1"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Environment Protection Act 1997</w:t>
      </w:r>
      <w:r w:rsidRPr="00BC6E0A">
        <w:rPr>
          <w:sz w:val="24"/>
          <w:szCs w:val="24"/>
        </w:rPr>
        <w:t xml:space="preserve"> (ACT);</w:t>
      </w:r>
    </w:p>
    <w:p w14:paraId="5D711DA9"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Limitation Act 1985</w:t>
      </w:r>
      <w:r w:rsidRPr="00BC6E0A">
        <w:rPr>
          <w:sz w:val="24"/>
          <w:szCs w:val="24"/>
        </w:rPr>
        <w:t xml:space="preserve"> (ACT);</w:t>
      </w:r>
    </w:p>
    <w:p w14:paraId="578BBA81"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Machinery Act 1949</w:t>
      </w:r>
      <w:r w:rsidRPr="00BC6E0A">
        <w:rPr>
          <w:sz w:val="24"/>
          <w:szCs w:val="24"/>
        </w:rPr>
        <w:t xml:space="preserve"> (ACT);</w:t>
      </w:r>
    </w:p>
    <w:p w14:paraId="267EC619"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Nature Conservation Act 2014</w:t>
      </w:r>
      <w:r w:rsidRPr="00BC6E0A">
        <w:rPr>
          <w:sz w:val="24"/>
          <w:szCs w:val="24"/>
        </w:rPr>
        <w:t xml:space="preserve"> (ACT);</w:t>
      </w:r>
    </w:p>
    <w:p w14:paraId="688281C0"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Road Transport (General) Act 1999</w:t>
      </w:r>
      <w:r w:rsidRPr="00BC6E0A">
        <w:rPr>
          <w:sz w:val="24"/>
          <w:szCs w:val="24"/>
        </w:rPr>
        <w:t xml:space="preserve"> (ACT);</w:t>
      </w:r>
    </w:p>
    <w:p w14:paraId="71B88654"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 xml:space="preserve">Sale of Goods (Vienna Convention) Act 1987 </w:t>
      </w:r>
      <w:r w:rsidRPr="00BC6E0A">
        <w:rPr>
          <w:sz w:val="24"/>
          <w:szCs w:val="24"/>
        </w:rPr>
        <w:t>(ACT);</w:t>
      </w:r>
    </w:p>
    <w:p w14:paraId="4F062DB7"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Scaffolding and Lifts Act 1912</w:t>
      </w:r>
      <w:r w:rsidRPr="00BC6E0A">
        <w:rPr>
          <w:sz w:val="24"/>
          <w:szCs w:val="24"/>
        </w:rPr>
        <w:t xml:space="preserve"> (ACT);</w:t>
      </w:r>
    </w:p>
    <w:p w14:paraId="3B14A038" w14:textId="77777777" w:rsidR="00BC6E0A" w:rsidRPr="00BC6E0A" w:rsidRDefault="00BC6E0A" w:rsidP="00BC6E0A">
      <w:pPr>
        <w:pStyle w:val="paragraph"/>
        <w:numPr>
          <w:ilvl w:val="0"/>
          <w:numId w:val="39"/>
        </w:numPr>
        <w:rPr>
          <w:sz w:val="24"/>
          <w:szCs w:val="24"/>
        </w:rPr>
      </w:pPr>
      <w:r w:rsidRPr="00BC6E0A">
        <w:rPr>
          <w:sz w:val="24"/>
          <w:szCs w:val="24"/>
        </w:rPr>
        <w:t xml:space="preserve">the </w:t>
      </w:r>
      <w:r w:rsidRPr="00BC6E0A">
        <w:rPr>
          <w:i/>
          <w:sz w:val="24"/>
          <w:szCs w:val="24"/>
        </w:rPr>
        <w:t>Water Resources Act 2007</w:t>
      </w:r>
      <w:r w:rsidRPr="00BC6E0A">
        <w:rPr>
          <w:sz w:val="24"/>
          <w:szCs w:val="24"/>
        </w:rPr>
        <w:t xml:space="preserve"> (ACT).</w:t>
      </w:r>
    </w:p>
    <w:p w14:paraId="15915871" w14:textId="255F8A38" w:rsidR="00B71C4F" w:rsidRDefault="00B71C4F" w:rsidP="002E7744">
      <w:pPr>
        <w:ind w:right="91"/>
      </w:pPr>
      <w:r>
        <w:lastRenderedPageBreak/>
        <w:t>Section 27 of the Act provides that</w:t>
      </w:r>
      <w:r w:rsidR="00FF2053">
        <w:t>,</w:t>
      </w:r>
      <w:r>
        <w:t xml:space="preserve"> except as provided by the regulations, an enactment does not bind the Crown in right of the Commonwealth.</w:t>
      </w:r>
    </w:p>
    <w:p w14:paraId="71C65B28" w14:textId="77777777" w:rsidR="00B71C4F" w:rsidRDefault="00B71C4F" w:rsidP="002E7744">
      <w:pPr>
        <w:ind w:right="91"/>
      </w:pPr>
    </w:p>
    <w:p w14:paraId="083BE9AB" w14:textId="6133A6C2" w:rsidR="00BC6E0A" w:rsidRPr="00BC6E0A" w:rsidRDefault="00BC6E0A" w:rsidP="002E7744">
      <w:pPr>
        <w:ind w:right="91"/>
      </w:pPr>
      <w:r w:rsidRPr="00BC6E0A">
        <w:t>Subsection 5(2)</w:t>
      </w:r>
      <w:r>
        <w:t xml:space="preserve"> provides that nothing in an enactment which binds the Crown in right of the Commonwealth, specified in subsection (1) makes the Crown in right of the Commonwealth liable to be prosecuted for an offence.</w:t>
      </w:r>
    </w:p>
    <w:p w14:paraId="33C6324C" w14:textId="77777777" w:rsidR="00BC6E0A" w:rsidRDefault="00BC6E0A" w:rsidP="002E7744">
      <w:pPr>
        <w:ind w:right="91"/>
        <w:rPr>
          <w:b/>
        </w:rPr>
      </w:pPr>
    </w:p>
    <w:p w14:paraId="205D029D" w14:textId="7F8C1318" w:rsidR="002E7744" w:rsidRPr="00527A45" w:rsidRDefault="002E7744" w:rsidP="002E7744">
      <w:pPr>
        <w:ind w:right="91"/>
        <w:rPr>
          <w:b/>
        </w:rPr>
      </w:pPr>
      <w:r w:rsidRPr="00527A45">
        <w:rPr>
          <w:b/>
        </w:rPr>
        <w:t>Schedule 1—</w:t>
      </w:r>
      <w:r w:rsidR="00BC6E0A">
        <w:rPr>
          <w:b/>
        </w:rPr>
        <w:t>Repeals</w:t>
      </w:r>
    </w:p>
    <w:p w14:paraId="2830A07B" w14:textId="77777777" w:rsidR="002E7744" w:rsidRPr="00527A45" w:rsidRDefault="002E7744" w:rsidP="002E7744">
      <w:pPr>
        <w:ind w:right="91"/>
      </w:pPr>
    </w:p>
    <w:p w14:paraId="6BD82CBE" w14:textId="192A3856" w:rsidR="002E7744" w:rsidRDefault="00BC6E0A" w:rsidP="002E7744">
      <w:pPr>
        <w:ind w:right="91"/>
        <w:rPr>
          <w:b/>
          <w:i/>
        </w:rPr>
      </w:pPr>
      <w:r w:rsidRPr="005D1A7D">
        <w:rPr>
          <w:b/>
          <w:i/>
        </w:rPr>
        <w:t xml:space="preserve">Australian Capital Territory (Self-Government) Regulations </w:t>
      </w:r>
      <w:r>
        <w:rPr>
          <w:b/>
          <w:i/>
        </w:rPr>
        <w:t>1989</w:t>
      </w:r>
    </w:p>
    <w:p w14:paraId="721639EA" w14:textId="77777777" w:rsidR="00BC6E0A" w:rsidRPr="00527A45" w:rsidRDefault="00BC6E0A" w:rsidP="002E7744">
      <w:pPr>
        <w:ind w:right="91"/>
        <w:rPr>
          <w:b/>
        </w:rPr>
      </w:pPr>
    </w:p>
    <w:p w14:paraId="41F42425" w14:textId="39179168" w:rsidR="002E7744" w:rsidRPr="00527A45" w:rsidRDefault="00A25E88" w:rsidP="002E7744">
      <w:pPr>
        <w:ind w:right="91"/>
        <w:rPr>
          <w:b/>
        </w:rPr>
      </w:pPr>
      <w:r>
        <w:rPr>
          <w:b/>
        </w:rPr>
        <w:t>Item</w:t>
      </w:r>
      <w:r w:rsidR="00B71C4F">
        <w:rPr>
          <w:b/>
        </w:rPr>
        <w:t xml:space="preserve"> 1</w:t>
      </w:r>
      <w:r w:rsidR="002E7744" w:rsidRPr="00527A45">
        <w:rPr>
          <w:b/>
        </w:rPr>
        <w:t>—</w:t>
      </w:r>
      <w:r w:rsidR="00BC6E0A">
        <w:rPr>
          <w:b/>
        </w:rPr>
        <w:t>The whole of the instrument</w:t>
      </w:r>
    </w:p>
    <w:p w14:paraId="4E1B7023" w14:textId="77777777" w:rsidR="002E7744" w:rsidRPr="00527A45" w:rsidRDefault="002E7744" w:rsidP="002E7744">
      <w:pPr>
        <w:ind w:right="91"/>
      </w:pPr>
    </w:p>
    <w:p w14:paraId="787FC7CE" w14:textId="1957D47F" w:rsidR="00BC6E0A" w:rsidRPr="00BC6E0A" w:rsidRDefault="00A25E88" w:rsidP="00BC6E0A">
      <w:pPr>
        <w:ind w:right="91"/>
      </w:pPr>
      <w:r>
        <w:t>Item</w:t>
      </w:r>
      <w:r w:rsidR="00B71C4F">
        <w:t xml:space="preserve"> 1</w:t>
      </w:r>
      <w:r w:rsidR="00C04E4C">
        <w:t xml:space="preserve"> </w:t>
      </w:r>
      <w:r w:rsidR="00BC6E0A">
        <w:t xml:space="preserve">of Schedule 1 repeals the </w:t>
      </w:r>
      <w:r w:rsidR="00BC6E0A" w:rsidRPr="00BC6E0A">
        <w:rPr>
          <w:i/>
        </w:rPr>
        <w:t>Australian Capital Territory (Self-Government) Regulations 1989</w:t>
      </w:r>
      <w:r w:rsidR="00BC6E0A">
        <w:t>.</w:t>
      </w:r>
    </w:p>
    <w:p w14:paraId="07A10EE8" w14:textId="1DF7EA84" w:rsidR="00C04E4C" w:rsidRPr="00BE6E20" w:rsidRDefault="00C04E4C" w:rsidP="008B74D0">
      <w:pPr>
        <w:ind w:right="91"/>
      </w:pPr>
    </w:p>
    <w:p w14:paraId="780518C9" w14:textId="77777777" w:rsidR="007F48DF" w:rsidRPr="00527A45" w:rsidRDefault="007F48DF" w:rsidP="00C04E4C">
      <w:pPr>
        <w:ind w:right="91"/>
      </w:pPr>
    </w:p>
    <w:sectPr w:rsidR="007F48DF" w:rsidRPr="00527A45" w:rsidSect="00AB0A6C">
      <w:headerReference w:type="even" r:id="rId11"/>
      <w:headerReference w:type="default" r:id="rId12"/>
      <w:footerReference w:type="default" r:id="rId13"/>
      <w:headerReference w:type="first" r:id="rId14"/>
      <w:pgSz w:w="11906" w:h="16838"/>
      <w:pgMar w:top="1440" w:right="1440" w:bottom="1440" w:left="144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3177" w14:textId="77777777" w:rsidR="001337A5" w:rsidRDefault="001337A5" w:rsidP="00A96AAA">
      <w:r>
        <w:separator/>
      </w:r>
    </w:p>
  </w:endnote>
  <w:endnote w:type="continuationSeparator" w:id="0">
    <w:p w14:paraId="7C3FA4E6" w14:textId="77777777" w:rsidR="001337A5" w:rsidRDefault="001337A5" w:rsidP="00A9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503181"/>
      <w:docPartObj>
        <w:docPartGallery w:val="Page Numbers (Bottom of Page)"/>
        <w:docPartUnique/>
      </w:docPartObj>
    </w:sdtPr>
    <w:sdtEndPr>
      <w:rPr>
        <w:noProof/>
      </w:rPr>
    </w:sdtEndPr>
    <w:sdtContent>
      <w:p w14:paraId="122A8C6E" w14:textId="5B1BFE62" w:rsidR="001337A5" w:rsidRDefault="001337A5">
        <w:pPr>
          <w:pStyle w:val="Footer"/>
          <w:jc w:val="center"/>
        </w:pPr>
        <w:r>
          <w:fldChar w:fldCharType="begin"/>
        </w:r>
        <w:r>
          <w:instrText xml:space="preserve"> PAGE   \* MERGEFORMAT </w:instrText>
        </w:r>
        <w:r>
          <w:fldChar w:fldCharType="separate"/>
        </w:r>
        <w:r w:rsidR="008E6E12">
          <w:rPr>
            <w:noProof/>
          </w:rPr>
          <w:t>4</w:t>
        </w:r>
        <w:r>
          <w:rPr>
            <w:noProof/>
          </w:rPr>
          <w:fldChar w:fldCharType="end"/>
        </w:r>
      </w:p>
    </w:sdtContent>
  </w:sdt>
  <w:p w14:paraId="055A08E5" w14:textId="77777777" w:rsidR="001337A5" w:rsidRDefault="0013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014FB" w14:textId="77777777" w:rsidR="001337A5" w:rsidRDefault="001337A5" w:rsidP="00A96AAA">
      <w:r>
        <w:separator/>
      </w:r>
    </w:p>
  </w:footnote>
  <w:footnote w:type="continuationSeparator" w:id="0">
    <w:p w14:paraId="52F93C0F" w14:textId="77777777" w:rsidR="001337A5" w:rsidRDefault="001337A5" w:rsidP="00A9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9795" w14:textId="6AF7466C" w:rsidR="001337A5" w:rsidRDefault="00133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A287" w14:textId="2B55A049" w:rsidR="001337A5" w:rsidRDefault="00133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2788" w14:textId="7AD8D1D8" w:rsidR="001337A5" w:rsidRDefault="0013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FCD"/>
    <w:multiLevelType w:val="hybridMultilevel"/>
    <w:tmpl w:val="548255B0"/>
    <w:lvl w:ilvl="0" w:tplc="0C090001">
      <w:start w:val="1"/>
      <w:numFmt w:val="bullet"/>
      <w:lvlText w:val=""/>
      <w:lvlJc w:val="left"/>
      <w:pPr>
        <w:ind w:left="720" w:hanging="360"/>
      </w:pPr>
      <w:rPr>
        <w:rFonts w:ascii="Symbol" w:hAnsi="Symbol" w:hint="default"/>
        <w:b w:val="0"/>
        <w:i w:val="0"/>
        <w:color w:val="auto"/>
      </w:rPr>
    </w:lvl>
    <w:lvl w:ilvl="1" w:tplc="BF6E8D7E">
      <w:start w:val="1"/>
      <w:numFmt w:val="lowerLetter"/>
      <w:lvlText w:val="%2."/>
      <w:lvlJc w:val="left"/>
      <w:pPr>
        <w:ind w:left="1440" w:hanging="360"/>
      </w:pPr>
    </w:lvl>
    <w:lvl w:ilvl="2" w:tplc="C5C833FE" w:tentative="1">
      <w:start w:val="1"/>
      <w:numFmt w:val="lowerRoman"/>
      <w:lvlText w:val="%3."/>
      <w:lvlJc w:val="right"/>
      <w:pPr>
        <w:ind w:left="2160" w:hanging="180"/>
      </w:pPr>
    </w:lvl>
    <w:lvl w:ilvl="3" w:tplc="F9CCC3DA" w:tentative="1">
      <w:start w:val="1"/>
      <w:numFmt w:val="decimal"/>
      <w:lvlText w:val="%4."/>
      <w:lvlJc w:val="left"/>
      <w:pPr>
        <w:ind w:left="2880" w:hanging="360"/>
      </w:pPr>
    </w:lvl>
    <w:lvl w:ilvl="4" w:tplc="3AAEB1C0" w:tentative="1">
      <w:start w:val="1"/>
      <w:numFmt w:val="lowerLetter"/>
      <w:lvlText w:val="%5."/>
      <w:lvlJc w:val="left"/>
      <w:pPr>
        <w:ind w:left="3600" w:hanging="360"/>
      </w:pPr>
    </w:lvl>
    <w:lvl w:ilvl="5" w:tplc="AB3CBB6A" w:tentative="1">
      <w:start w:val="1"/>
      <w:numFmt w:val="lowerRoman"/>
      <w:lvlText w:val="%6."/>
      <w:lvlJc w:val="right"/>
      <w:pPr>
        <w:ind w:left="4320" w:hanging="180"/>
      </w:pPr>
    </w:lvl>
    <w:lvl w:ilvl="6" w:tplc="6B8A1980" w:tentative="1">
      <w:start w:val="1"/>
      <w:numFmt w:val="decimal"/>
      <w:lvlText w:val="%7."/>
      <w:lvlJc w:val="left"/>
      <w:pPr>
        <w:ind w:left="5040" w:hanging="360"/>
      </w:pPr>
    </w:lvl>
    <w:lvl w:ilvl="7" w:tplc="B08A1280" w:tentative="1">
      <w:start w:val="1"/>
      <w:numFmt w:val="lowerLetter"/>
      <w:lvlText w:val="%8."/>
      <w:lvlJc w:val="left"/>
      <w:pPr>
        <w:ind w:left="5760" w:hanging="360"/>
      </w:pPr>
    </w:lvl>
    <w:lvl w:ilvl="8" w:tplc="3C52636E" w:tentative="1">
      <w:start w:val="1"/>
      <w:numFmt w:val="lowerRoman"/>
      <w:lvlText w:val="%9."/>
      <w:lvlJc w:val="right"/>
      <w:pPr>
        <w:ind w:left="6480" w:hanging="180"/>
      </w:pPr>
    </w:lvl>
  </w:abstractNum>
  <w:abstractNum w:abstractNumId="1" w15:restartNumberingAfterBreak="0">
    <w:nsid w:val="0C8F7F2B"/>
    <w:multiLevelType w:val="hybridMultilevel"/>
    <w:tmpl w:val="C81EB8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C86184"/>
    <w:multiLevelType w:val="hybridMultilevel"/>
    <w:tmpl w:val="986603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7370C0"/>
    <w:multiLevelType w:val="hybridMultilevel"/>
    <w:tmpl w:val="8B4EC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FF3FFE"/>
    <w:multiLevelType w:val="hybridMultilevel"/>
    <w:tmpl w:val="FE9C4A6E"/>
    <w:lvl w:ilvl="0" w:tplc="C2B08102">
      <w:start w:val="1"/>
      <w:numFmt w:val="decimal"/>
      <w:lvlText w:val="%1."/>
      <w:lvlJc w:val="left"/>
      <w:pPr>
        <w:ind w:left="360" w:hanging="360"/>
      </w:pPr>
      <w:rPr>
        <w:rFonts w:hint="default"/>
        <w:b w:val="0"/>
        <w:i w:val="0"/>
        <w:color w:val="auto"/>
      </w:rPr>
    </w:lvl>
    <w:lvl w:ilvl="1" w:tplc="BF6E8D7E">
      <w:start w:val="1"/>
      <w:numFmt w:val="lowerLetter"/>
      <w:lvlText w:val="%2."/>
      <w:lvlJc w:val="left"/>
      <w:pPr>
        <w:ind w:left="1080" w:hanging="360"/>
      </w:pPr>
    </w:lvl>
    <w:lvl w:ilvl="2" w:tplc="C5C833FE" w:tentative="1">
      <w:start w:val="1"/>
      <w:numFmt w:val="lowerRoman"/>
      <w:lvlText w:val="%3."/>
      <w:lvlJc w:val="right"/>
      <w:pPr>
        <w:ind w:left="1800" w:hanging="180"/>
      </w:pPr>
    </w:lvl>
    <w:lvl w:ilvl="3" w:tplc="F9CCC3DA" w:tentative="1">
      <w:start w:val="1"/>
      <w:numFmt w:val="decimal"/>
      <w:lvlText w:val="%4."/>
      <w:lvlJc w:val="left"/>
      <w:pPr>
        <w:ind w:left="2520" w:hanging="360"/>
      </w:pPr>
    </w:lvl>
    <w:lvl w:ilvl="4" w:tplc="3AAEB1C0" w:tentative="1">
      <w:start w:val="1"/>
      <w:numFmt w:val="lowerLetter"/>
      <w:lvlText w:val="%5."/>
      <w:lvlJc w:val="left"/>
      <w:pPr>
        <w:ind w:left="3240" w:hanging="360"/>
      </w:pPr>
    </w:lvl>
    <w:lvl w:ilvl="5" w:tplc="AB3CBB6A" w:tentative="1">
      <w:start w:val="1"/>
      <w:numFmt w:val="lowerRoman"/>
      <w:lvlText w:val="%6."/>
      <w:lvlJc w:val="right"/>
      <w:pPr>
        <w:ind w:left="3960" w:hanging="180"/>
      </w:pPr>
    </w:lvl>
    <w:lvl w:ilvl="6" w:tplc="6B8A1980" w:tentative="1">
      <w:start w:val="1"/>
      <w:numFmt w:val="decimal"/>
      <w:lvlText w:val="%7."/>
      <w:lvlJc w:val="left"/>
      <w:pPr>
        <w:ind w:left="4680" w:hanging="360"/>
      </w:pPr>
    </w:lvl>
    <w:lvl w:ilvl="7" w:tplc="B08A1280" w:tentative="1">
      <w:start w:val="1"/>
      <w:numFmt w:val="lowerLetter"/>
      <w:lvlText w:val="%8."/>
      <w:lvlJc w:val="left"/>
      <w:pPr>
        <w:ind w:left="5400" w:hanging="360"/>
      </w:pPr>
    </w:lvl>
    <w:lvl w:ilvl="8" w:tplc="3C52636E" w:tentative="1">
      <w:start w:val="1"/>
      <w:numFmt w:val="lowerRoman"/>
      <w:lvlText w:val="%9."/>
      <w:lvlJc w:val="right"/>
      <w:pPr>
        <w:ind w:left="6120" w:hanging="180"/>
      </w:pPr>
    </w:lvl>
  </w:abstractNum>
  <w:abstractNum w:abstractNumId="6" w15:restartNumberingAfterBreak="0">
    <w:nsid w:val="280A3705"/>
    <w:multiLevelType w:val="hybridMultilevel"/>
    <w:tmpl w:val="DC1493F4"/>
    <w:lvl w:ilvl="0" w:tplc="150A6CE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92B77"/>
    <w:multiLevelType w:val="hybridMultilevel"/>
    <w:tmpl w:val="5E682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29430F"/>
    <w:multiLevelType w:val="hybridMultilevel"/>
    <w:tmpl w:val="B12A45FC"/>
    <w:lvl w:ilvl="0" w:tplc="970C3598">
      <w:start w:val="2"/>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037708A"/>
    <w:multiLevelType w:val="hybridMultilevel"/>
    <w:tmpl w:val="F14CA29C"/>
    <w:lvl w:ilvl="0" w:tplc="32CE92B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36CC7"/>
    <w:multiLevelType w:val="hybridMultilevel"/>
    <w:tmpl w:val="7FE62B8C"/>
    <w:lvl w:ilvl="0" w:tplc="6A42CE24">
      <w:start w:val="1"/>
      <w:numFmt w:val="bullet"/>
      <w:pStyle w:val="BulletDot"/>
      <w:lvlText w:val=""/>
      <w:lvlJc w:val="left"/>
      <w:pPr>
        <w:ind w:left="720" w:hanging="360"/>
      </w:pPr>
      <w:rPr>
        <w:rFonts w:ascii="Symbol" w:hAnsi="Symbol" w:hint="default"/>
      </w:rPr>
    </w:lvl>
    <w:lvl w:ilvl="1" w:tplc="0C090003">
      <w:start w:val="1"/>
      <w:numFmt w:val="bullet"/>
      <w:lvlText w:val="o"/>
      <w:lvlJc w:val="left"/>
      <w:pPr>
        <w:ind w:left="2941" w:hanging="360"/>
      </w:pPr>
      <w:rPr>
        <w:rFonts w:ascii="Courier New" w:hAnsi="Courier New" w:cs="Courier New" w:hint="default"/>
      </w:rPr>
    </w:lvl>
    <w:lvl w:ilvl="2" w:tplc="0C090005" w:tentative="1">
      <w:start w:val="1"/>
      <w:numFmt w:val="bullet"/>
      <w:lvlText w:val=""/>
      <w:lvlJc w:val="left"/>
      <w:pPr>
        <w:ind w:left="3661" w:hanging="360"/>
      </w:pPr>
      <w:rPr>
        <w:rFonts w:ascii="Wingdings" w:hAnsi="Wingdings" w:hint="default"/>
      </w:rPr>
    </w:lvl>
    <w:lvl w:ilvl="3" w:tplc="0C090001" w:tentative="1">
      <w:start w:val="1"/>
      <w:numFmt w:val="bullet"/>
      <w:lvlText w:val=""/>
      <w:lvlJc w:val="left"/>
      <w:pPr>
        <w:ind w:left="4381" w:hanging="360"/>
      </w:pPr>
      <w:rPr>
        <w:rFonts w:ascii="Symbol" w:hAnsi="Symbol" w:hint="default"/>
      </w:rPr>
    </w:lvl>
    <w:lvl w:ilvl="4" w:tplc="0C090003" w:tentative="1">
      <w:start w:val="1"/>
      <w:numFmt w:val="bullet"/>
      <w:lvlText w:val="o"/>
      <w:lvlJc w:val="left"/>
      <w:pPr>
        <w:ind w:left="5101" w:hanging="360"/>
      </w:pPr>
      <w:rPr>
        <w:rFonts w:ascii="Courier New" w:hAnsi="Courier New" w:cs="Courier New" w:hint="default"/>
      </w:rPr>
    </w:lvl>
    <w:lvl w:ilvl="5" w:tplc="0C090005" w:tentative="1">
      <w:start w:val="1"/>
      <w:numFmt w:val="bullet"/>
      <w:lvlText w:val=""/>
      <w:lvlJc w:val="left"/>
      <w:pPr>
        <w:ind w:left="5821" w:hanging="360"/>
      </w:pPr>
      <w:rPr>
        <w:rFonts w:ascii="Wingdings" w:hAnsi="Wingdings" w:hint="default"/>
      </w:rPr>
    </w:lvl>
    <w:lvl w:ilvl="6" w:tplc="0C090001" w:tentative="1">
      <w:start w:val="1"/>
      <w:numFmt w:val="bullet"/>
      <w:lvlText w:val=""/>
      <w:lvlJc w:val="left"/>
      <w:pPr>
        <w:ind w:left="6541" w:hanging="360"/>
      </w:pPr>
      <w:rPr>
        <w:rFonts w:ascii="Symbol" w:hAnsi="Symbol" w:hint="default"/>
      </w:rPr>
    </w:lvl>
    <w:lvl w:ilvl="7" w:tplc="0C090003" w:tentative="1">
      <w:start w:val="1"/>
      <w:numFmt w:val="bullet"/>
      <w:lvlText w:val="o"/>
      <w:lvlJc w:val="left"/>
      <w:pPr>
        <w:ind w:left="7261" w:hanging="360"/>
      </w:pPr>
      <w:rPr>
        <w:rFonts w:ascii="Courier New" w:hAnsi="Courier New" w:cs="Courier New" w:hint="default"/>
      </w:rPr>
    </w:lvl>
    <w:lvl w:ilvl="8" w:tplc="0C090005" w:tentative="1">
      <w:start w:val="1"/>
      <w:numFmt w:val="bullet"/>
      <w:lvlText w:val=""/>
      <w:lvlJc w:val="left"/>
      <w:pPr>
        <w:ind w:left="7981" w:hanging="360"/>
      </w:pPr>
      <w:rPr>
        <w:rFonts w:ascii="Wingdings" w:hAnsi="Wingdings" w:hint="default"/>
      </w:rPr>
    </w:lvl>
  </w:abstractNum>
  <w:abstractNum w:abstractNumId="11" w15:restartNumberingAfterBreak="0">
    <w:nsid w:val="37BA09F1"/>
    <w:multiLevelType w:val="hybridMultilevel"/>
    <w:tmpl w:val="D702EFB8"/>
    <w:lvl w:ilvl="0" w:tplc="E22EA05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3" w15:restartNumberingAfterBreak="0">
    <w:nsid w:val="3ABE4C0C"/>
    <w:multiLevelType w:val="hybridMultilevel"/>
    <w:tmpl w:val="101431DC"/>
    <w:lvl w:ilvl="0" w:tplc="0CB008D6">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BFC7D34"/>
    <w:multiLevelType w:val="hybridMultilevel"/>
    <w:tmpl w:val="1760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C87A71"/>
    <w:multiLevelType w:val="hybridMultilevel"/>
    <w:tmpl w:val="21FC2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2152D1"/>
    <w:multiLevelType w:val="hybridMultilevel"/>
    <w:tmpl w:val="5C5E1FA4"/>
    <w:lvl w:ilvl="0" w:tplc="69043C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44007649"/>
    <w:multiLevelType w:val="hybridMultilevel"/>
    <w:tmpl w:val="661CB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9761D6"/>
    <w:multiLevelType w:val="hybridMultilevel"/>
    <w:tmpl w:val="2752BB48"/>
    <w:lvl w:ilvl="0" w:tplc="E22EA05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3B7ECC"/>
    <w:multiLevelType w:val="hybridMultilevel"/>
    <w:tmpl w:val="476A0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9D718E"/>
    <w:multiLevelType w:val="hybridMultilevel"/>
    <w:tmpl w:val="7D26B082"/>
    <w:lvl w:ilvl="0" w:tplc="970C3598">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AC2165"/>
    <w:multiLevelType w:val="hybridMultilevel"/>
    <w:tmpl w:val="92A2B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9253834"/>
    <w:multiLevelType w:val="hybridMultilevel"/>
    <w:tmpl w:val="EA2EA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FA1C30"/>
    <w:multiLevelType w:val="hybridMultilevel"/>
    <w:tmpl w:val="1ADE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6" w15:restartNumberingAfterBreak="0">
    <w:nsid w:val="6460045C"/>
    <w:multiLevelType w:val="hybridMultilevel"/>
    <w:tmpl w:val="D67E6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B82DC7"/>
    <w:multiLevelType w:val="hybridMultilevel"/>
    <w:tmpl w:val="D402F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370CD"/>
    <w:multiLevelType w:val="hybridMultilevel"/>
    <w:tmpl w:val="0C14C382"/>
    <w:lvl w:ilvl="0" w:tplc="36420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2A6954"/>
    <w:multiLevelType w:val="hybridMultilevel"/>
    <w:tmpl w:val="11A4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1702680"/>
    <w:multiLevelType w:val="hybridMultilevel"/>
    <w:tmpl w:val="172404D4"/>
    <w:lvl w:ilvl="0" w:tplc="150A6CE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242E72"/>
    <w:multiLevelType w:val="hybridMultilevel"/>
    <w:tmpl w:val="E10E8ACE"/>
    <w:lvl w:ilvl="0" w:tplc="F0D0EF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537BB0"/>
    <w:multiLevelType w:val="hybridMultilevel"/>
    <w:tmpl w:val="B9E6428E"/>
    <w:lvl w:ilvl="0" w:tplc="0C090001">
      <w:start w:val="1"/>
      <w:numFmt w:val="bullet"/>
      <w:lvlText w:val=""/>
      <w:lvlJc w:val="left"/>
      <w:pPr>
        <w:ind w:left="360" w:hanging="360"/>
      </w:pPr>
      <w:rPr>
        <w:rFonts w:ascii="Symbol" w:hAnsi="Symbol" w:hint="default"/>
        <w:b w:val="0"/>
        <w:i w:val="0"/>
        <w:color w:val="auto"/>
      </w:rPr>
    </w:lvl>
    <w:lvl w:ilvl="1" w:tplc="BF6E8D7E">
      <w:start w:val="1"/>
      <w:numFmt w:val="lowerLetter"/>
      <w:lvlText w:val="%2."/>
      <w:lvlJc w:val="left"/>
      <w:pPr>
        <w:ind w:left="1080" w:hanging="360"/>
      </w:pPr>
    </w:lvl>
    <w:lvl w:ilvl="2" w:tplc="C5C833FE" w:tentative="1">
      <w:start w:val="1"/>
      <w:numFmt w:val="lowerRoman"/>
      <w:lvlText w:val="%3."/>
      <w:lvlJc w:val="right"/>
      <w:pPr>
        <w:ind w:left="1800" w:hanging="180"/>
      </w:pPr>
    </w:lvl>
    <w:lvl w:ilvl="3" w:tplc="F9CCC3DA" w:tentative="1">
      <w:start w:val="1"/>
      <w:numFmt w:val="decimal"/>
      <w:lvlText w:val="%4."/>
      <w:lvlJc w:val="left"/>
      <w:pPr>
        <w:ind w:left="2520" w:hanging="360"/>
      </w:pPr>
    </w:lvl>
    <w:lvl w:ilvl="4" w:tplc="3AAEB1C0" w:tentative="1">
      <w:start w:val="1"/>
      <w:numFmt w:val="lowerLetter"/>
      <w:lvlText w:val="%5."/>
      <w:lvlJc w:val="left"/>
      <w:pPr>
        <w:ind w:left="3240" w:hanging="360"/>
      </w:pPr>
    </w:lvl>
    <w:lvl w:ilvl="5" w:tplc="AB3CBB6A" w:tentative="1">
      <w:start w:val="1"/>
      <w:numFmt w:val="lowerRoman"/>
      <w:lvlText w:val="%6."/>
      <w:lvlJc w:val="right"/>
      <w:pPr>
        <w:ind w:left="3960" w:hanging="180"/>
      </w:pPr>
    </w:lvl>
    <w:lvl w:ilvl="6" w:tplc="6B8A1980" w:tentative="1">
      <w:start w:val="1"/>
      <w:numFmt w:val="decimal"/>
      <w:lvlText w:val="%7."/>
      <w:lvlJc w:val="left"/>
      <w:pPr>
        <w:ind w:left="4680" w:hanging="360"/>
      </w:pPr>
    </w:lvl>
    <w:lvl w:ilvl="7" w:tplc="B08A1280" w:tentative="1">
      <w:start w:val="1"/>
      <w:numFmt w:val="lowerLetter"/>
      <w:lvlText w:val="%8."/>
      <w:lvlJc w:val="left"/>
      <w:pPr>
        <w:ind w:left="5400" w:hanging="360"/>
      </w:pPr>
    </w:lvl>
    <w:lvl w:ilvl="8" w:tplc="3C52636E" w:tentative="1">
      <w:start w:val="1"/>
      <w:numFmt w:val="lowerRoman"/>
      <w:lvlText w:val="%9."/>
      <w:lvlJc w:val="right"/>
      <w:pPr>
        <w:ind w:left="6120" w:hanging="180"/>
      </w:pPr>
    </w:lvl>
  </w:abstractNum>
  <w:abstractNum w:abstractNumId="34" w15:restartNumberingAfterBreak="0">
    <w:nsid w:val="73683EF8"/>
    <w:multiLevelType w:val="hybridMultilevel"/>
    <w:tmpl w:val="1F149C98"/>
    <w:lvl w:ilvl="0" w:tplc="58FC12D6">
      <w:start w:val="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F0D5A92"/>
    <w:multiLevelType w:val="hybridMultilevel"/>
    <w:tmpl w:val="979E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F22C0E"/>
    <w:multiLevelType w:val="hybridMultilevel"/>
    <w:tmpl w:val="9E3E4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
  </w:num>
  <w:num w:numId="6">
    <w:abstractNumId w:val="27"/>
  </w:num>
  <w:num w:numId="7">
    <w:abstractNumId w:val="14"/>
  </w:num>
  <w:num w:numId="8">
    <w:abstractNumId w:val="29"/>
  </w:num>
  <w:num w:numId="9">
    <w:abstractNumId w:val="24"/>
  </w:num>
  <w:num w:numId="10">
    <w:abstractNumId w:val="18"/>
  </w:num>
  <w:num w:numId="11">
    <w:abstractNumId w:val="26"/>
  </w:num>
  <w:num w:numId="12">
    <w:abstractNumId w:val="34"/>
  </w:num>
  <w:num w:numId="13">
    <w:abstractNumId w:val="31"/>
  </w:num>
  <w:num w:numId="14">
    <w:abstractNumId w:val="6"/>
  </w:num>
  <w:num w:numId="15">
    <w:abstractNumId w:val="21"/>
  </w:num>
  <w:num w:numId="16">
    <w:abstractNumId w:val="8"/>
  </w:num>
  <w:num w:numId="17">
    <w:abstractNumId w:val="35"/>
  </w:num>
  <w:num w:numId="18">
    <w:abstractNumId w:val="9"/>
  </w:num>
  <w:num w:numId="19">
    <w:abstractNumId w:val="10"/>
  </w:num>
  <w:num w:numId="20">
    <w:abstractNumId w:val="4"/>
  </w:num>
  <w:num w:numId="21">
    <w:abstractNumId w:val="11"/>
  </w:num>
  <w:num w:numId="22">
    <w:abstractNumId w:val="19"/>
  </w:num>
  <w:num w:numId="23">
    <w:abstractNumId w:val="2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 w:numId="27">
    <w:abstractNumId w:val="15"/>
  </w:num>
  <w:num w:numId="28">
    <w:abstractNumId w:val="7"/>
  </w:num>
  <w:num w:numId="29">
    <w:abstractNumId w:val="0"/>
  </w:num>
  <w:num w:numId="30">
    <w:abstractNumId w:val="22"/>
  </w:num>
  <w:num w:numId="31">
    <w:abstractNumId w:val="10"/>
  </w:num>
  <w:num w:numId="32">
    <w:abstractNumId w:val="12"/>
  </w:num>
  <w:num w:numId="33">
    <w:abstractNumId w:val="30"/>
  </w:num>
  <w:num w:numId="34">
    <w:abstractNumId w:val="36"/>
  </w:num>
  <w:num w:numId="35">
    <w:abstractNumId w:val="28"/>
  </w:num>
  <w:num w:numId="36">
    <w:abstractNumId w:val="13"/>
  </w:num>
  <w:num w:numId="37">
    <w:abstractNumId w:val="20"/>
  </w:num>
  <w:num w:numId="38">
    <w:abstractNumId w:val="33"/>
  </w:num>
  <w:num w:numId="39">
    <w:abstractNumId w:val="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6"/>
    <w:rsid w:val="00005D6A"/>
    <w:rsid w:val="00007367"/>
    <w:rsid w:val="000122AE"/>
    <w:rsid w:val="00013AEC"/>
    <w:rsid w:val="000200FA"/>
    <w:rsid w:val="000218CD"/>
    <w:rsid w:val="00023258"/>
    <w:rsid w:val="000252B6"/>
    <w:rsid w:val="0003220A"/>
    <w:rsid w:val="00032798"/>
    <w:rsid w:val="000327FE"/>
    <w:rsid w:val="00046D5F"/>
    <w:rsid w:val="000500F8"/>
    <w:rsid w:val="0005049B"/>
    <w:rsid w:val="000536EF"/>
    <w:rsid w:val="00064431"/>
    <w:rsid w:val="00066123"/>
    <w:rsid w:val="000827F2"/>
    <w:rsid w:val="000850BD"/>
    <w:rsid w:val="000936E3"/>
    <w:rsid w:val="00097000"/>
    <w:rsid w:val="000B3368"/>
    <w:rsid w:val="000B7421"/>
    <w:rsid w:val="000B7EEC"/>
    <w:rsid w:val="000C57A2"/>
    <w:rsid w:val="000C7BE1"/>
    <w:rsid w:val="000D77FC"/>
    <w:rsid w:val="000E0631"/>
    <w:rsid w:val="000E2466"/>
    <w:rsid w:val="000E2707"/>
    <w:rsid w:val="00100AEC"/>
    <w:rsid w:val="0010207A"/>
    <w:rsid w:val="00102864"/>
    <w:rsid w:val="00104E7B"/>
    <w:rsid w:val="00107789"/>
    <w:rsid w:val="00107939"/>
    <w:rsid w:val="001222C1"/>
    <w:rsid w:val="00125BC3"/>
    <w:rsid w:val="00126150"/>
    <w:rsid w:val="00126B8A"/>
    <w:rsid w:val="001337A5"/>
    <w:rsid w:val="00133CDF"/>
    <w:rsid w:val="001340E8"/>
    <w:rsid w:val="001346E7"/>
    <w:rsid w:val="00134EC6"/>
    <w:rsid w:val="00137192"/>
    <w:rsid w:val="00137DB8"/>
    <w:rsid w:val="00141581"/>
    <w:rsid w:val="00161BB3"/>
    <w:rsid w:val="001625A4"/>
    <w:rsid w:val="00170AD4"/>
    <w:rsid w:val="0017414A"/>
    <w:rsid w:val="00181997"/>
    <w:rsid w:val="0018577A"/>
    <w:rsid w:val="00196EEA"/>
    <w:rsid w:val="001A1FA0"/>
    <w:rsid w:val="001A7C42"/>
    <w:rsid w:val="001B2CCB"/>
    <w:rsid w:val="001C29C2"/>
    <w:rsid w:val="001C388E"/>
    <w:rsid w:val="001C4FA7"/>
    <w:rsid w:val="001C5528"/>
    <w:rsid w:val="001D2749"/>
    <w:rsid w:val="001D3CE2"/>
    <w:rsid w:val="001D40B4"/>
    <w:rsid w:val="001E04A6"/>
    <w:rsid w:val="001E1FAC"/>
    <w:rsid w:val="001E2635"/>
    <w:rsid w:val="002105D6"/>
    <w:rsid w:val="00215559"/>
    <w:rsid w:val="002216C0"/>
    <w:rsid w:val="00221A17"/>
    <w:rsid w:val="00222B88"/>
    <w:rsid w:val="002232BE"/>
    <w:rsid w:val="00225557"/>
    <w:rsid w:val="00234199"/>
    <w:rsid w:val="00236126"/>
    <w:rsid w:val="00242681"/>
    <w:rsid w:val="00242843"/>
    <w:rsid w:val="00242C11"/>
    <w:rsid w:val="0024344F"/>
    <w:rsid w:val="0024389F"/>
    <w:rsid w:val="0024585E"/>
    <w:rsid w:val="00263581"/>
    <w:rsid w:val="00277DAE"/>
    <w:rsid w:val="002821E0"/>
    <w:rsid w:val="00285DE9"/>
    <w:rsid w:val="00287ADD"/>
    <w:rsid w:val="002A7D30"/>
    <w:rsid w:val="002B78EA"/>
    <w:rsid w:val="002C4B57"/>
    <w:rsid w:val="002D7586"/>
    <w:rsid w:val="002E16DF"/>
    <w:rsid w:val="002E7744"/>
    <w:rsid w:val="002F16B8"/>
    <w:rsid w:val="002F790F"/>
    <w:rsid w:val="002F7A5D"/>
    <w:rsid w:val="00300863"/>
    <w:rsid w:val="00302065"/>
    <w:rsid w:val="0031056B"/>
    <w:rsid w:val="0031519D"/>
    <w:rsid w:val="0031597E"/>
    <w:rsid w:val="0032597F"/>
    <w:rsid w:val="00335967"/>
    <w:rsid w:val="00336F4A"/>
    <w:rsid w:val="003431D3"/>
    <w:rsid w:val="00352997"/>
    <w:rsid w:val="00353822"/>
    <w:rsid w:val="00356096"/>
    <w:rsid w:val="00356AFD"/>
    <w:rsid w:val="00373A07"/>
    <w:rsid w:val="00374336"/>
    <w:rsid w:val="00377C20"/>
    <w:rsid w:val="00385F33"/>
    <w:rsid w:val="00390509"/>
    <w:rsid w:val="003A2F9A"/>
    <w:rsid w:val="003A447A"/>
    <w:rsid w:val="003A5D77"/>
    <w:rsid w:val="003A7C9D"/>
    <w:rsid w:val="003A7DCC"/>
    <w:rsid w:val="003B153C"/>
    <w:rsid w:val="003B3B11"/>
    <w:rsid w:val="003B670B"/>
    <w:rsid w:val="003E7600"/>
    <w:rsid w:val="003F68A7"/>
    <w:rsid w:val="004033EB"/>
    <w:rsid w:val="0040559C"/>
    <w:rsid w:val="004131E1"/>
    <w:rsid w:val="00420267"/>
    <w:rsid w:val="004353A3"/>
    <w:rsid w:val="00447ACF"/>
    <w:rsid w:val="00455B1E"/>
    <w:rsid w:val="004700CC"/>
    <w:rsid w:val="0047065C"/>
    <w:rsid w:val="00471081"/>
    <w:rsid w:val="0047315C"/>
    <w:rsid w:val="00484771"/>
    <w:rsid w:val="0048486A"/>
    <w:rsid w:val="00486C68"/>
    <w:rsid w:val="004A14B3"/>
    <w:rsid w:val="004A209C"/>
    <w:rsid w:val="004B05B2"/>
    <w:rsid w:val="004B199C"/>
    <w:rsid w:val="004B2C3D"/>
    <w:rsid w:val="004B35E4"/>
    <w:rsid w:val="004B3A9E"/>
    <w:rsid w:val="004C2DA0"/>
    <w:rsid w:val="004C60EC"/>
    <w:rsid w:val="004C6BE8"/>
    <w:rsid w:val="004D28B5"/>
    <w:rsid w:val="004E36BC"/>
    <w:rsid w:val="004E404C"/>
    <w:rsid w:val="004E64EC"/>
    <w:rsid w:val="004F4E8E"/>
    <w:rsid w:val="005027AE"/>
    <w:rsid w:val="00502E0F"/>
    <w:rsid w:val="0050470B"/>
    <w:rsid w:val="00512EB6"/>
    <w:rsid w:val="005209E6"/>
    <w:rsid w:val="00522FD6"/>
    <w:rsid w:val="00525C8D"/>
    <w:rsid w:val="00527A45"/>
    <w:rsid w:val="00534891"/>
    <w:rsid w:val="0054658B"/>
    <w:rsid w:val="005520E6"/>
    <w:rsid w:val="0055371A"/>
    <w:rsid w:val="00561510"/>
    <w:rsid w:val="0056236C"/>
    <w:rsid w:val="005706D3"/>
    <w:rsid w:val="005760DF"/>
    <w:rsid w:val="00576954"/>
    <w:rsid w:val="00577E90"/>
    <w:rsid w:val="005823D7"/>
    <w:rsid w:val="00583BA5"/>
    <w:rsid w:val="00585DB9"/>
    <w:rsid w:val="005904C7"/>
    <w:rsid w:val="00590B66"/>
    <w:rsid w:val="005A2C00"/>
    <w:rsid w:val="005A5D78"/>
    <w:rsid w:val="005C2CC4"/>
    <w:rsid w:val="005C7A9B"/>
    <w:rsid w:val="005D1A7D"/>
    <w:rsid w:val="005D6046"/>
    <w:rsid w:val="005E026A"/>
    <w:rsid w:val="005E07DF"/>
    <w:rsid w:val="005E1250"/>
    <w:rsid w:val="005E23AA"/>
    <w:rsid w:val="005E2777"/>
    <w:rsid w:val="005E7E86"/>
    <w:rsid w:val="005F03AB"/>
    <w:rsid w:val="005F0AD1"/>
    <w:rsid w:val="00602E28"/>
    <w:rsid w:val="0061402E"/>
    <w:rsid w:val="00615093"/>
    <w:rsid w:val="00617CE3"/>
    <w:rsid w:val="00620EEC"/>
    <w:rsid w:val="0062118D"/>
    <w:rsid w:val="006472DE"/>
    <w:rsid w:val="00651AE4"/>
    <w:rsid w:val="00651CB2"/>
    <w:rsid w:val="0065380C"/>
    <w:rsid w:val="006538AB"/>
    <w:rsid w:val="00665C62"/>
    <w:rsid w:val="00666E43"/>
    <w:rsid w:val="0066790A"/>
    <w:rsid w:val="006748D6"/>
    <w:rsid w:val="00675A67"/>
    <w:rsid w:val="00680BB0"/>
    <w:rsid w:val="0069058A"/>
    <w:rsid w:val="00694342"/>
    <w:rsid w:val="00694E4E"/>
    <w:rsid w:val="006A1D25"/>
    <w:rsid w:val="006A2BC9"/>
    <w:rsid w:val="006B05A3"/>
    <w:rsid w:val="006B3EFD"/>
    <w:rsid w:val="006B4E8B"/>
    <w:rsid w:val="006B5A09"/>
    <w:rsid w:val="006C0637"/>
    <w:rsid w:val="006C19E9"/>
    <w:rsid w:val="006C2136"/>
    <w:rsid w:val="006C2E46"/>
    <w:rsid w:val="006C46FB"/>
    <w:rsid w:val="006C54BF"/>
    <w:rsid w:val="006C7EB9"/>
    <w:rsid w:val="006D2457"/>
    <w:rsid w:val="006D2913"/>
    <w:rsid w:val="006D2942"/>
    <w:rsid w:val="006D6A62"/>
    <w:rsid w:val="006E4C02"/>
    <w:rsid w:val="006F0321"/>
    <w:rsid w:val="006F44DC"/>
    <w:rsid w:val="0070037A"/>
    <w:rsid w:val="00702631"/>
    <w:rsid w:val="00703560"/>
    <w:rsid w:val="00705DA0"/>
    <w:rsid w:val="007127F6"/>
    <w:rsid w:val="007136CF"/>
    <w:rsid w:val="007150C8"/>
    <w:rsid w:val="00730F60"/>
    <w:rsid w:val="00734E45"/>
    <w:rsid w:val="0074063C"/>
    <w:rsid w:val="00743B81"/>
    <w:rsid w:val="007500AA"/>
    <w:rsid w:val="00754F65"/>
    <w:rsid w:val="00756444"/>
    <w:rsid w:val="00762425"/>
    <w:rsid w:val="007635DA"/>
    <w:rsid w:val="00764CBA"/>
    <w:rsid w:val="00766FC6"/>
    <w:rsid w:val="00767151"/>
    <w:rsid w:val="00767645"/>
    <w:rsid w:val="007726B5"/>
    <w:rsid w:val="00772B87"/>
    <w:rsid w:val="00775FF7"/>
    <w:rsid w:val="007765E3"/>
    <w:rsid w:val="00776EC9"/>
    <w:rsid w:val="007866E4"/>
    <w:rsid w:val="00787AEF"/>
    <w:rsid w:val="007910F3"/>
    <w:rsid w:val="007919F4"/>
    <w:rsid w:val="0079314D"/>
    <w:rsid w:val="00793343"/>
    <w:rsid w:val="0079385D"/>
    <w:rsid w:val="00796E07"/>
    <w:rsid w:val="007A1F4F"/>
    <w:rsid w:val="007B1935"/>
    <w:rsid w:val="007B77DA"/>
    <w:rsid w:val="007B7F33"/>
    <w:rsid w:val="007C1A57"/>
    <w:rsid w:val="007D7C7C"/>
    <w:rsid w:val="007E0F63"/>
    <w:rsid w:val="007E289E"/>
    <w:rsid w:val="007E7563"/>
    <w:rsid w:val="007F2BB5"/>
    <w:rsid w:val="007F30C6"/>
    <w:rsid w:val="007F48DF"/>
    <w:rsid w:val="007F744A"/>
    <w:rsid w:val="00801E2C"/>
    <w:rsid w:val="00802806"/>
    <w:rsid w:val="00802EDE"/>
    <w:rsid w:val="00811E9C"/>
    <w:rsid w:val="00811EA4"/>
    <w:rsid w:val="00821057"/>
    <w:rsid w:val="0082492A"/>
    <w:rsid w:val="0083130A"/>
    <w:rsid w:val="00847198"/>
    <w:rsid w:val="00847459"/>
    <w:rsid w:val="00854215"/>
    <w:rsid w:val="00856D2C"/>
    <w:rsid w:val="00857765"/>
    <w:rsid w:val="00864C5C"/>
    <w:rsid w:val="00870126"/>
    <w:rsid w:val="00871510"/>
    <w:rsid w:val="0087202E"/>
    <w:rsid w:val="0087522E"/>
    <w:rsid w:val="008762CC"/>
    <w:rsid w:val="008967FA"/>
    <w:rsid w:val="0089728C"/>
    <w:rsid w:val="008A0CC5"/>
    <w:rsid w:val="008B0D49"/>
    <w:rsid w:val="008B59EF"/>
    <w:rsid w:val="008B6BE0"/>
    <w:rsid w:val="008B74D0"/>
    <w:rsid w:val="008C20D0"/>
    <w:rsid w:val="008C3ADF"/>
    <w:rsid w:val="008D3A71"/>
    <w:rsid w:val="008D576B"/>
    <w:rsid w:val="008D7A86"/>
    <w:rsid w:val="008E424E"/>
    <w:rsid w:val="008E4302"/>
    <w:rsid w:val="008E6E12"/>
    <w:rsid w:val="008E7300"/>
    <w:rsid w:val="008E7DE8"/>
    <w:rsid w:val="008F28E6"/>
    <w:rsid w:val="008F355F"/>
    <w:rsid w:val="0090120C"/>
    <w:rsid w:val="00906FF8"/>
    <w:rsid w:val="00915E28"/>
    <w:rsid w:val="0091711D"/>
    <w:rsid w:val="00921A85"/>
    <w:rsid w:val="00921CC2"/>
    <w:rsid w:val="009234B7"/>
    <w:rsid w:val="00927EAA"/>
    <w:rsid w:val="00933340"/>
    <w:rsid w:val="0094328C"/>
    <w:rsid w:val="009440C1"/>
    <w:rsid w:val="00945D10"/>
    <w:rsid w:val="0095182C"/>
    <w:rsid w:val="00951870"/>
    <w:rsid w:val="00954986"/>
    <w:rsid w:val="00954E1C"/>
    <w:rsid w:val="0095718D"/>
    <w:rsid w:val="009617EA"/>
    <w:rsid w:val="00975850"/>
    <w:rsid w:val="00991F57"/>
    <w:rsid w:val="00992F95"/>
    <w:rsid w:val="009A6297"/>
    <w:rsid w:val="009B2794"/>
    <w:rsid w:val="009B531D"/>
    <w:rsid w:val="009B7B93"/>
    <w:rsid w:val="009C1988"/>
    <w:rsid w:val="009C720A"/>
    <w:rsid w:val="009D39AE"/>
    <w:rsid w:val="009E19D0"/>
    <w:rsid w:val="009F18A1"/>
    <w:rsid w:val="009F60F4"/>
    <w:rsid w:val="009F6EB6"/>
    <w:rsid w:val="00A033CD"/>
    <w:rsid w:val="00A03B32"/>
    <w:rsid w:val="00A06159"/>
    <w:rsid w:val="00A178F9"/>
    <w:rsid w:val="00A21C46"/>
    <w:rsid w:val="00A23660"/>
    <w:rsid w:val="00A2378A"/>
    <w:rsid w:val="00A25E88"/>
    <w:rsid w:val="00A304C4"/>
    <w:rsid w:val="00A37648"/>
    <w:rsid w:val="00A4424D"/>
    <w:rsid w:val="00A4455C"/>
    <w:rsid w:val="00A44DCA"/>
    <w:rsid w:val="00A539B7"/>
    <w:rsid w:val="00A662F6"/>
    <w:rsid w:val="00A6650A"/>
    <w:rsid w:val="00A703BC"/>
    <w:rsid w:val="00A73E4E"/>
    <w:rsid w:val="00A9316B"/>
    <w:rsid w:val="00A95F65"/>
    <w:rsid w:val="00A96AAA"/>
    <w:rsid w:val="00A97358"/>
    <w:rsid w:val="00AA5514"/>
    <w:rsid w:val="00AA5753"/>
    <w:rsid w:val="00AB0A6C"/>
    <w:rsid w:val="00AB4DD7"/>
    <w:rsid w:val="00AC6C87"/>
    <w:rsid w:val="00AE2615"/>
    <w:rsid w:val="00AF38C2"/>
    <w:rsid w:val="00B12F16"/>
    <w:rsid w:val="00B15FB8"/>
    <w:rsid w:val="00B3281D"/>
    <w:rsid w:val="00B35942"/>
    <w:rsid w:val="00B369E6"/>
    <w:rsid w:val="00B43EE0"/>
    <w:rsid w:val="00B56036"/>
    <w:rsid w:val="00B57318"/>
    <w:rsid w:val="00B576F8"/>
    <w:rsid w:val="00B6174C"/>
    <w:rsid w:val="00B629C8"/>
    <w:rsid w:val="00B6735F"/>
    <w:rsid w:val="00B71C4F"/>
    <w:rsid w:val="00B72E71"/>
    <w:rsid w:val="00B76411"/>
    <w:rsid w:val="00B92EE9"/>
    <w:rsid w:val="00B95746"/>
    <w:rsid w:val="00BA2219"/>
    <w:rsid w:val="00BA65F9"/>
    <w:rsid w:val="00BA7B66"/>
    <w:rsid w:val="00BB5E87"/>
    <w:rsid w:val="00BC5067"/>
    <w:rsid w:val="00BC6E0A"/>
    <w:rsid w:val="00BD0533"/>
    <w:rsid w:val="00BD37A1"/>
    <w:rsid w:val="00BE2635"/>
    <w:rsid w:val="00BE26AC"/>
    <w:rsid w:val="00BE601C"/>
    <w:rsid w:val="00BE6710"/>
    <w:rsid w:val="00BF20E4"/>
    <w:rsid w:val="00BF3ECD"/>
    <w:rsid w:val="00BF5AA2"/>
    <w:rsid w:val="00BF6A70"/>
    <w:rsid w:val="00BF74A3"/>
    <w:rsid w:val="00C00CE7"/>
    <w:rsid w:val="00C02DA2"/>
    <w:rsid w:val="00C04E4C"/>
    <w:rsid w:val="00C23D6E"/>
    <w:rsid w:val="00C3355F"/>
    <w:rsid w:val="00C33C12"/>
    <w:rsid w:val="00C41168"/>
    <w:rsid w:val="00C417FD"/>
    <w:rsid w:val="00C42F21"/>
    <w:rsid w:val="00C433A3"/>
    <w:rsid w:val="00C46864"/>
    <w:rsid w:val="00C52FC9"/>
    <w:rsid w:val="00C57529"/>
    <w:rsid w:val="00C65847"/>
    <w:rsid w:val="00C67BB3"/>
    <w:rsid w:val="00C86E35"/>
    <w:rsid w:val="00C87FE3"/>
    <w:rsid w:val="00C91B9C"/>
    <w:rsid w:val="00C9767E"/>
    <w:rsid w:val="00CA39E0"/>
    <w:rsid w:val="00CB7211"/>
    <w:rsid w:val="00CE1A75"/>
    <w:rsid w:val="00CE5D43"/>
    <w:rsid w:val="00CE7845"/>
    <w:rsid w:val="00CE78C0"/>
    <w:rsid w:val="00CF1EED"/>
    <w:rsid w:val="00CF743B"/>
    <w:rsid w:val="00D01491"/>
    <w:rsid w:val="00D01AAE"/>
    <w:rsid w:val="00D0239C"/>
    <w:rsid w:val="00D11502"/>
    <w:rsid w:val="00D17643"/>
    <w:rsid w:val="00D178F1"/>
    <w:rsid w:val="00D23FC2"/>
    <w:rsid w:val="00D25939"/>
    <w:rsid w:val="00D341FB"/>
    <w:rsid w:val="00D40BA1"/>
    <w:rsid w:val="00D40D0D"/>
    <w:rsid w:val="00D46748"/>
    <w:rsid w:val="00D47911"/>
    <w:rsid w:val="00D47A11"/>
    <w:rsid w:val="00D51EDB"/>
    <w:rsid w:val="00D545D5"/>
    <w:rsid w:val="00D6206F"/>
    <w:rsid w:val="00D65940"/>
    <w:rsid w:val="00D71C45"/>
    <w:rsid w:val="00D72234"/>
    <w:rsid w:val="00D735A4"/>
    <w:rsid w:val="00D73AD8"/>
    <w:rsid w:val="00D74A94"/>
    <w:rsid w:val="00D7663A"/>
    <w:rsid w:val="00D96EDF"/>
    <w:rsid w:val="00DA1CFB"/>
    <w:rsid w:val="00DA74A4"/>
    <w:rsid w:val="00DB2D11"/>
    <w:rsid w:val="00DB30A1"/>
    <w:rsid w:val="00DB5500"/>
    <w:rsid w:val="00DC096A"/>
    <w:rsid w:val="00DC238A"/>
    <w:rsid w:val="00DC2A67"/>
    <w:rsid w:val="00DC6363"/>
    <w:rsid w:val="00DD03AA"/>
    <w:rsid w:val="00DD05C7"/>
    <w:rsid w:val="00DD7D0B"/>
    <w:rsid w:val="00DF3D1D"/>
    <w:rsid w:val="00DF7201"/>
    <w:rsid w:val="00E01DF6"/>
    <w:rsid w:val="00E05F6E"/>
    <w:rsid w:val="00E13E16"/>
    <w:rsid w:val="00E20D84"/>
    <w:rsid w:val="00E232B5"/>
    <w:rsid w:val="00E23ECA"/>
    <w:rsid w:val="00E30394"/>
    <w:rsid w:val="00E31309"/>
    <w:rsid w:val="00E3134B"/>
    <w:rsid w:val="00E32696"/>
    <w:rsid w:val="00E33062"/>
    <w:rsid w:val="00E43684"/>
    <w:rsid w:val="00E60184"/>
    <w:rsid w:val="00E64CF6"/>
    <w:rsid w:val="00E717D0"/>
    <w:rsid w:val="00E71D66"/>
    <w:rsid w:val="00E727C2"/>
    <w:rsid w:val="00E77712"/>
    <w:rsid w:val="00E83FC2"/>
    <w:rsid w:val="00E9076A"/>
    <w:rsid w:val="00E973C4"/>
    <w:rsid w:val="00EA1BD9"/>
    <w:rsid w:val="00EB0F5D"/>
    <w:rsid w:val="00EB4787"/>
    <w:rsid w:val="00EB76E6"/>
    <w:rsid w:val="00ED4399"/>
    <w:rsid w:val="00ED731A"/>
    <w:rsid w:val="00ED7FF4"/>
    <w:rsid w:val="00EE2FF2"/>
    <w:rsid w:val="00EE6A61"/>
    <w:rsid w:val="00EF3D88"/>
    <w:rsid w:val="00EF43DA"/>
    <w:rsid w:val="00F029FD"/>
    <w:rsid w:val="00F17CD4"/>
    <w:rsid w:val="00F2241C"/>
    <w:rsid w:val="00F352CD"/>
    <w:rsid w:val="00F36139"/>
    <w:rsid w:val="00F36140"/>
    <w:rsid w:val="00F477F4"/>
    <w:rsid w:val="00F50EC2"/>
    <w:rsid w:val="00F5713E"/>
    <w:rsid w:val="00F63996"/>
    <w:rsid w:val="00F754F6"/>
    <w:rsid w:val="00F77AA0"/>
    <w:rsid w:val="00F80944"/>
    <w:rsid w:val="00F81A55"/>
    <w:rsid w:val="00F830A4"/>
    <w:rsid w:val="00F91218"/>
    <w:rsid w:val="00F92EE0"/>
    <w:rsid w:val="00F94D8E"/>
    <w:rsid w:val="00F95E99"/>
    <w:rsid w:val="00F977BC"/>
    <w:rsid w:val="00FA638B"/>
    <w:rsid w:val="00FA6CE3"/>
    <w:rsid w:val="00FA7CFF"/>
    <w:rsid w:val="00FB0361"/>
    <w:rsid w:val="00FB4498"/>
    <w:rsid w:val="00FC133A"/>
    <w:rsid w:val="00FD2729"/>
    <w:rsid w:val="00FD2FEE"/>
    <w:rsid w:val="00FD4281"/>
    <w:rsid w:val="00FF2053"/>
    <w:rsid w:val="00FF45D5"/>
    <w:rsid w:val="00FF6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07F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A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6443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5093"/>
    <w:pPr>
      <w:spacing w:before="360" w:after="120"/>
      <w:jc w:val="center"/>
      <w:outlineLvl w:val="1"/>
    </w:pPr>
    <w:rPr>
      <w:b/>
      <w:sz w:val="28"/>
      <w:szCs w:val="28"/>
    </w:rPr>
  </w:style>
  <w:style w:type="paragraph" w:styleId="Heading3">
    <w:name w:val="heading 3"/>
    <w:basedOn w:val="Normal"/>
    <w:next w:val="Normal"/>
    <w:link w:val="Heading3Char"/>
    <w:uiPriority w:val="9"/>
    <w:unhideWhenUsed/>
    <w:qFormat/>
    <w:rsid w:val="00615093"/>
    <w:pPr>
      <w:spacing w:before="120" w:after="120"/>
      <w:jc w:val="both"/>
      <w:outlineLvl w:val="2"/>
    </w:pPr>
    <w:rPr>
      <w:b/>
      <w:szCs w:val="24"/>
    </w:rPr>
  </w:style>
  <w:style w:type="paragraph" w:styleId="Heading6">
    <w:name w:val="heading 6"/>
    <w:basedOn w:val="Normal"/>
    <w:next w:val="Normal"/>
    <w:link w:val="Heading6Char"/>
    <w:semiHidden/>
    <w:unhideWhenUsed/>
    <w:qFormat/>
    <w:rsid w:val="002E7744"/>
    <w:pPr>
      <w:keepNext/>
      <w:spacing w:before="240"/>
      <w:ind w:right="91"/>
      <w:outlineLvl w:val="5"/>
    </w:pPr>
    <w:rPr>
      <w:rFonts w:eastAsia="Times New Roman" w:cs="Times New Roman"/>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31"/>
    <w:rPr>
      <w:rFonts w:ascii="Cambria" w:eastAsia="Times New Roman" w:hAnsi="Cambria" w:cs="Times New Roman"/>
      <w:b/>
      <w:bCs/>
      <w:kern w:val="32"/>
      <w:sz w:val="32"/>
      <w:szCs w:val="32"/>
    </w:rPr>
  </w:style>
  <w:style w:type="paragraph" w:styleId="ListParagraph">
    <w:name w:val="List Paragraph"/>
    <w:basedOn w:val="Normal"/>
    <w:uiPriority w:val="34"/>
    <w:qFormat/>
    <w:rsid w:val="00064431"/>
    <w:pPr>
      <w:ind w:left="720"/>
    </w:pPr>
    <w:rPr>
      <w:rFonts w:ascii="Calibri" w:eastAsia="Calibri" w:hAnsi="Calibri" w:cs="Times New Roman"/>
    </w:rPr>
  </w:style>
  <w:style w:type="paragraph" w:styleId="Header">
    <w:name w:val="header"/>
    <w:basedOn w:val="Normal"/>
    <w:link w:val="HeaderChar"/>
    <w:uiPriority w:val="99"/>
    <w:unhideWhenUsed/>
    <w:rsid w:val="00064431"/>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64431"/>
    <w:rPr>
      <w:rFonts w:ascii="Calibri" w:eastAsia="Calibri" w:hAnsi="Calibri" w:cs="Times New Roman"/>
    </w:rPr>
  </w:style>
  <w:style w:type="character" w:styleId="Hyperlink">
    <w:name w:val="Hyperlink"/>
    <w:basedOn w:val="DefaultParagraphFont"/>
    <w:uiPriority w:val="99"/>
    <w:unhideWhenUsed/>
    <w:rsid w:val="005A5D78"/>
    <w:rPr>
      <w:color w:val="0000FF" w:themeColor="hyperlink"/>
      <w:u w:val="single"/>
    </w:rPr>
  </w:style>
  <w:style w:type="character" w:styleId="CommentReference">
    <w:name w:val="annotation reference"/>
    <w:basedOn w:val="DefaultParagraphFont"/>
    <w:uiPriority w:val="99"/>
    <w:semiHidden/>
    <w:unhideWhenUsed/>
    <w:rsid w:val="004033EB"/>
    <w:rPr>
      <w:sz w:val="16"/>
      <w:szCs w:val="16"/>
    </w:rPr>
  </w:style>
  <w:style w:type="paragraph" w:styleId="CommentText">
    <w:name w:val="annotation text"/>
    <w:basedOn w:val="Normal"/>
    <w:link w:val="CommentTextChar"/>
    <w:uiPriority w:val="99"/>
    <w:semiHidden/>
    <w:unhideWhenUsed/>
    <w:rsid w:val="004033EB"/>
    <w:rPr>
      <w:sz w:val="20"/>
      <w:szCs w:val="20"/>
    </w:rPr>
  </w:style>
  <w:style w:type="character" w:customStyle="1" w:styleId="CommentTextChar">
    <w:name w:val="Comment Text Char"/>
    <w:basedOn w:val="DefaultParagraphFont"/>
    <w:link w:val="CommentText"/>
    <w:uiPriority w:val="99"/>
    <w:semiHidden/>
    <w:rsid w:val="004033EB"/>
    <w:rPr>
      <w:sz w:val="20"/>
      <w:szCs w:val="20"/>
    </w:rPr>
  </w:style>
  <w:style w:type="paragraph" w:styleId="CommentSubject">
    <w:name w:val="annotation subject"/>
    <w:basedOn w:val="CommentText"/>
    <w:next w:val="CommentText"/>
    <w:link w:val="CommentSubjectChar"/>
    <w:uiPriority w:val="99"/>
    <w:semiHidden/>
    <w:unhideWhenUsed/>
    <w:rsid w:val="004033EB"/>
    <w:rPr>
      <w:b/>
      <w:bCs/>
    </w:rPr>
  </w:style>
  <w:style w:type="character" w:customStyle="1" w:styleId="CommentSubjectChar">
    <w:name w:val="Comment Subject Char"/>
    <w:basedOn w:val="CommentTextChar"/>
    <w:link w:val="CommentSubject"/>
    <w:uiPriority w:val="99"/>
    <w:semiHidden/>
    <w:rsid w:val="004033EB"/>
    <w:rPr>
      <w:b/>
      <w:bCs/>
      <w:sz w:val="20"/>
      <w:szCs w:val="20"/>
    </w:rPr>
  </w:style>
  <w:style w:type="paragraph" w:styleId="BalloonText">
    <w:name w:val="Balloon Text"/>
    <w:basedOn w:val="Normal"/>
    <w:link w:val="BalloonTextChar"/>
    <w:uiPriority w:val="99"/>
    <w:semiHidden/>
    <w:unhideWhenUsed/>
    <w:rsid w:val="004033EB"/>
    <w:rPr>
      <w:rFonts w:ascii="Tahoma" w:hAnsi="Tahoma" w:cs="Tahoma"/>
      <w:sz w:val="16"/>
      <w:szCs w:val="16"/>
    </w:rPr>
  </w:style>
  <w:style w:type="character" w:customStyle="1" w:styleId="BalloonTextChar">
    <w:name w:val="Balloon Text Char"/>
    <w:basedOn w:val="DefaultParagraphFont"/>
    <w:link w:val="BalloonText"/>
    <w:uiPriority w:val="99"/>
    <w:semiHidden/>
    <w:rsid w:val="004033EB"/>
    <w:rPr>
      <w:rFonts w:ascii="Tahoma" w:hAnsi="Tahoma" w:cs="Tahoma"/>
      <w:sz w:val="16"/>
      <w:szCs w:val="16"/>
    </w:rPr>
  </w:style>
  <w:style w:type="paragraph" w:styleId="Footer">
    <w:name w:val="footer"/>
    <w:basedOn w:val="Normal"/>
    <w:link w:val="FooterChar"/>
    <w:uiPriority w:val="99"/>
    <w:unhideWhenUsed/>
    <w:rsid w:val="00A96AAA"/>
    <w:pPr>
      <w:tabs>
        <w:tab w:val="center" w:pos="4513"/>
        <w:tab w:val="right" w:pos="9026"/>
      </w:tabs>
    </w:pPr>
  </w:style>
  <w:style w:type="character" w:customStyle="1" w:styleId="FooterChar">
    <w:name w:val="Footer Char"/>
    <w:basedOn w:val="DefaultParagraphFont"/>
    <w:link w:val="Footer"/>
    <w:uiPriority w:val="99"/>
    <w:rsid w:val="00A96AAA"/>
  </w:style>
  <w:style w:type="character" w:customStyle="1" w:styleId="Heading2Char">
    <w:name w:val="Heading 2 Char"/>
    <w:basedOn w:val="DefaultParagraphFont"/>
    <w:link w:val="Heading2"/>
    <w:uiPriority w:val="9"/>
    <w:rsid w:val="00615093"/>
    <w:rPr>
      <w:rFonts w:ascii="Times New Roman" w:hAnsi="Times New Roman"/>
      <w:b/>
      <w:sz w:val="28"/>
      <w:szCs w:val="28"/>
    </w:rPr>
  </w:style>
  <w:style w:type="character" w:customStyle="1" w:styleId="Heading3Char">
    <w:name w:val="Heading 3 Char"/>
    <w:basedOn w:val="DefaultParagraphFont"/>
    <w:link w:val="Heading3"/>
    <w:uiPriority w:val="9"/>
    <w:rsid w:val="00615093"/>
    <w:rPr>
      <w:rFonts w:ascii="Times New Roman" w:hAnsi="Times New Roman"/>
      <w:b/>
      <w:sz w:val="24"/>
      <w:szCs w:val="24"/>
    </w:rPr>
  </w:style>
  <w:style w:type="paragraph" w:styleId="NormalWeb">
    <w:name w:val="Normal (Web)"/>
    <w:basedOn w:val="Normal"/>
    <w:uiPriority w:val="99"/>
    <w:semiHidden/>
    <w:unhideWhenUsed/>
    <w:rsid w:val="00DB30A1"/>
    <w:pPr>
      <w:spacing w:before="100" w:beforeAutospacing="1" w:after="100" w:afterAutospacing="1"/>
    </w:pPr>
    <w:rPr>
      <w:rFonts w:eastAsia="Times New Roman" w:cs="Times New Roman"/>
      <w:szCs w:val="24"/>
      <w:lang w:eastAsia="en-AU"/>
    </w:rPr>
  </w:style>
  <w:style w:type="character" w:customStyle="1" w:styleId="sr-only1">
    <w:name w:val="sr-only1"/>
    <w:basedOn w:val="DefaultParagraphFont"/>
    <w:rsid w:val="00694342"/>
    <w:rPr>
      <w:bdr w:val="none" w:sz="0" w:space="0" w:color="auto" w:frame="1"/>
    </w:rPr>
  </w:style>
  <w:style w:type="paragraph" w:styleId="FootnoteText">
    <w:name w:val="footnote text"/>
    <w:basedOn w:val="Normal"/>
    <w:link w:val="FootnoteTextChar"/>
    <w:uiPriority w:val="99"/>
    <w:unhideWhenUsed/>
    <w:rsid w:val="00702631"/>
    <w:rPr>
      <w:sz w:val="20"/>
      <w:szCs w:val="20"/>
    </w:rPr>
  </w:style>
  <w:style w:type="character" w:customStyle="1" w:styleId="FootnoteTextChar">
    <w:name w:val="Footnote Text Char"/>
    <w:basedOn w:val="DefaultParagraphFont"/>
    <w:link w:val="FootnoteText"/>
    <w:uiPriority w:val="99"/>
    <w:rsid w:val="00702631"/>
    <w:rPr>
      <w:sz w:val="20"/>
      <w:szCs w:val="20"/>
    </w:rPr>
  </w:style>
  <w:style w:type="character" w:styleId="FootnoteReference">
    <w:name w:val="footnote reference"/>
    <w:basedOn w:val="DefaultParagraphFont"/>
    <w:uiPriority w:val="99"/>
    <w:semiHidden/>
    <w:unhideWhenUsed/>
    <w:rsid w:val="00702631"/>
    <w:rPr>
      <w:vertAlign w:val="superscript"/>
    </w:rPr>
  </w:style>
  <w:style w:type="character" w:styleId="Emphasis">
    <w:name w:val="Emphasis"/>
    <w:basedOn w:val="DefaultParagraphFont"/>
    <w:uiPriority w:val="20"/>
    <w:qFormat/>
    <w:rsid w:val="00DB2D11"/>
    <w:rPr>
      <w:i/>
      <w:iCs/>
    </w:rPr>
  </w:style>
  <w:style w:type="paragraph" w:customStyle="1" w:styleId="BulletDot">
    <w:name w:val="Bullet Dot"/>
    <w:basedOn w:val="Normal"/>
    <w:link w:val="BulletDotChar"/>
    <w:qFormat/>
    <w:rsid w:val="001B2CCB"/>
    <w:pPr>
      <w:numPr>
        <w:numId w:val="19"/>
      </w:numPr>
      <w:suppressAutoHyphens/>
      <w:autoSpaceDE w:val="0"/>
      <w:autoSpaceDN w:val="0"/>
      <w:adjustRightInd w:val="0"/>
      <w:spacing w:after="50" w:line="280" w:lineRule="atLeast"/>
      <w:textAlignment w:val="center"/>
    </w:pPr>
    <w:rPr>
      <w:rFonts w:cs="FranklinGothic-Book"/>
      <w:color w:val="000000"/>
    </w:rPr>
  </w:style>
  <w:style w:type="character" w:customStyle="1" w:styleId="BulletDotChar">
    <w:name w:val="Bullet Dot Char"/>
    <w:basedOn w:val="DefaultParagraphFont"/>
    <w:link w:val="BulletDot"/>
    <w:rsid w:val="001B2CCB"/>
    <w:rPr>
      <w:rFonts w:ascii="Times New Roman" w:hAnsi="Times New Roman" w:cs="FranklinGothic-Book"/>
      <w:color w:val="000000"/>
      <w:sz w:val="24"/>
    </w:rPr>
  </w:style>
  <w:style w:type="character" w:styleId="FollowedHyperlink">
    <w:name w:val="FollowedHyperlink"/>
    <w:basedOn w:val="DefaultParagraphFont"/>
    <w:uiPriority w:val="99"/>
    <w:semiHidden/>
    <w:unhideWhenUsed/>
    <w:rsid w:val="003A2F9A"/>
    <w:rPr>
      <w:color w:val="800080" w:themeColor="followedHyperlink"/>
      <w:u w:val="single"/>
    </w:rPr>
  </w:style>
  <w:style w:type="character" w:customStyle="1" w:styleId="Heading6Char">
    <w:name w:val="Heading 6 Char"/>
    <w:basedOn w:val="DefaultParagraphFont"/>
    <w:link w:val="Heading6"/>
    <w:semiHidden/>
    <w:rsid w:val="002E7744"/>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2E7744"/>
    <w:rPr>
      <w:b/>
      <w:sz w:val="24"/>
    </w:rPr>
  </w:style>
  <w:style w:type="paragraph" w:customStyle="1" w:styleId="Appendix">
    <w:name w:val="Appendix"/>
    <w:basedOn w:val="Normal"/>
    <w:link w:val="AppendixCharChar"/>
    <w:rsid w:val="002E7744"/>
    <w:pPr>
      <w:jc w:val="right"/>
    </w:pPr>
    <w:rPr>
      <w:rFonts w:asciiTheme="minorHAnsi" w:hAnsiTheme="minorHAnsi"/>
      <w:b/>
    </w:rPr>
  </w:style>
  <w:style w:type="paragraph" w:customStyle="1" w:styleId="HB-dotpoint">
    <w:name w:val="HB - dotpoint"/>
    <w:basedOn w:val="Normal"/>
    <w:rsid w:val="002E7744"/>
    <w:pPr>
      <w:numPr>
        <w:numId w:val="32"/>
      </w:numPr>
      <w:spacing w:before="180"/>
    </w:pPr>
    <w:rPr>
      <w:rFonts w:eastAsia="Times New Roman" w:cs="Times New Roman"/>
      <w:szCs w:val="20"/>
      <w:lang w:eastAsia="en-AU"/>
    </w:rPr>
  </w:style>
  <w:style w:type="paragraph" w:styleId="ListNumber">
    <w:name w:val="List Number"/>
    <w:basedOn w:val="Normal"/>
    <w:autoRedefine/>
    <w:uiPriority w:val="99"/>
    <w:semiHidden/>
    <w:unhideWhenUsed/>
    <w:qFormat/>
    <w:rsid w:val="002E7744"/>
    <w:pPr>
      <w:numPr>
        <w:numId w:val="36"/>
      </w:numPr>
      <w:spacing w:after="200"/>
    </w:pPr>
    <w:rPr>
      <w:rFonts w:eastAsia="Calibri" w:cs="Times New Roman"/>
      <w:b/>
      <w:szCs w:val="24"/>
    </w:rPr>
  </w:style>
  <w:style w:type="paragraph" w:customStyle="1" w:styleId="ShortT">
    <w:name w:val="ShortT"/>
    <w:basedOn w:val="Normal"/>
    <w:next w:val="Normal"/>
    <w:qFormat/>
    <w:rsid w:val="002E7744"/>
    <w:rPr>
      <w:rFonts w:eastAsia="Times New Roman" w:cs="Times New Roman"/>
      <w:b/>
      <w:sz w:val="40"/>
      <w:szCs w:val="20"/>
      <w:lang w:eastAsia="en-AU"/>
    </w:rPr>
  </w:style>
  <w:style w:type="paragraph" w:customStyle="1" w:styleId="paragraph">
    <w:name w:val="paragraph"/>
    <w:aliases w:val="a"/>
    <w:basedOn w:val="Normal"/>
    <w:rsid w:val="001A1FA0"/>
    <w:pPr>
      <w:tabs>
        <w:tab w:val="right" w:pos="1531"/>
      </w:tabs>
      <w:spacing w:before="40"/>
      <w:ind w:left="1644" w:hanging="1644"/>
    </w:pPr>
    <w:rPr>
      <w:rFonts w:eastAsia="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9744">
      <w:bodyDiv w:val="1"/>
      <w:marLeft w:val="0"/>
      <w:marRight w:val="0"/>
      <w:marTop w:val="0"/>
      <w:marBottom w:val="0"/>
      <w:divBdr>
        <w:top w:val="none" w:sz="0" w:space="0" w:color="auto"/>
        <w:left w:val="none" w:sz="0" w:space="0" w:color="auto"/>
        <w:bottom w:val="none" w:sz="0" w:space="0" w:color="auto"/>
        <w:right w:val="none" w:sz="0" w:space="0" w:color="auto"/>
      </w:divBdr>
    </w:div>
    <w:div w:id="85420336">
      <w:bodyDiv w:val="1"/>
      <w:marLeft w:val="0"/>
      <w:marRight w:val="0"/>
      <w:marTop w:val="0"/>
      <w:marBottom w:val="0"/>
      <w:divBdr>
        <w:top w:val="none" w:sz="0" w:space="0" w:color="auto"/>
        <w:left w:val="none" w:sz="0" w:space="0" w:color="auto"/>
        <w:bottom w:val="none" w:sz="0" w:space="0" w:color="auto"/>
        <w:right w:val="none" w:sz="0" w:space="0" w:color="auto"/>
      </w:divBdr>
    </w:div>
    <w:div w:id="113016018">
      <w:bodyDiv w:val="1"/>
      <w:marLeft w:val="0"/>
      <w:marRight w:val="0"/>
      <w:marTop w:val="0"/>
      <w:marBottom w:val="0"/>
      <w:divBdr>
        <w:top w:val="none" w:sz="0" w:space="0" w:color="auto"/>
        <w:left w:val="none" w:sz="0" w:space="0" w:color="auto"/>
        <w:bottom w:val="none" w:sz="0" w:space="0" w:color="auto"/>
        <w:right w:val="none" w:sz="0" w:space="0" w:color="auto"/>
      </w:divBdr>
    </w:div>
    <w:div w:id="333655623">
      <w:bodyDiv w:val="1"/>
      <w:marLeft w:val="0"/>
      <w:marRight w:val="0"/>
      <w:marTop w:val="0"/>
      <w:marBottom w:val="0"/>
      <w:divBdr>
        <w:top w:val="none" w:sz="0" w:space="0" w:color="auto"/>
        <w:left w:val="none" w:sz="0" w:space="0" w:color="auto"/>
        <w:bottom w:val="none" w:sz="0" w:space="0" w:color="auto"/>
        <w:right w:val="none" w:sz="0" w:space="0" w:color="auto"/>
      </w:divBdr>
    </w:div>
    <w:div w:id="367489608">
      <w:bodyDiv w:val="1"/>
      <w:marLeft w:val="0"/>
      <w:marRight w:val="0"/>
      <w:marTop w:val="0"/>
      <w:marBottom w:val="0"/>
      <w:divBdr>
        <w:top w:val="none" w:sz="0" w:space="0" w:color="auto"/>
        <w:left w:val="none" w:sz="0" w:space="0" w:color="auto"/>
        <w:bottom w:val="none" w:sz="0" w:space="0" w:color="auto"/>
        <w:right w:val="none" w:sz="0" w:space="0" w:color="auto"/>
      </w:divBdr>
    </w:div>
    <w:div w:id="374473802">
      <w:bodyDiv w:val="1"/>
      <w:marLeft w:val="0"/>
      <w:marRight w:val="0"/>
      <w:marTop w:val="0"/>
      <w:marBottom w:val="0"/>
      <w:divBdr>
        <w:top w:val="none" w:sz="0" w:space="0" w:color="auto"/>
        <w:left w:val="none" w:sz="0" w:space="0" w:color="auto"/>
        <w:bottom w:val="none" w:sz="0" w:space="0" w:color="auto"/>
        <w:right w:val="none" w:sz="0" w:space="0" w:color="auto"/>
      </w:divBdr>
    </w:div>
    <w:div w:id="673533006">
      <w:bodyDiv w:val="1"/>
      <w:marLeft w:val="0"/>
      <w:marRight w:val="0"/>
      <w:marTop w:val="0"/>
      <w:marBottom w:val="0"/>
      <w:divBdr>
        <w:top w:val="none" w:sz="0" w:space="0" w:color="auto"/>
        <w:left w:val="none" w:sz="0" w:space="0" w:color="auto"/>
        <w:bottom w:val="none" w:sz="0" w:space="0" w:color="auto"/>
        <w:right w:val="none" w:sz="0" w:space="0" w:color="auto"/>
      </w:divBdr>
    </w:div>
    <w:div w:id="683630322">
      <w:bodyDiv w:val="1"/>
      <w:marLeft w:val="0"/>
      <w:marRight w:val="0"/>
      <w:marTop w:val="0"/>
      <w:marBottom w:val="0"/>
      <w:divBdr>
        <w:top w:val="none" w:sz="0" w:space="0" w:color="auto"/>
        <w:left w:val="none" w:sz="0" w:space="0" w:color="auto"/>
        <w:bottom w:val="none" w:sz="0" w:space="0" w:color="auto"/>
        <w:right w:val="none" w:sz="0" w:space="0" w:color="auto"/>
      </w:divBdr>
    </w:div>
    <w:div w:id="748845176">
      <w:bodyDiv w:val="1"/>
      <w:marLeft w:val="0"/>
      <w:marRight w:val="0"/>
      <w:marTop w:val="0"/>
      <w:marBottom w:val="0"/>
      <w:divBdr>
        <w:top w:val="none" w:sz="0" w:space="0" w:color="auto"/>
        <w:left w:val="none" w:sz="0" w:space="0" w:color="auto"/>
        <w:bottom w:val="none" w:sz="0" w:space="0" w:color="auto"/>
        <w:right w:val="none" w:sz="0" w:space="0" w:color="auto"/>
      </w:divBdr>
    </w:div>
    <w:div w:id="1193569991">
      <w:bodyDiv w:val="1"/>
      <w:marLeft w:val="0"/>
      <w:marRight w:val="0"/>
      <w:marTop w:val="0"/>
      <w:marBottom w:val="0"/>
      <w:divBdr>
        <w:top w:val="none" w:sz="0" w:space="0" w:color="auto"/>
        <w:left w:val="none" w:sz="0" w:space="0" w:color="auto"/>
        <w:bottom w:val="none" w:sz="0" w:space="0" w:color="auto"/>
        <w:right w:val="none" w:sz="0" w:space="0" w:color="auto"/>
      </w:divBdr>
    </w:div>
    <w:div w:id="1344089868">
      <w:bodyDiv w:val="1"/>
      <w:marLeft w:val="0"/>
      <w:marRight w:val="0"/>
      <w:marTop w:val="0"/>
      <w:marBottom w:val="0"/>
      <w:divBdr>
        <w:top w:val="none" w:sz="0" w:space="0" w:color="auto"/>
        <w:left w:val="none" w:sz="0" w:space="0" w:color="auto"/>
        <w:bottom w:val="none" w:sz="0" w:space="0" w:color="auto"/>
        <w:right w:val="none" w:sz="0" w:space="0" w:color="auto"/>
      </w:divBdr>
    </w:div>
    <w:div w:id="1732272511">
      <w:bodyDiv w:val="1"/>
      <w:marLeft w:val="0"/>
      <w:marRight w:val="0"/>
      <w:marTop w:val="0"/>
      <w:marBottom w:val="0"/>
      <w:divBdr>
        <w:top w:val="none" w:sz="0" w:space="0" w:color="auto"/>
        <w:left w:val="none" w:sz="0" w:space="0" w:color="auto"/>
        <w:bottom w:val="none" w:sz="0" w:space="0" w:color="auto"/>
        <w:right w:val="none" w:sz="0" w:space="0" w:color="auto"/>
      </w:divBdr>
      <w:divsChild>
        <w:div w:id="1546063599">
          <w:marLeft w:val="0"/>
          <w:marRight w:val="0"/>
          <w:marTop w:val="0"/>
          <w:marBottom w:val="0"/>
          <w:divBdr>
            <w:top w:val="none" w:sz="0" w:space="0" w:color="auto"/>
            <w:left w:val="none" w:sz="0" w:space="0" w:color="auto"/>
            <w:bottom w:val="none" w:sz="0" w:space="0" w:color="auto"/>
            <w:right w:val="none" w:sz="0" w:space="0" w:color="auto"/>
          </w:divBdr>
          <w:divsChild>
            <w:div w:id="1418557524">
              <w:marLeft w:val="0"/>
              <w:marRight w:val="0"/>
              <w:marTop w:val="0"/>
              <w:marBottom w:val="0"/>
              <w:divBdr>
                <w:top w:val="none" w:sz="0" w:space="0" w:color="auto"/>
                <w:left w:val="none" w:sz="0" w:space="0" w:color="auto"/>
                <w:bottom w:val="none" w:sz="0" w:space="0" w:color="auto"/>
                <w:right w:val="none" w:sz="0" w:space="0" w:color="auto"/>
              </w:divBdr>
              <w:divsChild>
                <w:div w:id="1697807094">
                  <w:marLeft w:val="0"/>
                  <w:marRight w:val="0"/>
                  <w:marTop w:val="0"/>
                  <w:marBottom w:val="0"/>
                  <w:divBdr>
                    <w:top w:val="none" w:sz="0" w:space="0" w:color="auto"/>
                    <w:left w:val="none" w:sz="0" w:space="0" w:color="auto"/>
                    <w:bottom w:val="none" w:sz="0" w:space="0" w:color="auto"/>
                    <w:right w:val="none" w:sz="0" w:space="0" w:color="auto"/>
                  </w:divBdr>
                  <w:divsChild>
                    <w:div w:id="1359426466">
                      <w:marLeft w:val="0"/>
                      <w:marRight w:val="0"/>
                      <w:marTop w:val="0"/>
                      <w:marBottom w:val="0"/>
                      <w:divBdr>
                        <w:top w:val="none" w:sz="0" w:space="0" w:color="auto"/>
                        <w:left w:val="none" w:sz="0" w:space="0" w:color="auto"/>
                        <w:bottom w:val="none" w:sz="0" w:space="0" w:color="auto"/>
                        <w:right w:val="none" w:sz="0" w:space="0" w:color="auto"/>
                      </w:divBdr>
                      <w:divsChild>
                        <w:div w:id="403913314">
                          <w:marLeft w:val="0"/>
                          <w:marRight w:val="0"/>
                          <w:marTop w:val="0"/>
                          <w:marBottom w:val="0"/>
                          <w:divBdr>
                            <w:top w:val="none" w:sz="0" w:space="0" w:color="auto"/>
                            <w:left w:val="none" w:sz="0" w:space="0" w:color="auto"/>
                            <w:bottom w:val="none" w:sz="0" w:space="0" w:color="auto"/>
                            <w:right w:val="none" w:sz="0" w:space="0" w:color="auto"/>
                          </w:divBdr>
                          <w:divsChild>
                            <w:div w:id="1619408910">
                              <w:marLeft w:val="0"/>
                              <w:marRight w:val="0"/>
                              <w:marTop w:val="0"/>
                              <w:marBottom w:val="0"/>
                              <w:divBdr>
                                <w:top w:val="none" w:sz="0" w:space="0" w:color="auto"/>
                                <w:left w:val="none" w:sz="0" w:space="0" w:color="auto"/>
                                <w:bottom w:val="none" w:sz="0" w:space="0" w:color="auto"/>
                                <w:right w:val="none" w:sz="0" w:space="0" w:color="auto"/>
                              </w:divBdr>
                              <w:divsChild>
                                <w:div w:id="36928176">
                                  <w:marLeft w:val="0"/>
                                  <w:marRight w:val="0"/>
                                  <w:marTop w:val="0"/>
                                  <w:marBottom w:val="0"/>
                                  <w:divBdr>
                                    <w:top w:val="none" w:sz="0" w:space="0" w:color="auto"/>
                                    <w:left w:val="none" w:sz="0" w:space="0" w:color="auto"/>
                                    <w:bottom w:val="none" w:sz="0" w:space="0" w:color="auto"/>
                                    <w:right w:val="none" w:sz="0" w:space="0" w:color="auto"/>
                                  </w:divBdr>
                                  <w:divsChild>
                                    <w:div w:id="133527263">
                                      <w:marLeft w:val="0"/>
                                      <w:marRight w:val="0"/>
                                      <w:marTop w:val="0"/>
                                      <w:marBottom w:val="0"/>
                                      <w:divBdr>
                                        <w:top w:val="none" w:sz="0" w:space="0" w:color="auto"/>
                                        <w:left w:val="none" w:sz="0" w:space="0" w:color="auto"/>
                                        <w:bottom w:val="none" w:sz="0" w:space="0" w:color="auto"/>
                                        <w:right w:val="none" w:sz="0" w:space="0" w:color="auto"/>
                                      </w:divBdr>
                                      <w:divsChild>
                                        <w:div w:id="220483183">
                                          <w:marLeft w:val="0"/>
                                          <w:marRight w:val="0"/>
                                          <w:marTop w:val="0"/>
                                          <w:marBottom w:val="0"/>
                                          <w:divBdr>
                                            <w:top w:val="none" w:sz="0" w:space="0" w:color="auto"/>
                                            <w:left w:val="none" w:sz="0" w:space="0" w:color="auto"/>
                                            <w:bottom w:val="none" w:sz="0" w:space="0" w:color="auto"/>
                                            <w:right w:val="none" w:sz="0" w:space="0" w:color="auto"/>
                                          </w:divBdr>
                                          <w:divsChild>
                                            <w:div w:id="1894265670">
                                              <w:marLeft w:val="0"/>
                                              <w:marRight w:val="0"/>
                                              <w:marTop w:val="0"/>
                                              <w:marBottom w:val="0"/>
                                              <w:divBdr>
                                                <w:top w:val="none" w:sz="0" w:space="0" w:color="auto"/>
                                                <w:left w:val="none" w:sz="0" w:space="0" w:color="auto"/>
                                                <w:bottom w:val="none" w:sz="0" w:space="0" w:color="auto"/>
                                                <w:right w:val="none" w:sz="0" w:space="0" w:color="auto"/>
                                              </w:divBdr>
                                              <w:divsChild>
                                                <w:div w:id="181238465">
                                                  <w:marLeft w:val="0"/>
                                                  <w:marRight w:val="0"/>
                                                  <w:marTop w:val="0"/>
                                                  <w:marBottom w:val="0"/>
                                                  <w:divBdr>
                                                    <w:top w:val="none" w:sz="0" w:space="0" w:color="auto"/>
                                                    <w:left w:val="none" w:sz="0" w:space="0" w:color="auto"/>
                                                    <w:bottom w:val="none" w:sz="0" w:space="0" w:color="auto"/>
                                                    <w:right w:val="none" w:sz="0" w:space="0" w:color="auto"/>
                                                  </w:divBdr>
                                                  <w:divsChild>
                                                    <w:div w:id="1406104177">
                                                      <w:marLeft w:val="0"/>
                                                      <w:marRight w:val="0"/>
                                                      <w:marTop w:val="0"/>
                                                      <w:marBottom w:val="0"/>
                                                      <w:divBdr>
                                                        <w:top w:val="none" w:sz="0" w:space="0" w:color="auto"/>
                                                        <w:left w:val="none" w:sz="0" w:space="0" w:color="auto"/>
                                                        <w:bottom w:val="none" w:sz="0" w:space="0" w:color="auto"/>
                                                        <w:right w:val="none" w:sz="0" w:space="0" w:color="auto"/>
                                                      </w:divBdr>
                                                      <w:divsChild>
                                                        <w:div w:id="8832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2035148">
      <w:bodyDiv w:val="1"/>
      <w:marLeft w:val="0"/>
      <w:marRight w:val="0"/>
      <w:marTop w:val="0"/>
      <w:marBottom w:val="0"/>
      <w:divBdr>
        <w:top w:val="none" w:sz="0" w:space="0" w:color="auto"/>
        <w:left w:val="none" w:sz="0" w:space="0" w:color="auto"/>
        <w:bottom w:val="none" w:sz="0" w:space="0" w:color="auto"/>
        <w:right w:val="none" w:sz="0" w:space="0" w:color="auto"/>
      </w:divBdr>
      <w:divsChild>
        <w:div w:id="1774547856">
          <w:marLeft w:val="0"/>
          <w:marRight w:val="0"/>
          <w:marTop w:val="0"/>
          <w:marBottom w:val="0"/>
          <w:divBdr>
            <w:top w:val="none" w:sz="0" w:space="0" w:color="auto"/>
            <w:left w:val="none" w:sz="0" w:space="0" w:color="auto"/>
            <w:bottom w:val="none" w:sz="0" w:space="0" w:color="auto"/>
            <w:right w:val="none" w:sz="0" w:space="0" w:color="auto"/>
          </w:divBdr>
          <w:divsChild>
            <w:div w:id="1176192011">
              <w:marLeft w:val="0"/>
              <w:marRight w:val="0"/>
              <w:marTop w:val="0"/>
              <w:marBottom w:val="0"/>
              <w:divBdr>
                <w:top w:val="none" w:sz="0" w:space="0" w:color="auto"/>
                <w:left w:val="none" w:sz="0" w:space="0" w:color="auto"/>
                <w:bottom w:val="none" w:sz="0" w:space="0" w:color="auto"/>
                <w:right w:val="none" w:sz="0" w:space="0" w:color="auto"/>
              </w:divBdr>
              <w:divsChild>
                <w:div w:id="1045445121">
                  <w:marLeft w:val="0"/>
                  <w:marRight w:val="0"/>
                  <w:marTop w:val="0"/>
                  <w:marBottom w:val="0"/>
                  <w:divBdr>
                    <w:top w:val="none" w:sz="0" w:space="0" w:color="auto"/>
                    <w:left w:val="none" w:sz="0" w:space="0" w:color="auto"/>
                    <w:bottom w:val="none" w:sz="0" w:space="0" w:color="auto"/>
                    <w:right w:val="none" w:sz="0" w:space="0" w:color="auto"/>
                  </w:divBdr>
                  <w:divsChild>
                    <w:div w:id="345518649">
                      <w:marLeft w:val="0"/>
                      <w:marRight w:val="0"/>
                      <w:marTop w:val="0"/>
                      <w:marBottom w:val="0"/>
                      <w:divBdr>
                        <w:top w:val="none" w:sz="0" w:space="0" w:color="auto"/>
                        <w:left w:val="none" w:sz="0" w:space="0" w:color="auto"/>
                        <w:bottom w:val="none" w:sz="0" w:space="0" w:color="auto"/>
                        <w:right w:val="none" w:sz="0" w:space="0" w:color="auto"/>
                      </w:divBdr>
                      <w:divsChild>
                        <w:div w:id="1361274003">
                          <w:marLeft w:val="0"/>
                          <w:marRight w:val="0"/>
                          <w:marTop w:val="0"/>
                          <w:marBottom w:val="0"/>
                          <w:divBdr>
                            <w:top w:val="none" w:sz="0" w:space="0" w:color="auto"/>
                            <w:left w:val="none" w:sz="0" w:space="0" w:color="auto"/>
                            <w:bottom w:val="none" w:sz="0" w:space="0" w:color="auto"/>
                            <w:right w:val="none" w:sz="0" w:space="0" w:color="auto"/>
                          </w:divBdr>
                          <w:divsChild>
                            <w:div w:id="1214124179">
                              <w:marLeft w:val="0"/>
                              <w:marRight w:val="0"/>
                              <w:marTop w:val="0"/>
                              <w:marBottom w:val="0"/>
                              <w:divBdr>
                                <w:top w:val="none" w:sz="0" w:space="0" w:color="auto"/>
                                <w:left w:val="none" w:sz="0" w:space="0" w:color="auto"/>
                                <w:bottom w:val="none" w:sz="0" w:space="0" w:color="auto"/>
                                <w:right w:val="none" w:sz="0" w:space="0" w:color="auto"/>
                              </w:divBdr>
                              <w:divsChild>
                                <w:div w:id="1125738085">
                                  <w:marLeft w:val="0"/>
                                  <w:marRight w:val="0"/>
                                  <w:marTop w:val="0"/>
                                  <w:marBottom w:val="0"/>
                                  <w:divBdr>
                                    <w:top w:val="none" w:sz="0" w:space="0" w:color="auto"/>
                                    <w:left w:val="none" w:sz="0" w:space="0" w:color="auto"/>
                                    <w:bottom w:val="none" w:sz="0" w:space="0" w:color="auto"/>
                                    <w:right w:val="none" w:sz="0" w:space="0" w:color="auto"/>
                                  </w:divBdr>
                                  <w:divsChild>
                                    <w:div w:id="1994874938">
                                      <w:marLeft w:val="0"/>
                                      <w:marRight w:val="0"/>
                                      <w:marTop w:val="0"/>
                                      <w:marBottom w:val="0"/>
                                      <w:divBdr>
                                        <w:top w:val="none" w:sz="0" w:space="0" w:color="auto"/>
                                        <w:left w:val="none" w:sz="0" w:space="0" w:color="auto"/>
                                        <w:bottom w:val="none" w:sz="0" w:space="0" w:color="auto"/>
                                        <w:right w:val="none" w:sz="0" w:space="0" w:color="auto"/>
                                      </w:divBdr>
                                      <w:divsChild>
                                        <w:div w:id="629938644">
                                          <w:marLeft w:val="0"/>
                                          <w:marRight w:val="0"/>
                                          <w:marTop w:val="0"/>
                                          <w:marBottom w:val="0"/>
                                          <w:divBdr>
                                            <w:top w:val="none" w:sz="0" w:space="0" w:color="auto"/>
                                            <w:left w:val="none" w:sz="0" w:space="0" w:color="auto"/>
                                            <w:bottom w:val="none" w:sz="0" w:space="0" w:color="auto"/>
                                            <w:right w:val="none" w:sz="0" w:space="0" w:color="auto"/>
                                          </w:divBdr>
                                          <w:divsChild>
                                            <w:div w:id="51193699">
                                              <w:marLeft w:val="0"/>
                                              <w:marRight w:val="0"/>
                                              <w:marTop w:val="0"/>
                                              <w:marBottom w:val="0"/>
                                              <w:divBdr>
                                                <w:top w:val="none" w:sz="0" w:space="0" w:color="auto"/>
                                                <w:left w:val="none" w:sz="0" w:space="0" w:color="auto"/>
                                                <w:bottom w:val="none" w:sz="0" w:space="0" w:color="auto"/>
                                                <w:right w:val="none" w:sz="0" w:space="0" w:color="auto"/>
                                              </w:divBdr>
                                              <w:divsChild>
                                                <w:div w:id="7143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61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90224EFBD0E4643A2E14A5F06D5382C" ma:contentTypeVersion="" ma:contentTypeDescription="PDMS Document Site Content Type" ma:contentTypeScope="" ma:versionID="1880cb23427d231f625e0085f3f7cfc5">
  <xsd:schema xmlns:xsd="http://www.w3.org/2001/XMLSchema" xmlns:xs="http://www.w3.org/2001/XMLSchema" xmlns:p="http://schemas.microsoft.com/office/2006/metadata/properties" xmlns:ns2="57A55583-25BF-47A5-87F2-EA05AF996B53" targetNamespace="http://schemas.microsoft.com/office/2006/metadata/properties" ma:root="true" ma:fieldsID="6323e6b7f3f4d0a4d9e0285dfaf1e7fd" ns2:_="">
    <xsd:import namespace="57A55583-25BF-47A5-87F2-EA05AF996B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5583-25BF-47A5-87F2-EA05AF996B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7A55583-25BF-47A5-87F2-EA05AF996B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4C56-B218-43BF-A5D9-7A14CAE67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5583-25BF-47A5-87F2-EA05AF996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AB3A5-0ECA-4D21-9AC6-78751769F4C6}">
  <ds:schemaRefs>
    <ds:schemaRef ds:uri="http://schemas.microsoft.com/sharepoint/v3/contenttype/forms"/>
  </ds:schemaRefs>
</ds:datastoreItem>
</file>

<file path=customXml/itemProps3.xml><?xml version="1.0" encoding="utf-8"?>
<ds:datastoreItem xmlns:ds="http://schemas.openxmlformats.org/officeDocument/2006/customXml" ds:itemID="{3B68A0B6-14D8-42B9-B7BC-9EEA67EE9B47}">
  <ds:schemaRefs>
    <ds:schemaRef ds:uri="57A55583-25BF-47A5-87F2-EA05AF996B5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9AA390D-6CA3-4CB5-8364-1B4E23D4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TEMPLATE 2: STATEMENT OF COMPATIBILITY FOR A BILL OR DISALLOWABLE LEGISLATIVE INSTRUMENT THAT RAISES HUMAN RIGHTS ISSUES</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STATEMENT OF COMPATIBILITY FOR A BILL OR DISALLOWABLE LEGISLATIVE INSTRUMENT THAT RAISES HUMAN RIGHTS ISSUES</dc:title>
  <dc:creator/>
  <cp:lastModifiedBy/>
  <cp:revision>1</cp:revision>
  <dcterms:created xsi:type="dcterms:W3CDTF">2021-07-23T02:48:00Z</dcterms:created>
  <dcterms:modified xsi:type="dcterms:W3CDTF">2021-07-23T02:48:00Z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0x010100266966F133664895A6EE3632470D45F500C90224EFBD0E4643A2E14A5F06D5382C</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