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2C0F8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9325D7A" wp14:editId="3C38C73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19854" w14:textId="77777777" w:rsidR="00715914" w:rsidRPr="00E500D4" w:rsidRDefault="00715914" w:rsidP="00715914">
      <w:pPr>
        <w:rPr>
          <w:sz w:val="19"/>
        </w:rPr>
      </w:pPr>
    </w:p>
    <w:p w14:paraId="399D84C4" w14:textId="77777777" w:rsidR="00554826" w:rsidRPr="00E500D4" w:rsidRDefault="007E4EFD" w:rsidP="00554826">
      <w:pPr>
        <w:pStyle w:val="ShortT"/>
      </w:pPr>
      <w:r>
        <w:t>Tertiary Education Quality and Standards Agency</w:t>
      </w:r>
      <w:r w:rsidR="00554826" w:rsidRPr="00DA182D">
        <w:t xml:space="preserve"> </w:t>
      </w:r>
      <w:r w:rsidR="00554826">
        <w:t>(</w:t>
      </w:r>
      <w:r>
        <w:t>Quality of Research</w:t>
      </w:r>
      <w:r w:rsidR="00554826">
        <w:t xml:space="preserve">) </w:t>
      </w:r>
      <w:r>
        <w:t>Determination 2021</w:t>
      </w:r>
    </w:p>
    <w:p w14:paraId="06E412B4" w14:textId="77777777" w:rsidR="00C6165E" w:rsidRDefault="00C6165E" w:rsidP="00554826">
      <w:pPr>
        <w:pStyle w:val="SignCoverPageStart"/>
        <w:spacing w:before="240"/>
        <w:ind w:right="91"/>
        <w:rPr>
          <w:szCs w:val="22"/>
        </w:rPr>
      </w:pPr>
    </w:p>
    <w:p w14:paraId="540FB3F2" w14:textId="242C9673" w:rsidR="00C6165E" w:rsidRPr="00C6165E" w:rsidRDefault="00C6165E" w:rsidP="00C6165E">
      <w:pPr>
        <w:spacing w:line="240" w:lineRule="auto"/>
        <w:rPr>
          <w:rFonts w:eastAsia="Calibri" w:cs="Times New Roman"/>
          <w:color w:val="000000"/>
          <w:szCs w:val="22"/>
          <w:lang w:eastAsia="en-AU"/>
        </w:rPr>
      </w:pPr>
      <w:r w:rsidRPr="00C6165E">
        <w:rPr>
          <w:rFonts w:eastAsia="Calibri" w:cs="Times New Roman"/>
          <w:color w:val="000000"/>
          <w:szCs w:val="22"/>
          <w:lang w:eastAsia="en-AU"/>
        </w:rPr>
        <w:t xml:space="preserve">The </w:t>
      </w:r>
      <w:r w:rsidRPr="00C6165E">
        <w:rPr>
          <w:rFonts w:eastAsia="Times New Roman" w:cs="Times New Roman"/>
          <w:color w:val="000000"/>
          <w:szCs w:val="22"/>
          <w:lang w:eastAsia="en-AU"/>
        </w:rPr>
        <w:t>Tertiary Education Quality and Standards Agency hereby makes the following determination of matters relating to the quality of research, under section 59A</w:t>
      </w:r>
      <w:r w:rsidRPr="00C6165E">
        <w:rPr>
          <w:rFonts w:eastAsia="Times New Roman" w:cs="Times New Roman"/>
          <w:szCs w:val="22"/>
          <w:lang w:eastAsia="en-AU"/>
        </w:rPr>
        <w:t xml:space="preserve"> of the </w:t>
      </w:r>
      <w:r w:rsidRPr="00C6165E">
        <w:rPr>
          <w:rFonts w:eastAsia="Times New Roman" w:cs="Times New Roman"/>
          <w:i/>
          <w:iCs/>
          <w:szCs w:val="22"/>
          <w:lang w:eastAsia="en-AU"/>
        </w:rPr>
        <w:t>Tertiary Education Quality and Standards</w:t>
      </w:r>
      <w:r w:rsidRPr="00C6165E">
        <w:rPr>
          <w:rFonts w:eastAsia="Times New Roman" w:cs="Times New Roman"/>
          <w:i/>
          <w:iCs/>
          <w:color w:val="000000"/>
          <w:szCs w:val="22"/>
          <w:lang w:eastAsia="en-AU"/>
        </w:rPr>
        <w:t xml:space="preserve"> Agency Act 2011</w:t>
      </w:r>
      <w:r w:rsidRPr="00C6165E">
        <w:rPr>
          <w:rFonts w:eastAsia="Times New Roman" w:cs="Times New Roman"/>
          <w:color w:val="000000"/>
          <w:szCs w:val="22"/>
          <w:lang w:eastAsia="en-AU"/>
        </w:rPr>
        <w:t> (the Act).</w:t>
      </w:r>
    </w:p>
    <w:p w14:paraId="79771CBC" w14:textId="77777777" w:rsidR="00C6165E" w:rsidRPr="00C6165E" w:rsidRDefault="00C6165E" w:rsidP="00C6165E">
      <w:pPr>
        <w:spacing w:line="240" w:lineRule="auto"/>
        <w:rPr>
          <w:rFonts w:eastAsia="Calibri" w:cs="Times New Roman"/>
          <w:color w:val="000000"/>
          <w:szCs w:val="22"/>
          <w:lang w:eastAsia="en-AU"/>
        </w:rPr>
      </w:pPr>
    </w:p>
    <w:p w14:paraId="69963F9F" w14:textId="77777777" w:rsidR="00C6165E" w:rsidRPr="00C6165E" w:rsidRDefault="00C6165E" w:rsidP="00C6165E">
      <w:pPr>
        <w:spacing w:line="240" w:lineRule="auto"/>
        <w:ind w:left="1080"/>
        <w:contextualSpacing/>
        <w:rPr>
          <w:rFonts w:eastAsia="Calibri" w:cs="Times New Roman"/>
          <w:color w:val="000000"/>
          <w:szCs w:val="22"/>
          <w:lang w:eastAsia="en-AU"/>
        </w:rPr>
      </w:pPr>
    </w:p>
    <w:p w14:paraId="4413A32F" w14:textId="6F6F04A6" w:rsidR="00C6165E" w:rsidRPr="00C6165E" w:rsidRDefault="00C6165E" w:rsidP="00C6165E">
      <w:pPr>
        <w:spacing w:line="240" w:lineRule="auto"/>
        <w:rPr>
          <w:rFonts w:eastAsia="Calibri" w:cs="Times New Roman"/>
          <w:color w:val="000000"/>
          <w:szCs w:val="22"/>
          <w:lang w:eastAsia="en-AU"/>
        </w:rPr>
      </w:pPr>
      <w:bookmarkStart w:id="0" w:name="MadeByDate"/>
      <w:r w:rsidRPr="00C6165E">
        <w:rPr>
          <w:rFonts w:eastAsia="Calibri" w:cs="Times New Roman"/>
          <w:color w:val="000000"/>
          <w:szCs w:val="22"/>
          <w:lang w:eastAsia="en-AU"/>
        </w:rPr>
        <w:t>Date</w:t>
      </w:r>
      <w:bookmarkEnd w:id="0"/>
      <w:r w:rsidRPr="00C6165E">
        <w:rPr>
          <w:rFonts w:eastAsia="Calibri" w:cs="Times New Roman"/>
          <w:color w:val="000000"/>
          <w:szCs w:val="22"/>
          <w:lang w:eastAsia="en-AU"/>
        </w:rPr>
        <w:t xml:space="preserve">d: </w:t>
      </w:r>
      <w:r w:rsidRPr="00C6165E">
        <w:rPr>
          <w:rFonts w:eastAsia="Calibri" w:cs="Times New Roman"/>
          <w:color w:val="000000"/>
          <w:szCs w:val="22"/>
          <w:lang w:eastAsia="en-AU"/>
        </w:rPr>
        <w:tab/>
      </w:r>
      <w:r w:rsidR="00EC7D20">
        <w:rPr>
          <w:rFonts w:eastAsia="Calibri" w:cs="Times New Roman"/>
          <w:color w:val="000000"/>
          <w:szCs w:val="22"/>
          <w:lang w:eastAsia="en-AU"/>
        </w:rPr>
        <w:t>25 June 2021</w:t>
      </w:r>
    </w:p>
    <w:p w14:paraId="4068158B" w14:textId="77777777" w:rsidR="00C6165E" w:rsidRPr="00C6165E" w:rsidRDefault="00C6165E" w:rsidP="00C6165E">
      <w:pPr>
        <w:spacing w:line="240" w:lineRule="auto"/>
        <w:rPr>
          <w:rFonts w:eastAsia="Calibri" w:cs="Times New Roman"/>
          <w:color w:val="000000"/>
          <w:szCs w:val="22"/>
          <w:lang w:eastAsia="en-AU"/>
        </w:rPr>
      </w:pPr>
    </w:p>
    <w:p w14:paraId="740F5CAB" w14:textId="77777777" w:rsidR="00C6165E" w:rsidRPr="00C6165E" w:rsidRDefault="00C6165E" w:rsidP="00C6165E">
      <w:pPr>
        <w:spacing w:line="240" w:lineRule="auto"/>
        <w:rPr>
          <w:rFonts w:eastAsia="Calibri" w:cs="Times New Roman"/>
          <w:color w:val="000000"/>
          <w:szCs w:val="22"/>
          <w:lang w:eastAsia="en-AU"/>
        </w:rPr>
      </w:pPr>
    </w:p>
    <w:p w14:paraId="0C6310E6" w14:textId="77777777" w:rsidR="00C6165E" w:rsidRPr="00C6165E" w:rsidRDefault="00C6165E" w:rsidP="00C6165E">
      <w:pPr>
        <w:spacing w:line="240" w:lineRule="auto"/>
        <w:rPr>
          <w:rFonts w:eastAsia="Calibri" w:cs="Times New Roman"/>
          <w:color w:val="000000"/>
          <w:szCs w:val="22"/>
          <w:lang w:eastAsia="en-AU"/>
        </w:rPr>
      </w:pPr>
    </w:p>
    <w:tbl>
      <w:tblPr>
        <w:tblW w:w="6062" w:type="dxa"/>
        <w:tblLayout w:type="fixed"/>
        <w:tblLook w:val="04A0" w:firstRow="1" w:lastRow="0" w:firstColumn="1" w:lastColumn="0" w:noHBand="0" w:noVBand="1"/>
      </w:tblPr>
      <w:tblGrid>
        <w:gridCol w:w="2656"/>
        <w:gridCol w:w="146"/>
        <w:gridCol w:w="283"/>
        <w:gridCol w:w="2693"/>
        <w:gridCol w:w="284"/>
      </w:tblGrid>
      <w:tr w:rsidR="00C6165E" w:rsidRPr="00C6165E" w14:paraId="4B556D97" w14:textId="77777777" w:rsidTr="0036089F">
        <w:trPr>
          <w:gridAfter w:val="3"/>
          <w:wAfter w:w="3260" w:type="dxa"/>
        </w:trPr>
        <w:tc>
          <w:tcPr>
            <w:tcW w:w="28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8BF5EF" w14:textId="77777777" w:rsidR="00C6165E" w:rsidRPr="00C6165E" w:rsidRDefault="00C6165E" w:rsidP="00C6165E">
            <w:pPr>
              <w:spacing w:line="240" w:lineRule="auto"/>
              <w:rPr>
                <w:rFonts w:eastAsia="Times New Roman" w:cs="Times New Roman"/>
                <w:szCs w:val="22"/>
              </w:rPr>
            </w:pPr>
            <w:r w:rsidRPr="00C6165E">
              <w:rPr>
                <w:rFonts w:eastAsia="Times New Roman" w:cs="Times New Roman"/>
                <w:szCs w:val="22"/>
              </w:rPr>
              <w:t>Professor Peter Coaldrake</w:t>
            </w:r>
          </w:p>
          <w:p w14:paraId="4766BC5F" w14:textId="77777777" w:rsidR="00C6165E" w:rsidRPr="00C6165E" w:rsidRDefault="00C6165E" w:rsidP="00C6165E">
            <w:pPr>
              <w:spacing w:line="240" w:lineRule="auto"/>
              <w:rPr>
                <w:rFonts w:eastAsia="Times New Roman" w:cs="Times New Roman"/>
                <w:szCs w:val="22"/>
              </w:rPr>
            </w:pPr>
            <w:r w:rsidRPr="00C6165E">
              <w:rPr>
                <w:rFonts w:eastAsia="Times New Roman" w:cs="Times New Roman"/>
                <w:szCs w:val="22"/>
              </w:rPr>
              <w:t>Chief Commissioner</w:t>
            </w:r>
          </w:p>
        </w:tc>
      </w:tr>
      <w:tr w:rsidR="00C6165E" w:rsidRPr="00C6165E" w14:paraId="6EB94E4A" w14:textId="77777777" w:rsidTr="0036089F">
        <w:tc>
          <w:tcPr>
            <w:tcW w:w="2802" w:type="dxa"/>
            <w:gridSpan w:val="2"/>
            <w:shd w:val="clear" w:color="auto" w:fill="auto"/>
          </w:tcPr>
          <w:p w14:paraId="275A14F8" w14:textId="77777777" w:rsidR="00C6165E" w:rsidRPr="00C6165E" w:rsidRDefault="00C6165E" w:rsidP="00C6165E">
            <w:pPr>
              <w:spacing w:line="240" w:lineRule="auto"/>
              <w:rPr>
                <w:rFonts w:ascii="Arial" w:eastAsia="Times New Roman" w:hAnsi="Arial" w:cs="Times New Roman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5E34323" w14:textId="77777777" w:rsidR="00C6165E" w:rsidRPr="00C6165E" w:rsidRDefault="00C6165E" w:rsidP="00C6165E">
            <w:pPr>
              <w:spacing w:line="240" w:lineRule="auto"/>
              <w:rPr>
                <w:rFonts w:ascii="Arial" w:eastAsia="Times New Roman" w:hAnsi="Arial" w:cs="Times New Roman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A9375C6" w14:textId="77777777" w:rsidR="00C6165E" w:rsidRPr="00C6165E" w:rsidRDefault="00C6165E" w:rsidP="00C6165E">
            <w:pPr>
              <w:spacing w:line="240" w:lineRule="auto"/>
              <w:rPr>
                <w:rFonts w:ascii="Arial" w:eastAsia="Times New Roman" w:hAnsi="Arial" w:cs="Times New Roman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461A0186" w14:textId="77777777" w:rsidR="00C6165E" w:rsidRPr="00C6165E" w:rsidRDefault="00C6165E" w:rsidP="00C6165E">
            <w:pPr>
              <w:spacing w:line="240" w:lineRule="auto"/>
              <w:rPr>
                <w:rFonts w:ascii="Arial" w:eastAsia="Times New Roman" w:hAnsi="Arial" w:cs="Times New Roman"/>
                <w:szCs w:val="22"/>
              </w:rPr>
            </w:pPr>
          </w:p>
        </w:tc>
      </w:tr>
      <w:tr w:rsidR="00C6165E" w:rsidRPr="00C6165E" w14:paraId="05DC469F" w14:textId="77777777" w:rsidTr="0036089F">
        <w:tc>
          <w:tcPr>
            <w:tcW w:w="2802" w:type="dxa"/>
            <w:gridSpan w:val="2"/>
            <w:shd w:val="clear" w:color="auto" w:fill="auto"/>
          </w:tcPr>
          <w:p w14:paraId="55FD5A34" w14:textId="77777777" w:rsidR="00C6165E" w:rsidRPr="00C6165E" w:rsidRDefault="00C6165E" w:rsidP="00C6165E">
            <w:pPr>
              <w:spacing w:line="240" w:lineRule="auto"/>
              <w:rPr>
                <w:rFonts w:ascii="Arial" w:eastAsia="Times New Roman" w:hAnsi="Arial" w:cs="Times New Roman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37A5754" w14:textId="77777777" w:rsidR="00C6165E" w:rsidRPr="00C6165E" w:rsidRDefault="00C6165E" w:rsidP="00C6165E">
            <w:pPr>
              <w:spacing w:line="240" w:lineRule="auto"/>
              <w:rPr>
                <w:rFonts w:ascii="Arial" w:eastAsia="Times New Roman" w:hAnsi="Arial" w:cs="Times New Roman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7751492" w14:textId="77777777" w:rsidR="00C6165E" w:rsidRPr="00C6165E" w:rsidRDefault="00C6165E" w:rsidP="00C6165E">
            <w:pPr>
              <w:spacing w:line="240" w:lineRule="auto"/>
              <w:rPr>
                <w:rFonts w:ascii="Arial" w:eastAsia="Times New Roman" w:hAnsi="Arial" w:cs="Times New Roman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21A303FA" w14:textId="77777777" w:rsidR="00C6165E" w:rsidRPr="00C6165E" w:rsidRDefault="00C6165E" w:rsidP="00C6165E">
            <w:pPr>
              <w:spacing w:line="240" w:lineRule="auto"/>
              <w:rPr>
                <w:rFonts w:ascii="Arial" w:eastAsia="Times New Roman" w:hAnsi="Arial" w:cs="Times New Roman"/>
                <w:szCs w:val="22"/>
              </w:rPr>
            </w:pPr>
          </w:p>
        </w:tc>
      </w:tr>
      <w:tr w:rsidR="00C6165E" w:rsidRPr="00C6165E" w14:paraId="4C3CC6B9" w14:textId="77777777" w:rsidTr="0036089F"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8DE919" w14:textId="77777777" w:rsidR="00C6165E" w:rsidRPr="00C6165E" w:rsidRDefault="00C6165E" w:rsidP="00C6165E">
            <w:pPr>
              <w:spacing w:line="240" w:lineRule="auto"/>
              <w:rPr>
                <w:rFonts w:ascii="Arial" w:eastAsia="Times New Roman" w:hAnsi="Arial" w:cs="Times New Roman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5344BC8" w14:textId="77777777" w:rsidR="00C6165E" w:rsidRPr="00C6165E" w:rsidRDefault="00C6165E" w:rsidP="00C6165E">
            <w:pPr>
              <w:spacing w:line="240" w:lineRule="auto"/>
              <w:rPr>
                <w:rFonts w:ascii="Arial" w:eastAsia="Times New Roman" w:hAnsi="Arial" w:cs="Times New Roman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524C207B" w14:textId="77777777" w:rsidR="00C6165E" w:rsidRPr="00C6165E" w:rsidRDefault="00C6165E" w:rsidP="00C6165E">
            <w:pPr>
              <w:spacing w:line="240" w:lineRule="auto"/>
              <w:rPr>
                <w:rFonts w:ascii="Arial" w:eastAsia="Times New Roman" w:hAnsi="Arial" w:cs="Times New Roman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4D86ECF1" w14:textId="77777777" w:rsidR="00C6165E" w:rsidRPr="00C6165E" w:rsidRDefault="00C6165E" w:rsidP="00C6165E">
            <w:pPr>
              <w:spacing w:line="240" w:lineRule="auto"/>
              <w:rPr>
                <w:rFonts w:ascii="Arial" w:eastAsia="Times New Roman" w:hAnsi="Arial" w:cs="Times New Roman"/>
                <w:szCs w:val="22"/>
              </w:rPr>
            </w:pPr>
          </w:p>
        </w:tc>
      </w:tr>
      <w:tr w:rsidR="00C6165E" w:rsidRPr="00C6165E" w14:paraId="38B166EB" w14:textId="77777777" w:rsidTr="0036089F">
        <w:tc>
          <w:tcPr>
            <w:tcW w:w="2656" w:type="dxa"/>
            <w:tcBorders>
              <w:top w:val="single" w:sz="4" w:space="0" w:color="auto"/>
            </w:tcBorders>
            <w:shd w:val="clear" w:color="auto" w:fill="auto"/>
          </w:tcPr>
          <w:p w14:paraId="52A073A2" w14:textId="77777777" w:rsidR="00C6165E" w:rsidRPr="00C6165E" w:rsidRDefault="00C6165E" w:rsidP="00C6165E">
            <w:pPr>
              <w:spacing w:line="240" w:lineRule="auto"/>
              <w:rPr>
                <w:rFonts w:eastAsia="Times New Roman" w:cs="Times New Roman"/>
                <w:szCs w:val="22"/>
              </w:rPr>
            </w:pPr>
            <w:r w:rsidRPr="00C6165E">
              <w:rPr>
                <w:rFonts w:eastAsia="Times New Roman" w:cs="Times New Roman"/>
                <w:szCs w:val="22"/>
              </w:rPr>
              <w:t>Professor Cliff Walsh</w:t>
            </w:r>
          </w:p>
          <w:p w14:paraId="7080F22E" w14:textId="77777777" w:rsidR="00C6165E" w:rsidRPr="00C6165E" w:rsidRDefault="00C6165E" w:rsidP="00C6165E">
            <w:pPr>
              <w:spacing w:line="240" w:lineRule="auto"/>
              <w:rPr>
                <w:rFonts w:eastAsia="Times New Roman" w:cs="Times New Roman"/>
                <w:szCs w:val="22"/>
              </w:rPr>
            </w:pPr>
            <w:r w:rsidRPr="00C6165E">
              <w:rPr>
                <w:rFonts w:eastAsia="Times New Roman" w:cs="Times New Roman"/>
                <w:szCs w:val="22"/>
              </w:rPr>
              <w:t>Commissioner</w:t>
            </w:r>
          </w:p>
        </w:tc>
        <w:tc>
          <w:tcPr>
            <w:tcW w:w="429" w:type="dxa"/>
            <w:gridSpan w:val="2"/>
            <w:shd w:val="clear" w:color="auto" w:fill="auto"/>
          </w:tcPr>
          <w:p w14:paraId="1DD7B0DF" w14:textId="77777777" w:rsidR="00C6165E" w:rsidRPr="00C6165E" w:rsidRDefault="00C6165E" w:rsidP="00C6165E">
            <w:pPr>
              <w:spacing w:line="240" w:lineRule="auto"/>
              <w:rPr>
                <w:rFonts w:eastAsia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76A90CB0" w14:textId="77777777" w:rsidR="00C6165E" w:rsidRPr="00C6165E" w:rsidRDefault="00C6165E" w:rsidP="00C6165E">
            <w:pPr>
              <w:spacing w:line="240" w:lineRule="auto"/>
              <w:rPr>
                <w:rFonts w:eastAsia="Times New Roman" w:cs="Times New Roman"/>
                <w:szCs w:val="22"/>
              </w:rPr>
            </w:pPr>
            <w:r w:rsidRPr="00C6165E">
              <w:rPr>
                <w:rFonts w:eastAsia="Times New Roman" w:cs="Times New Roman"/>
                <w:szCs w:val="22"/>
              </w:rPr>
              <w:t>Professor Joan Cooper</w:t>
            </w:r>
          </w:p>
          <w:p w14:paraId="4E58A62F" w14:textId="77777777" w:rsidR="00C6165E" w:rsidRPr="00C6165E" w:rsidRDefault="00C6165E" w:rsidP="00C6165E">
            <w:pPr>
              <w:spacing w:line="240" w:lineRule="auto"/>
              <w:rPr>
                <w:rFonts w:eastAsia="Times New Roman" w:cs="Times New Roman"/>
                <w:szCs w:val="22"/>
              </w:rPr>
            </w:pPr>
            <w:r w:rsidRPr="00C6165E">
              <w:rPr>
                <w:rFonts w:eastAsia="Times New Roman" w:cs="Times New Roman"/>
                <w:szCs w:val="22"/>
              </w:rPr>
              <w:t>Commissioner</w:t>
            </w:r>
          </w:p>
        </w:tc>
        <w:tc>
          <w:tcPr>
            <w:tcW w:w="284" w:type="dxa"/>
            <w:shd w:val="clear" w:color="auto" w:fill="auto"/>
          </w:tcPr>
          <w:p w14:paraId="39EC48CB" w14:textId="77777777" w:rsidR="00C6165E" w:rsidRPr="00C6165E" w:rsidRDefault="00C6165E" w:rsidP="00C6165E">
            <w:pPr>
              <w:spacing w:line="240" w:lineRule="auto"/>
              <w:rPr>
                <w:rFonts w:eastAsia="Times New Roman" w:cs="Times New Roman"/>
                <w:szCs w:val="22"/>
              </w:rPr>
            </w:pPr>
          </w:p>
        </w:tc>
      </w:tr>
    </w:tbl>
    <w:p w14:paraId="153F2B87" w14:textId="77777777" w:rsidR="00C6165E" w:rsidRDefault="00C6165E" w:rsidP="00554826">
      <w:pPr>
        <w:pStyle w:val="SignCoverPageStart"/>
        <w:spacing w:before="240"/>
        <w:ind w:right="91"/>
        <w:rPr>
          <w:szCs w:val="22"/>
        </w:rPr>
      </w:pPr>
    </w:p>
    <w:p w14:paraId="6AFB1A28" w14:textId="7DFC5D3F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7E4EFD">
        <w:rPr>
          <w:szCs w:val="22"/>
        </w:rPr>
        <w:t xml:space="preserve">Alan </w:t>
      </w:r>
      <w:proofErr w:type="spellStart"/>
      <w:r w:rsidR="007E4EFD">
        <w:rPr>
          <w:szCs w:val="22"/>
        </w:rPr>
        <w:t>Tudge</w:t>
      </w:r>
      <w:proofErr w:type="spellEnd"/>
      <w:r w:rsidRPr="00DA182D">
        <w:rPr>
          <w:szCs w:val="22"/>
        </w:rPr>
        <w:t xml:space="preserve">, </w:t>
      </w:r>
      <w:r w:rsidR="007E4EFD">
        <w:rPr>
          <w:szCs w:val="22"/>
        </w:rPr>
        <w:t>Minister for Education and Youth</w:t>
      </w:r>
      <w:r w:rsidRPr="00DA182D">
        <w:rPr>
          <w:szCs w:val="22"/>
        </w:rPr>
        <w:t xml:space="preserve">, </w:t>
      </w:r>
      <w:r w:rsidR="007E4EFD">
        <w:rPr>
          <w:szCs w:val="22"/>
        </w:rPr>
        <w:t>approve the following determination of the matters relating to the quality of research</w:t>
      </w:r>
      <w:r w:rsidR="00C6165E">
        <w:rPr>
          <w:szCs w:val="22"/>
        </w:rPr>
        <w:t>, made by the Tertiary Education Quality and Standards Agency,</w:t>
      </w:r>
      <w:r w:rsidR="007E4EFD">
        <w:rPr>
          <w:szCs w:val="22"/>
        </w:rPr>
        <w:t xml:space="preserve"> for the purposes of section 59A of the </w:t>
      </w:r>
      <w:r w:rsidR="007E4EFD" w:rsidRPr="007E4EFD">
        <w:rPr>
          <w:i/>
          <w:szCs w:val="22"/>
        </w:rPr>
        <w:t>Tertiary Education Quality and Standards Agency Act 2011</w:t>
      </w:r>
      <w:r w:rsidRPr="00DA182D">
        <w:rPr>
          <w:szCs w:val="22"/>
        </w:rPr>
        <w:t>.</w:t>
      </w:r>
    </w:p>
    <w:p w14:paraId="3E277142" w14:textId="5B1473B9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B93124">
        <w:rPr>
          <w:szCs w:val="22"/>
        </w:rPr>
        <w:t>:   12 July 2021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0A30CD38" w14:textId="283CD750" w:rsidR="00554826" w:rsidRPr="00530962" w:rsidRDefault="007C1A97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530962">
        <w:rPr>
          <w:szCs w:val="22"/>
        </w:rPr>
        <w:t xml:space="preserve">The Hon Alan </w:t>
      </w:r>
      <w:proofErr w:type="spellStart"/>
      <w:r w:rsidRPr="00530962">
        <w:rPr>
          <w:szCs w:val="22"/>
        </w:rPr>
        <w:t>Tudge</w:t>
      </w:r>
      <w:proofErr w:type="spellEnd"/>
      <w:r w:rsidR="00554826" w:rsidRPr="00530962">
        <w:rPr>
          <w:szCs w:val="22"/>
        </w:rPr>
        <w:t xml:space="preserve"> </w:t>
      </w:r>
    </w:p>
    <w:p w14:paraId="0D3D8176" w14:textId="124B4619" w:rsidR="00554826" w:rsidRPr="008E0027" w:rsidRDefault="007C1A97" w:rsidP="00554826">
      <w:pPr>
        <w:pStyle w:val="SignCoverPageEnd"/>
        <w:ind w:right="91"/>
        <w:rPr>
          <w:sz w:val="22"/>
        </w:rPr>
      </w:pPr>
      <w:r w:rsidRPr="00530962">
        <w:rPr>
          <w:sz w:val="22"/>
        </w:rPr>
        <w:t>Minister for Education and Youth</w:t>
      </w:r>
    </w:p>
    <w:p w14:paraId="427EE622" w14:textId="77777777" w:rsidR="00F6696E" w:rsidRDefault="00F6696E" w:rsidP="00F6696E"/>
    <w:p w14:paraId="194F9180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C8DAB9A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FDCC28A" w14:textId="482F925B" w:rsidR="009505D9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9505D9">
        <w:rPr>
          <w:noProof/>
        </w:rPr>
        <w:t>1  Name</w:t>
      </w:r>
      <w:r w:rsidR="009505D9">
        <w:rPr>
          <w:noProof/>
        </w:rPr>
        <w:tab/>
      </w:r>
      <w:r w:rsidR="009505D9">
        <w:rPr>
          <w:noProof/>
        </w:rPr>
        <w:fldChar w:fldCharType="begin"/>
      </w:r>
      <w:r w:rsidR="009505D9">
        <w:rPr>
          <w:noProof/>
        </w:rPr>
        <w:instrText xml:space="preserve"> PAGEREF _Toc77075647 \h </w:instrText>
      </w:r>
      <w:r w:rsidR="009505D9">
        <w:rPr>
          <w:noProof/>
        </w:rPr>
      </w:r>
      <w:r w:rsidR="009505D9">
        <w:rPr>
          <w:noProof/>
        </w:rPr>
        <w:fldChar w:fldCharType="separate"/>
      </w:r>
      <w:r w:rsidR="009505D9">
        <w:rPr>
          <w:noProof/>
        </w:rPr>
        <w:t>1</w:t>
      </w:r>
      <w:r w:rsidR="009505D9">
        <w:rPr>
          <w:noProof/>
        </w:rPr>
        <w:fldChar w:fldCharType="end"/>
      </w:r>
    </w:p>
    <w:p w14:paraId="03202950" w14:textId="5A78194B" w:rsidR="009505D9" w:rsidRDefault="009505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_Toc77075648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3DD9B3D" w14:textId="191EC655" w:rsidR="009505D9" w:rsidRDefault="009505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_Toc77075649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79916FA" w14:textId="1DD9FB26" w:rsidR="009505D9" w:rsidRDefault="009505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_Toc77075650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7135EE8" w14:textId="7C67456D" w:rsidR="009505D9" w:rsidRDefault="009505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Matters relating to the quality of research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_Toc77075651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11AD618" w14:textId="3D2CE2FE" w:rsidR="00F6696E" w:rsidRDefault="00B418CB" w:rsidP="00F6696E">
      <w:pPr>
        <w:outlineLvl w:val="0"/>
      </w:pPr>
      <w:r>
        <w:fldChar w:fldCharType="end"/>
      </w:r>
    </w:p>
    <w:p w14:paraId="5D9444F0" w14:textId="77777777" w:rsidR="00F6696E" w:rsidRPr="00A802BC" w:rsidRDefault="00F6696E" w:rsidP="00F6696E">
      <w:pPr>
        <w:outlineLvl w:val="0"/>
        <w:rPr>
          <w:sz w:val="20"/>
        </w:rPr>
      </w:pPr>
    </w:p>
    <w:p w14:paraId="1C258C72" w14:textId="77777777" w:rsidR="00F6696E" w:rsidRDefault="00F6696E" w:rsidP="00F6696E">
      <w:pPr>
        <w:sectPr w:rsidR="00F6696E" w:rsidSect="00BC7F6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789C269" w14:textId="77777777" w:rsidR="00554826" w:rsidRPr="00554826" w:rsidRDefault="00554826" w:rsidP="00554826">
      <w:pPr>
        <w:pStyle w:val="ActHead5"/>
      </w:pPr>
      <w:bookmarkStart w:id="1" w:name="_Toc77075647"/>
      <w:proofErr w:type="gramStart"/>
      <w:r w:rsidRPr="00554826">
        <w:lastRenderedPageBreak/>
        <w:t>1  Name</w:t>
      </w:r>
      <w:bookmarkEnd w:id="1"/>
      <w:proofErr w:type="gramEnd"/>
    </w:p>
    <w:p w14:paraId="2AF41D8C" w14:textId="7777777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7E4EFD" w:rsidRPr="007E4EFD">
        <w:rPr>
          <w:i/>
        </w:rPr>
        <w:t>Tertiary Education Quality and Standards Agency (Quality of Research) Determination 2021</w:t>
      </w:r>
      <w:r w:rsidRPr="009C2562">
        <w:t>.</w:t>
      </w:r>
    </w:p>
    <w:p w14:paraId="721E50CF" w14:textId="77777777" w:rsidR="00554826" w:rsidRPr="00554826" w:rsidRDefault="00554826" w:rsidP="00554826">
      <w:pPr>
        <w:pStyle w:val="ActHead5"/>
      </w:pPr>
      <w:bookmarkStart w:id="3" w:name="_Toc77075648"/>
      <w:proofErr w:type="gramStart"/>
      <w:r w:rsidRPr="00554826">
        <w:t>2  Commencement</w:t>
      </w:r>
      <w:bookmarkEnd w:id="3"/>
      <w:proofErr w:type="gramEnd"/>
    </w:p>
    <w:p w14:paraId="100F03F2" w14:textId="77777777"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B172060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432DF326" w14:textId="77777777" w:rsidTr="00BC7F6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141C4F7" w14:textId="77777777" w:rsidR="003767E2" w:rsidRPr="003422B4" w:rsidRDefault="003767E2" w:rsidP="00BC7F66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2A2CD515" w14:textId="77777777" w:rsidTr="00BC7F6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4D5D437" w14:textId="77777777" w:rsidR="003767E2" w:rsidRPr="003422B4" w:rsidRDefault="003767E2" w:rsidP="00BC7F66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3B32E6" w14:textId="77777777" w:rsidR="003767E2" w:rsidRPr="003422B4" w:rsidRDefault="003767E2" w:rsidP="00BC7F66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C1C7121" w14:textId="77777777" w:rsidR="003767E2" w:rsidRPr="003422B4" w:rsidRDefault="003767E2" w:rsidP="00BC7F66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33448F7A" w14:textId="77777777" w:rsidTr="00BC7F6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4F75528" w14:textId="77777777" w:rsidR="003767E2" w:rsidRPr="003422B4" w:rsidRDefault="003767E2" w:rsidP="00BC7F66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F8AA0CB" w14:textId="77777777" w:rsidR="003767E2" w:rsidRPr="003422B4" w:rsidRDefault="003767E2" w:rsidP="00BC7F66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4476D9A" w14:textId="77777777" w:rsidR="003767E2" w:rsidRPr="003422B4" w:rsidRDefault="003767E2" w:rsidP="00BC7F66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2402CE9A" w14:textId="77777777" w:rsidTr="00BC7F66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02E89DB" w14:textId="77777777" w:rsidR="003767E2" w:rsidRDefault="00F07F6B" w:rsidP="00BC7F66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The whole of this</w:t>
            </w:r>
          </w:p>
          <w:p w14:paraId="68410FB0" w14:textId="26A40BB3" w:rsidR="00F07F6B" w:rsidRPr="00F07F6B" w:rsidRDefault="00F07F6B" w:rsidP="00BC7F66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303C102" w14:textId="763B7162" w:rsidR="003767E2" w:rsidRPr="00D73B0A" w:rsidRDefault="002E3AE6" w:rsidP="004037D6">
            <w:pPr>
              <w:autoSpaceDE w:val="0"/>
              <w:autoSpaceDN w:val="0"/>
              <w:adjustRightInd w:val="0"/>
              <w:rPr>
                <w:i/>
              </w:rPr>
            </w:pPr>
            <w:r w:rsidRPr="004037D6">
              <w:rPr>
                <w:rFonts w:eastAsia="Times New Roman" w:cs="Times New Roman"/>
                <w:i/>
                <w:sz w:val="20"/>
                <w:lang w:eastAsia="en-AU"/>
              </w:rPr>
              <w:t>The</w:t>
            </w:r>
            <w:r w:rsidR="00F07F6B">
              <w:rPr>
                <w:rFonts w:eastAsia="Times New Roman" w:cs="Times New Roman"/>
                <w:i/>
                <w:sz w:val="20"/>
                <w:lang w:eastAsia="en-AU"/>
              </w:rPr>
              <w:t xml:space="preserve"> day that Schedule 1, Part 1 of the Higher Education Legislation Amendment (Provider Category Standards and Other Measures) Act 2021 commences</w:t>
            </w:r>
            <w:r w:rsidRPr="004037D6">
              <w:rPr>
                <w:rFonts w:eastAsia="Times New Roman" w:cs="Times New Roman"/>
                <w:i/>
                <w:sz w:val="20"/>
                <w:lang w:eastAsia="en-AU"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2103D0C" w14:textId="32D36502" w:rsidR="003767E2" w:rsidRPr="00B43C50" w:rsidRDefault="00F07F6B" w:rsidP="00BC7F66">
            <w:pPr>
              <w:pStyle w:val="Tabletext"/>
              <w:rPr>
                <w:i/>
              </w:rPr>
            </w:pPr>
            <w:r>
              <w:rPr>
                <w:i/>
              </w:rPr>
              <w:t>This date is to be fixed by proclamation</w:t>
            </w:r>
          </w:p>
        </w:tc>
      </w:tr>
    </w:tbl>
    <w:p w14:paraId="1ABCAA3D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52DB93CA" w14:textId="77777777"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CC19DF9" w14:textId="77777777" w:rsidR="00554826" w:rsidRPr="00554826" w:rsidRDefault="00554826" w:rsidP="00554826">
      <w:pPr>
        <w:pStyle w:val="ActHead5"/>
      </w:pPr>
      <w:bookmarkStart w:id="4" w:name="_Toc77075649"/>
      <w:proofErr w:type="gramStart"/>
      <w:r w:rsidRPr="00554826">
        <w:t>3  Authority</w:t>
      </w:r>
      <w:bookmarkEnd w:id="4"/>
      <w:proofErr w:type="gramEnd"/>
    </w:p>
    <w:p w14:paraId="3AD64162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7E4EFD">
        <w:t xml:space="preserve">section 59A of the </w:t>
      </w:r>
      <w:r w:rsidR="007E4EFD" w:rsidRPr="007E4EFD">
        <w:rPr>
          <w:i/>
        </w:rPr>
        <w:t>Tertiary Education Quality and Standards Agency Act 2011</w:t>
      </w:r>
      <w:r w:rsidRPr="009C2562">
        <w:t>.</w:t>
      </w:r>
    </w:p>
    <w:p w14:paraId="489723F8" w14:textId="77777777" w:rsidR="00554826" w:rsidRPr="004037D6" w:rsidRDefault="00554826" w:rsidP="00554826">
      <w:pPr>
        <w:pStyle w:val="ActHead5"/>
      </w:pPr>
      <w:bookmarkStart w:id="5" w:name="_Toc77075650"/>
      <w:proofErr w:type="gramStart"/>
      <w:r w:rsidRPr="004037D6">
        <w:t>4  Definitions</w:t>
      </w:r>
      <w:bookmarkEnd w:id="5"/>
      <w:proofErr w:type="gramEnd"/>
    </w:p>
    <w:p w14:paraId="694BB2FD" w14:textId="77777777" w:rsidR="00554826" w:rsidRPr="004037D6" w:rsidRDefault="00554826" w:rsidP="00554826">
      <w:pPr>
        <w:pStyle w:val="notetext"/>
      </w:pPr>
      <w:r w:rsidRPr="004037D6">
        <w:t>Note:</w:t>
      </w:r>
      <w:r w:rsidRPr="004037D6">
        <w:tab/>
      </w:r>
      <w:proofErr w:type="gramStart"/>
      <w:r w:rsidRPr="004037D6">
        <w:t>A number of</w:t>
      </w:r>
      <w:proofErr w:type="gramEnd"/>
      <w:r w:rsidRPr="004037D6">
        <w:t xml:space="preserve"> expressions used in this instrument are defined in definitions section of the Act, including the following:</w:t>
      </w:r>
    </w:p>
    <w:p w14:paraId="6575ED1D" w14:textId="233C0303" w:rsidR="00554826" w:rsidRPr="004037D6" w:rsidRDefault="00554826" w:rsidP="008A10C4">
      <w:pPr>
        <w:pStyle w:val="notepara"/>
      </w:pPr>
      <w:r w:rsidRPr="004037D6">
        <w:t>(a)</w:t>
      </w:r>
      <w:r w:rsidRPr="004037D6">
        <w:tab/>
      </w:r>
      <w:r w:rsidR="00DF000B" w:rsidRPr="004037D6">
        <w:t>regulated entity</w:t>
      </w:r>
      <w:r w:rsidR="001F6C6C" w:rsidRPr="004037D6">
        <w:t>.</w:t>
      </w:r>
    </w:p>
    <w:p w14:paraId="781664C6" w14:textId="77777777" w:rsidR="00554826" w:rsidRPr="004037D6" w:rsidRDefault="00554826" w:rsidP="00554826">
      <w:pPr>
        <w:pStyle w:val="subsection"/>
      </w:pPr>
      <w:r w:rsidRPr="004037D6">
        <w:tab/>
      </w:r>
      <w:r w:rsidRPr="004037D6">
        <w:tab/>
        <w:t>In this instrument:</w:t>
      </w:r>
    </w:p>
    <w:p w14:paraId="0E24E7B5" w14:textId="4955BD7E" w:rsidR="00554826" w:rsidRPr="004037D6" w:rsidRDefault="00554826" w:rsidP="00554826">
      <w:pPr>
        <w:pStyle w:val="Definition"/>
      </w:pPr>
      <w:r w:rsidRPr="004037D6">
        <w:rPr>
          <w:b/>
          <w:i/>
        </w:rPr>
        <w:t>Act</w:t>
      </w:r>
      <w:r w:rsidRPr="004037D6">
        <w:t xml:space="preserve"> means the </w:t>
      </w:r>
      <w:r w:rsidR="00DF000B" w:rsidRPr="004037D6">
        <w:rPr>
          <w:bCs/>
          <w:i/>
        </w:rPr>
        <w:t>Tertiary Education Quality and Standards Agency Act 2011</w:t>
      </w:r>
      <w:r w:rsidRPr="004037D6">
        <w:t>.</w:t>
      </w:r>
    </w:p>
    <w:p w14:paraId="705E6A2A" w14:textId="1BB12982" w:rsidR="00D75F0C" w:rsidRPr="004037D6" w:rsidRDefault="00D75F0C" w:rsidP="00554826">
      <w:pPr>
        <w:pStyle w:val="Definition"/>
        <w:rPr>
          <w:bCs/>
          <w:iCs/>
        </w:rPr>
      </w:pPr>
      <w:r w:rsidRPr="004037D6">
        <w:rPr>
          <w:b/>
          <w:i/>
        </w:rPr>
        <w:t>Excellence in Research for Australia</w:t>
      </w:r>
      <w:r w:rsidRPr="004037D6">
        <w:rPr>
          <w:b/>
          <w:iCs/>
        </w:rPr>
        <w:t xml:space="preserve"> </w:t>
      </w:r>
      <w:r w:rsidRPr="004037D6">
        <w:rPr>
          <w:bCs/>
          <w:iCs/>
        </w:rPr>
        <w:t>means</w:t>
      </w:r>
      <w:r w:rsidR="002E3AE6" w:rsidRPr="004037D6">
        <w:rPr>
          <w:bCs/>
          <w:iCs/>
        </w:rPr>
        <w:t xml:space="preserve"> the national research evaluation framework, </w:t>
      </w:r>
      <w:proofErr w:type="gramStart"/>
      <w:r w:rsidR="002E3AE6" w:rsidRPr="004037D6">
        <w:rPr>
          <w:bCs/>
          <w:iCs/>
        </w:rPr>
        <w:t>developed</w:t>
      </w:r>
      <w:proofErr w:type="gramEnd"/>
      <w:r w:rsidR="002E3AE6" w:rsidRPr="004037D6">
        <w:rPr>
          <w:bCs/>
          <w:iCs/>
        </w:rPr>
        <w:t xml:space="preserve"> and administered by the Australian Research Council.</w:t>
      </w:r>
    </w:p>
    <w:p w14:paraId="63F5FE1D" w14:textId="769229A7" w:rsidR="00D75F0C" w:rsidRPr="004037D6" w:rsidRDefault="00D75F0C" w:rsidP="00554826">
      <w:pPr>
        <w:pStyle w:val="Definition"/>
        <w:rPr>
          <w:bCs/>
          <w:iCs/>
        </w:rPr>
      </w:pPr>
      <w:r w:rsidRPr="004037D6">
        <w:rPr>
          <w:b/>
          <w:i/>
        </w:rPr>
        <w:t xml:space="preserve">Engagement and Impact Assessment </w:t>
      </w:r>
      <w:r w:rsidRPr="004037D6">
        <w:rPr>
          <w:bCs/>
          <w:iCs/>
        </w:rPr>
        <w:t xml:space="preserve">means </w:t>
      </w:r>
      <w:r w:rsidR="00F360E7" w:rsidRPr="004037D6">
        <w:rPr>
          <w:bCs/>
          <w:iCs/>
        </w:rPr>
        <w:t xml:space="preserve">the assessment of university researchers and their engagement with the end-users of research and their translation into economic, social, environmental, </w:t>
      </w:r>
      <w:proofErr w:type="gramStart"/>
      <w:r w:rsidR="00F360E7" w:rsidRPr="004037D6">
        <w:rPr>
          <w:bCs/>
          <w:iCs/>
        </w:rPr>
        <w:t>cultural</w:t>
      </w:r>
      <w:proofErr w:type="gramEnd"/>
      <w:r w:rsidR="00F360E7" w:rsidRPr="004037D6">
        <w:rPr>
          <w:bCs/>
          <w:iCs/>
        </w:rPr>
        <w:t xml:space="preserve"> and other impacts.</w:t>
      </w:r>
    </w:p>
    <w:p w14:paraId="741F140D" w14:textId="77777777" w:rsidR="00554826" w:rsidRPr="004037D6" w:rsidRDefault="00DF000B" w:rsidP="00554826">
      <w:pPr>
        <w:pStyle w:val="ActHead5"/>
      </w:pPr>
      <w:bookmarkStart w:id="6" w:name="_Toc77075651"/>
      <w:proofErr w:type="gramStart"/>
      <w:r w:rsidRPr="004037D6">
        <w:lastRenderedPageBreak/>
        <w:t>5</w:t>
      </w:r>
      <w:r w:rsidR="00554826" w:rsidRPr="004037D6">
        <w:t xml:space="preserve">  </w:t>
      </w:r>
      <w:r w:rsidR="004B5CBC" w:rsidRPr="004037D6">
        <w:t>Matters</w:t>
      </w:r>
      <w:proofErr w:type="gramEnd"/>
      <w:r w:rsidR="004B5CBC" w:rsidRPr="004037D6">
        <w:t xml:space="preserve"> relating</w:t>
      </w:r>
      <w:r w:rsidR="004B5CBC" w:rsidRPr="00D73B0A">
        <w:t xml:space="preserve"> to the quality of research</w:t>
      </w:r>
      <w:bookmarkEnd w:id="6"/>
    </w:p>
    <w:p w14:paraId="6751265D" w14:textId="77777777" w:rsidR="00554826" w:rsidRPr="004037D6" w:rsidRDefault="004B5CBC" w:rsidP="00DF000B">
      <w:pPr>
        <w:pStyle w:val="subsection"/>
        <w:tabs>
          <w:tab w:val="clear" w:pos="1021"/>
        </w:tabs>
        <w:ind w:left="0" w:firstLine="0"/>
      </w:pPr>
      <w:r w:rsidRPr="004037D6">
        <w:t xml:space="preserve">TEQSA must have regard to the following matters relating to the quality of research </w:t>
      </w:r>
      <w:r w:rsidR="00DF000B" w:rsidRPr="004037D6">
        <w:t xml:space="preserve">at a regulated entity </w:t>
      </w:r>
      <w:r w:rsidRPr="004037D6">
        <w:t>for the purposes of section 59A of the Act:</w:t>
      </w:r>
    </w:p>
    <w:p w14:paraId="52B447FB" w14:textId="6BFF74B4" w:rsidR="00103B82" w:rsidRPr="004037D6" w:rsidRDefault="001012C9" w:rsidP="00DF000B">
      <w:pPr>
        <w:pStyle w:val="paragraph"/>
        <w:numPr>
          <w:ilvl w:val="0"/>
          <w:numId w:val="15"/>
        </w:numPr>
        <w:tabs>
          <w:tab w:val="right" w:pos="1418"/>
        </w:tabs>
      </w:pPr>
      <w:r w:rsidRPr="004037D6">
        <w:t xml:space="preserve">  </w:t>
      </w:r>
      <w:r w:rsidR="00103B82" w:rsidRPr="004037D6">
        <w:t>results from Excellence in Research for Australia and the Engagement and Impact Assessment or any successor evaluations in Australia, and from comparable national and international research assessment</w:t>
      </w:r>
      <w:r w:rsidR="00103B82" w:rsidRPr="00D73B0A">
        <w:t xml:space="preserve"> </w:t>
      </w:r>
      <w:proofErr w:type="gramStart"/>
      <w:r w:rsidR="00103B82" w:rsidRPr="00D73B0A">
        <w:t>exercises</w:t>
      </w:r>
      <w:r w:rsidR="008A10C4" w:rsidRPr="00D73B0A">
        <w:t>;</w:t>
      </w:r>
      <w:proofErr w:type="gramEnd"/>
    </w:p>
    <w:p w14:paraId="2F39B080" w14:textId="7FB51C8B" w:rsidR="00DF000B" w:rsidRPr="004037D6" w:rsidRDefault="00DF000B" w:rsidP="004037D6">
      <w:pPr>
        <w:pStyle w:val="paragraph"/>
        <w:numPr>
          <w:ilvl w:val="0"/>
          <w:numId w:val="15"/>
        </w:numPr>
        <w:tabs>
          <w:tab w:val="right" w:pos="1418"/>
        </w:tabs>
        <w:ind w:left="1525" w:hanging="357"/>
      </w:pPr>
      <w:r w:rsidRPr="004037D6">
        <w:t xml:space="preserve">the volume of citations, and the quality of the publications in which </w:t>
      </w:r>
      <w:r w:rsidR="00103B82" w:rsidRPr="004037D6">
        <w:t xml:space="preserve">the research output </w:t>
      </w:r>
      <w:proofErr w:type="gramStart"/>
      <w:r w:rsidR="00103B82" w:rsidRPr="004037D6">
        <w:t>appeared</w:t>
      </w:r>
      <w:r w:rsidRPr="004037D6">
        <w:t>;</w:t>
      </w:r>
      <w:proofErr w:type="gramEnd"/>
      <w:r w:rsidRPr="004037D6">
        <w:t xml:space="preserve"> </w:t>
      </w:r>
    </w:p>
    <w:p w14:paraId="32AF0D33" w14:textId="278F61DD" w:rsidR="00DF000B" w:rsidRDefault="00103B82" w:rsidP="004037D6">
      <w:pPr>
        <w:pStyle w:val="paragraph"/>
        <w:numPr>
          <w:ilvl w:val="0"/>
          <w:numId w:val="15"/>
        </w:numPr>
        <w:tabs>
          <w:tab w:val="right" w:pos="1418"/>
        </w:tabs>
        <w:ind w:left="1525" w:hanging="357"/>
      </w:pPr>
      <w:r w:rsidRPr="004037D6">
        <w:t xml:space="preserve">  </w:t>
      </w:r>
      <w:r w:rsidR="00DF000B" w:rsidRPr="004037D6">
        <w:t xml:space="preserve">whether </w:t>
      </w:r>
      <w:r w:rsidRPr="004037D6">
        <w:t xml:space="preserve">research outputs </w:t>
      </w:r>
      <w:r w:rsidR="00DF000B" w:rsidRPr="004037D6">
        <w:t xml:space="preserve">have been peer reviewed and, where peer review has occurred, the nature of the peer review </w:t>
      </w:r>
      <w:proofErr w:type="gramStart"/>
      <w:r w:rsidR="00DF000B" w:rsidRPr="004037D6">
        <w:t>process;</w:t>
      </w:r>
      <w:proofErr w:type="gramEnd"/>
      <w:r w:rsidR="00DF000B" w:rsidRPr="004037D6">
        <w:t xml:space="preserve"> </w:t>
      </w:r>
    </w:p>
    <w:p w14:paraId="325F327C" w14:textId="34ADB385" w:rsidR="00103B82" w:rsidRDefault="008A10C4">
      <w:pPr>
        <w:pStyle w:val="paragraph"/>
        <w:numPr>
          <w:ilvl w:val="0"/>
          <w:numId w:val="15"/>
        </w:numPr>
        <w:tabs>
          <w:tab w:val="right" w:pos="1418"/>
        </w:tabs>
      </w:pPr>
      <w:r>
        <w:t>o</w:t>
      </w:r>
      <w:r w:rsidR="00103B82">
        <w:t xml:space="preserve">utcomes from the prevailing practices for the measurement of research quality in a particular </w:t>
      </w:r>
      <w:proofErr w:type="gramStart"/>
      <w:r w:rsidR="00103B82">
        <w:t>discipline;</w:t>
      </w:r>
      <w:proofErr w:type="gramEnd"/>
    </w:p>
    <w:p w14:paraId="009A350C" w14:textId="6B8C1EDC" w:rsidR="00DF000B" w:rsidRDefault="00103B82" w:rsidP="00DF000B">
      <w:pPr>
        <w:pStyle w:val="paragraph"/>
        <w:numPr>
          <w:ilvl w:val="0"/>
          <w:numId w:val="15"/>
        </w:numPr>
        <w:tabs>
          <w:tab w:val="right" w:pos="1418"/>
        </w:tabs>
      </w:pPr>
      <w:r>
        <w:t xml:space="preserve">  </w:t>
      </w:r>
      <w:r w:rsidR="00DF000B">
        <w:t>the regulated entity’s governance framework for research including:</w:t>
      </w:r>
    </w:p>
    <w:p w14:paraId="36F1C6D5" w14:textId="78DBB61E" w:rsidR="00DF000B" w:rsidRDefault="00DF000B" w:rsidP="00DF000B">
      <w:pPr>
        <w:pStyle w:val="paragraph"/>
        <w:numPr>
          <w:ilvl w:val="1"/>
          <w:numId w:val="16"/>
        </w:numPr>
        <w:tabs>
          <w:tab w:val="right" w:pos="1418"/>
        </w:tabs>
      </w:pPr>
      <w:r>
        <w:t xml:space="preserve">its policy framework for </w:t>
      </w:r>
      <w:proofErr w:type="gramStart"/>
      <w:r>
        <w:t>research;</w:t>
      </w:r>
      <w:proofErr w:type="gramEnd"/>
      <w:r>
        <w:t xml:space="preserve">  </w:t>
      </w:r>
    </w:p>
    <w:p w14:paraId="239B0B27" w14:textId="77777777" w:rsidR="00AB51E7" w:rsidRDefault="00DF000B" w:rsidP="00DF000B">
      <w:pPr>
        <w:pStyle w:val="paragraph"/>
        <w:numPr>
          <w:ilvl w:val="1"/>
          <w:numId w:val="16"/>
        </w:numPr>
        <w:tabs>
          <w:tab w:val="right" w:pos="1418"/>
        </w:tabs>
      </w:pPr>
      <w:r>
        <w:t xml:space="preserve">its financial support for the pursuit of </w:t>
      </w:r>
      <w:proofErr w:type="gramStart"/>
      <w:r>
        <w:t>research;</w:t>
      </w:r>
      <w:proofErr w:type="gramEnd"/>
    </w:p>
    <w:p w14:paraId="74659911" w14:textId="276F5971" w:rsidR="00DF000B" w:rsidRDefault="00AB51E7" w:rsidP="00DF000B">
      <w:pPr>
        <w:pStyle w:val="paragraph"/>
        <w:numPr>
          <w:ilvl w:val="1"/>
          <w:numId w:val="16"/>
        </w:numPr>
        <w:tabs>
          <w:tab w:val="right" w:pos="1418"/>
        </w:tabs>
      </w:pPr>
      <w:r>
        <w:t>whether and how the governance framework for research is implemented.</w:t>
      </w:r>
    </w:p>
    <w:p w14:paraId="75DE44A7" w14:textId="42AA1248" w:rsidR="00AB51E7" w:rsidRDefault="00DF000B" w:rsidP="00635B19">
      <w:pPr>
        <w:pStyle w:val="paragraph"/>
        <w:numPr>
          <w:ilvl w:val="0"/>
          <w:numId w:val="15"/>
        </w:numPr>
        <w:tabs>
          <w:tab w:val="right" w:pos="1418"/>
        </w:tabs>
      </w:pPr>
      <w:r>
        <w:t xml:space="preserve">  the extent to which there is a research community at the regulated entity</w:t>
      </w:r>
      <w:r w:rsidR="00AB51E7">
        <w:t>, including:</w:t>
      </w:r>
    </w:p>
    <w:p w14:paraId="00D6CBF6" w14:textId="1B3D2366" w:rsidR="00AB51E7" w:rsidRDefault="00AB51E7" w:rsidP="000F6309">
      <w:pPr>
        <w:pStyle w:val="paragraph"/>
        <w:numPr>
          <w:ilvl w:val="1"/>
          <w:numId w:val="15"/>
        </w:numPr>
        <w:tabs>
          <w:tab w:val="right" w:pos="1418"/>
        </w:tabs>
      </w:pPr>
      <w:r>
        <w:t>the number of researchers at the regulated entity</w:t>
      </w:r>
      <w:r w:rsidR="00103B82">
        <w:t xml:space="preserve"> and the proportion of time spent by those researchers on research at the regulated </w:t>
      </w:r>
      <w:proofErr w:type="gramStart"/>
      <w:r w:rsidR="00103B82">
        <w:t>entity</w:t>
      </w:r>
      <w:r>
        <w:t>;</w:t>
      </w:r>
      <w:proofErr w:type="gramEnd"/>
    </w:p>
    <w:p w14:paraId="76F522ED" w14:textId="50AFBC47" w:rsidR="00AB51E7" w:rsidRDefault="00AB51E7" w:rsidP="000F6309">
      <w:pPr>
        <w:pStyle w:val="paragraph"/>
        <w:numPr>
          <w:ilvl w:val="1"/>
          <w:numId w:val="15"/>
        </w:numPr>
        <w:tabs>
          <w:tab w:val="right" w:pos="1418"/>
        </w:tabs>
      </w:pPr>
      <w:r>
        <w:t xml:space="preserve">the relationship between individual researchers and the regulated </w:t>
      </w:r>
      <w:proofErr w:type="gramStart"/>
      <w:r>
        <w:t>entity;</w:t>
      </w:r>
      <w:proofErr w:type="gramEnd"/>
    </w:p>
    <w:p w14:paraId="250C5293" w14:textId="4BAA8BD7" w:rsidR="00AB51E7" w:rsidRDefault="00103B82" w:rsidP="000F6309">
      <w:pPr>
        <w:pStyle w:val="paragraph"/>
        <w:numPr>
          <w:ilvl w:val="1"/>
          <w:numId w:val="15"/>
        </w:numPr>
        <w:tabs>
          <w:tab w:val="right" w:pos="1418"/>
        </w:tabs>
      </w:pPr>
      <w:r>
        <w:t xml:space="preserve">the extent to which researchers are engaged in the research community at the regulated entity, and with their discipline in the national </w:t>
      </w:r>
      <w:r w:rsidR="008A10C4">
        <w:t>or</w:t>
      </w:r>
      <w:r>
        <w:t xml:space="preserve"> international research community where </w:t>
      </w:r>
      <w:proofErr w:type="gramStart"/>
      <w:r>
        <w:t>relevant</w:t>
      </w:r>
      <w:r w:rsidR="00AB51E7">
        <w:t>;</w:t>
      </w:r>
      <w:proofErr w:type="gramEnd"/>
      <w:r w:rsidR="00AB51E7">
        <w:t xml:space="preserve"> </w:t>
      </w:r>
    </w:p>
    <w:p w14:paraId="49800C5D" w14:textId="44833A52" w:rsidR="00DF000B" w:rsidRDefault="00AB51E7" w:rsidP="000F6309">
      <w:pPr>
        <w:pStyle w:val="paragraph"/>
        <w:numPr>
          <w:ilvl w:val="1"/>
          <w:numId w:val="15"/>
        </w:numPr>
        <w:tabs>
          <w:tab w:val="right" w:pos="1418"/>
        </w:tabs>
      </w:pPr>
      <w:r>
        <w:t>the extent to which research at the regulated entity is current or recent</w:t>
      </w:r>
      <w:r w:rsidR="00DF000B">
        <w:t>;</w:t>
      </w:r>
      <w:r>
        <w:t xml:space="preserve"> and</w:t>
      </w:r>
    </w:p>
    <w:p w14:paraId="50672E04" w14:textId="68C396F0" w:rsidR="00DF000B" w:rsidRDefault="00DF000B" w:rsidP="004037D6">
      <w:pPr>
        <w:pStyle w:val="paragraph"/>
        <w:numPr>
          <w:ilvl w:val="1"/>
          <w:numId w:val="15"/>
        </w:numPr>
        <w:tabs>
          <w:tab w:val="right" w:pos="1418"/>
        </w:tabs>
      </w:pPr>
      <w:r>
        <w:t>the supervisory and study environment for research activity at the regulated entity</w:t>
      </w:r>
      <w:r w:rsidR="008A10C4">
        <w:t>; and</w:t>
      </w:r>
    </w:p>
    <w:p w14:paraId="215D2E51" w14:textId="1A117DB9" w:rsidR="00DF000B" w:rsidRDefault="00DF000B" w:rsidP="00DF000B">
      <w:pPr>
        <w:pStyle w:val="paragraph"/>
        <w:numPr>
          <w:ilvl w:val="0"/>
          <w:numId w:val="15"/>
        </w:numPr>
        <w:tabs>
          <w:tab w:val="right" w:pos="1418"/>
        </w:tabs>
      </w:pPr>
      <w:r>
        <w:t xml:space="preserve">the success of the regulated entity in competitive research grant rounds and </w:t>
      </w:r>
      <w:r w:rsidR="00D73B0A">
        <w:t xml:space="preserve">in obtaining </w:t>
      </w:r>
      <w:r>
        <w:t xml:space="preserve">other direct funding for research. </w:t>
      </w:r>
    </w:p>
    <w:p w14:paraId="0EC68B42" w14:textId="77777777" w:rsidR="00DF000B" w:rsidRDefault="00DF000B" w:rsidP="00D6537E">
      <w:pPr>
        <w:pStyle w:val="ActHead6"/>
      </w:pPr>
    </w:p>
    <w:p w14:paraId="3809D459" w14:textId="77777777" w:rsidR="00DF000B" w:rsidRDefault="00DF000B" w:rsidP="004037D6">
      <w:pPr>
        <w:pStyle w:val="ActHead6"/>
        <w:ind w:left="0" w:firstLine="0"/>
      </w:pPr>
    </w:p>
    <w:p w14:paraId="6C242D33" w14:textId="77777777" w:rsidR="00DF000B" w:rsidRDefault="00DF000B" w:rsidP="00D6537E">
      <w:pPr>
        <w:pStyle w:val="ActHead6"/>
      </w:pPr>
    </w:p>
    <w:p w14:paraId="42E6F9AF" w14:textId="77777777" w:rsidR="00DF000B" w:rsidRDefault="00DF000B" w:rsidP="00D6537E">
      <w:pPr>
        <w:pStyle w:val="ActHead6"/>
      </w:pPr>
    </w:p>
    <w:p w14:paraId="320587AA" w14:textId="77777777" w:rsidR="00DF000B" w:rsidRDefault="00DF000B" w:rsidP="00D6537E">
      <w:pPr>
        <w:pStyle w:val="ActHead6"/>
      </w:pPr>
    </w:p>
    <w:sectPr w:rsidR="00DF000B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052DE" w14:textId="77777777" w:rsidR="00BC7F66" w:rsidRDefault="00BC7F66" w:rsidP="00715914">
      <w:pPr>
        <w:spacing w:line="240" w:lineRule="auto"/>
      </w:pPr>
      <w:r>
        <w:separator/>
      </w:r>
    </w:p>
  </w:endnote>
  <w:endnote w:type="continuationSeparator" w:id="0">
    <w:p w14:paraId="4348E3AE" w14:textId="77777777" w:rsidR="00BC7F66" w:rsidRDefault="00BC7F6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8DB48" w14:textId="77777777" w:rsidR="00BC7F66" w:rsidRPr="00E33C1C" w:rsidRDefault="00BC7F66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C7F66" w14:paraId="0D3B0561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1159CE" w14:textId="77777777" w:rsidR="00BC7F66" w:rsidRDefault="00BC7F66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AF2F64" w14:textId="35FAFEF9" w:rsidR="00BC7F66" w:rsidRPr="004E1307" w:rsidRDefault="00BC7F66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6165E">
            <w:rPr>
              <w:i/>
              <w:noProof/>
              <w:sz w:val="18"/>
            </w:rPr>
            <w:t>Tertiary Education Quality and Standards Agency (Quality of Research)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FB9FD66" w14:textId="77777777" w:rsidR="00BC7F66" w:rsidRDefault="00BC7F66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BC7F66" w14:paraId="2FE5F83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C4A0D1E" w14:textId="77777777" w:rsidR="00BC7F66" w:rsidRDefault="00BC7F66" w:rsidP="00A369E3">
          <w:pPr>
            <w:jc w:val="right"/>
            <w:rPr>
              <w:sz w:val="18"/>
            </w:rPr>
          </w:pPr>
        </w:p>
      </w:tc>
    </w:tr>
  </w:tbl>
  <w:p w14:paraId="246F1D6F" w14:textId="77777777" w:rsidR="00BC7F66" w:rsidRPr="00ED79B6" w:rsidRDefault="00BC7F66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76727" w14:textId="77777777" w:rsidR="00BC7F66" w:rsidRPr="00E33C1C" w:rsidRDefault="00BC7F66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BC7F66" w14:paraId="6EE79E21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2CF42C" w14:textId="77777777" w:rsidR="00BC7F66" w:rsidRDefault="00BC7F66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5A00DE2" w14:textId="77777777" w:rsidR="00BC7F66" w:rsidRDefault="00BC7F66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415F09" w14:textId="77777777" w:rsidR="00BC7F66" w:rsidRDefault="00BC7F66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C7F66" w14:paraId="0E14D800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6AA4B3A" w14:textId="77777777" w:rsidR="00BC7F66" w:rsidRDefault="00BC7F66" w:rsidP="00A369E3">
          <w:pPr>
            <w:rPr>
              <w:sz w:val="18"/>
            </w:rPr>
          </w:pPr>
        </w:p>
      </w:tc>
    </w:tr>
  </w:tbl>
  <w:p w14:paraId="50AF2901" w14:textId="77777777" w:rsidR="00BC7F66" w:rsidRPr="00ED79B6" w:rsidRDefault="00BC7F66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91B46" w14:textId="77777777" w:rsidR="00BC7F66" w:rsidRPr="00E33C1C" w:rsidRDefault="00BC7F66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BC7F66" w14:paraId="50F6A210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4480E4A" w14:textId="77777777" w:rsidR="00BC7F66" w:rsidRDefault="00BC7F66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592020" w14:textId="77777777" w:rsidR="00BC7F66" w:rsidRDefault="00BC7F66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322D09" w14:textId="77777777" w:rsidR="00BC7F66" w:rsidRDefault="00BC7F66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0B419F4" w14:textId="77777777" w:rsidR="00BC7F66" w:rsidRPr="00ED79B6" w:rsidRDefault="00BC7F66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73A2D" w14:textId="77777777" w:rsidR="00BC7F66" w:rsidRPr="002B0EA5" w:rsidRDefault="00BC7F66" w:rsidP="00BC7F6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C7F66" w14:paraId="73D0B981" w14:textId="77777777" w:rsidTr="00BC7F66">
      <w:tc>
        <w:tcPr>
          <w:tcW w:w="365" w:type="pct"/>
        </w:tcPr>
        <w:p w14:paraId="5B5F84CC" w14:textId="77777777" w:rsidR="00BC7F66" w:rsidRDefault="00BC7F66" w:rsidP="00BC7F6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A7665A4" w14:textId="77777777" w:rsidR="00BC7F66" w:rsidRDefault="00BC7F66" w:rsidP="00BC7F6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B26351F" w14:textId="77777777" w:rsidR="00BC7F66" w:rsidRDefault="00BC7F66" w:rsidP="00BC7F66">
          <w:pPr>
            <w:spacing w:line="0" w:lineRule="atLeast"/>
            <w:jc w:val="right"/>
            <w:rPr>
              <w:sz w:val="18"/>
            </w:rPr>
          </w:pPr>
        </w:p>
      </w:tc>
    </w:tr>
    <w:tr w:rsidR="00BC7F66" w14:paraId="4FC02D0F" w14:textId="77777777" w:rsidTr="00BC7F66">
      <w:tc>
        <w:tcPr>
          <w:tcW w:w="5000" w:type="pct"/>
          <w:gridSpan w:val="3"/>
        </w:tcPr>
        <w:p w14:paraId="29698280" w14:textId="77777777" w:rsidR="00BC7F66" w:rsidRDefault="00BC7F66" w:rsidP="00BC7F66">
          <w:pPr>
            <w:jc w:val="right"/>
            <w:rPr>
              <w:sz w:val="18"/>
            </w:rPr>
          </w:pPr>
        </w:p>
      </w:tc>
    </w:tr>
  </w:tbl>
  <w:p w14:paraId="1A8D7A02" w14:textId="77777777" w:rsidR="00BC7F66" w:rsidRPr="00ED79B6" w:rsidRDefault="00BC7F66" w:rsidP="00BC7F66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E85B7" w14:textId="77777777" w:rsidR="00BC7F66" w:rsidRPr="002B0EA5" w:rsidRDefault="00BC7F66" w:rsidP="00BC7F6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C7F66" w14:paraId="0E4AA162" w14:textId="77777777" w:rsidTr="00BC7F66">
      <w:tc>
        <w:tcPr>
          <w:tcW w:w="947" w:type="pct"/>
        </w:tcPr>
        <w:p w14:paraId="5AEC8BEE" w14:textId="77777777" w:rsidR="00BC7F66" w:rsidRDefault="00BC7F66" w:rsidP="00BC7F66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FC10A1E" w14:textId="329B3DD0" w:rsidR="00BC7F66" w:rsidRDefault="00BC7F66" w:rsidP="00BC7F6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93124">
            <w:rPr>
              <w:i/>
              <w:noProof/>
              <w:sz w:val="18"/>
            </w:rPr>
            <w:t>Tertiary Education Quality and Standards Agency (Quality of Research)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BAE06E0" w14:textId="6ECDB4FB" w:rsidR="00BC7F66" w:rsidRDefault="00BC7F66" w:rsidP="00BC7F6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5B1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C7F66" w14:paraId="78888A23" w14:textId="77777777" w:rsidTr="00BC7F66">
      <w:tc>
        <w:tcPr>
          <w:tcW w:w="5000" w:type="pct"/>
          <w:gridSpan w:val="3"/>
        </w:tcPr>
        <w:p w14:paraId="601DF68E" w14:textId="77777777" w:rsidR="00BC7F66" w:rsidRDefault="00BC7F66" w:rsidP="00BC7F66">
          <w:pPr>
            <w:rPr>
              <w:sz w:val="18"/>
            </w:rPr>
          </w:pPr>
        </w:p>
      </w:tc>
    </w:tr>
  </w:tbl>
  <w:p w14:paraId="292857C7" w14:textId="77777777" w:rsidR="00BC7F66" w:rsidRPr="00ED79B6" w:rsidRDefault="00BC7F66" w:rsidP="00BC7F66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53A74" w14:textId="77777777" w:rsidR="00BC7F66" w:rsidRPr="002B0EA5" w:rsidRDefault="00BC7F66" w:rsidP="00BC7F6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C7F66" w14:paraId="6C7DFA82" w14:textId="77777777" w:rsidTr="00BC7F66">
      <w:tc>
        <w:tcPr>
          <w:tcW w:w="365" w:type="pct"/>
        </w:tcPr>
        <w:p w14:paraId="48405685" w14:textId="7E53A16A" w:rsidR="00BC7F66" w:rsidRDefault="00BC7F66" w:rsidP="00BC7F6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5B1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744192F" w14:textId="6AE3B4A3" w:rsidR="00BC7F66" w:rsidRDefault="00BC7F66" w:rsidP="00BC7F6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93124">
            <w:rPr>
              <w:i/>
              <w:noProof/>
              <w:sz w:val="18"/>
            </w:rPr>
            <w:t>Tertiary Education Quality and Standards Agency (Quality of Research)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A871D5B" w14:textId="77777777" w:rsidR="00BC7F66" w:rsidRDefault="00BC7F66" w:rsidP="00BC7F66">
          <w:pPr>
            <w:spacing w:line="0" w:lineRule="atLeast"/>
            <w:jc w:val="right"/>
            <w:rPr>
              <w:sz w:val="18"/>
            </w:rPr>
          </w:pPr>
        </w:p>
      </w:tc>
    </w:tr>
    <w:tr w:rsidR="00BC7F66" w14:paraId="79ED1D3A" w14:textId="77777777" w:rsidTr="00BC7F66">
      <w:tc>
        <w:tcPr>
          <w:tcW w:w="5000" w:type="pct"/>
          <w:gridSpan w:val="3"/>
        </w:tcPr>
        <w:p w14:paraId="38002DE3" w14:textId="77777777" w:rsidR="00BC7F66" w:rsidRDefault="00BC7F66" w:rsidP="00BC7F66">
          <w:pPr>
            <w:jc w:val="right"/>
            <w:rPr>
              <w:sz w:val="18"/>
            </w:rPr>
          </w:pPr>
        </w:p>
      </w:tc>
    </w:tr>
  </w:tbl>
  <w:p w14:paraId="18872A04" w14:textId="77777777" w:rsidR="00BC7F66" w:rsidRPr="00ED79B6" w:rsidRDefault="00BC7F66" w:rsidP="00BC7F66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6F94D" w14:textId="77777777" w:rsidR="00BC7F66" w:rsidRPr="002B0EA5" w:rsidRDefault="00BC7F66" w:rsidP="00BC7F6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C7F66" w14:paraId="3AF43D74" w14:textId="77777777" w:rsidTr="00BC7F66">
      <w:tc>
        <w:tcPr>
          <w:tcW w:w="947" w:type="pct"/>
        </w:tcPr>
        <w:p w14:paraId="56E6E6BF" w14:textId="77777777" w:rsidR="00BC7F66" w:rsidRDefault="00BC7F66" w:rsidP="00BC7F66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32F1D2D" w14:textId="004BF4B9" w:rsidR="00BC7F66" w:rsidRDefault="00BC7F66" w:rsidP="00BC7F6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93124">
            <w:rPr>
              <w:i/>
              <w:noProof/>
              <w:sz w:val="18"/>
            </w:rPr>
            <w:t>Tertiary Education Quality and Standards Agency (Quality of Research)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17F47D9" w14:textId="3EF666C7" w:rsidR="00BC7F66" w:rsidRDefault="00BC7F66" w:rsidP="00BC7F6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5B1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C7F66" w14:paraId="0E4153EE" w14:textId="77777777" w:rsidTr="00BC7F66">
      <w:tc>
        <w:tcPr>
          <w:tcW w:w="5000" w:type="pct"/>
          <w:gridSpan w:val="3"/>
        </w:tcPr>
        <w:p w14:paraId="46E65B17" w14:textId="77777777" w:rsidR="00BC7F66" w:rsidRDefault="00BC7F66" w:rsidP="00BC7F66">
          <w:pPr>
            <w:rPr>
              <w:sz w:val="18"/>
            </w:rPr>
          </w:pPr>
        </w:p>
      </w:tc>
    </w:tr>
  </w:tbl>
  <w:p w14:paraId="7B3D8B61" w14:textId="77777777" w:rsidR="00BC7F66" w:rsidRPr="00ED79B6" w:rsidRDefault="00BC7F66" w:rsidP="00BC7F66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E93A4" w14:textId="77777777" w:rsidR="00BC7F66" w:rsidRDefault="00BC7F66" w:rsidP="00715914">
      <w:pPr>
        <w:spacing w:line="240" w:lineRule="auto"/>
      </w:pPr>
      <w:r>
        <w:separator/>
      </w:r>
    </w:p>
  </w:footnote>
  <w:footnote w:type="continuationSeparator" w:id="0">
    <w:p w14:paraId="0AB67A14" w14:textId="77777777" w:rsidR="00BC7F66" w:rsidRDefault="00BC7F6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D1B80" w14:textId="77777777" w:rsidR="00BC7F66" w:rsidRPr="005F1388" w:rsidRDefault="00BC7F66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7D2FE" w14:textId="77777777" w:rsidR="00BC7F66" w:rsidRPr="005F1388" w:rsidRDefault="00BC7F66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FA38F" w14:textId="77777777" w:rsidR="00BC7F66" w:rsidRPr="00ED79B6" w:rsidRDefault="00BC7F66" w:rsidP="00BC7F66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2CE84" w14:textId="77777777" w:rsidR="00BC7F66" w:rsidRPr="00ED79B6" w:rsidRDefault="00BC7F66" w:rsidP="00BC7F66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F8D98" w14:textId="77777777" w:rsidR="00BC7F66" w:rsidRPr="00ED79B6" w:rsidRDefault="00BC7F66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FA8BC" w14:textId="77777777" w:rsidR="00BC7F66" w:rsidRDefault="00BC7F66" w:rsidP="00715914">
    <w:pPr>
      <w:rPr>
        <w:sz w:val="20"/>
      </w:rPr>
    </w:pPr>
  </w:p>
  <w:p w14:paraId="2F89377F" w14:textId="77777777" w:rsidR="00BC7F66" w:rsidRDefault="00BC7F66" w:rsidP="00715914">
    <w:pPr>
      <w:rPr>
        <w:sz w:val="20"/>
      </w:rPr>
    </w:pPr>
  </w:p>
  <w:p w14:paraId="3E22DF13" w14:textId="77777777" w:rsidR="00BC7F66" w:rsidRPr="007A1328" w:rsidRDefault="00BC7F66" w:rsidP="00715914">
    <w:pPr>
      <w:rPr>
        <w:sz w:val="20"/>
      </w:rPr>
    </w:pPr>
  </w:p>
  <w:p w14:paraId="5AD4B0DF" w14:textId="77777777" w:rsidR="00BC7F66" w:rsidRPr="007A1328" w:rsidRDefault="00BC7F66" w:rsidP="00715914">
    <w:pPr>
      <w:rPr>
        <w:b/>
        <w:sz w:val="24"/>
      </w:rPr>
    </w:pPr>
  </w:p>
  <w:p w14:paraId="2C92341A" w14:textId="77777777" w:rsidR="00BC7F66" w:rsidRPr="007A1328" w:rsidRDefault="00BC7F66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ADB22" w14:textId="77777777" w:rsidR="00BC7F66" w:rsidRPr="007A1328" w:rsidRDefault="00BC7F66" w:rsidP="00715914">
    <w:pPr>
      <w:jc w:val="right"/>
      <w:rPr>
        <w:sz w:val="20"/>
      </w:rPr>
    </w:pPr>
  </w:p>
  <w:p w14:paraId="150571E8" w14:textId="77777777" w:rsidR="00BC7F66" w:rsidRPr="007A1328" w:rsidRDefault="00BC7F66" w:rsidP="00715914">
    <w:pPr>
      <w:jc w:val="right"/>
      <w:rPr>
        <w:sz w:val="20"/>
      </w:rPr>
    </w:pPr>
  </w:p>
  <w:p w14:paraId="0CEFA0DC" w14:textId="77777777" w:rsidR="00BC7F66" w:rsidRPr="007A1328" w:rsidRDefault="00BC7F66" w:rsidP="00715914">
    <w:pPr>
      <w:jc w:val="right"/>
      <w:rPr>
        <w:sz w:val="20"/>
      </w:rPr>
    </w:pPr>
  </w:p>
  <w:p w14:paraId="5FFAC7A6" w14:textId="77777777" w:rsidR="00BC7F66" w:rsidRPr="007A1328" w:rsidRDefault="00BC7F66" w:rsidP="00715914">
    <w:pPr>
      <w:jc w:val="right"/>
      <w:rPr>
        <w:b/>
        <w:sz w:val="24"/>
      </w:rPr>
    </w:pPr>
  </w:p>
  <w:p w14:paraId="32CA2032" w14:textId="77777777" w:rsidR="00BC7F66" w:rsidRPr="007A1328" w:rsidRDefault="00BC7F66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53F4A"/>
    <w:multiLevelType w:val="hybridMultilevel"/>
    <w:tmpl w:val="017C4612"/>
    <w:lvl w:ilvl="0" w:tplc="AF943426">
      <w:start w:val="1"/>
      <w:numFmt w:val="lowerLetter"/>
      <w:lvlText w:val="(%1)"/>
      <w:lvlJc w:val="left"/>
      <w:pPr>
        <w:ind w:left="153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2250" w:hanging="360"/>
      </w:pPr>
    </w:lvl>
    <w:lvl w:ilvl="2" w:tplc="0C09001B" w:tentative="1">
      <w:start w:val="1"/>
      <w:numFmt w:val="lowerRoman"/>
      <w:lvlText w:val="%3."/>
      <w:lvlJc w:val="right"/>
      <w:pPr>
        <w:ind w:left="2970" w:hanging="180"/>
      </w:pPr>
    </w:lvl>
    <w:lvl w:ilvl="3" w:tplc="0C09000F" w:tentative="1">
      <w:start w:val="1"/>
      <w:numFmt w:val="decimal"/>
      <w:lvlText w:val="%4."/>
      <w:lvlJc w:val="left"/>
      <w:pPr>
        <w:ind w:left="3690" w:hanging="360"/>
      </w:pPr>
    </w:lvl>
    <w:lvl w:ilvl="4" w:tplc="0C090019" w:tentative="1">
      <w:start w:val="1"/>
      <w:numFmt w:val="lowerLetter"/>
      <w:lvlText w:val="%5."/>
      <w:lvlJc w:val="left"/>
      <w:pPr>
        <w:ind w:left="4410" w:hanging="360"/>
      </w:pPr>
    </w:lvl>
    <w:lvl w:ilvl="5" w:tplc="0C09001B" w:tentative="1">
      <w:start w:val="1"/>
      <w:numFmt w:val="lowerRoman"/>
      <w:lvlText w:val="%6."/>
      <w:lvlJc w:val="right"/>
      <w:pPr>
        <w:ind w:left="5130" w:hanging="180"/>
      </w:pPr>
    </w:lvl>
    <w:lvl w:ilvl="6" w:tplc="0C09000F" w:tentative="1">
      <w:start w:val="1"/>
      <w:numFmt w:val="decimal"/>
      <w:lvlText w:val="%7."/>
      <w:lvlJc w:val="left"/>
      <w:pPr>
        <w:ind w:left="5850" w:hanging="360"/>
      </w:pPr>
    </w:lvl>
    <w:lvl w:ilvl="7" w:tplc="0C090019" w:tentative="1">
      <w:start w:val="1"/>
      <w:numFmt w:val="lowerLetter"/>
      <w:lvlText w:val="%8."/>
      <w:lvlJc w:val="left"/>
      <w:pPr>
        <w:ind w:left="6570" w:hanging="360"/>
      </w:pPr>
    </w:lvl>
    <w:lvl w:ilvl="8" w:tplc="0C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95E3737"/>
    <w:multiLevelType w:val="hybridMultilevel"/>
    <w:tmpl w:val="B27E1C00"/>
    <w:lvl w:ilvl="0" w:tplc="759EC80A">
      <w:start w:val="1"/>
      <w:numFmt w:val="decimal"/>
      <w:lvlText w:val="(%1)"/>
      <w:lvlJc w:val="left"/>
      <w:pPr>
        <w:ind w:left="1133" w:hanging="37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38" w:hanging="360"/>
      </w:pPr>
    </w:lvl>
    <w:lvl w:ilvl="2" w:tplc="0C09001B" w:tentative="1">
      <w:start w:val="1"/>
      <w:numFmt w:val="lowerRoman"/>
      <w:lvlText w:val="%3."/>
      <w:lvlJc w:val="right"/>
      <w:pPr>
        <w:ind w:left="2558" w:hanging="180"/>
      </w:pPr>
    </w:lvl>
    <w:lvl w:ilvl="3" w:tplc="0C09000F" w:tentative="1">
      <w:start w:val="1"/>
      <w:numFmt w:val="decimal"/>
      <w:lvlText w:val="%4."/>
      <w:lvlJc w:val="left"/>
      <w:pPr>
        <w:ind w:left="3278" w:hanging="360"/>
      </w:pPr>
    </w:lvl>
    <w:lvl w:ilvl="4" w:tplc="0C090019" w:tentative="1">
      <w:start w:val="1"/>
      <w:numFmt w:val="lowerLetter"/>
      <w:lvlText w:val="%5."/>
      <w:lvlJc w:val="left"/>
      <w:pPr>
        <w:ind w:left="3998" w:hanging="360"/>
      </w:pPr>
    </w:lvl>
    <w:lvl w:ilvl="5" w:tplc="0C09001B" w:tentative="1">
      <w:start w:val="1"/>
      <w:numFmt w:val="lowerRoman"/>
      <w:lvlText w:val="%6."/>
      <w:lvlJc w:val="right"/>
      <w:pPr>
        <w:ind w:left="4718" w:hanging="180"/>
      </w:pPr>
    </w:lvl>
    <w:lvl w:ilvl="6" w:tplc="0C09000F" w:tentative="1">
      <w:start w:val="1"/>
      <w:numFmt w:val="decimal"/>
      <w:lvlText w:val="%7."/>
      <w:lvlJc w:val="left"/>
      <w:pPr>
        <w:ind w:left="5438" w:hanging="360"/>
      </w:pPr>
    </w:lvl>
    <w:lvl w:ilvl="7" w:tplc="0C090019" w:tentative="1">
      <w:start w:val="1"/>
      <w:numFmt w:val="lowerLetter"/>
      <w:lvlText w:val="%8."/>
      <w:lvlJc w:val="left"/>
      <w:pPr>
        <w:ind w:left="6158" w:hanging="360"/>
      </w:pPr>
    </w:lvl>
    <w:lvl w:ilvl="8" w:tplc="0C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08B64C8"/>
    <w:multiLevelType w:val="hybridMultilevel"/>
    <w:tmpl w:val="1B5297CC"/>
    <w:lvl w:ilvl="0" w:tplc="AF943426">
      <w:start w:val="1"/>
      <w:numFmt w:val="lowerLetter"/>
      <w:lvlText w:val="(%1)"/>
      <w:lvlJc w:val="left"/>
      <w:pPr>
        <w:ind w:left="1530" w:hanging="360"/>
      </w:pPr>
      <w:rPr>
        <w:rFonts w:hint="default"/>
      </w:rPr>
    </w:lvl>
    <w:lvl w:ilvl="1" w:tplc="8A58B804">
      <w:start w:val="1"/>
      <w:numFmt w:val="lowerRoman"/>
      <w:lvlText w:val="(%2)"/>
      <w:lvlJc w:val="right"/>
      <w:pPr>
        <w:ind w:left="225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970" w:hanging="180"/>
      </w:pPr>
    </w:lvl>
    <w:lvl w:ilvl="3" w:tplc="0C09000F" w:tentative="1">
      <w:start w:val="1"/>
      <w:numFmt w:val="decimal"/>
      <w:lvlText w:val="%4."/>
      <w:lvlJc w:val="left"/>
      <w:pPr>
        <w:ind w:left="3690" w:hanging="360"/>
      </w:pPr>
    </w:lvl>
    <w:lvl w:ilvl="4" w:tplc="0C090019" w:tentative="1">
      <w:start w:val="1"/>
      <w:numFmt w:val="lowerLetter"/>
      <w:lvlText w:val="%5."/>
      <w:lvlJc w:val="left"/>
      <w:pPr>
        <w:ind w:left="4410" w:hanging="360"/>
      </w:pPr>
    </w:lvl>
    <w:lvl w:ilvl="5" w:tplc="0C09001B" w:tentative="1">
      <w:start w:val="1"/>
      <w:numFmt w:val="lowerRoman"/>
      <w:lvlText w:val="%6."/>
      <w:lvlJc w:val="right"/>
      <w:pPr>
        <w:ind w:left="5130" w:hanging="180"/>
      </w:pPr>
    </w:lvl>
    <w:lvl w:ilvl="6" w:tplc="0C09000F" w:tentative="1">
      <w:start w:val="1"/>
      <w:numFmt w:val="decimal"/>
      <w:lvlText w:val="%7."/>
      <w:lvlJc w:val="left"/>
      <w:pPr>
        <w:ind w:left="5850" w:hanging="360"/>
      </w:pPr>
    </w:lvl>
    <w:lvl w:ilvl="7" w:tplc="0C090019" w:tentative="1">
      <w:start w:val="1"/>
      <w:numFmt w:val="lowerLetter"/>
      <w:lvlText w:val="%8."/>
      <w:lvlJc w:val="left"/>
      <w:pPr>
        <w:ind w:left="6570" w:hanging="360"/>
      </w:pPr>
    </w:lvl>
    <w:lvl w:ilvl="8" w:tplc="0C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1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FD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0F6309"/>
    <w:rsid w:val="001012C9"/>
    <w:rsid w:val="00103B82"/>
    <w:rsid w:val="0010745C"/>
    <w:rsid w:val="0011392D"/>
    <w:rsid w:val="00132CEB"/>
    <w:rsid w:val="001339B0"/>
    <w:rsid w:val="00142B62"/>
    <w:rsid w:val="001441B7"/>
    <w:rsid w:val="00145F7D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6C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090C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2E3AE6"/>
    <w:rsid w:val="00304F8B"/>
    <w:rsid w:val="00325A6F"/>
    <w:rsid w:val="00335BC6"/>
    <w:rsid w:val="003415D3"/>
    <w:rsid w:val="00344338"/>
    <w:rsid w:val="00344701"/>
    <w:rsid w:val="00352B0F"/>
    <w:rsid w:val="00360459"/>
    <w:rsid w:val="003767E2"/>
    <w:rsid w:val="0038049F"/>
    <w:rsid w:val="003C6231"/>
    <w:rsid w:val="003D0BFE"/>
    <w:rsid w:val="003D5700"/>
    <w:rsid w:val="003E341B"/>
    <w:rsid w:val="003E4D00"/>
    <w:rsid w:val="004037D6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5CBC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0962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35B19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1A97"/>
    <w:rsid w:val="007C2253"/>
    <w:rsid w:val="007D2BDA"/>
    <w:rsid w:val="007D7911"/>
    <w:rsid w:val="007E163D"/>
    <w:rsid w:val="007E4EF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10C4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05D9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12128"/>
    <w:rsid w:val="00A22C98"/>
    <w:rsid w:val="00A231E2"/>
    <w:rsid w:val="00A351C4"/>
    <w:rsid w:val="00A369E3"/>
    <w:rsid w:val="00A57600"/>
    <w:rsid w:val="00A64912"/>
    <w:rsid w:val="00A70A74"/>
    <w:rsid w:val="00A75FE9"/>
    <w:rsid w:val="00AB51E7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86AFA"/>
    <w:rsid w:val="00B93124"/>
    <w:rsid w:val="00BA220B"/>
    <w:rsid w:val="00BA3A57"/>
    <w:rsid w:val="00BB1533"/>
    <w:rsid w:val="00BB4E1A"/>
    <w:rsid w:val="00BC015E"/>
    <w:rsid w:val="00BC76AC"/>
    <w:rsid w:val="00BC7F66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6165E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3B0A"/>
    <w:rsid w:val="00D752AC"/>
    <w:rsid w:val="00D75F0C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000B"/>
    <w:rsid w:val="00DF2388"/>
    <w:rsid w:val="00E05704"/>
    <w:rsid w:val="00E338EF"/>
    <w:rsid w:val="00E46285"/>
    <w:rsid w:val="00E544BB"/>
    <w:rsid w:val="00E74DC7"/>
    <w:rsid w:val="00E8075A"/>
    <w:rsid w:val="00E940D8"/>
    <w:rsid w:val="00E94D5E"/>
    <w:rsid w:val="00EA7100"/>
    <w:rsid w:val="00EA7F9F"/>
    <w:rsid w:val="00EB1274"/>
    <w:rsid w:val="00EC7D20"/>
    <w:rsid w:val="00ED2BB6"/>
    <w:rsid w:val="00ED34E1"/>
    <w:rsid w:val="00ED3B8D"/>
    <w:rsid w:val="00EE5E36"/>
    <w:rsid w:val="00EF2E3A"/>
    <w:rsid w:val="00F02C7C"/>
    <w:rsid w:val="00F072A7"/>
    <w:rsid w:val="00F078DC"/>
    <w:rsid w:val="00F07F6B"/>
    <w:rsid w:val="00F32BA8"/>
    <w:rsid w:val="00F32EE0"/>
    <w:rsid w:val="00F349F1"/>
    <w:rsid w:val="00F360E7"/>
    <w:rsid w:val="00F4350D"/>
    <w:rsid w:val="00F479C4"/>
    <w:rsid w:val="00F567F7"/>
    <w:rsid w:val="00F6696E"/>
    <w:rsid w:val="00F73BD6"/>
    <w:rsid w:val="00F7460F"/>
    <w:rsid w:val="00F83989"/>
    <w:rsid w:val="00F85099"/>
    <w:rsid w:val="00F9379C"/>
    <w:rsid w:val="00F9632C"/>
    <w:rsid w:val="00F97C48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E12D772"/>
  <w15:docId w15:val="{8B273588-CE86-4EB8-BCB6-7AE6D5F3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BC7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F6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F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F66"/>
    <w:rPr>
      <w:b/>
      <w:bCs/>
    </w:rPr>
  </w:style>
  <w:style w:type="paragraph" w:styleId="ListParagraph">
    <w:name w:val="List Paragraph"/>
    <w:basedOn w:val="Normal"/>
    <w:uiPriority w:val="34"/>
    <w:qFormat/>
    <w:rsid w:val="00103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iordan\Downloads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D553A-692E-4880-8CB2-F985FAFB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</Template>
  <TotalTime>1074</TotalTime>
  <Pages>6</Pages>
  <Words>702</Words>
  <Characters>4003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Riordan, Nicholas</dc:creator>
  <cp:lastModifiedBy>Mian, Haseeb</cp:lastModifiedBy>
  <cp:revision>2</cp:revision>
  <dcterms:created xsi:type="dcterms:W3CDTF">2021-07-14T00:21:00Z</dcterms:created>
  <dcterms:modified xsi:type="dcterms:W3CDTF">2021-07-14T00:21:00Z</dcterms:modified>
</cp:coreProperties>
</file>