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B" w14:textId="77777777" w:rsidR="00670C8D" w:rsidRPr="008C4D9C" w:rsidRDefault="00670C8D" w:rsidP="006907A9">
      <w:pPr>
        <w:pStyle w:val="Heading1"/>
        <w:spacing w:before="0" w:after="0" w:line="240" w:lineRule="auto"/>
        <w:rPr>
          <w:rFonts w:ascii="Times New Roman" w:hAnsi="Times New Roman"/>
          <w:b/>
          <w:color w:val="FF0000"/>
          <w:sz w:val="22"/>
          <w:szCs w:val="22"/>
          <w:u w:val="single"/>
        </w:rPr>
      </w:pPr>
    </w:p>
    <w:p w14:paraId="23422323" w14:textId="2065B61E" w:rsidR="00115802" w:rsidRDefault="00115802" w:rsidP="00517365">
      <w:pPr>
        <w:pStyle w:val="Heading1"/>
        <w:spacing w:before="0" w:after="0" w:line="240" w:lineRule="auto"/>
        <w:jc w:val="center"/>
        <w:rPr>
          <w:rFonts w:ascii="Times New Roman" w:hAnsi="Times New Roman"/>
          <w:b/>
          <w:sz w:val="22"/>
          <w:szCs w:val="22"/>
          <w:u w:val="single"/>
        </w:rPr>
      </w:pPr>
      <w:r>
        <w:rPr>
          <w:rFonts w:ascii="Times New Roman" w:hAnsi="Times New Roman"/>
          <w:b/>
          <w:sz w:val="22"/>
          <w:szCs w:val="22"/>
          <w:u w:val="single"/>
        </w:rPr>
        <w:t>FOREIGN EVIDENCE (APPLICATION OF AMENDMENTS)</w:t>
      </w:r>
      <w:r w:rsidR="003E2174">
        <w:rPr>
          <w:rFonts w:ascii="Times New Roman" w:hAnsi="Times New Roman"/>
          <w:b/>
          <w:sz w:val="22"/>
          <w:szCs w:val="22"/>
          <w:u w:val="single"/>
        </w:rPr>
        <w:t xml:space="preserve"> regulations 2021</w:t>
      </w:r>
    </w:p>
    <w:p w14:paraId="3B4ABFBF" w14:textId="77777777" w:rsidR="00115802" w:rsidRPr="00115802" w:rsidRDefault="00115802" w:rsidP="00115802"/>
    <w:p w14:paraId="09BFDCCE" w14:textId="3389CA48" w:rsidR="002B361E" w:rsidRPr="008C4D9C" w:rsidRDefault="002B361E" w:rsidP="00517365">
      <w:pPr>
        <w:pStyle w:val="Heading1"/>
        <w:spacing w:before="0" w:after="0" w:line="240" w:lineRule="auto"/>
        <w:jc w:val="center"/>
        <w:rPr>
          <w:rFonts w:ascii="Times New Roman" w:hAnsi="Times New Roman"/>
          <w:caps w:val="0"/>
          <w:color w:val="FF0000"/>
          <w:sz w:val="22"/>
          <w:szCs w:val="22"/>
        </w:rPr>
      </w:pPr>
      <w:r w:rsidRPr="008C4D9C">
        <w:rPr>
          <w:rFonts w:ascii="Times New Roman" w:hAnsi="Times New Roman"/>
          <w:b/>
          <w:sz w:val="22"/>
          <w:szCs w:val="22"/>
          <w:u w:val="single"/>
        </w:rPr>
        <w:t>EXPLANATORY STATEMENT</w:t>
      </w:r>
      <w:r w:rsidR="00670C8D" w:rsidRPr="008C4D9C">
        <w:rPr>
          <w:rFonts w:ascii="Times New Roman" w:hAnsi="Times New Roman"/>
          <w:b/>
          <w:sz w:val="22"/>
          <w:szCs w:val="22"/>
          <w:u w:val="single"/>
        </w:rPr>
        <w:t xml:space="preserve"> </w:t>
      </w:r>
      <w:r w:rsidR="00012AD6" w:rsidRPr="008C4D9C">
        <w:rPr>
          <w:rFonts w:ascii="Times New Roman" w:hAnsi="Times New Roman"/>
          <w:b/>
          <w:sz w:val="22"/>
          <w:szCs w:val="22"/>
          <w:u w:val="single"/>
        </w:rPr>
        <w:br/>
      </w:r>
    </w:p>
    <w:p w14:paraId="09BFDCCF" w14:textId="2C05A1F6" w:rsidR="005D194A" w:rsidRDefault="00E23B2F" w:rsidP="00CF14E3">
      <w:pPr>
        <w:spacing w:line="360" w:lineRule="auto"/>
        <w:jc w:val="center"/>
        <w:rPr>
          <w:rFonts w:ascii="Times New Roman" w:hAnsi="Times New Roman" w:cs="Times New Roman"/>
        </w:rPr>
      </w:pPr>
      <w:r w:rsidRPr="008C4D9C">
        <w:rPr>
          <w:rFonts w:ascii="Times New Roman" w:hAnsi="Times New Roman" w:cs="Times New Roman"/>
        </w:rPr>
        <w:t>Issued by a</w:t>
      </w:r>
      <w:r w:rsidR="00B53014">
        <w:rPr>
          <w:rFonts w:ascii="Times New Roman" w:hAnsi="Times New Roman" w:cs="Times New Roman"/>
        </w:rPr>
        <w:t xml:space="preserve">uthority of the </w:t>
      </w:r>
      <w:r w:rsidR="003F7AE1">
        <w:rPr>
          <w:rFonts w:ascii="Times New Roman" w:hAnsi="Times New Roman" w:cs="Times New Roman"/>
        </w:rPr>
        <w:t>Attorney-General</w:t>
      </w:r>
    </w:p>
    <w:p w14:paraId="026F5860" w14:textId="6DCD9089" w:rsidR="006907A9" w:rsidRDefault="00A607D0" w:rsidP="00A607D0">
      <w:pPr>
        <w:spacing w:line="360" w:lineRule="auto"/>
        <w:jc w:val="center"/>
        <w:rPr>
          <w:rFonts w:ascii="Times New Roman" w:hAnsi="Times New Roman" w:cs="Times New Roman"/>
          <w:i/>
        </w:rPr>
      </w:pPr>
      <w:r>
        <w:rPr>
          <w:rFonts w:ascii="Times New Roman" w:hAnsi="Times New Roman" w:cs="Times New Roman"/>
        </w:rPr>
        <w:t xml:space="preserve">under </w:t>
      </w:r>
      <w:r w:rsidR="0053489C">
        <w:rPr>
          <w:rFonts w:ascii="Times New Roman" w:hAnsi="Times New Roman" w:cs="Times New Roman"/>
        </w:rPr>
        <w:t xml:space="preserve">sub-item 19(3), Schedule 1, </w:t>
      </w:r>
      <w:r>
        <w:rPr>
          <w:rFonts w:ascii="Times New Roman" w:hAnsi="Times New Roman" w:cs="Times New Roman"/>
        </w:rPr>
        <w:t xml:space="preserve">of the </w:t>
      </w:r>
      <w:r w:rsidR="008844E4">
        <w:rPr>
          <w:rFonts w:ascii="Times New Roman" w:hAnsi="Times New Roman" w:cs="Times New Roman"/>
          <w:i/>
        </w:rPr>
        <w:t xml:space="preserve">Foreign Evidence Amendment </w:t>
      </w:r>
      <w:r w:rsidR="006907A9" w:rsidRPr="006907A9">
        <w:rPr>
          <w:rFonts w:ascii="Times New Roman" w:hAnsi="Times New Roman" w:cs="Times New Roman"/>
          <w:i/>
        </w:rPr>
        <w:t xml:space="preserve">Act </w:t>
      </w:r>
      <w:r w:rsidR="008844E4">
        <w:rPr>
          <w:rFonts w:ascii="Times New Roman" w:hAnsi="Times New Roman" w:cs="Times New Roman"/>
          <w:i/>
        </w:rPr>
        <w:t>2010</w:t>
      </w:r>
    </w:p>
    <w:p w14:paraId="37C765D0" w14:textId="77777777" w:rsidR="00357F9B" w:rsidRPr="00A607D0" w:rsidRDefault="00357F9B" w:rsidP="00A607D0">
      <w:pPr>
        <w:spacing w:line="360" w:lineRule="auto"/>
        <w:jc w:val="center"/>
        <w:rPr>
          <w:rFonts w:ascii="Times New Roman" w:hAnsi="Times New Roman" w:cs="Times New Roman"/>
          <w:i/>
        </w:rPr>
      </w:pPr>
    </w:p>
    <w:p w14:paraId="0C603869" w14:textId="359D7305" w:rsidR="00A607D0" w:rsidRPr="00A607D0" w:rsidRDefault="00A607D0" w:rsidP="00343ACE">
      <w:pPr>
        <w:spacing w:before="120" w:after="120" w:line="360" w:lineRule="auto"/>
        <w:rPr>
          <w:rFonts w:ascii="Times New Roman" w:eastAsia="Calibri" w:hAnsi="Times New Roman" w:cs="Times New Roman"/>
          <w:b/>
        </w:rPr>
      </w:pPr>
      <w:r w:rsidRPr="00A607D0">
        <w:rPr>
          <w:rFonts w:ascii="Times New Roman" w:eastAsia="Calibri" w:hAnsi="Times New Roman" w:cs="Times New Roman"/>
          <w:b/>
        </w:rPr>
        <w:t>PURPOSE AND OPERATION OF THE INSTRUMENT</w:t>
      </w:r>
    </w:p>
    <w:p w14:paraId="2020DBBE" w14:textId="71EB1B42" w:rsidR="00424D91" w:rsidRDefault="00424D91" w:rsidP="00343ACE">
      <w:pPr>
        <w:spacing w:before="120" w:after="120" w:line="360" w:lineRule="auto"/>
        <w:rPr>
          <w:rFonts w:ascii="Times New Roman" w:eastAsia="Calibri" w:hAnsi="Times New Roman" w:cs="Times New Roman"/>
        </w:rPr>
      </w:pPr>
      <w:r>
        <w:rPr>
          <w:rFonts w:ascii="Times New Roman" w:eastAsia="Calibri" w:hAnsi="Times New Roman" w:cs="Times New Roman"/>
        </w:rPr>
        <w:t>The Foreign Evidence (Application of Amendments) Regulations 2021 (the Regulations) replace the Foreign Evidence (Application of Amendments) Regulations 2021</w:t>
      </w:r>
      <w:r w:rsidR="00AC1D42">
        <w:rPr>
          <w:rFonts w:ascii="Times New Roman" w:eastAsia="Calibri" w:hAnsi="Times New Roman" w:cs="Times New Roman"/>
        </w:rPr>
        <w:t xml:space="preserve"> (the sunsetting Regulations)</w:t>
      </w:r>
      <w:r>
        <w:rPr>
          <w:rFonts w:ascii="Times New Roman" w:eastAsia="Calibri" w:hAnsi="Times New Roman" w:cs="Times New Roman"/>
        </w:rPr>
        <w:t>, which sunset on 1 October 2021.</w:t>
      </w:r>
    </w:p>
    <w:p w14:paraId="5CF49E7E" w14:textId="757C19F9" w:rsidR="00B83708" w:rsidRDefault="00B83708" w:rsidP="00B83708">
      <w:pPr>
        <w:spacing w:before="120" w:after="120" w:line="360" w:lineRule="auto"/>
        <w:rPr>
          <w:rFonts w:ascii="Times New Roman" w:eastAsia="Calibri" w:hAnsi="Times New Roman" w:cs="Times New Roman"/>
        </w:rPr>
      </w:pPr>
      <w:r w:rsidRPr="00B20E8E">
        <w:rPr>
          <w:rFonts w:ascii="Times New Roman" w:eastAsia="Calibri" w:hAnsi="Times New Roman" w:cs="Times New Roman"/>
        </w:rPr>
        <w:t xml:space="preserve">The </w:t>
      </w:r>
      <w:r w:rsidRPr="00B20E8E">
        <w:rPr>
          <w:rFonts w:ascii="Times New Roman" w:eastAsia="Calibri" w:hAnsi="Times New Roman" w:cs="Times New Roman"/>
          <w:i/>
        </w:rPr>
        <w:t>Foreign Evidence Amendment Act 2010</w:t>
      </w:r>
      <w:r w:rsidRPr="00B20E8E">
        <w:rPr>
          <w:rFonts w:ascii="Times New Roman" w:eastAsia="Calibri" w:hAnsi="Times New Roman" w:cs="Times New Roman"/>
        </w:rPr>
        <w:t xml:space="preserve"> (the Amendment Act) came into force</w:t>
      </w:r>
      <w:r>
        <w:rPr>
          <w:rFonts w:ascii="Times New Roman" w:eastAsia="Calibri" w:hAnsi="Times New Roman" w:cs="Times New Roman"/>
        </w:rPr>
        <w:t xml:space="preserve"> on 4 June 2010 and made the </w:t>
      </w:r>
      <w:r w:rsidRPr="00B20E8E">
        <w:rPr>
          <w:rFonts w:ascii="Times New Roman" w:eastAsia="Calibri" w:hAnsi="Times New Roman" w:cs="Times New Roman"/>
        </w:rPr>
        <w:t xml:space="preserve">amendments to the </w:t>
      </w:r>
      <w:r w:rsidRPr="00B83708">
        <w:rPr>
          <w:rFonts w:ascii="Times New Roman" w:eastAsia="Calibri" w:hAnsi="Times New Roman" w:cs="Times New Roman"/>
          <w:i/>
        </w:rPr>
        <w:t xml:space="preserve">Foreign Evidence </w:t>
      </w:r>
      <w:r w:rsidRPr="00B83708">
        <w:rPr>
          <w:rFonts w:ascii="Times New Roman" w:eastAsia="Calibri" w:hAnsi="Times New Roman" w:cs="Times New Roman"/>
          <w:i/>
        </w:rPr>
        <w:t xml:space="preserve">Act </w:t>
      </w:r>
      <w:r w:rsidRPr="00B83708">
        <w:rPr>
          <w:rFonts w:ascii="Times New Roman" w:eastAsia="Calibri" w:hAnsi="Times New Roman" w:cs="Times New Roman"/>
          <w:i/>
        </w:rPr>
        <w:t>1994</w:t>
      </w:r>
      <w:r>
        <w:rPr>
          <w:rFonts w:ascii="Times New Roman" w:eastAsia="Calibri" w:hAnsi="Times New Roman" w:cs="Times New Roman"/>
        </w:rPr>
        <w:t xml:space="preserve"> (the Act) </w:t>
      </w:r>
      <w:r w:rsidRPr="00B20E8E">
        <w:rPr>
          <w:rFonts w:ascii="Times New Roman" w:eastAsia="Calibri" w:hAnsi="Times New Roman" w:cs="Times New Roman"/>
        </w:rPr>
        <w:t>relating to requirements for testimony in legal proceeding</w:t>
      </w:r>
      <w:r>
        <w:rPr>
          <w:rFonts w:ascii="Times New Roman" w:eastAsia="Calibri" w:hAnsi="Times New Roman" w:cs="Times New Roman"/>
        </w:rPr>
        <w:t>s. In particular, the amendments:</w:t>
      </w:r>
    </w:p>
    <w:p w14:paraId="2F71359F" w14:textId="77777777" w:rsidR="00B83708" w:rsidRPr="00357F9B" w:rsidRDefault="00B83708" w:rsidP="00B83708">
      <w:pPr>
        <w:numPr>
          <w:ilvl w:val="0"/>
          <w:numId w:val="19"/>
        </w:numPr>
        <w:spacing w:after="160" w:line="360" w:lineRule="auto"/>
        <w:contextualSpacing/>
        <w:rPr>
          <w:rFonts w:ascii="Times New Roman" w:eastAsia="Times New Roman" w:hAnsi="Times New Roman" w:cs="Times New Roman"/>
          <w:lang w:eastAsia="en-AU"/>
        </w:rPr>
      </w:pPr>
      <w:r w:rsidRPr="00357F9B">
        <w:rPr>
          <w:rFonts w:ascii="Times New Roman" w:eastAsia="Times New Roman" w:hAnsi="Times New Roman" w:cs="Times New Roman"/>
          <w:lang w:eastAsia="en-AU"/>
        </w:rPr>
        <w:t>clar</w:t>
      </w:r>
      <w:r>
        <w:rPr>
          <w:rFonts w:ascii="Times New Roman" w:eastAsia="Times New Roman" w:hAnsi="Times New Roman" w:cs="Times New Roman"/>
          <w:lang w:eastAsia="en-AU"/>
        </w:rPr>
        <w:t>ified the application of the Act</w:t>
      </w:r>
      <w:r w:rsidRPr="00357F9B">
        <w:rPr>
          <w:rFonts w:ascii="Times New Roman" w:eastAsia="Times New Roman" w:hAnsi="Times New Roman" w:cs="Times New Roman"/>
          <w:lang w:eastAsia="en-AU"/>
        </w:rPr>
        <w:t xml:space="preserve"> to non-conviction based proceeds of crime matters (s</w:t>
      </w:r>
      <w:r>
        <w:rPr>
          <w:rFonts w:ascii="Times New Roman" w:eastAsia="Times New Roman" w:hAnsi="Times New Roman" w:cs="Times New Roman"/>
          <w:lang w:eastAsia="en-AU"/>
        </w:rPr>
        <w:t xml:space="preserve"> </w:t>
      </w:r>
      <w:r w:rsidRPr="00357F9B">
        <w:rPr>
          <w:rFonts w:ascii="Times New Roman" w:eastAsia="Times New Roman" w:hAnsi="Times New Roman" w:cs="Times New Roman"/>
          <w:lang w:eastAsia="en-AU"/>
        </w:rPr>
        <w:t>20)</w:t>
      </w:r>
    </w:p>
    <w:p w14:paraId="2522D32E" w14:textId="77777777" w:rsidR="00B83708" w:rsidRPr="00357F9B" w:rsidRDefault="00B83708" w:rsidP="00B83708">
      <w:pPr>
        <w:numPr>
          <w:ilvl w:val="0"/>
          <w:numId w:val="19"/>
        </w:numPr>
        <w:spacing w:after="160" w:line="360" w:lineRule="auto"/>
        <w:contextualSpacing/>
        <w:rPr>
          <w:rFonts w:ascii="Times New Roman" w:eastAsia="Times New Roman" w:hAnsi="Times New Roman" w:cs="Times New Roman"/>
          <w:lang w:eastAsia="en-AU"/>
        </w:rPr>
      </w:pPr>
      <w:r w:rsidRPr="00357F9B">
        <w:rPr>
          <w:rFonts w:ascii="Times New Roman" w:eastAsia="Times New Roman" w:hAnsi="Times New Roman" w:cs="Times New Roman"/>
          <w:lang w:eastAsia="en-AU"/>
        </w:rPr>
        <w:t>provided that testimony may also be taken under an obligation to tell the truth imposed, whether expressly or implied, by or under a law of the foreign country (s</w:t>
      </w:r>
      <w:r>
        <w:rPr>
          <w:rFonts w:ascii="Times New Roman" w:eastAsia="Times New Roman" w:hAnsi="Times New Roman" w:cs="Times New Roman"/>
          <w:lang w:eastAsia="en-AU"/>
        </w:rPr>
        <w:t xml:space="preserve"> </w:t>
      </w:r>
      <w:r w:rsidRPr="00357F9B">
        <w:rPr>
          <w:rFonts w:ascii="Times New Roman" w:eastAsia="Times New Roman" w:hAnsi="Times New Roman" w:cs="Times New Roman"/>
          <w:lang w:eastAsia="en-AU"/>
        </w:rPr>
        <w:t>22)</w:t>
      </w:r>
    </w:p>
    <w:p w14:paraId="440C4AF3" w14:textId="77777777" w:rsidR="00B83708" w:rsidRPr="00357F9B" w:rsidRDefault="00B83708" w:rsidP="00B83708">
      <w:pPr>
        <w:numPr>
          <w:ilvl w:val="0"/>
          <w:numId w:val="19"/>
        </w:numPr>
        <w:spacing w:after="160" w:line="360" w:lineRule="auto"/>
        <w:contextualSpacing/>
        <w:rPr>
          <w:rFonts w:ascii="Times New Roman" w:eastAsia="Times New Roman" w:hAnsi="Times New Roman" w:cs="Times New Roman"/>
          <w:lang w:eastAsia="en-AU"/>
        </w:rPr>
      </w:pPr>
      <w:r w:rsidRPr="00357F9B">
        <w:rPr>
          <w:rFonts w:ascii="Times New Roman" w:eastAsia="Times New Roman" w:hAnsi="Times New Roman" w:cs="Times New Roman"/>
          <w:lang w:eastAsia="en-AU"/>
        </w:rPr>
        <w:t>modernised references to audio and video tape (s</w:t>
      </w:r>
      <w:r>
        <w:rPr>
          <w:rFonts w:ascii="Times New Roman" w:eastAsia="Times New Roman" w:hAnsi="Times New Roman" w:cs="Times New Roman"/>
          <w:lang w:eastAsia="en-AU"/>
        </w:rPr>
        <w:t xml:space="preserve"> </w:t>
      </w:r>
      <w:r w:rsidRPr="00357F9B">
        <w:rPr>
          <w:rFonts w:ascii="Times New Roman" w:eastAsia="Times New Roman" w:hAnsi="Times New Roman" w:cs="Times New Roman"/>
          <w:lang w:eastAsia="en-AU"/>
        </w:rPr>
        <w:t>23)</w:t>
      </w:r>
    </w:p>
    <w:p w14:paraId="26A431CF" w14:textId="77777777" w:rsidR="00B83708" w:rsidRPr="00357F9B" w:rsidRDefault="00B83708" w:rsidP="00B83708">
      <w:pPr>
        <w:numPr>
          <w:ilvl w:val="0"/>
          <w:numId w:val="19"/>
        </w:numPr>
        <w:spacing w:after="160" w:line="360" w:lineRule="auto"/>
        <w:contextualSpacing/>
        <w:rPr>
          <w:rFonts w:ascii="Times New Roman" w:eastAsia="Times New Roman" w:hAnsi="Times New Roman" w:cs="Times New Roman"/>
          <w:lang w:eastAsia="en-AU"/>
        </w:rPr>
      </w:pPr>
      <w:r w:rsidRPr="00357F9B">
        <w:rPr>
          <w:rFonts w:ascii="Times New Roman" w:eastAsia="Times New Roman" w:hAnsi="Times New Roman" w:cs="Times New Roman"/>
          <w:lang w:eastAsia="en-AU"/>
        </w:rPr>
        <w:t>streamlined the process for adducing foreign material that is a business record by providing that foreign business records can be adduced where they contain hearsay evidence, provided the other evidentiary requirements in the particular jurisdiction are satisfied (s</w:t>
      </w:r>
      <w:r>
        <w:rPr>
          <w:rFonts w:ascii="Times New Roman" w:eastAsia="Times New Roman" w:hAnsi="Times New Roman" w:cs="Times New Roman"/>
          <w:lang w:eastAsia="en-AU"/>
        </w:rPr>
        <w:t xml:space="preserve"> </w:t>
      </w:r>
      <w:r w:rsidRPr="00357F9B">
        <w:rPr>
          <w:rFonts w:ascii="Times New Roman" w:eastAsia="Times New Roman" w:hAnsi="Times New Roman" w:cs="Times New Roman"/>
          <w:lang w:eastAsia="en-AU"/>
        </w:rPr>
        <w:t>24), and</w:t>
      </w:r>
    </w:p>
    <w:p w14:paraId="767A15C0" w14:textId="5B8C9504" w:rsidR="00B83708" w:rsidRDefault="00B83708" w:rsidP="00B83708">
      <w:pPr>
        <w:numPr>
          <w:ilvl w:val="0"/>
          <w:numId w:val="19"/>
        </w:numPr>
        <w:spacing w:after="160" w:line="360" w:lineRule="auto"/>
        <w:contextualSpacing/>
        <w:rPr>
          <w:rFonts w:ascii="Times New Roman" w:eastAsia="Times New Roman" w:hAnsi="Times New Roman" w:cs="Times New Roman"/>
          <w:lang w:eastAsia="en-AU"/>
        </w:rPr>
      </w:pPr>
      <w:r w:rsidRPr="00357F9B">
        <w:rPr>
          <w:rFonts w:ascii="Times New Roman" w:eastAsia="Times New Roman" w:hAnsi="Times New Roman" w:cs="Times New Roman"/>
          <w:lang w:eastAsia="en-AU"/>
        </w:rPr>
        <w:t xml:space="preserve">removed an anomaly whereby the Attorney-General, in certifying that material has been received in response to a request, must also certify that the material is </w:t>
      </w:r>
      <w:r>
        <w:rPr>
          <w:rFonts w:ascii="Times New Roman" w:eastAsia="Times New Roman" w:hAnsi="Times New Roman" w:cs="Times New Roman"/>
          <w:lang w:eastAsia="en-AU"/>
        </w:rPr>
        <w:t>‘testimony’ (s 26; however, this provision</w:t>
      </w:r>
      <w:r w:rsidRPr="00357F9B">
        <w:rPr>
          <w:rFonts w:ascii="Times New Roman" w:eastAsia="Times New Roman" w:hAnsi="Times New Roman" w:cs="Times New Roman"/>
          <w:lang w:eastAsia="en-AU"/>
        </w:rPr>
        <w:t xml:space="preserve"> has been subsequently replaced by further amending legislation which is applicable</w:t>
      </w:r>
      <w:r>
        <w:rPr>
          <w:rFonts w:ascii="Times New Roman" w:eastAsia="Times New Roman" w:hAnsi="Times New Roman" w:cs="Times New Roman"/>
          <w:lang w:eastAsia="en-AU"/>
        </w:rPr>
        <w:t xml:space="preserve"> to all states and t</w:t>
      </w:r>
      <w:r w:rsidRPr="00357F9B">
        <w:rPr>
          <w:rFonts w:ascii="Times New Roman" w:eastAsia="Times New Roman" w:hAnsi="Times New Roman" w:cs="Times New Roman"/>
          <w:lang w:eastAsia="en-AU"/>
        </w:rPr>
        <w:t>erritories</w:t>
      </w:r>
      <w:r>
        <w:rPr>
          <w:rFonts w:ascii="Times New Roman" w:eastAsia="Times New Roman" w:hAnsi="Times New Roman" w:cs="Times New Roman"/>
          <w:lang w:eastAsia="en-AU"/>
        </w:rPr>
        <w:t>)</w:t>
      </w:r>
      <w:r w:rsidRPr="00357F9B">
        <w:rPr>
          <w:rFonts w:ascii="Times New Roman" w:eastAsia="Times New Roman" w:hAnsi="Times New Roman" w:cs="Times New Roman"/>
          <w:lang w:eastAsia="en-AU"/>
        </w:rPr>
        <w:t>.</w:t>
      </w:r>
    </w:p>
    <w:p w14:paraId="4AB40FFE" w14:textId="77777777" w:rsidR="00B83708" w:rsidRDefault="00B83708" w:rsidP="00B83708">
      <w:pPr>
        <w:spacing w:after="160" w:line="360" w:lineRule="auto"/>
        <w:ind w:left="720"/>
        <w:contextualSpacing/>
        <w:rPr>
          <w:rFonts w:ascii="Times New Roman" w:eastAsia="Times New Roman" w:hAnsi="Times New Roman" w:cs="Times New Roman"/>
          <w:lang w:eastAsia="en-AU"/>
        </w:rPr>
      </w:pPr>
    </w:p>
    <w:p w14:paraId="09252D00" w14:textId="468A652F" w:rsidR="00B20E8E" w:rsidRPr="00B20E8E" w:rsidRDefault="00B83708" w:rsidP="00343ACE">
      <w:pPr>
        <w:spacing w:before="120" w:after="120" w:line="360" w:lineRule="auto"/>
        <w:rPr>
          <w:rFonts w:ascii="Times New Roman" w:eastAsia="Calibri" w:hAnsi="Times New Roman" w:cs="Times New Roman"/>
          <w:b/>
        </w:rPr>
      </w:pPr>
      <w:r>
        <w:rPr>
          <w:rFonts w:ascii="Times New Roman" w:eastAsia="Calibri" w:hAnsi="Times New Roman" w:cs="Times New Roman"/>
        </w:rPr>
        <w:t xml:space="preserve">The Act </w:t>
      </w:r>
      <w:r w:rsidR="00B20E8E" w:rsidRPr="00B20E8E">
        <w:rPr>
          <w:rFonts w:ascii="Times New Roman" w:eastAsia="Calibri" w:hAnsi="Times New Roman" w:cs="Times New Roman"/>
        </w:rPr>
        <w:t xml:space="preserve">enables evidence collection in overseas countries to </w:t>
      </w:r>
      <w:r w:rsidR="008C6FEC">
        <w:rPr>
          <w:rFonts w:ascii="Times New Roman" w:eastAsia="Calibri" w:hAnsi="Times New Roman" w:cs="Times New Roman"/>
        </w:rPr>
        <w:t xml:space="preserve">be used in an Australian court. </w:t>
      </w:r>
      <w:r w:rsidR="00B20E8E" w:rsidRPr="00B20E8E">
        <w:rPr>
          <w:rFonts w:ascii="Times New Roman" w:eastAsia="Calibri" w:hAnsi="Times New Roman" w:cs="Times New Roman"/>
        </w:rPr>
        <w:t>Part 3 of the Act provides a means of adducing foreign material, obtained in response to a request by the Attorney-General to a foreign country, as evidence in certain proceedings in Australian courts.</w:t>
      </w:r>
    </w:p>
    <w:p w14:paraId="51E004D8" w14:textId="78394AB7" w:rsidR="00243C52" w:rsidRPr="00B83708" w:rsidRDefault="00B20E8E" w:rsidP="00B83708">
      <w:pPr>
        <w:spacing w:before="120" w:after="120" w:line="360" w:lineRule="auto"/>
        <w:rPr>
          <w:rFonts w:ascii="Times New Roman" w:eastAsia="Calibri" w:hAnsi="Times New Roman" w:cs="Times New Roman"/>
          <w:color w:val="000000" w:themeColor="text1"/>
        </w:rPr>
      </w:pPr>
      <w:r w:rsidRPr="00B20E8E">
        <w:rPr>
          <w:rFonts w:ascii="Times New Roman" w:eastAsia="Calibri" w:hAnsi="Times New Roman" w:cs="Times New Roman"/>
          <w:color w:val="000000" w:themeColor="text1"/>
        </w:rPr>
        <w:t xml:space="preserve">Section 20(2) of the Act provides that Part 3 of the Act may apply to criminal proceedings, related civil proceedings, and proceeds of crime proceedings that take place under the jurisdiction of a </w:t>
      </w:r>
      <w:r w:rsidR="00394A36">
        <w:rPr>
          <w:rFonts w:ascii="Times New Roman" w:eastAsia="Calibri" w:hAnsi="Times New Roman" w:cs="Times New Roman"/>
          <w:color w:val="000000" w:themeColor="text1"/>
        </w:rPr>
        <w:t>court in any state or t</w:t>
      </w:r>
      <w:r w:rsidRPr="00B20E8E">
        <w:rPr>
          <w:rFonts w:ascii="Times New Roman" w:eastAsia="Calibri" w:hAnsi="Times New Roman" w:cs="Times New Roman"/>
          <w:color w:val="000000" w:themeColor="text1"/>
        </w:rPr>
        <w:t>erritory specified in regulations.</w:t>
      </w:r>
      <w:r w:rsidR="009C27E8">
        <w:rPr>
          <w:rFonts w:ascii="Times New Roman" w:eastAsia="Calibri" w:hAnsi="Times New Roman" w:cs="Times New Roman"/>
          <w:color w:val="000000" w:themeColor="text1"/>
        </w:rPr>
        <w:t xml:space="preserve"> </w:t>
      </w:r>
      <w:r w:rsidR="00394A36">
        <w:rPr>
          <w:rFonts w:ascii="Times New Roman" w:eastAsia="Calibri" w:hAnsi="Times New Roman" w:cs="Times New Roman"/>
        </w:rPr>
        <w:t>Pursuant to reg</w:t>
      </w:r>
      <w:r w:rsidR="00786275">
        <w:rPr>
          <w:rFonts w:ascii="Times New Roman" w:eastAsia="Calibri" w:hAnsi="Times New Roman" w:cs="Times New Roman"/>
        </w:rPr>
        <w:t>ulation</w:t>
      </w:r>
      <w:r w:rsidRPr="00B20E8E">
        <w:rPr>
          <w:rFonts w:ascii="Times New Roman" w:eastAsia="Calibri" w:hAnsi="Times New Roman" w:cs="Times New Roman"/>
        </w:rPr>
        <w:t xml:space="preserve"> 6(1) of the Foreign Evidence (Foreign Material—Criminal and Related Civil Proceedings)</w:t>
      </w:r>
      <w:r w:rsidR="00394A36">
        <w:rPr>
          <w:rFonts w:ascii="Times New Roman" w:eastAsia="Calibri" w:hAnsi="Times New Roman" w:cs="Times New Roman"/>
        </w:rPr>
        <w:t xml:space="preserve"> Regulations 2018, each of the states and </w:t>
      </w:r>
      <w:r w:rsidR="00394A36">
        <w:rPr>
          <w:rFonts w:ascii="Times New Roman" w:eastAsia="Calibri" w:hAnsi="Times New Roman" w:cs="Times New Roman"/>
        </w:rPr>
        <w:lastRenderedPageBreak/>
        <w:t>t</w:t>
      </w:r>
      <w:r w:rsidRPr="00B20E8E">
        <w:rPr>
          <w:rFonts w:ascii="Times New Roman" w:eastAsia="Calibri" w:hAnsi="Times New Roman" w:cs="Times New Roman"/>
        </w:rPr>
        <w:t>erritories and Nor</w:t>
      </w:r>
      <w:r w:rsidR="00394A36">
        <w:rPr>
          <w:rFonts w:ascii="Times New Roman" w:eastAsia="Calibri" w:hAnsi="Times New Roman" w:cs="Times New Roman"/>
        </w:rPr>
        <w:t>folk Island are specified as a s</w:t>
      </w:r>
      <w:r w:rsidRPr="00B20E8E">
        <w:rPr>
          <w:rFonts w:ascii="Times New Roman" w:eastAsia="Calibri" w:hAnsi="Times New Roman" w:cs="Times New Roman"/>
        </w:rPr>
        <w:t>ta</w:t>
      </w:r>
      <w:r w:rsidR="00394A36">
        <w:rPr>
          <w:rFonts w:ascii="Times New Roman" w:eastAsia="Calibri" w:hAnsi="Times New Roman" w:cs="Times New Roman"/>
        </w:rPr>
        <w:t>te or t</w:t>
      </w:r>
      <w:r w:rsidRPr="00B20E8E">
        <w:rPr>
          <w:rFonts w:ascii="Times New Roman" w:eastAsia="Calibri" w:hAnsi="Times New Roman" w:cs="Times New Roman"/>
        </w:rPr>
        <w:t>erritory to which the</w:t>
      </w:r>
      <w:r w:rsidR="009A521E">
        <w:rPr>
          <w:rFonts w:ascii="Times New Roman" w:eastAsia="Calibri" w:hAnsi="Times New Roman" w:cs="Times New Roman"/>
        </w:rPr>
        <w:t xml:space="preserve"> provisions of Part 3 of the Act</w:t>
      </w:r>
      <w:r w:rsidRPr="00B20E8E">
        <w:rPr>
          <w:rFonts w:ascii="Times New Roman" w:eastAsia="Calibri" w:hAnsi="Times New Roman" w:cs="Times New Roman"/>
        </w:rPr>
        <w:t xml:space="preserve"> apply.</w:t>
      </w:r>
    </w:p>
    <w:p w14:paraId="1CE2D0A3" w14:textId="535C0544" w:rsidR="00624016" w:rsidRDefault="005C6B4B" w:rsidP="00343ACE">
      <w:pPr>
        <w:spacing w:before="120" w:after="120" w:line="360" w:lineRule="auto"/>
        <w:rPr>
          <w:rFonts w:ascii="Times New Roman" w:eastAsia="Times New Roman" w:hAnsi="Times New Roman" w:cs="Times New Roman"/>
          <w:lang w:eastAsia="en-AU"/>
        </w:rPr>
      </w:pPr>
      <w:r>
        <w:rPr>
          <w:rFonts w:ascii="Times New Roman" w:eastAsia="Times New Roman" w:hAnsi="Times New Roman" w:cs="Times New Roman"/>
          <w:lang w:eastAsia="en-AU"/>
        </w:rPr>
        <w:t>Sub-i</w:t>
      </w:r>
      <w:r w:rsidR="00AC1D42">
        <w:rPr>
          <w:rFonts w:ascii="Times New Roman" w:eastAsia="Times New Roman" w:hAnsi="Times New Roman" w:cs="Times New Roman"/>
          <w:lang w:eastAsia="en-AU"/>
        </w:rPr>
        <w:t xml:space="preserve">tem 19(3) of </w:t>
      </w:r>
      <w:r w:rsidR="00B20E8E" w:rsidRPr="00B20E8E">
        <w:rPr>
          <w:rFonts w:ascii="Times New Roman" w:eastAsia="Times New Roman" w:hAnsi="Times New Roman" w:cs="Times New Roman"/>
          <w:lang w:eastAsia="en-AU"/>
        </w:rPr>
        <w:t xml:space="preserve">Schedule </w:t>
      </w:r>
      <w:r w:rsidR="00AC1D42">
        <w:rPr>
          <w:rFonts w:ascii="Times New Roman" w:eastAsia="Times New Roman" w:hAnsi="Times New Roman" w:cs="Times New Roman"/>
          <w:lang w:eastAsia="en-AU"/>
        </w:rPr>
        <w:t xml:space="preserve">1 </w:t>
      </w:r>
      <w:r w:rsidR="00B20E8E" w:rsidRPr="00B20E8E">
        <w:rPr>
          <w:rFonts w:ascii="Times New Roman" w:eastAsia="Times New Roman" w:hAnsi="Times New Roman" w:cs="Times New Roman"/>
          <w:lang w:eastAsia="en-AU"/>
        </w:rPr>
        <w:t>to the Amendment Act provides that the application of those amendments t</w:t>
      </w:r>
      <w:r w:rsidR="00AC1D42">
        <w:rPr>
          <w:rFonts w:ascii="Times New Roman" w:eastAsia="Times New Roman" w:hAnsi="Times New Roman" w:cs="Times New Roman"/>
          <w:lang w:eastAsia="en-AU"/>
        </w:rPr>
        <w:t>o a proceeding in a particular state or t</w:t>
      </w:r>
      <w:r w:rsidR="00B20E8E" w:rsidRPr="00B20E8E">
        <w:rPr>
          <w:rFonts w:ascii="Times New Roman" w:eastAsia="Times New Roman" w:hAnsi="Times New Roman" w:cs="Times New Roman"/>
          <w:lang w:eastAsia="en-AU"/>
        </w:rPr>
        <w:t>erritory may be prescribed in regulations.</w:t>
      </w:r>
    </w:p>
    <w:p w14:paraId="26B2AC9F" w14:textId="0F507D95" w:rsidR="00624016" w:rsidRDefault="009C27E8" w:rsidP="00343ACE">
      <w:pPr>
        <w:spacing w:before="120" w:after="120" w:line="36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AC1D42">
        <w:rPr>
          <w:rFonts w:ascii="Times New Roman" w:eastAsia="Times New Roman" w:hAnsi="Times New Roman" w:cs="Times New Roman"/>
          <w:lang w:eastAsia="en-AU"/>
        </w:rPr>
        <w:t xml:space="preserve">sunsetting Regulations </w:t>
      </w:r>
      <w:r>
        <w:rPr>
          <w:rFonts w:ascii="Times New Roman" w:eastAsia="Times New Roman" w:hAnsi="Times New Roman" w:cs="Times New Roman"/>
          <w:lang w:eastAsia="en-AU"/>
        </w:rPr>
        <w:t xml:space="preserve">gave effect to this item, </w:t>
      </w:r>
      <w:r w:rsidR="00624016">
        <w:rPr>
          <w:rFonts w:ascii="Times New Roman" w:eastAsia="Times New Roman" w:hAnsi="Times New Roman" w:cs="Times New Roman"/>
          <w:lang w:eastAsia="en-AU"/>
        </w:rPr>
        <w:t>with a sunset date of 1 October 2021.</w:t>
      </w:r>
      <w:r w:rsidR="00AC1D42">
        <w:rPr>
          <w:rFonts w:ascii="Times New Roman" w:eastAsia="Times New Roman" w:hAnsi="Times New Roman" w:cs="Times New Roman"/>
          <w:lang w:eastAsia="en-AU"/>
        </w:rPr>
        <w:t xml:space="preserve"> The</w:t>
      </w:r>
      <w:r w:rsidR="00482F79">
        <w:rPr>
          <w:rFonts w:ascii="Times New Roman" w:eastAsia="Times New Roman" w:hAnsi="Times New Roman" w:cs="Times New Roman"/>
          <w:lang w:eastAsia="en-AU"/>
        </w:rPr>
        <w:t>y</w:t>
      </w:r>
      <w:r w:rsidR="00AC1D42">
        <w:rPr>
          <w:rFonts w:ascii="Times New Roman" w:eastAsia="Times New Roman" w:hAnsi="Times New Roman" w:cs="Times New Roman"/>
          <w:lang w:eastAsia="en-AU"/>
        </w:rPr>
        <w:t xml:space="preserve"> </w:t>
      </w:r>
      <w:r w:rsidR="00394A36">
        <w:rPr>
          <w:rFonts w:ascii="Times New Roman" w:eastAsia="Times New Roman" w:hAnsi="Times New Roman" w:cs="Times New Roman"/>
          <w:lang w:eastAsia="en-AU"/>
        </w:rPr>
        <w:t>listed the following states and territories: Western Australia, South Australia, Tasmania, the Australian Capital Territory</w:t>
      </w:r>
      <w:r w:rsidR="009172B1">
        <w:rPr>
          <w:rFonts w:ascii="Times New Roman" w:eastAsia="Times New Roman" w:hAnsi="Times New Roman" w:cs="Times New Roman"/>
          <w:lang w:eastAsia="en-AU"/>
        </w:rPr>
        <w:t xml:space="preserve"> and</w:t>
      </w:r>
      <w:r w:rsidR="009172B1" w:rsidRPr="009172B1">
        <w:rPr>
          <w:rFonts w:ascii="Times New Roman" w:eastAsia="Times New Roman" w:hAnsi="Times New Roman" w:cs="Times New Roman"/>
          <w:lang w:eastAsia="en-AU"/>
        </w:rPr>
        <w:t xml:space="preserve"> </w:t>
      </w:r>
      <w:r w:rsidR="009172B1">
        <w:rPr>
          <w:rFonts w:ascii="Times New Roman" w:eastAsia="Times New Roman" w:hAnsi="Times New Roman" w:cs="Times New Roman"/>
          <w:lang w:eastAsia="en-AU"/>
        </w:rPr>
        <w:t>the Northern Territory</w:t>
      </w:r>
      <w:r w:rsidR="00394A36">
        <w:rPr>
          <w:rFonts w:ascii="Times New Roman" w:eastAsia="Times New Roman" w:hAnsi="Times New Roman" w:cs="Times New Roman"/>
          <w:lang w:eastAsia="en-AU"/>
        </w:rPr>
        <w:t>.</w:t>
      </w:r>
    </w:p>
    <w:p w14:paraId="42210C5B" w14:textId="323198E9" w:rsidR="006907A9" w:rsidRPr="00343ACE" w:rsidRDefault="009C27E8" w:rsidP="00343ACE">
      <w:pPr>
        <w:spacing w:before="120" w:after="120" w:line="360" w:lineRule="auto"/>
        <w:rPr>
          <w:rFonts w:ascii="Times New Roman" w:eastAsia="Times New Roman" w:hAnsi="Times New Roman" w:cs="Times New Roman"/>
          <w:i/>
          <w:u w:val="single"/>
          <w:lang w:eastAsia="en-AU"/>
        </w:rPr>
      </w:pPr>
      <w:r>
        <w:rPr>
          <w:rFonts w:ascii="Times New Roman" w:eastAsia="Times New Roman" w:hAnsi="Times New Roman" w:cs="Times New Roman"/>
          <w:lang w:eastAsia="en-AU"/>
        </w:rPr>
        <w:t xml:space="preserve">The </w:t>
      </w:r>
      <w:r w:rsidR="00AC1D42">
        <w:rPr>
          <w:rFonts w:ascii="Times New Roman" w:eastAsia="Times New Roman" w:hAnsi="Times New Roman" w:cs="Times New Roman"/>
          <w:lang w:eastAsia="en-AU"/>
        </w:rPr>
        <w:t xml:space="preserve">Regulations </w:t>
      </w:r>
      <w:r w:rsidR="009A521E">
        <w:rPr>
          <w:rFonts w:ascii="Times New Roman" w:eastAsia="Times New Roman" w:hAnsi="Times New Roman" w:cs="Times New Roman"/>
          <w:lang w:eastAsia="en-AU"/>
        </w:rPr>
        <w:t>repeal</w:t>
      </w:r>
      <w:r w:rsidR="00AC1D42">
        <w:rPr>
          <w:rFonts w:ascii="Times New Roman" w:eastAsia="Times New Roman" w:hAnsi="Times New Roman" w:cs="Times New Roman"/>
          <w:lang w:eastAsia="en-AU"/>
        </w:rPr>
        <w:t xml:space="preserve"> the s</w:t>
      </w:r>
      <w:r w:rsidR="009A521E">
        <w:rPr>
          <w:rFonts w:ascii="Times New Roman" w:eastAsia="Times New Roman" w:hAnsi="Times New Roman" w:cs="Times New Roman"/>
          <w:lang w:eastAsia="en-AU"/>
        </w:rPr>
        <w:t xml:space="preserve">unsetting </w:t>
      </w:r>
      <w:r w:rsidR="00AC1D42">
        <w:rPr>
          <w:rFonts w:ascii="Times New Roman" w:eastAsia="Times New Roman" w:hAnsi="Times New Roman" w:cs="Times New Roman"/>
          <w:lang w:eastAsia="en-AU"/>
        </w:rPr>
        <w:t xml:space="preserve">Regulations, and </w:t>
      </w:r>
      <w:r w:rsidR="009A6818">
        <w:rPr>
          <w:rFonts w:ascii="Times New Roman" w:eastAsia="Times New Roman" w:hAnsi="Times New Roman" w:cs="Times New Roman"/>
          <w:lang w:eastAsia="en-AU"/>
        </w:rPr>
        <w:t xml:space="preserve">remake the </w:t>
      </w:r>
      <w:r w:rsidR="00624016">
        <w:rPr>
          <w:rFonts w:ascii="Times New Roman" w:eastAsia="Times New Roman" w:hAnsi="Times New Roman" w:cs="Times New Roman"/>
          <w:lang w:eastAsia="en-AU"/>
        </w:rPr>
        <w:t xml:space="preserve">instrument </w:t>
      </w:r>
      <w:r w:rsidR="009A6818">
        <w:rPr>
          <w:rFonts w:ascii="Times New Roman" w:eastAsia="Times New Roman" w:hAnsi="Times New Roman" w:cs="Times New Roman"/>
          <w:lang w:eastAsia="en-AU"/>
        </w:rPr>
        <w:t xml:space="preserve">to </w:t>
      </w:r>
      <w:r w:rsidR="00394A36">
        <w:rPr>
          <w:rFonts w:ascii="Times New Roman" w:eastAsia="Times New Roman" w:hAnsi="Times New Roman" w:cs="Times New Roman"/>
          <w:lang w:eastAsia="en-AU"/>
        </w:rPr>
        <w:t>re-</w:t>
      </w:r>
      <w:r w:rsidR="009A6818">
        <w:rPr>
          <w:rFonts w:ascii="Times New Roman" w:eastAsia="Times New Roman" w:hAnsi="Times New Roman" w:cs="Times New Roman"/>
          <w:lang w:eastAsia="en-AU"/>
        </w:rPr>
        <w:t>list</w:t>
      </w:r>
      <w:r w:rsidR="00394A36">
        <w:rPr>
          <w:rFonts w:ascii="Times New Roman" w:eastAsia="Times New Roman" w:hAnsi="Times New Roman" w:cs="Times New Roman"/>
          <w:lang w:eastAsia="en-AU"/>
        </w:rPr>
        <w:t xml:space="preserve"> </w:t>
      </w:r>
      <w:r w:rsidR="009172B1">
        <w:rPr>
          <w:rFonts w:ascii="Times New Roman" w:eastAsia="Times New Roman" w:hAnsi="Times New Roman" w:cs="Times New Roman"/>
          <w:lang w:eastAsia="en-AU"/>
        </w:rPr>
        <w:t>Western </w:t>
      </w:r>
      <w:r w:rsidR="005C6B4B">
        <w:rPr>
          <w:rFonts w:ascii="Times New Roman" w:eastAsia="Times New Roman" w:hAnsi="Times New Roman" w:cs="Times New Roman"/>
          <w:lang w:eastAsia="en-AU"/>
        </w:rPr>
        <w:t>Australia, South Australia, Tasmania, the Australian Capital Territory</w:t>
      </w:r>
      <w:r w:rsidR="009172B1">
        <w:rPr>
          <w:rFonts w:ascii="Times New Roman" w:eastAsia="Times New Roman" w:hAnsi="Times New Roman" w:cs="Times New Roman"/>
          <w:lang w:eastAsia="en-AU"/>
        </w:rPr>
        <w:t xml:space="preserve"> and the Northern Territory</w:t>
      </w:r>
      <w:r w:rsidR="005C6B4B">
        <w:rPr>
          <w:rFonts w:ascii="Times New Roman" w:eastAsia="Times New Roman" w:hAnsi="Times New Roman" w:cs="Times New Roman"/>
          <w:lang w:eastAsia="en-AU"/>
        </w:rPr>
        <w:t>.</w:t>
      </w:r>
    </w:p>
    <w:p w14:paraId="08E3E81D" w14:textId="75022903" w:rsidR="006907A9" w:rsidRPr="006907A9" w:rsidRDefault="00482F79" w:rsidP="00394A36">
      <w:pPr>
        <w:spacing w:line="360" w:lineRule="auto"/>
        <w:contextualSpacing/>
        <w:rPr>
          <w:rFonts w:ascii="Times New Roman" w:eastAsia="Calibri" w:hAnsi="Times New Roman" w:cs="Times New Roman"/>
          <w:szCs w:val="24"/>
        </w:rPr>
      </w:pPr>
      <w:r>
        <w:rPr>
          <w:rFonts w:ascii="Times New Roman" w:eastAsia="Calibri" w:hAnsi="Times New Roman" w:cs="Times New Roman"/>
          <w:szCs w:val="24"/>
        </w:rPr>
        <w:t>The</w:t>
      </w:r>
      <w:r w:rsidR="00394A36">
        <w:rPr>
          <w:rFonts w:ascii="Times New Roman" w:eastAsia="Calibri" w:hAnsi="Times New Roman" w:cs="Times New Roman"/>
          <w:szCs w:val="24"/>
        </w:rPr>
        <w:t xml:space="preserve"> </w:t>
      </w:r>
      <w:r w:rsidR="00875147">
        <w:rPr>
          <w:rFonts w:ascii="Times New Roman" w:eastAsia="Calibri" w:hAnsi="Times New Roman" w:cs="Times New Roman"/>
          <w:szCs w:val="24"/>
        </w:rPr>
        <w:t>s</w:t>
      </w:r>
      <w:r w:rsidR="00394A36">
        <w:rPr>
          <w:rFonts w:ascii="Times New Roman" w:eastAsia="Calibri" w:hAnsi="Times New Roman" w:cs="Times New Roman"/>
          <w:szCs w:val="24"/>
        </w:rPr>
        <w:t>tate and t</w:t>
      </w:r>
      <w:r w:rsidR="008844E4">
        <w:rPr>
          <w:rFonts w:ascii="Times New Roman" w:eastAsia="Calibri" w:hAnsi="Times New Roman" w:cs="Times New Roman"/>
          <w:szCs w:val="24"/>
        </w:rPr>
        <w:t>erritory Atto</w:t>
      </w:r>
      <w:r w:rsidR="00243C52">
        <w:rPr>
          <w:rFonts w:ascii="Times New Roman" w:eastAsia="Calibri" w:hAnsi="Times New Roman" w:cs="Times New Roman"/>
          <w:szCs w:val="24"/>
        </w:rPr>
        <w:t>rneys-General were consulted in relation to opting in to the</w:t>
      </w:r>
      <w:r w:rsidR="00624016">
        <w:rPr>
          <w:rFonts w:ascii="Times New Roman" w:eastAsia="Calibri" w:hAnsi="Times New Roman" w:cs="Times New Roman"/>
          <w:szCs w:val="24"/>
        </w:rPr>
        <w:t xml:space="preserve"> </w:t>
      </w:r>
      <w:r w:rsidR="008844E4">
        <w:rPr>
          <w:rFonts w:ascii="Times New Roman" w:eastAsia="Calibri" w:hAnsi="Times New Roman" w:cs="Times New Roman"/>
          <w:szCs w:val="24"/>
        </w:rPr>
        <w:t>Regulations.</w:t>
      </w:r>
      <w:r w:rsidR="00394A36">
        <w:rPr>
          <w:rFonts w:ascii="Times New Roman" w:eastAsia="Calibri" w:hAnsi="Times New Roman" w:cs="Times New Roman"/>
          <w:szCs w:val="24"/>
        </w:rPr>
        <w:t xml:space="preserve"> The Attorneys-General of New South Wales</w:t>
      </w:r>
      <w:r w:rsidR="009172B1">
        <w:rPr>
          <w:rFonts w:ascii="Times New Roman" w:eastAsia="Calibri" w:hAnsi="Times New Roman" w:cs="Times New Roman"/>
          <w:szCs w:val="24"/>
        </w:rPr>
        <w:t>,</w:t>
      </w:r>
      <w:r w:rsidR="00394A36">
        <w:rPr>
          <w:rFonts w:ascii="Times New Roman" w:eastAsia="Calibri" w:hAnsi="Times New Roman" w:cs="Times New Roman"/>
          <w:szCs w:val="24"/>
        </w:rPr>
        <w:t xml:space="preserve"> Victoria</w:t>
      </w:r>
      <w:r w:rsidR="009172B1">
        <w:rPr>
          <w:rFonts w:ascii="Times New Roman" w:eastAsia="Calibri" w:hAnsi="Times New Roman" w:cs="Times New Roman"/>
          <w:szCs w:val="24"/>
        </w:rPr>
        <w:t xml:space="preserve"> and Queensland</w:t>
      </w:r>
      <w:r w:rsidR="00394A36">
        <w:rPr>
          <w:rFonts w:ascii="Times New Roman" w:eastAsia="Calibri" w:hAnsi="Times New Roman" w:cs="Times New Roman"/>
          <w:szCs w:val="24"/>
        </w:rPr>
        <w:t xml:space="preserve"> indicated that their jurisdictions did not wish to be listed in the Regulations at this time.</w:t>
      </w:r>
    </w:p>
    <w:p w14:paraId="2F29C141" w14:textId="77777777" w:rsidR="006907A9" w:rsidRPr="006907A9" w:rsidRDefault="006907A9" w:rsidP="006907A9">
      <w:pPr>
        <w:contextualSpacing/>
        <w:rPr>
          <w:rFonts w:ascii="Times New Roman" w:eastAsia="Calibri" w:hAnsi="Times New Roman" w:cs="Times New Roman"/>
        </w:rPr>
      </w:pPr>
    </w:p>
    <w:p w14:paraId="6B1E1A93" w14:textId="00251EB3" w:rsidR="00DE3EE6" w:rsidRDefault="006907A9" w:rsidP="006907A9">
      <w:pPr>
        <w:contextualSpacing/>
        <w:rPr>
          <w:rFonts w:ascii="Times New Roman" w:eastAsia="Calibri" w:hAnsi="Times New Roman" w:cs="Times New Roman"/>
          <w:u w:val="single"/>
        </w:rPr>
      </w:pPr>
      <w:r w:rsidRPr="006907A9">
        <w:rPr>
          <w:rFonts w:ascii="Times New Roman" w:eastAsia="Calibri" w:hAnsi="Times New Roman" w:cs="Times New Roman"/>
        </w:rPr>
        <w:t xml:space="preserve">Details of the Regulations are set out in the </w:t>
      </w:r>
      <w:r w:rsidRPr="006907A9">
        <w:rPr>
          <w:rFonts w:ascii="Times New Roman" w:eastAsia="Calibri" w:hAnsi="Times New Roman" w:cs="Times New Roman"/>
          <w:u w:val="single"/>
        </w:rPr>
        <w:t xml:space="preserve">Attachment. </w:t>
      </w:r>
    </w:p>
    <w:p w14:paraId="5F6672F9" w14:textId="77777777" w:rsidR="00DE3EE6" w:rsidRDefault="00DE3EE6" w:rsidP="006907A9">
      <w:pPr>
        <w:contextualSpacing/>
        <w:rPr>
          <w:rFonts w:ascii="Times New Roman" w:eastAsia="Calibri" w:hAnsi="Times New Roman" w:cs="Times New Roman"/>
          <w:u w:val="single"/>
        </w:rPr>
      </w:pPr>
    </w:p>
    <w:p w14:paraId="6F514741" w14:textId="0AE2D892" w:rsidR="00A607D0" w:rsidRPr="00AC1D42" w:rsidRDefault="00624016" w:rsidP="006907A9">
      <w:pPr>
        <w:contextualSpacing/>
        <w:rPr>
          <w:rFonts w:ascii="Times New Roman" w:eastAsia="Calibri" w:hAnsi="Times New Roman" w:cs="Times New Roman"/>
        </w:rPr>
      </w:pPr>
      <w:r>
        <w:rPr>
          <w:rFonts w:ascii="Times New Roman" w:eastAsia="Calibri" w:hAnsi="Times New Roman" w:cs="Times New Roman"/>
        </w:rPr>
        <w:t xml:space="preserve">The </w:t>
      </w:r>
      <w:r w:rsidR="006907A9" w:rsidRPr="006907A9">
        <w:rPr>
          <w:rFonts w:ascii="Times New Roman" w:eastAsia="Calibri" w:hAnsi="Times New Roman" w:cs="Times New Roman"/>
        </w:rPr>
        <w:t xml:space="preserve">Regulations </w:t>
      </w:r>
      <w:r w:rsidR="00926DE9">
        <w:rPr>
          <w:rFonts w:ascii="Times New Roman" w:eastAsia="Calibri" w:hAnsi="Times New Roman" w:cs="Times New Roman"/>
        </w:rPr>
        <w:t xml:space="preserve">are </w:t>
      </w:r>
      <w:r w:rsidR="006907A9" w:rsidRPr="006907A9">
        <w:rPr>
          <w:rFonts w:ascii="Times New Roman" w:eastAsia="Calibri" w:hAnsi="Times New Roman" w:cs="Times New Roman"/>
        </w:rPr>
        <w:t xml:space="preserve">a legislative instrument for the purposes of the </w:t>
      </w:r>
      <w:r w:rsidR="006907A9" w:rsidRPr="006907A9">
        <w:rPr>
          <w:rFonts w:ascii="Times New Roman" w:eastAsia="Calibri" w:hAnsi="Times New Roman" w:cs="Times New Roman"/>
          <w:i/>
        </w:rPr>
        <w:t>Legislation Act 2003</w:t>
      </w:r>
      <w:r w:rsidR="00DE3EE6">
        <w:rPr>
          <w:rFonts w:ascii="Times New Roman" w:eastAsia="Calibri" w:hAnsi="Times New Roman" w:cs="Times New Roman"/>
        </w:rPr>
        <w:t>.</w:t>
      </w:r>
    </w:p>
    <w:p w14:paraId="1C277C01" w14:textId="77777777" w:rsidR="00A607D0" w:rsidRDefault="00A607D0" w:rsidP="006907A9">
      <w:pPr>
        <w:contextualSpacing/>
        <w:rPr>
          <w:rFonts w:ascii="Times New Roman" w:eastAsia="Calibri" w:hAnsi="Times New Roman" w:cs="Times New Roman"/>
          <w:b/>
        </w:rPr>
      </w:pPr>
    </w:p>
    <w:p w14:paraId="181C15A7" w14:textId="08776D21" w:rsidR="00A607D0" w:rsidRDefault="00A607D0" w:rsidP="006907A9">
      <w:pPr>
        <w:contextualSpacing/>
        <w:rPr>
          <w:rFonts w:ascii="Times New Roman" w:eastAsia="Calibri" w:hAnsi="Times New Roman" w:cs="Times New Roman"/>
          <w:b/>
        </w:rPr>
      </w:pPr>
      <w:r w:rsidRPr="00A607D0">
        <w:rPr>
          <w:rFonts w:ascii="Times New Roman" w:eastAsia="Calibri" w:hAnsi="Times New Roman" w:cs="Times New Roman"/>
          <w:b/>
        </w:rPr>
        <w:t>CONSULTATION</w:t>
      </w:r>
    </w:p>
    <w:p w14:paraId="12CF3BCF" w14:textId="77777777" w:rsidR="00A607D0" w:rsidRPr="00A607D0" w:rsidRDefault="00A607D0" w:rsidP="006907A9">
      <w:pPr>
        <w:contextualSpacing/>
        <w:rPr>
          <w:rFonts w:ascii="Times New Roman" w:eastAsia="Calibri" w:hAnsi="Times New Roman" w:cs="Times New Roman"/>
          <w:b/>
        </w:rPr>
      </w:pPr>
    </w:p>
    <w:p w14:paraId="4F04D6E7" w14:textId="041D7457" w:rsidR="007F6411" w:rsidRPr="00563C1F" w:rsidRDefault="009172B1" w:rsidP="00A607D0">
      <w:pPr>
        <w:spacing w:line="360" w:lineRule="auto"/>
        <w:rPr>
          <w:rFonts w:ascii="Times New Roman" w:hAnsi="Times New Roman" w:cs="Times New Roman"/>
        </w:rPr>
      </w:pPr>
      <w:r>
        <w:rPr>
          <w:rFonts w:ascii="Times New Roman" w:eastAsia="Calibri" w:hAnsi="Times New Roman" w:cs="Times New Roman"/>
          <w:szCs w:val="24"/>
        </w:rPr>
        <w:t>The state and territory Attorneys-General were consulted in relation to opting in to the Regulations. No other c</w:t>
      </w:r>
      <w:r w:rsidR="00A607D0" w:rsidRPr="00A71140">
        <w:rPr>
          <w:rFonts w:ascii="Times New Roman" w:hAnsi="Times New Roman" w:cs="Times New Roman"/>
        </w:rPr>
        <w:t>onsultation was undertaken outside of the Australian Government for the Regulations as it relates to international cooperation on criminal justice and law enforcement matters between Australia and foreign countries. The Regulations do not have a direct, or substantial indirect, effect on business, nor do they restrict competition.</w:t>
      </w:r>
    </w:p>
    <w:p w14:paraId="569BCAC1" w14:textId="28B4618D" w:rsidR="00563C1F" w:rsidRPr="00563C1F" w:rsidRDefault="00563C1F" w:rsidP="00A607D0">
      <w:pPr>
        <w:spacing w:line="360" w:lineRule="auto"/>
        <w:rPr>
          <w:rFonts w:ascii="Times New Roman" w:hAnsi="Times New Roman" w:cs="Times New Roman"/>
          <w:b/>
        </w:rPr>
      </w:pPr>
      <w:r w:rsidRPr="00563C1F">
        <w:rPr>
          <w:rFonts w:ascii="Times New Roman" w:hAnsi="Times New Roman" w:cs="Times New Roman"/>
          <w:b/>
        </w:rPr>
        <w:t>REGULATION IMPACT STATEMENT</w:t>
      </w:r>
    </w:p>
    <w:p w14:paraId="64EBB95A" w14:textId="4658A6B2" w:rsidR="009172B1" w:rsidRPr="009172B1" w:rsidRDefault="00A607D0" w:rsidP="009172B1">
      <w:pPr>
        <w:spacing w:line="360" w:lineRule="auto"/>
        <w:rPr>
          <w:rFonts w:ascii="Times New Roman" w:hAnsi="Times New Roman" w:cs="Times New Roman"/>
        </w:rPr>
      </w:pPr>
      <w:r>
        <w:rPr>
          <w:rFonts w:ascii="Times New Roman" w:hAnsi="Times New Roman" w:cs="Times New Roman"/>
        </w:rPr>
        <w:t>The Office of Best Practice Regulations (OBPR) has advised that a Regulation Impact Statement is not required for the Regulations (OBPR Reference number 43024)</w:t>
      </w:r>
      <w:r w:rsidR="00B83708">
        <w:rPr>
          <w:rFonts w:ascii="Times New Roman" w:hAnsi="Times New Roman" w:cs="Times New Roman"/>
        </w:rPr>
        <w:t>.</w:t>
      </w:r>
      <w:bookmarkStart w:id="0" w:name="_GoBack"/>
      <w:bookmarkEnd w:id="0"/>
    </w:p>
    <w:p w14:paraId="1638786A" w14:textId="44D61B8D" w:rsidR="00A607D0" w:rsidRPr="00A607D0" w:rsidRDefault="00A607D0" w:rsidP="00A607D0">
      <w:pPr>
        <w:spacing w:line="360" w:lineRule="auto"/>
        <w:rPr>
          <w:rFonts w:ascii="Times New Roman" w:hAnsi="Times New Roman" w:cs="Times New Roman"/>
          <w:b/>
          <w:caps/>
        </w:rPr>
      </w:pPr>
      <w:r w:rsidRPr="00A607D0">
        <w:rPr>
          <w:rFonts w:ascii="Times New Roman" w:hAnsi="Times New Roman" w:cs="Times New Roman"/>
          <w:b/>
          <w:caps/>
        </w:rPr>
        <w:t>Statement of Compatibility with Human Rights</w:t>
      </w:r>
    </w:p>
    <w:p w14:paraId="3B6C7632" w14:textId="6D0D4875" w:rsidR="009B12BB" w:rsidRPr="007446AC" w:rsidRDefault="00A607D0" w:rsidP="007446AC">
      <w:pPr>
        <w:spacing w:line="360" w:lineRule="auto"/>
        <w:rPr>
          <w:rFonts w:ascii="Times New Roman" w:hAnsi="Times New Roman" w:cs="Times New Roman"/>
          <w:i/>
          <w:iCs/>
          <w:color w:val="000000"/>
        </w:rPr>
      </w:pPr>
      <w:r w:rsidRPr="00A607D0">
        <w:rPr>
          <w:rFonts w:ascii="Times New Roman" w:hAnsi="Times New Roman" w:cs="Times New Roman"/>
          <w:i/>
          <w:iCs/>
          <w:color w:val="000000"/>
        </w:rPr>
        <w:t>Prepared in accordance with Part 3 of the Human Rights (Parliamentary Scrutiny) Act 2011</w:t>
      </w:r>
    </w:p>
    <w:p w14:paraId="097170DA" w14:textId="1AF1F8F5" w:rsidR="00A360F1" w:rsidRPr="007F6411" w:rsidRDefault="00A360F1" w:rsidP="007F6411">
      <w:pPr>
        <w:spacing w:before="240" w:after="120" w:line="360" w:lineRule="auto"/>
        <w:rPr>
          <w:rFonts w:ascii="Times New Roman" w:eastAsia="Times New Roman" w:hAnsi="Times New Roman" w:cs="Times New Roman"/>
          <w:lang w:eastAsia="en-AU"/>
        </w:rPr>
      </w:pPr>
      <w:r w:rsidRPr="007F6411">
        <w:rPr>
          <w:rFonts w:ascii="Times New Roman" w:eastAsia="Times New Roman" w:hAnsi="Times New Roman" w:cs="Times New Roman"/>
          <w:lang w:eastAsia="en-AU"/>
        </w:rPr>
        <w:t>Foreign Evidence (Application of Amendments) Regulations 2021</w:t>
      </w:r>
    </w:p>
    <w:p w14:paraId="5D4AF83D" w14:textId="79D208D4" w:rsidR="00624016" w:rsidRDefault="00A607D0" w:rsidP="007F6411">
      <w:pPr>
        <w:spacing w:before="240" w:after="120" w:line="360" w:lineRule="auto"/>
        <w:rPr>
          <w:rFonts w:ascii="Times New Roman" w:eastAsia="Times New Roman" w:hAnsi="Times New Roman" w:cs="Times New Roman"/>
          <w:i/>
          <w:lang w:eastAsia="en-AU"/>
        </w:rPr>
      </w:pPr>
      <w:r w:rsidRPr="00A607D0">
        <w:rPr>
          <w:rFonts w:ascii="Times New Roman" w:eastAsia="Times New Roman" w:hAnsi="Times New Roman" w:cs="Times New Roman"/>
          <w:lang w:eastAsia="en-AU"/>
        </w:rPr>
        <w:t xml:space="preserve">The Regulations are compatible with the human rights and freedoms recognised or declared in the international instruments listed in section 3 of the </w:t>
      </w:r>
      <w:r w:rsidRPr="00A607D0">
        <w:rPr>
          <w:rFonts w:ascii="Times New Roman" w:eastAsia="Times New Roman" w:hAnsi="Times New Roman" w:cs="Times New Roman"/>
          <w:i/>
          <w:lang w:eastAsia="en-AU"/>
        </w:rPr>
        <w:t>Human Rights (Parliamentary Scrutiny) Act 2011</w:t>
      </w:r>
      <w:r w:rsidRPr="00A607D0">
        <w:rPr>
          <w:rFonts w:ascii="Times New Roman" w:eastAsia="Times New Roman" w:hAnsi="Times New Roman" w:cs="Times New Roman"/>
          <w:lang w:eastAsia="en-AU"/>
        </w:rPr>
        <w:t>.</w:t>
      </w:r>
    </w:p>
    <w:p w14:paraId="62874677" w14:textId="5D9F2F33" w:rsidR="00875147" w:rsidRPr="009172B1" w:rsidRDefault="00A360F1" w:rsidP="00A607D0">
      <w:pPr>
        <w:spacing w:before="240" w:after="240" w:line="360" w:lineRule="auto"/>
        <w:ind w:right="91"/>
        <w:rPr>
          <w:rFonts w:ascii="Times New Roman" w:eastAsia="Times New Roman" w:hAnsi="Times New Roman" w:cs="Times New Roman"/>
          <w:b/>
          <w:i/>
          <w:lang w:eastAsia="en-AU"/>
        </w:rPr>
      </w:pPr>
      <w:r w:rsidRPr="009172B1">
        <w:rPr>
          <w:rFonts w:ascii="Times New Roman" w:eastAsia="Times New Roman" w:hAnsi="Times New Roman" w:cs="Times New Roman"/>
          <w:i/>
          <w:lang w:eastAsia="en-AU"/>
        </w:rPr>
        <w:lastRenderedPageBreak/>
        <w:t>Overview</w:t>
      </w:r>
      <w:r w:rsidRPr="009172B1">
        <w:rPr>
          <w:rFonts w:ascii="Times New Roman" w:eastAsia="Times New Roman" w:hAnsi="Times New Roman" w:cs="Times New Roman"/>
          <w:b/>
          <w:i/>
          <w:lang w:eastAsia="en-AU"/>
        </w:rPr>
        <w:t xml:space="preserve"> </w:t>
      </w:r>
    </w:p>
    <w:p w14:paraId="3BA89867" w14:textId="45D9F36B" w:rsidR="00A04839" w:rsidRPr="00A04839" w:rsidRDefault="00A04839" w:rsidP="00A04839">
      <w:pPr>
        <w:pStyle w:val="Celltext"/>
        <w:spacing w:after="120" w:line="360" w:lineRule="auto"/>
        <w:rPr>
          <w:i/>
          <w:sz w:val="22"/>
          <w:szCs w:val="22"/>
          <w:u w:val="single"/>
        </w:rPr>
      </w:pPr>
      <w:r w:rsidRPr="00A04839">
        <w:rPr>
          <w:sz w:val="22"/>
          <w:szCs w:val="22"/>
        </w:rPr>
        <w:t>The Foreign Evidence Act (Application</w:t>
      </w:r>
      <w:r w:rsidR="00C75EF2">
        <w:rPr>
          <w:sz w:val="22"/>
          <w:szCs w:val="22"/>
        </w:rPr>
        <w:t xml:space="preserve"> of Amendments) Regulations 2021</w:t>
      </w:r>
      <w:r w:rsidRPr="00A04839">
        <w:rPr>
          <w:sz w:val="22"/>
          <w:szCs w:val="22"/>
        </w:rPr>
        <w:t xml:space="preserve"> (the Regulations) </w:t>
      </w:r>
      <w:r w:rsidR="00C75EF2">
        <w:rPr>
          <w:sz w:val="22"/>
          <w:szCs w:val="22"/>
        </w:rPr>
        <w:t>remake the Foreign Evidence (Application of Amendments) Regulation</w:t>
      </w:r>
      <w:r w:rsidR="00AC1D42">
        <w:rPr>
          <w:sz w:val="22"/>
          <w:szCs w:val="22"/>
        </w:rPr>
        <w:t>s 2011 (the sunsetting Regulations) ahead of their sunset</w:t>
      </w:r>
      <w:r w:rsidR="00C75EF2">
        <w:rPr>
          <w:sz w:val="22"/>
          <w:szCs w:val="22"/>
        </w:rPr>
        <w:t xml:space="preserve"> date of </w:t>
      </w:r>
      <w:r w:rsidRPr="00A04839">
        <w:rPr>
          <w:sz w:val="22"/>
          <w:szCs w:val="22"/>
        </w:rPr>
        <w:t xml:space="preserve">1 October 2021. The Regulations prescribe the application of amendments made by the </w:t>
      </w:r>
      <w:r w:rsidRPr="00A04839">
        <w:rPr>
          <w:i/>
          <w:sz w:val="22"/>
          <w:szCs w:val="22"/>
        </w:rPr>
        <w:t>Foreign Evidence Amendment Act 2010</w:t>
      </w:r>
      <w:r w:rsidRPr="00A04839">
        <w:rPr>
          <w:sz w:val="22"/>
          <w:szCs w:val="22"/>
        </w:rPr>
        <w:t xml:space="preserve"> (Amendment Act) to the </w:t>
      </w:r>
      <w:r w:rsidRPr="00A04839">
        <w:rPr>
          <w:i/>
          <w:sz w:val="22"/>
          <w:szCs w:val="22"/>
        </w:rPr>
        <w:t xml:space="preserve">Foreign Evidence Act 1994 </w:t>
      </w:r>
      <w:r w:rsidR="00C75EF2">
        <w:rPr>
          <w:sz w:val="22"/>
          <w:szCs w:val="22"/>
        </w:rPr>
        <w:t>(the Act</w:t>
      </w:r>
      <w:r w:rsidRPr="00A04839">
        <w:rPr>
          <w:sz w:val="22"/>
          <w:szCs w:val="22"/>
        </w:rPr>
        <w:t xml:space="preserve">) to states and territories specified. </w:t>
      </w:r>
    </w:p>
    <w:p w14:paraId="1517D303" w14:textId="6733AF39" w:rsidR="00A360F1" w:rsidRPr="00A04839" w:rsidRDefault="00A04839" w:rsidP="00A04839">
      <w:pPr>
        <w:pStyle w:val="Celltext"/>
        <w:spacing w:after="120" w:line="360" w:lineRule="auto"/>
        <w:rPr>
          <w:sz w:val="22"/>
          <w:szCs w:val="22"/>
        </w:rPr>
      </w:pPr>
      <w:r w:rsidRPr="00A04839">
        <w:rPr>
          <w:sz w:val="22"/>
          <w:szCs w:val="22"/>
        </w:rPr>
        <w:t>The Regulations give effect to item 19(3) of the Amendment Act by prescribing that th</w:t>
      </w:r>
      <w:r w:rsidR="00C75EF2">
        <w:rPr>
          <w:sz w:val="22"/>
          <w:szCs w:val="22"/>
        </w:rPr>
        <w:t>e amendments it made to the Act</w:t>
      </w:r>
      <w:r w:rsidRPr="00A04839">
        <w:rPr>
          <w:sz w:val="22"/>
          <w:szCs w:val="22"/>
        </w:rPr>
        <w:t xml:space="preserve"> apply to criminal proceedings, civil proceedings and related proceeds of crime actions in those states and territories that consented to its application,</w:t>
      </w:r>
      <w:r w:rsidR="009172B1">
        <w:rPr>
          <w:sz w:val="22"/>
          <w:szCs w:val="22"/>
        </w:rPr>
        <w:t xml:space="preserve"> being Western Australia, South </w:t>
      </w:r>
      <w:r w:rsidRPr="00A04839">
        <w:rPr>
          <w:sz w:val="22"/>
          <w:szCs w:val="22"/>
        </w:rPr>
        <w:t xml:space="preserve">Australia, Tasmania, </w:t>
      </w:r>
      <w:r w:rsidR="009172B1" w:rsidRPr="00A04839">
        <w:rPr>
          <w:sz w:val="22"/>
          <w:szCs w:val="22"/>
        </w:rPr>
        <w:t xml:space="preserve">the Australian Capital Territory </w:t>
      </w:r>
      <w:r w:rsidR="009172B1">
        <w:rPr>
          <w:sz w:val="22"/>
          <w:szCs w:val="22"/>
        </w:rPr>
        <w:t xml:space="preserve">and the </w:t>
      </w:r>
      <w:r w:rsidRPr="00A04839">
        <w:rPr>
          <w:sz w:val="22"/>
          <w:szCs w:val="22"/>
        </w:rPr>
        <w:t>Northern Territory.</w:t>
      </w:r>
    </w:p>
    <w:p w14:paraId="78D1E546" w14:textId="2755959C" w:rsidR="00A360F1" w:rsidRPr="007F6411" w:rsidRDefault="00A360F1" w:rsidP="00A607D0">
      <w:pPr>
        <w:spacing w:before="240" w:after="240" w:line="360" w:lineRule="auto"/>
        <w:ind w:right="91"/>
        <w:rPr>
          <w:rFonts w:ascii="Times New Roman" w:eastAsia="Times New Roman" w:hAnsi="Times New Roman" w:cs="Times New Roman"/>
          <w:b/>
          <w:i/>
          <w:lang w:eastAsia="en-AU"/>
        </w:rPr>
      </w:pPr>
      <w:r>
        <w:rPr>
          <w:rFonts w:ascii="Times New Roman" w:eastAsia="Times New Roman" w:hAnsi="Times New Roman" w:cs="Times New Roman"/>
          <w:b/>
          <w:i/>
          <w:lang w:eastAsia="en-AU"/>
        </w:rPr>
        <w:t>Human rights implications</w:t>
      </w:r>
    </w:p>
    <w:p w14:paraId="6A37D044" w14:textId="77777777" w:rsidR="00A607D0" w:rsidRPr="00A607D0" w:rsidRDefault="00A607D0" w:rsidP="00A607D0">
      <w:pPr>
        <w:spacing w:before="240" w:after="240" w:line="360" w:lineRule="auto"/>
        <w:ind w:right="91"/>
        <w:rPr>
          <w:rFonts w:ascii="Times New Roman" w:eastAsia="Times New Roman" w:hAnsi="Times New Roman" w:cs="Times New Roman"/>
          <w:i/>
          <w:lang w:eastAsia="en-AU"/>
        </w:rPr>
      </w:pPr>
      <w:r w:rsidRPr="00A607D0">
        <w:rPr>
          <w:rFonts w:ascii="Times New Roman" w:eastAsia="Times New Roman" w:hAnsi="Times New Roman" w:cs="Times New Roman"/>
          <w:i/>
          <w:lang w:eastAsia="en-AU"/>
        </w:rPr>
        <w:t>Right to a fair trial</w:t>
      </w:r>
    </w:p>
    <w:p w14:paraId="7A3DAACC" w14:textId="156BD4AA" w:rsidR="00A607D0" w:rsidRPr="00A607D0" w:rsidRDefault="00A360F1" w:rsidP="00A607D0">
      <w:pPr>
        <w:keepNext/>
        <w:keepLines/>
        <w:autoSpaceDE w:val="0"/>
        <w:autoSpaceDN w:val="0"/>
        <w:adjustRightInd w:val="0"/>
        <w:spacing w:before="240" w:after="240" w:line="360" w:lineRule="auto"/>
        <w:rPr>
          <w:rFonts w:ascii="Times New Roman" w:eastAsia="Times New Roman" w:hAnsi="Times New Roman" w:cs="Times New Roman"/>
          <w:color w:val="000000"/>
          <w:lang w:eastAsia="en-AU"/>
        </w:rPr>
      </w:pPr>
      <w:r w:rsidRPr="00A607D0">
        <w:rPr>
          <w:rFonts w:ascii="Times New Roman" w:eastAsia="Times New Roman" w:hAnsi="Times New Roman" w:cs="Times New Roman"/>
          <w:lang w:eastAsia="en-AU"/>
        </w:rPr>
        <w:t xml:space="preserve">The Regulations engage the rights to a fair trial and minimum guarantees in criminal </w:t>
      </w:r>
      <w:r w:rsidR="008F2A5A">
        <w:rPr>
          <w:rFonts w:ascii="Times New Roman" w:eastAsia="Times New Roman" w:hAnsi="Times New Roman" w:cs="Times New Roman"/>
          <w:lang w:eastAsia="en-AU"/>
        </w:rPr>
        <w:t xml:space="preserve">and civil </w:t>
      </w:r>
      <w:r w:rsidRPr="00A607D0">
        <w:rPr>
          <w:rFonts w:ascii="Times New Roman" w:eastAsia="Times New Roman" w:hAnsi="Times New Roman" w:cs="Times New Roman"/>
          <w:lang w:eastAsia="en-AU"/>
        </w:rPr>
        <w:t xml:space="preserve">proceedings </w:t>
      </w:r>
      <w:r w:rsidR="007664D0">
        <w:rPr>
          <w:rFonts w:ascii="Times New Roman" w:eastAsia="Times New Roman" w:hAnsi="Times New Roman" w:cs="Times New Roman"/>
          <w:lang w:eastAsia="en-AU"/>
        </w:rPr>
        <w:t xml:space="preserve">as prescribed </w:t>
      </w:r>
      <w:r w:rsidRPr="00A607D0">
        <w:rPr>
          <w:rFonts w:ascii="Times New Roman" w:eastAsia="Times New Roman" w:hAnsi="Times New Roman" w:cs="Times New Roman"/>
          <w:lang w:eastAsia="en-AU"/>
        </w:rPr>
        <w:t xml:space="preserve">in Article 14 of the </w:t>
      </w:r>
      <w:r w:rsidRPr="00A607D0">
        <w:rPr>
          <w:rFonts w:ascii="Times New Roman" w:eastAsia="Times New Roman" w:hAnsi="Times New Roman" w:cs="Times New Roman"/>
          <w:i/>
          <w:lang w:eastAsia="en-AU"/>
        </w:rPr>
        <w:t>International</w:t>
      </w:r>
      <w:r w:rsidRPr="00A607D0">
        <w:rPr>
          <w:rFonts w:ascii="Times New Roman" w:eastAsia="Times New Roman" w:hAnsi="Times New Roman" w:cs="Times New Roman"/>
          <w:lang w:eastAsia="en-AU"/>
        </w:rPr>
        <w:t xml:space="preserve"> </w:t>
      </w:r>
      <w:r w:rsidRPr="00A607D0">
        <w:rPr>
          <w:rFonts w:ascii="Times New Roman" w:eastAsia="Times New Roman" w:hAnsi="Times New Roman" w:cs="Times New Roman"/>
          <w:i/>
          <w:lang w:eastAsia="en-AU"/>
        </w:rPr>
        <w:t xml:space="preserve">Covenant on Civil and Political Rights </w:t>
      </w:r>
      <w:r w:rsidRPr="00A607D0">
        <w:rPr>
          <w:rFonts w:ascii="Times New Roman" w:eastAsia="Times New Roman" w:hAnsi="Times New Roman" w:cs="Times New Roman"/>
          <w:lang w:eastAsia="en-AU"/>
        </w:rPr>
        <w:t>(ICCPR).</w:t>
      </w:r>
      <w:r>
        <w:rPr>
          <w:rFonts w:ascii="Times New Roman" w:eastAsia="Times New Roman" w:hAnsi="Times New Roman" w:cs="Times New Roman"/>
          <w:lang w:eastAsia="en-AU"/>
        </w:rPr>
        <w:t xml:space="preserve"> </w:t>
      </w:r>
      <w:r w:rsidR="00A607D0" w:rsidRPr="00A607D0">
        <w:rPr>
          <w:rFonts w:ascii="Times New Roman" w:eastAsia="Times New Roman" w:hAnsi="Times New Roman" w:cs="Times New Roman"/>
          <w:color w:val="000000"/>
          <w:lang w:eastAsia="en-AU"/>
        </w:rPr>
        <w:t>Article 14 is aimed at ensuring the proper administration of justice by upholding, amongst other things, the right to a fair hearing and the right of a person to have a sentence or conviction reviewed by a higher court.</w:t>
      </w:r>
    </w:p>
    <w:p w14:paraId="2ACE5C1B" w14:textId="30562B97" w:rsidR="00A607D0" w:rsidRPr="00A607D0" w:rsidRDefault="00786275" w:rsidP="00A607D0">
      <w:pPr>
        <w:autoSpaceDE w:val="0"/>
        <w:autoSpaceDN w:val="0"/>
        <w:adjustRightInd w:val="0"/>
        <w:spacing w:before="240" w:after="240" w:line="360" w:lineRule="auto"/>
        <w:rPr>
          <w:rFonts w:ascii="Times New Roman" w:eastAsia="Times New Roman" w:hAnsi="Times New Roman" w:cs="Times New Roman"/>
          <w:lang w:eastAsia="en-AU"/>
        </w:rPr>
      </w:pPr>
      <w:r>
        <w:rPr>
          <w:rFonts w:ascii="Times New Roman" w:eastAsia="Times New Roman" w:hAnsi="Times New Roman" w:cs="Times New Roman"/>
          <w:color w:val="000000"/>
          <w:lang w:eastAsia="en-AU"/>
        </w:rPr>
        <w:t>The Regulations engage the right to a fair trial in Article 14 by affecting the requirements for testimony in relevant legal proceedings</w:t>
      </w:r>
      <w:r w:rsidR="00E44D13">
        <w:rPr>
          <w:rFonts w:ascii="Times New Roman" w:eastAsia="Times New Roman" w:hAnsi="Times New Roman" w:cs="Times New Roman"/>
          <w:color w:val="000000"/>
          <w:lang w:eastAsia="en-AU"/>
        </w:rPr>
        <w:t xml:space="preserve">. That is, they </w:t>
      </w:r>
      <w:r w:rsidR="00A607D0" w:rsidRPr="00A607D0">
        <w:rPr>
          <w:rFonts w:ascii="Times New Roman" w:eastAsia="Times New Roman" w:hAnsi="Times New Roman" w:cs="Times New Roman"/>
          <w:color w:val="000000"/>
          <w:lang w:eastAsia="en-AU"/>
        </w:rPr>
        <w:t xml:space="preserve">enable States and Territories to opt in to certain amendments intended to create efficiencies in relation to the requirements for testimony, including streamlining the process for adducing foreign material that are business records. For this reason, States and Territories opting in to these amendments arguably increase the prospects of a fair trial for litigants in relevant proceedings in those jurisdictions, </w:t>
      </w:r>
      <w:r w:rsidR="004B52A4">
        <w:rPr>
          <w:rFonts w:ascii="Times New Roman" w:eastAsia="Times New Roman" w:hAnsi="Times New Roman" w:cs="Times New Roman"/>
          <w:color w:val="000000"/>
          <w:lang w:eastAsia="en-AU"/>
        </w:rPr>
        <w:t xml:space="preserve">for example, by </w:t>
      </w:r>
      <w:r w:rsidR="004B52A4">
        <w:rPr>
          <w:rFonts w:ascii="Times New Roman" w:eastAsia="Times New Roman" w:hAnsi="Times New Roman" w:cs="Times New Roman"/>
          <w:lang w:eastAsia="en-AU"/>
        </w:rPr>
        <w:t>streamlining</w:t>
      </w:r>
      <w:r w:rsidR="004B52A4" w:rsidRPr="00357F9B">
        <w:rPr>
          <w:rFonts w:ascii="Times New Roman" w:eastAsia="Times New Roman" w:hAnsi="Times New Roman" w:cs="Times New Roman"/>
          <w:lang w:eastAsia="en-AU"/>
        </w:rPr>
        <w:t xml:space="preserve"> the process for adducing foreign material that is a business record</w:t>
      </w:r>
      <w:r w:rsidR="004B52A4">
        <w:rPr>
          <w:rFonts w:ascii="Times New Roman" w:eastAsia="Times New Roman" w:hAnsi="Times New Roman" w:cs="Times New Roman"/>
          <w:lang w:eastAsia="en-AU"/>
        </w:rPr>
        <w:t xml:space="preserve">. </w:t>
      </w:r>
      <w:r w:rsidR="004B52A4">
        <w:rPr>
          <w:rFonts w:ascii="Times New Roman" w:eastAsia="Times New Roman" w:hAnsi="Times New Roman" w:cs="Times New Roman"/>
          <w:color w:val="000000"/>
          <w:lang w:eastAsia="en-AU"/>
        </w:rPr>
        <w:t xml:space="preserve">The Regulations </w:t>
      </w:r>
      <w:r w:rsidR="004B52A4" w:rsidRPr="00A607D0">
        <w:rPr>
          <w:rFonts w:ascii="Times New Roman" w:eastAsia="Times New Roman" w:hAnsi="Times New Roman" w:cs="Times New Roman"/>
          <w:color w:val="000000"/>
          <w:lang w:eastAsia="en-AU"/>
        </w:rPr>
        <w:t xml:space="preserve">do not limit rights or otherwise alter Australia’s laws or arrangements in relation to criminal procedure, </w:t>
      </w:r>
      <w:r w:rsidR="004B52A4">
        <w:rPr>
          <w:rFonts w:ascii="Times New Roman" w:eastAsia="Times New Roman" w:hAnsi="Times New Roman" w:cs="Times New Roman"/>
          <w:color w:val="000000"/>
          <w:lang w:eastAsia="en-AU"/>
        </w:rPr>
        <w:t>n</w:t>
      </w:r>
      <w:r w:rsidR="004B52A4" w:rsidRPr="00A607D0">
        <w:rPr>
          <w:rFonts w:ascii="Times New Roman" w:eastAsia="Times New Roman" w:hAnsi="Times New Roman" w:cs="Times New Roman"/>
          <w:color w:val="000000"/>
          <w:lang w:eastAsia="en-AU"/>
        </w:rPr>
        <w:t xml:space="preserve">or </w:t>
      </w:r>
      <w:r w:rsidR="004B52A4">
        <w:rPr>
          <w:rFonts w:ascii="Times New Roman" w:eastAsia="Times New Roman" w:hAnsi="Times New Roman" w:cs="Times New Roman"/>
          <w:lang w:eastAsia="en-AU"/>
        </w:rPr>
        <w:t>create new criminal offences, and are instead intended to promote the right to fair trial.</w:t>
      </w:r>
    </w:p>
    <w:p w14:paraId="49B0455C" w14:textId="09A99758" w:rsidR="00A607D0" w:rsidRPr="007F6411" w:rsidRDefault="00A607D0" w:rsidP="00A607D0">
      <w:pPr>
        <w:spacing w:before="240" w:after="240" w:line="360" w:lineRule="auto"/>
        <w:rPr>
          <w:rFonts w:ascii="Times New Roman" w:eastAsia="Times New Roman" w:hAnsi="Times New Roman" w:cs="Times New Roman"/>
          <w:b/>
          <w:i/>
          <w:lang w:eastAsia="en-AU"/>
        </w:rPr>
      </w:pPr>
      <w:r w:rsidRPr="007F6411">
        <w:rPr>
          <w:rFonts w:ascii="Times New Roman" w:eastAsia="Times New Roman" w:hAnsi="Times New Roman" w:cs="Times New Roman"/>
          <w:b/>
          <w:i/>
          <w:lang w:eastAsia="en-AU"/>
        </w:rPr>
        <w:t xml:space="preserve">Conclusion </w:t>
      </w:r>
    </w:p>
    <w:p w14:paraId="0A61B431" w14:textId="4BABCF42" w:rsidR="00A607D0" w:rsidRPr="00A607D0" w:rsidRDefault="00A607D0" w:rsidP="00A607D0">
      <w:pPr>
        <w:spacing w:after="0" w:line="360" w:lineRule="auto"/>
        <w:rPr>
          <w:rFonts w:ascii="New York" w:eastAsia="Times New Roman" w:hAnsi="New York" w:cs="Times New Roman"/>
          <w:sz w:val="24"/>
          <w:szCs w:val="20"/>
          <w:lang w:eastAsia="en-AU"/>
        </w:rPr>
      </w:pPr>
      <w:r w:rsidRPr="00A607D0">
        <w:rPr>
          <w:rFonts w:ascii="Times New Roman" w:eastAsia="Times New Roman" w:hAnsi="Times New Roman" w:cs="Times New Roman"/>
          <w:lang w:eastAsia="en-AU"/>
        </w:rPr>
        <w:t>The Regulations are compatible with</w:t>
      </w:r>
      <w:r w:rsidR="00A360F1">
        <w:rPr>
          <w:rFonts w:ascii="Times New Roman" w:eastAsia="Times New Roman" w:hAnsi="Times New Roman" w:cs="Times New Roman"/>
          <w:lang w:eastAsia="en-AU"/>
        </w:rPr>
        <w:t xml:space="preserve"> the</w:t>
      </w:r>
      <w:r w:rsidRPr="00A607D0">
        <w:rPr>
          <w:rFonts w:ascii="Times New Roman" w:eastAsia="Times New Roman" w:hAnsi="Times New Roman" w:cs="Times New Roman"/>
          <w:lang w:eastAsia="en-AU"/>
        </w:rPr>
        <w:t xml:space="preserve"> human rights</w:t>
      </w:r>
      <w:r w:rsidR="00A360F1">
        <w:rPr>
          <w:rFonts w:ascii="Times New Roman" w:eastAsia="Times New Roman" w:hAnsi="Times New Roman" w:cs="Times New Roman"/>
          <w:lang w:eastAsia="en-AU"/>
        </w:rPr>
        <w:t xml:space="preserve"> and freedoms recognised or declared in the international instruments listed in section 3 of the </w:t>
      </w:r>
      <w:r w:rsidR="00A360F1" w:rsidRPr="00A607D0">
        <w:rPr>
          <w:rFonts w:ascii="Times New Roman" w:eastAsia="Times New Roman" w:hAnsi="Times New Roman" w:cs="Times New Roman"/>
          <w:i/>
          <w:lang w:eastAsia="en-AU"/>
        </w:rPr>
        <w:t>Human Rights (Parliamentary Scrutiny) Act 2011</w:t>
      </w:r>
      <w:r w:rsidR="00A360F1">
        <w:rPr>
          <w:rFonts w:ascii="Times New Roman" w:eastAsia="Times New Roman" w:hAnsi="Times New Roman" w:cs="Times New Roman"/>
          <w:lang w:eastAsia="en-AU"/>
        </w:rPr>
        <w:t xml:space="preserve"> </w:t>
      </w:r>
      <w:r w:rsidR="004B52A4">
        <w:rPr>
          <w:rFonts w:ascii="Times New Roman" w:eastAsia="Times New Roman" w:hAnsi="Times New Roman" w:cs="Times New Roman"/>
          <w:lang w:eastAsia="en-AU"/>
        </w:rPr>
        <w:t xml:space="preserve">on the basis that they promote the right to a fair trial. </w:t>
      </w:r>
    </w:p>
    <w:p w14:paraId="713A3D75" w14:textId="77777777" w:rsidR="00A22C5C" w:rsidRDefault="00A22C5C" w:rsidP="00A22C5C">
      <w:pPr>
        <w:tabs>
          <w:tab w:val="left" w:pos="3969"/>
          <w:tab w:val="left" w:pos="5245"/>
        </w:tabs>
        <w:ind w:right="91"/>
        <w:rPr>
          <w:rFonts w:ascii="Times New Roman" w:eastAsia="Calibri" w:hAnsi="Times New Roman" w:cs="Times New Roman"/>
          <w:i/>
        </w:rPr>
      </w:pPr>
    </w:p>
    <w:p w14:paraId="61FC1AA8" w14:textId="62549442" w:rsidR="00A360F1" w:rsidRDefault="005B6859" w:rsidP="00A22C5C">
      <w:pPr>
        <w:tabs>
          <w:tab w:val="left" w:pos="3969"/>
          <w:tab w:val="left" w:pos="5245"/>
        </w:tabs>
        <w:ind w:right="91"/>
        <w:rPr>
          <w:rFonts w:ascii="Times New Roman" w:eastAsia="Calibri" w:hAnsi="Times New Roman" w:cs="Times New Roman"/>
          <w:i/>
        </w:rPr>
      </w:pPr>
      <w:r w:rsidRPr="005B6859">
        <w:rPr>
          <w:rFonts w:ascii="Times New Roman" w:eastAsia="Calibri" w:hAnsi="Times New Roman" w:cs="Times New Roman"/>
          <w:i/>
        </w:rPr>
        <w:t xml:space="preserve">  </w:t>
      </w:r>
    </w:p>
    <w:p w14:paraId="23F09772" w14:textId="42329653" w:rsidR="00343ACE" w:rsidRPr="008C6FEC" w:rsidRDefault="005B6859" w:rsidP="008C6FEC">
      <w:pPr>
        <w:tabs>
          <w:tab w:val="left" w:pos="3969"/>
          <w:tab w:val="left" w:pos="5245"/>
        </w:tabs>
        <w:ind w:right="91"/>
        <w:jc w:val="right"/>
        <w:rPr>
          <w:rFonts w:ascii="Times New Roman" w:hAnsi="Times New Roman" w:cs="Times New Roman"/>
          <w:b/>
          <w:u w:val="single"/>
        </w:rPr>
      </w:pPr>
      <w:r w:rsidRPr="005B6859">
        <w:rPr>
          <w:rFonts w:ascii="Times New Roman" w:hAnsi="Times New Roman" w:cs="Times New Roman"/>
          <w:b/>
          <w:u w:val="single"/>
        </w:rPr>
        <w:lastRenderedPageBreak/>
        <w:t>ATTACHMENT</w:t>
      </w:r>
    </w:p>
    <w:p w14:paraId="581C7039" w14:textId="5FB40323" w:rsidR="00A607D0" w:rsidRDefault="00A607D0" w:rsidP="00641CEA">
      <w:pPr>
        <w:spacing w:afterLines="120" w:after="288"/>
        <w:rPr>
          <w:rFonts w:ascii="Times New Roman" w:eastAsia="Times New Roman" w:hAnsi="Times New Roman" w:cs="Times New Roman"/>
          <w:b/>
          <w:u w:val="single"/>
          <w:lang w:eastAsia="en-AU"/>
        </w:rPr>
      </w:pPr>
      <w:r>
        <w:rPr>
          <w:rFonts w:ascii="Times New Roman" w:eastAsia="Times New Roman" w:hAnsi="Times New Roman" w:cs="Times New Roman"/>
          <w:b/>
          <w:u w:val="single"/>
          <w:lang w:eastAsia="en-AU"/>
        </w:rPr>
        <w:t>NOTES ON SECTIONS</w:t>
      </w:r>
    </w:p>
    <w:p w14:paraId="560A2ED8" w14:textId="77777777" w:rsidR="00A607D0" w:rsidRDefault="00A607D0" w:rsidP="00641CEA">
      <w:pPr>
        <w:spacing w:afterLines="120" w:after="288"/>
        <w:rPr>
          <w:rFonts w:ascii="Times New Roman" w:eastAsia="Times New Roman" w:hAnsi="Times New Roman" w:cs="Times New Roman"/>
          <w:b/>
          <w:u w:val="single"/>
          <w:lang w:eastAsia="en-AU"/>
        </w:rPr>
      </w:pPr>
    </w:p>
    <w:p w14:paraId="58BB3E54" w14:textId="77777777" w:rsidR="00641CEA" w:rsidRPr="00641CEA" w:rsidRDefault="00641CEA" w:rsidP="00641CEA">
      <w:pPr>
        <w:spacing w:afterLines="120" w:after="288"/>
        <w:rPr>
          <w:rFonts w:ascii="Times New Roman" w:eastAsia="Times New Roman" w:hAnsi="Times New Roman" w:cs="Times New Roman"/>
          <w:b/>
          <w:u w:val="single"/>
          <w:lang w:eastAsia="en-AU"/>
        </w:rPr>
      </w:pPr>
      <w:r w:rsidRPr="00641CEA">
        <w:rPr>
          <w:rFonts w:ascii="Times New Roman" w:eastAsia="Times New Roman" w:hAnsi="Times New Roman" w:cs="Times New Roman"/>
          <w:b/>
          <w:u w:val="single"/>
          <w:lang w:eastAsia="en-AU"/>
        </w:rPr>
        <w:t>Part 1 - Introduction</w:t>
      </w:r>
    </w:p>
    <w:p w14:paraId="225308A4" w14:textId="4BD7598D" w:rsidR="00641CEA" w:rsidRPr="00641CEA" w:rsidRDefault="00505EC2" w:rsidP="00641CEA">
      <w:pPr>
        <w:spacing w:afterLines="120" w:after="288"/>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Section 1 – Name</w:t>
      </w:r>
    </w:p>
    <w:p w14:paraId="667F332C" w14:textId="5FF8CBE3" w:rsidR="00641CEA" w:rsidRPr="00641CEA" w:rsidRDefault="00641CEA" w:rsidP="00641CEA">
      <w:pPr>
        <w:spacing w:afterLines="120" w:after="288"/>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This section provides that the title of the Regulations is the Foreign Evidence (Applicatio</w:t>
      </w:r>
      <w:r w:rsidR="007446AC">
        <w:rPr>
          <w:rFonts w:ascii="Times New Roman" w:eastAsia="Times New Roman" w:hAnsi="Times New Roman" w:cs="Times New Roman"/>
          <w:lang w:eastAsia="en-AU"/>
        </w:rPr>
        <w:t>n</w:t>
      </w:r>
      <w:r w:rsidR="003E2174">
        <w:rPr>
          <w:rFonts w:ascii="Times New Roman" w:eastAsia="Times New Roman" w:hAnsi="Times New Roman" w:cs="Times New Roman"/>
          <w:lang w:eastAsia="en-AU"/>
        </w:rPr>
        <w:t xml:space="preserve"> of Amendments) Regulations 2021</w:t>
      </w:r>
      <w:r w:rsidR="007446AC">
        <w:rPr>
          <w:rFonts w:ascii="Times New Roman" w:eastAsia="Times New Roman" w:hAnsi="Times New Roman" w:cs="Times New Roman"/>
          <w:lang w:eastAsia="en-AU"/>
        </w:rPr>
        <w:t>.</w:t>
      </w:r>
    </w:p>
    <w:p w14:paraId="38DB16A5" w14:textId="77777777" w:rsidR="00641CEA" w:rsidRPr="00641CEA" w:rsidRDefault="00641CEA" w:rsidP="00641CEA">
      <w:pPr>
        <w:spacing w:afterLines="120" w:after="288"/>
        <w:rPr>
          <w:rFonts w:ascii="Times New Roman" w:eastAsia="Times New Roman" w:hAnsi="Times New Roman" w:cs="Times New Roman"/>
          <w:u w:val="single"/>
          <w:lang w:eastAsia="en-AU"/>
        </w:rPr>
      </w:pPr>
      <w:r w:rsidRPr="00641CEA">
        <w:rPr>
          <w:rFonts w:ascii="Times New Roman" w:eastAsia="Times New Roman" w:hAnsi="Times New Roman" w:cs="Times New Roman"/>
          <w:u w:val="single"/>
          <w:lang w:eastAsia="en-AU"/>
        </w:rPr>
        <w:t xml:space="preserve">Section 2 – Commencement </w:t>
      </w:r>
    </w:p>
    <w:p w14:paraId="480094DA" w14:textId="77777777" w:rsidR="00641CEA" w:rsidRPr="00641CEA" w:rsidRDefault="00641CEA" w:rsidP="00641CEA">
      <w:pPr>
        <w:spacing w:afterLines="120" w:after="288"/>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This section provides that the Regulations commence on 1 October 2021.</w:t>
      </w:r>
    </w:p>
    <w:p w14:paraId="595B5206" w14:textId="77777777" w:rsidR="00641CEA" w:rsidRPr="00641CEA" w:rsidRDefault="00641CEA" w:rsidP="00641CEA">
      <w:pPr>
        <w:spacing w:afterLines="120" w:after="288"/>
        <w:rPr>
          <w:rFonts w:ascii="Times New Roman" w:eastAsia="Times New Roman" w:hAnsi="Times New Roman" w:cs="Times New Roman"/>
          <w:u w:val="single"/>
          <w:lang w:eastAsia="en-AU"/>
        </w:rPr>
      </w:pPr>
      <w:r w:rsidRPr="00641CEA">
        <w:rPr>
          <w:rFonts w:ascii="Times New Roman" w:eastAsia="Times New Roman" w:hAnsi="Times New Roman" w:cs="Times New Roman"/>
          <w:u w:val="single"/>
          <w:lang w:eastAsia="en-AU"/>
        </w:rPr>
        <w:t>Section 3 – Authority</w:t>
      </w:r>
    </w:p>
    <w:p w14:paraId="1F66A06D" w14:textId="3D69FDA4" w:rsidR="00641CEA" w:rsidRPr="00641CEA" w:rsidRDefault="00641CEA" w:rsidP="00641CEA">
      <w:pPr>
        <w:spacing w:afterLines="120" w:after="288"/>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 xml:space="preserve">This section specifies that the </w:t>
      </w:r>
      <w:r w:rsidR="00A360F1">
        <w:rPr>
          <w:rFonts w:ascii="Times New Roman" w:eastAsia="Times New Roman" w:hAnsi="Times New Roman" w:cs="Times New Roman"/>
          <w:lang w:eastAsia="en-AU"/>
        </w:rPr>
        <w:t>Regulations</w:t>
      </w:r>
      <w:r w:rsidRPr="00641CEA">
        <w:rPr>
          <w:rFonts w:ascii="Times New Roman" w:eastAsia="Times New Roman" w:hAnsi="Times New Roman" w:cs="Times New Roman"/>
          <w:lang w:eastAsia="en-AU"/>
        </w:rPr>
        <w:t xml:space="preserve"> made under sub-item 19(3) of Schedule 1 to the Amendment Act.</w:t>
      </w:r>
    </w:p>
    <w:p w14:paraId="3F252CD2" w14:textId="77777777" w:rsidR="00641CEA" w:rsidRPr="00641CEA" w:rsidRDefault="00641CEA" w:rsidP="00641CEA">
      <w:pPr>
        <w:spacing w:afterLines="120" w:after="288"/>
        <w:rPr>
          <w:rFonts w:ascii="Times New Roman" w:eastAsia="Times New Roman" w:hAnsi="Times New Roman" w:cs="Times New Roman"/>
          <w:u w:val="single"/>
          <w:lang w:eastAsia="en-AU"/>
        </w:rPr>
      </w:pPr>
      <w:r w:rsidRPr="00641CEA">
        <w:rPr>
          <w:rFonts w:ascii="Times New Roman" w:eastAsia="Times New Roman" w:hAnsi="Times New Roman" w:cs="Times New Roman"/>
          <w:u w:val="single"/>
          <w:lang w:eastAsia="en-AU"/>
        </w:rPr>
        <w:t>Section 4 – Schedules</w:t>
      </w:r>
    </w:p>
    <w:p w14:paraId="1035491C" w14:textId="3F62E9DF" w:rsidR="00641CEA" w:rsidRPr="00641CEA" w:rsidRDefault="00641CEA" w:rsidP="00641CEA">
      <w:pPr>
        <w:spacing w:afterLines="120" w:after="288"/>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 xml:space="preserve">This section provides that each instrument that is specified in a Schedule to the </w:t>
      </w:r>
      <w:r w:rsidR="00A360F1">
        <w:rPr>
          <w:rFonts w:ascii="Times New Roman" w:eastAsia="Times New Roman" w:hAnsi="Times New Roman" w:cs="Times New Roman"/>
          <w:lang w:eastAsia="en-AU"/>
        </w:rPr>
        <w:t>Regulations</w:t>
      </w:r>
      <w:r w:rsidR="00A360F1" w:rsidRPr="00641CEA">
        <w:rPr>
          <w:rFonts w:ascii="Times New Roman" w:eastAsia="Times New Roman" w:hAnsi="Times New Roman" w:cs="Times New Roman"/>
          <w:lang w:eastAsia="en-AU"/>
        </w:rPr>
        <w:t xml:space="preserve"> </w:t>
      </w:r>
      <w:r w:rsidRPr="00641CEA">
        <w:rPr>
          <w:rFonts w:ascii="Times New Roman" w:eastAsia="Times New Roman" w:hAnsi="Times New Roman" w:cs="Times New Roman"/>
          <w:lang w:eastAsia="en-AU"/>
        </w:rPr>
        <w:t xml:space="preserve">is amended or repealed as set out in the applicable items in the Schedule concerned, and any other item in a Schedule to the </w:t>
      </w:r>
      <w:r w:rsidR="00A360F1">
        <w:rPr>
          <w:rFonts w:ascii="Times New Roman" w:eastAsia="Times New Roman" w:hAnsi="Times New Roman" w:cs="Times New Roman"/>
          <w:lang w:eastAsia="en-AU"/>
        </w:rPr>
        <w:t>Regulations</w:t>
      </w:r>
      <w:r w:rsidR="00A360F1" w:rsidRPr="00641CEA">
        <w:rPr>
          <w:rFonts w:ascii="Times New Roman" w:eastAsia="Times New Roman" w:hAnsi="Times New Roman" w:cs="Times New Roman"/>
          <w:lang w:eastAsia="en-AU"/>
        </w:rPr>
        <w:t xml:space="preserve"> </w:t>
      </w:r>
      <w:r w:rsidRPr="00641CEA">
        <w:rPr>
          <w:rFonts w:ascii="Times New Roman" w:eastAsia="Times New Roman" w:hAnsi="Times New Roman" w:cs="Times New Roman"/>
          <w:lang w:eastAsia="en-AU"/>
        </w:rPr>
        <w:t>has effect according to its terms.</w:t>
      </w:r>
    </w:p>
    <w:p w14:paraId="67428253" w14:textId="77777777" w:rsidR="00641CEA" w:rsidRPr="00641CEA" w:rsidRDefault="00641CEA" w:rsidP="00641CEA">
      <w:pPr>
        <w:rPr>
          <w:rFonts w:ascii="Times New Roman" w:eastAsia="Times New Roman" w:hAnsi="Times New Roman" w:cs="Times New Roman"/>
          <w:u w:val="single"/>
          <w:lang w:eastAsia="en-AU"/>
        </w:rPr>
      </w:pPr>
      <w:r w:rsidRPr="00641CEA">
        <w:rPr>
          <w:rFonts w:ascii="Times New Roman" w:eastAsia="Times New Roman" w:hAnsi="Times New Roman" w:cs="Times New Roman"/>
          <w:u w:val="single"/>
          <w:lang w:eastAsia="en-AU"/>
        </w:rPr>
        <w:t>Section 5 – Definitions</w:t>
      </w:r>
    </w:p>
    <w:p w14:paraId="7D8E8B1B" w14:textId="50B2F889" w:rsidR="00641CEA" w:rsidRPr="00641CEA" w:rsidRDefault="00641CEA" w:rsidP="00641CEA">
      <w:pPr>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 xml:space="preserve">This section provides that in the </w:t>
      </w:r>
      <w:r w:rsidR="00A360F1">
        <w:rPr>
          <w:rFonts w:ascii="Times New Roman" w:eastAsia="Times New Roman" w:hAnsi="Times New Roman" w:cs="Times New Roman"/>
          <w:lang w:eastAsia="en-AU"/>
        </w:rPr>
        <w:t>Regulations</w:t>
      </w:r>
      <w:r w:rsidR="00A360F1" w:rsidRPr="00641CEA">
        <w:rPr>
          <w:rFonts w:ascii="Times New Roman" w:eastAsia="Times New Roman" w:hAnsi="Times New Roman" w:cs="Times New Roman"/>
          <w:lang w:eastAsia="en-AU"/>
        </w:rPr>
        <w:t xml:space="preserve"> </w:t>
      </w:r>
      <w:r w:rsidRPr="00641CEA">
        <w:rPr>
          <w:rFonts w:ascii="Times New Roman" w:eastAsia="Times New Roman" w:hAnsi="Times New Roman" w:cs="Times New Roman"/>
          <w:lang w:eastAsia="en-AU"/>
        </w:rPr>
        <w:t>‘Act’ means the Amendment Act.</w:t>
      </w:r>
    </w:p>
    <w:p w14:paraId="607B8CA8" w14:textId="77777777" w:rsidR="00641CEA" w:rsidRPr="00641CEA" w:rsidRDefault="00641CEA" w:rsidP="00641CEA">
      <w:pPr>
        <w:rPr>
          <w:rFonts w:ascii="Times New Roman" w:eastAsia="Times New Roman" w:hAnsi="Times New Roman" w:cs="Times New Roman"/>
          <w:lang w:eastAsia="en-AU"/>
        </w:rPr>
      </w:pPr>
    </w:p>
    <w:p w14:paraId="7ED000FD" w14:textId="7457B1F3" w:rsidR="00641CEA" w:rsidRPr="00641CEA" w:rsidRDefault="00641CEA" w:rsidP="00641CEA">
      <w:pPr>
        <w:spacing w:line="360" w:lineRule="auto"/>
        <w:rPr>
          <w:rFonts w:ascii="Times New Roman" w:eastAsia="Times New Roman" w:hAnsi="Times New Roman" w:cs="Times New Roman"/>
          <w:b/>
          <w:u w:val="single"/>
          <w:lang w:eastAsia="en-AU"/>
        </w:rPr>
      </w:pPr>
      <w:r w:rsidRPr="00641CEA">
        <w:rPr>
          <w:rFonts w:ascii="Times New Roman" w:eastAsia="Times New Roman" w:hAnsi="Times New Roman" w:cs="Times New Roman"/>
          <w:b/>
          <w:u w:val="single"/>
          <w:lang w:eastAsia="en-AU"/>
        </w:rPr>
        <w:t xml:space="preserve">Part 2 </w:t>
      </w:r>
      <w:r w:rsidR="00394A36">
        <w:rPr>
          <w:rFonts w:ascii="Times New Roman" w:eastAsia="Times New Roman" w:hAnsi="Times New Roman" w:cs="Times New Roman"/>
          <w:b/>
          <w:u w:val="single"/>
          <w:lang w:eastAsia="en-AU"/>
        </w:rPr>
        <w:t>– Application of amendments to state and t</w:t>
      </w:r>
      <w:r w:rsidRPr="00641CEA">
        <w:rPr>
          <w:rFonts w:ascii="Times New Roman" w:eastAsia="Times New Roman" w:hAnsi="Times New Roman" w:cs="Times New Roman"/>
          <w:b/>
          <w:u w:val="single"/>
          <w:lang w:eastAsia="en-AU"/>
        </w:rPr>
        <w:t>erritory court proceedings</w:t>
      </w:r>
    </w:p>
    <w:p w14:paraId="0CC2E2B3" w14:textId="13AFCAAB" w:rsidR="00641CEA" w:rsidRPr="00641CEA" w:rsidRDefault="00641CEA" w:rsidP="00641CEA">
      <w:pPr>
        <w:spacing w:line="360" w:lineRule="auto"/>
        <w:rPr>
          <w:rFonts w:ascii="Times New Roman" w:eastAsia="Times New Roman" w:hAnsi="Times New Roman" w:cs="Times New Roman"/>
          <w:u w:val="single"/>
          <w:lang w:eastAsia="en-AU"/>
        </w:rPr>
      </w:pPr>
      <w:r w:rsidRPr="00641CEA">
        <w:rPr>
          <w:rFonts w:ascii="Times New Roman" w:eastAsia="Times New Roman" w:hAnsi="Times New Roman" w:cs="Times New Roman"/>
          <w:u w:val="single"/>
          <w:lang w:eastAsia="en-AU"/>
        </w:rPr>
        <w:t xml:space="preserve">Section 6 </w:t>
      </w:r>
      <w:r w:rsidR="00394A36">
        <w:rPr>
          <w:rFonts w:ascii="Times New Roman" w:eastAsia="Times New Roman" w:hAnsi="Times New Roman" w:cs="Times New Roman"/>
          <w:u w:val="single"/>
          <w:lang w:eastAsia="en-AU"/>
        </w:rPr>
        <w:t>– Application of amendments to state and t</w:t>
      </w:r>
      <w:r w:rsidRPr="00641CEA">
        <w:rPr>
          <w:rFonts w:ascii="Times New Roman" w:eastAsia="Times New Roman" w:hAnsi="Times New Roman" w:cs="Times New Roman"/>
          <w:u w:val="single"/>
          <w:lang w:eastAsia="en-AU"/>
        </w:rPr>
        <w:t>erritory court proceedings</w:t>
      </w:r>
    </w:p>
    <w:p w14:paraId="2B7F9903" w14:textId="6CEA3689" w:rsidR="00641CEA" w:rsidRPr="00641CEA" w:rsidRDefault="00641CEA" w:rsidP="00641CEA">
      <w:pPr>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This section provides that for the purposes of sub-item 19(2) of Schedule 1 to the Act, the amendments made by that Schedule apply to a proceeding</w:t>
      </w:r>
      <w:r w:rsidR="00624016">
        <w:rPr>
          <w:rFonts w:ascii="Times New Roman" w:eastAsia="Times New Roman" w:hAnsi="Times New Roman" w:cs="Times New Roman"/>
          <w:lang w:eastAsia="en-AU"/>
        </w:rPr>
        <w:t xml:space="preserve"> (commencing on or after 1 October 2021)</w:t>
      </w:r>
      <w:r w:rsidRPr="00641CEA">
        <w:rPr>
          <w:rFonts w:ascii="Times New Roman" w:eastAsia="Times New Roman" w:hAnsi="Times New Roman" w:cs="Times New Roman"/>
          <w:lang w:eastAsia="en-AU"/>
        </w:rPr>
        <w:t xml:space="preserve"> mentione</w:t>
      </w:r>
      <w:r w:rsidR="00624016">
        <w:rPr>
          <w:rFonts w:ascii="Times New Roman" w:eastAsia="Times New Roman" w:hAnsi="Times New Roman" w:cs="Times New Roman"/>
          <w:lang w:eastAsia="en-AU"/>
        </w:rPr>
        <w:t xml:space="preserve">d in sub-item 20(2) of the Act, </w:t>
      </w:r>
      <w:r w:rsidRPr="00641CEA">
        <w:rPr>
          <w:rFonts w:ascii="Times New Roman" w:eastAsia="Times New Roman" w:hAnsi="Times New Roman" w:cs="Times New Roman"/>
          <w:lang w:eastAsia="en-AU"/>
        </w:rPr>
        <w:t>in a</w:t>
      </w:r>
      <w:r w:rsidR="00394A36">
        <w:rPr>
          <w:rFonts w:ascii="Times New Roman" w:eastAsia="Times New Roman" w:hAnsi="Times New Roman" w:cs="Times New Roman"/>
          <w:lang w:eastAsia="en-AU"/>
        </w:rPr>
        <w:t xml:space="preserve"> court of any of the following states and t</w:t>
      </w:r>
      <w:r w:rsidRPr="00641CEA">
        <w:rPr>
          <w:rFonts w:ascii="Times New Roman" w:eastAsia="Times New Roman" w:hAnsi="Times New Roman" w:cs="Times New Roman"/>
          <w:lang w:eastAsia="en-AU"/>
        </w:rPr>
        <w:t>erritories:</w:t>
      </w:r>
    </w:p>
    <w:p w14:paraId="591DD377" w14:textId="77777777" w:rsidR="00641CEA" w:rsidRPr="00641CEA" w:rsidRDefault="00641CEA" w:rsidP="00641CEA">
      <w:pPr>
        <w:numPr>
          <w:ilvl w:val="0"/>
          <w:numId w:val="18"/>
        </w:numPr>
        <w:contextualSpacing/>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Western Australia;</w:t>
      </w:r>
    </w:p>
    <w:p w14:paraId="68467217" w14:textId="77777777" w:rsidR="00641CEA" w:rsidRPr="00641CEA" w:rsidRDefault="00641CEA" w:rsidP="00641CEA">
      <w:pPr>
        <w:numPr>
          <w:ilvl w:val="0"/>
          <w:numId w:val="18"/>
        </w:numPr>
        <w:contextualSpacing/>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South Australia;</w:t>
      </w:r>
    </w:p>
    <w:p w14:paraId="7193D1D7" w14:textId="77777777" w:rsidR="00641CEA" w:rsidRPr="00641CEA" w:rsidRDefault="00641CEA" w:rsidP="00641CEA">
      <w:pPr>
        <w:numPr>
          <w:ilvl w:val="0"/>
          <w:numId w:val="18"/>
        </w:numPr>
        <w:contextualSpacing/>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Tasmania;</w:t>
      </w:r>
    </w:p>
    <w:p w14:paraId="4EE61E1D" w14:textId="77777777" w:rsidR="00641CEA" w:rsidRPr="00641CEA" w:rsidRDefault="00641CEA" w:rsidP="00641CEA">
      <w:pPr>
        <w:numPr>
          <w:ilvl w:val="0"/>
          <w:numId w:val="18"/>
        </w:numPr>
        <w:contextualSpacing/>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the Australia Capital Territory;</w:t>
      </w:r>
    </w:p>
    <w:p w14:paraId="094A342A" w14:textId="16CBD6EE" w:rsidR="00641CEA" w:rsidRPr="008C6FEC" w:rsidRDefault="00641CEA" w:rsidP="008C6FEC">
      <w:pPr>
        <w:numPr>
          <w:ilvl w:val="0"/>
          <w:numId w:val="18"/>
        </w:numPr>
        <w:contextualSpacing/>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the Northern Territory.</w:t>
      </w:r>
    </w:p>
    <w:p w14:paraId="7EBFE940" w14:textId="77777777" w:rsidR="00641CEA" w:rsidRDefault="00641CEA" w:rsidP="00641CEA">
      <w:pPr>
        <w:ind w:left="720"/>
        <w:contextualSpacing/>
        <w:rPr>
          <w:rFonts w:ascii="Times New Roman" w:eastAsia="Times New Roman" w:hAnsi="Times New Roman" w:cs="Times New Roman"/>
          <w:lang w:eastAsia="en-AU"/>
        </w:rPr>
      </w:pPr>
    </w:p>
    <w:p w14:paraId="12D6C8B6" w14:textId="77777777" w:rsidR="00A607D0" w:rsidRPr="00641CEA" w:rsidRDefault="00A607D0" w:rsidP="00641CEA">
      <w:pPr>
        <w:ind w:left="720"/>
        <w:contextualSpacing/>
        <w:rPr>
          <w:rFonts w:ascii="Times New Roman" w:eastAsia="Times New Roman" w:hAnsi="Times New Roman" w:cs="Times New Roman"/>
          <w:lang w:eastAsia="en-AU"/>
        </w:rPr>
      </w:pPr>
    </w:p>
    <w:p w14:paraId="5E26D80E" w14:textId="6D323376" w:rsidR="00482F79" w:rsidRDefault="00482F79" w:rsidP="00482F79">
      <w:pPr>
        <w:spacing w:after="240"/>
        <w:rPr>
          <w:rFonts w:ascii="Times New Roman" w:eastAsia="Times New Roman" w:hAnsi="Times New Roman" w:cs="Times New Roman"/>
          <w:lang w:eastAsia="en-AU"/>
        </w:rPr>
      </w:pPr>
      <w:r w:rsidRPr="00482F79">
        <w:rPr>
          <w:rFonts w:ascii="Times New Roman" w:eastAsia="Times New Roman" w:hAnsi="Times New Roman" w:cs="Times New Roman"/>
          <w:lang w:eastAsia="en-AU"/>
        </w:rPr>
        <w:lastRenderedPageBreak/>
        <w:t>This means that the amendments to the Act made by the Amendment Act apply to criminal proceedings, related civil proceedings, and proceeds of crime proceedings in each of these jurisdictions commencing on or after 1 October 2021 as a result of their listing in the Regulations.</w:t>
      </w:r>
    </w:p>
    <w:p w14:paraId="0A4D6764" w14:textId="77777777" w:rsidR="00482F79" w:rsidRPr="00482F79" w:rsidRDefault="00482F79" w:rsidP="00482F79">
      <w:pPr>
        <w:spacing w:after="240"/>
        <w:rPr>
          <w:rFonts w:ascii="Times New Roman" w:eastAsia="Times New Roman" w:hAnsi="Times New Roman" w:cs="Times New Roman"/>
          <w:lang w:eastAsia="en-AU"/>
        </w:rPr>
      </w:pPr>
    </w:p>
    <w:p w14:paraId="639CD9B6" w14:textId="77777777" w:rsidR="00641CEA" w:rsidRPr="00641CEA" w:rsidRDefault="00641CEA" w:rsidP="00641CEA">
      <w:pPr>
        <w:rPr>
          <w:rFonts w:ascii="Times New Roman" w:eastAsia="Times New Roman" w:hAnsi="Times New Roman" w:cs="Times New Roman"/>
          <w:b/>
          <w:u w:val="single"/>
          <w:lang w:eastAsia="en-AU"/>
        </w:rPr>
      </w:pPr>
      <w:r w:rsidRPr="00641CEA">
        <w:rPr>
          <w:rFonts w:ascii="Times New Roman" w:eastAsia="Times New Roman" w:hAnsi="Times New Roman" w:cs="Times New Roman"/>
          <w:b/>
          <w:u w:val="single"/>
          <w:lang w:eastAsia="en-AU"/>
        </w:rPr>
        <w:t>Schedule 1 – Repeals</w:t>
      </w:r>
    </w:p>
    <w:p w14:paraId="13591747" w14:textId="77777777" w:rsidR="00641CEA" w:rsidRPr="00641CEA" w:rsidRDefault="00641CEA" w:rsidP="00641CEA">
      <w:pPr>
        <w:rPr>
          <w:rFonts w:ascii="Times New Roman" w:eastAsia="Times New Roman" w:hAnsi="Times New Roman" w:cs="Times New Roman"/>
          <w:lang w:eastAsia="en-AU"/>
        </w:rPr>
      </w:pPr>
      <w:r w:rsidRPr="00641CEA">
        <w:rPr>
          <w:rFonts w:ascii="Times New Roman" w:eastAsia="Times New Roman" w:hAnsi="Times New Roman" w:cs="Times New Roman"/>
          <w:lang w:eastAsia="en-AU"/>
        </w:rPr>
        <w:t xml:space="preserve">The Schedule repeals the whole of the </w:t>
      </w:r>
      <w:r w:rsidRPr="00624016">
        <w:rPr>
          <w:rFonts w:ascii="Times New Roman" w:eastAsia="Times New Roman" w:hAnsi="Times New Roman" w:cs="Times New Roman"/>
          <w:lang w:eastAsia="en-AU"/>
        </w:rPr>
        <w:t>Foreign Evidence (Application of Amendments) Regulations 2011.</w:t>
      </w:r>
    </w:p>
    <w:p w14:paraId="7F1B2E35" w14:textId="21CAEF5E" w:rsidR="00E876FA" w:rsidRPr="005D715F" w:rsidRDefault="00E876FA" w:rsidP="005D715F">
      <w:pPr>
        <w:spacing w:line="360" w:lineRule="auto"/>
        <w:rPr>
          <w:rFonts w:ascii="Times New Roman" w:hAnsi="Times New Roman"/>
        </w:rPr>
      </w:pPr>
    </w:p>
    <w:sectPr w:rsidR="00E876FA" w:rsidRPr="005D715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D6350" w14:textId="77777777" w:rsidR="00FC1101" w:rsidRDefault="00FC1101" w:rsidP="0002636A">
      <w:pPr>
        <w:spacing w:after="0" w:line="240" w:lineRule="auto"/>
      </w:pPr>
      <w:r>
        <w:separator/>
      </w:r>
    </w:p>
  </w:endnote>
  <w:endnote w:type="continuationSeparator" w:id="0">
    <w:p w14:paraId="0DE4AE99" w14:textId="77777777" w:rsidR="00FC1101" w:rsidRDefault="00FC1101"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7407B7" w:rsidRDefault="007407B7">
        <w:pPr>
          <w:pStyle w:val="Footer"/>
          <w:jc w:val="right"/>
        </w:pPr>
        <w:r>
          <w:fldChar w:fldCharType="begin"/>
        </w:r>
        <w:r>
          <w:instrText xml:space="preserve"> PAGE   \* MERGEFORMAT </w:instrText>
        </w:r>
        <w:r>
          <w:fldChar w:fldCharType="separate"/>
        </w:r>
        <w:r w:rsidR="00B83708">
          <w:rPr>
            <w:noProof/>
          </w:rPr>
          <w:t>1</w:t>
        </w:r>
        <w:r>
          <w:rPr>
            <w:noProof/>
          </w:rPr>
          <w:fldChar w:fldCharType="end"/>
        </w:r>
      </w:p>
    </w:sdtContent>
  </w:sdt>
  <w:p w14:paraId="09BFDD05" w14:textId="77777777" w:rsidR="007407B7" w:rsidRDefault="00740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EFE61" w14:textId="77777777" w:rsidR="00FC1101" w:rsidRDefault="00FC1101" w:rsidP="0002636A">
      <w:pPr>
        <w:spacing w:after="0" w:line="240" w:lineRule="auto"/>
      </w:pPr>
      <w:r>
        <w:separator/>
      </w:r>
    </w:p>
  </w:footnote>
  <w:footnote w:type="continuationSeparator" w:id="0">
    <w:p w14:paraId="7B43626C" w14:textId="77777777" w:rsidR="00FC1101" w:rsidRDefault="00FC1101"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961C4"/>
    <w:multiLevelType w:val="hybridMultilevel"/>
    <w:tmpl w:val="11AC4758"/>
    <w:lvl w:ilvl="0" w:tplc="F842B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FD1948"/>
    <w:multiLevelType w:val="hybridMultilevel"/>
    <w:tmpl w:val="0C3EF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A67817"/>
    <w:multiLevelType w:val="hybridMultilevel"/>
    <w:tmpl w:val="4EC8AEEA"/>
    <w:lvl w:ilvl="0" w:tplc="43A450B0">
      <w:start w:val="1"/>
      <w:numFmt w:val="bullet"/>
      <w:lvlText w:val=""/>
      <w:lvlJc w:val="left"/>
      <w:pPr>
        <w:ind w:left="720" w:hanging="360"/>
      </w:pPr>
      <w:rPr>
        <w:rFonts w:ascii="Symbol" w:hAnsi="Symbol" w:hint="default"/>
      </w:rPr>
    </w:lvl>
    <w:lvl w:ilvl="1" w:tplc="F820666C">
      <w:numFmt w:val="bullet"/>
      <w:lvlText w:val="-"/>
      <w:lvlJc w:val="left"/>
      <w:pPr>
        <w:ind w:left="1320" w:hanging="240"/>
      </w:pPr>
      <w:rPr>
        <w:rFonts w:asciiTheme="minorHAnsi" w:eastAsiaTheme="minorHAnsi" w:hAnsiTheme="minorHAns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B60E20"/>
    <w:multiLevelType w:val="hybridMultilevel"/>
    <w:tmpl w:val="CD6638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E5F0157"/>
    <w:multiLevelType w:val="hybridMultilevel"/>
    <w:tmpl w:val="3F5C0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95434B"/>
    <w:multiLevelType w:val="hybridMultilevel"/>
    <w:tmpl w:val="0656665A"/>
    <w:lvl w:ilvl="0" w:tplc="09543F0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
  </w:num>
  <w:num w:numId="3">
    <w:abstractNumId w:val="10"/>
  </w:num>
  <w:num w:numId="4">
    <w:abstractNumId w:val="16"/>
  </w:num>
  <w:num w:numId="5">
    <w:abstractNumId w:val="3"/>
  </w:num>
  <w:num w:numId="6">
    <w:abstractNumId w:val="17"/>
  </w:num>
  <w:num w:numId="7">
    <w:abstractNumId w:val="0"/>
  </w:num>
  <w:num w:numId="8">
    <w:abstractNumId w:val="9"/>
  </w:num>
  <w:num w:numId="9">
    <w:abstractNumId w:val="4"/>
  </w:num>
  <w:num w:numId="10">
    <w:abstractNumId w:val="14"/>
  </w:num>
  <w:num w:numId="11">
    <w:abstractNumId w:val="13"/>
  </w:num>
  <w:num w:numId="12">
    <w:abstractNumId w:val="11"/>
  </w:num>
  <w:num w:numId="13">
    <w:abstractNumId w:val="6"/>
  </w:num>
  <w:num w:numId="14">
    <w:abstractNumId w:val="12"/>
  </w:num>
  <w:num w:numId="15">
    <w:abstractNumId w:val="15"/>
  </w:num>
  <w:num w:numId="16">
    <w:abstractNumId w:val="5"/>
  </w:num>
  <w:num w:numId="17">
    <w:abstractNumId w:val="18"/>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2711D"/>
    <w:rsid w:val="00033256"/>
    <w:rsid w:val="00037AD3"/>
    <w:rsid w:val="000415BA"/>
    <w:rsid w:val="00043840"/>
    <w:rsid w:val="000754D9"/>
    <w:rsid w:val="00092565"/>
    <w:rsid w:val="000A66BD"/>
    <w:rsid w:val="000E1EA1"/>
    <w:rsid w:val="000E2C80"/>
    <w:rsid w:val="000F0FB1"/>
    <w:rsid w:val="000F61C3"/>
    <w:rsid w:val="0010249F"/>
    <w:rsid w:val="0010364C"/>
    <w:rsid w:val="00106CBA"/>
    <w:rsid w:val="00111524"/>
    <w:rsid w:val="00115802"/>
    <w:rsid w:val="00116A0C"/>
    <w:rsid w:val="0011794E"/>
    <w:rsid w:val="00132863"/>
    <w:rsid w:val="001408AA"/>
    <w:rsid w:val="001469C7"/>
    <w:rsid w:val="00151BFB"/>
    <w:rsid w:val="001532C5"/>
    <w:rsid w:val="00153B60"/>
    <w:rsid w:val="00157C57"/>
    <w:rsid w:val="0017632E"/>
    <w:rsid w:val="00182343"/>
    <w:rsid w:val="00186EFA"/>
    <w:rsid w:val="00195A18"/>
    <w:rsid w:val="001C41A0"/>
    <w:rsid w:val="001C4696"/>
    <w:rsid w:val="001D3031"/>
    <w:rsid w:val="002311EF"/>
    <w:rsid w:val="00243C52"/>
    <w:rsid w:val="0026109C"/>
    <w:rsid w:val="00262B9E"/>
    <w:rsid w:val="0029433E"/>
    <w:rsid w:val="002B361E"/>
    <w:rsid w:val="002C5B76"/>
    <w:rsid w:val="002E2783"/>
    <w:rsid w:val="00304DEE"/>
    <w:rsid w:val="0032767A"/>
    <w:rsid w:val="00334FDA"/>
    <w:rsid w:val="00343ACE"/>
    <w:rsid w:val="003516FD"/>
    <w:rsid w:val="0035736F"/>
    <w:rsid w:val="0035742A"/>
    <w:rsid w:val="00357F9B"/>
    <w:rsid w:val="00361F57"/>
    <w:rsid w:val="00381AEC"/>
    <w:rsid w:val="00394A36"/>
    <w:rsid w:val="003B5D6E"/>
    <w:rsid w:val="003B6050"/>
    <w:rsid w:val="003C5E68"/>
    <w:rsid w:val="003C6789"/>
    <w:rsid w:val="003E2174"/>
    <w:rsid w:val="003F7AE1"/>
    <w:rsid w:val="00423C94"/>
    <w:rsid w:val="00424D91"/>
    <w:rsid w:val="00443054"/>
    <w:rsid w:val="0045539A"/>
    <w:rsid w:val="0046345F"/>
    <w:rsid w:val="00463D42"/>
    <w:rsid w:val="004709FE"/>
    <w:rsid w:val="00482F79"/>
    <w:rsid w:val="0049094A"/>
    <w:rsid w:val="004A0438"/>
    <w:rsid w:val="004A14A0"/>
    <w:rsid w:val="004A4086"/>
    <w:rsid w:val="004B3C03"/>
    <w:rsid w:val="004B52A4"/>
    <w:rsid w:val="004C08BF"/>
    <w:rsid w:val="004F430F"/>
    <w:rsid w:val="004F7EC2"/>
    <w:rsid w:val="0050398F"/>
    <w:rsid w:val="00505EC2"/>
    <w:rsid w:val="00517365"/>
    <w:rsid w:val="00520243"/>
    <w:rsid w:val="00521029"/>
    <w:rsid w:val="0053489C"/>
    <w:rsid w:val="00534B68"/>
    <w:rsid w:val="00554F4F"/>
    <w:rsid w:val="005554CC"/>
    <w:rsid w:val="00555ACA"/>
    <w:rsid w:val="005560C5"/>
    <w:rsid w:val="00563C1F"/>
    <w:rsid w:val="00566C9B"/>
    <w:rsid w:val="00576B22"/>
    <w:rsid w:val="005B6859"/>
    <w:rsid w:val="005C221A"/>
    <w:rsid w:val="005C6B4B"/>
    <w:rsid w:val="005C736A"/>
    <w:rsid w:val="005D194A"/>
    <w:rsid w:val="005D715F"/>
    <w:rsid w:val="00624016"/>
    <w:rsid w:val="0063239B"/>
    <w:rsid w:val="00634AE9"/>
    <w:rsid w:val="00635C6A"/>
    <w:rsid w:val="00641CEA"/>
    <w:rsid w:val="006501C2"/>
    <w:rsid w:val="00657739"/>
    <w:rsid w:val="00665A00"/>
    <w:rsid w:val="00670C8D"/>
    <w:rsid w:val="0067403C"/>
    <w:rsid w:val="00674543"/>
    <w:rsid w:val="006907A9"/>
    <w:rsid w:val="006C0560"/>
    <w:rsid w:val="006D4E55"/>
    <w:rsid w:val="006E7FDA"/>
    <w:rsid w:val="007141C7"/>
    <w:rsid w:val="007407B7"/>
    <w:rsid w:val="007446AC"/>
    <w:rsid w:val="00755DA4"/>
    <w:rsid w:val="007664D0"/>
    <w:rsid w:val="00786275"/>
    <w:rsid w:val="007B18C6"/>
    <w:rsid w:val="007B7195"/>
    <w:rsid w:val="007E6E73"/>
    <w:rsid w:val="007F1D53"/>
    <w:rsid w:val="007F3CAD"/>
    <w:rsid w:val="007F6411"/>
    <w:rsid w:val="00802B59"/>
    <w:rsid w:val="00820025"/>
    <w:rsid w:val="0086397E"/>
    <w:rsid w:val="00872B27"/>
    <w:rsid w:val="00875147"/>
    <w:rsid w:val="0087629A"/>
    <w:rsid w:val="00877C1C"/>
    <w:rsid w:val="008844E4"/>
    <w:rsid w:val="008850D8"/>
    <w:rsid w:val="00894D9D"/>
    <w:rsid w:val="008B2955"/>
    <w:rsid w:val="008C3886"/>
    <w:rsid w:val="008C4D9C"/>
    <w:rsid w:val="008C6FEC"/>
    <w:rsid w:val="008D75D6"/>
    <w:rsid w:val="008F2A5A"/>
    <w:rsid w:val="00902F3D"/>
    <w:rsid w:val="00911332"/>
    <w:rsid w:val="009172B1"/>
    <w:rsid w:val="009227B6"/>
    <w:rsid w:val="0092511D"/>
    <w:rsid w:val="00926DE9"/>
    <w:rsid w:val="00945FEF"/>
    <w:rsid w:val="00957401"/>
    <w:rsid w:val="009601BB"/>
    <w:rsid w:val="0096024A"/>
    <w:rsid w:val="00970F7A"/>
    <w:rsid w:val="009A521E"/>
    <w:rsid w:val="009A6818"/>
    <w:rsid w:val="009B12BB"/>
    <w:rsid w:val="009B1F88"/>
    <w:rsid w:val="009B6322"/>
    <w:rsid w:val="009C0BE2"/>
    <w:rsid w:val="009C27E8"/>
    <w:rsid w:val="009D2B82"/>
    <w:rsid w:val="00A04839"/>
    <w:rsid w:val="00A22C5C"/>
    <w:rsid w:val="00A360F1"/>
    <w:rsid w:val="00A372C8"/>
    <w:rsid w:val="00A607D0"/>
    <w:rsid w:val="00A7732B"/>
    <w:rsid w:val="00A80A14"/>
    <w:rsid w:val="00AA0474"/>
    <w:rsid w:val="00AB3F89"/>
    <w:rsid w:val="00AC1D42"/>
    <w:rsid w:val="00AC281A"/>
    <w:rsid w:val="00AC39E5"/>
    <w:rsid w:val="00AD0E82"/>
    <w:rsid w:val="00AE4AD2"/>
    <w:rsid w:val="00AF0C63"/>
    <w:rsid w:val="00AF673F"/>
    <w:rsid w:val="00B04C16"/>
    <w:rsid w:val="00B20E8E"/>
    <w:rsid w:val="00B23F8D"/>
    <w:rsid w:val="00B273E1"/>
    <w:rsid w:val="00B27F0A"/>
    <w:rsid w:val="00B427D5"/>
    <w:rsid w:val="00B53014"/>
    <w:rsid w:val="00B57503"/>
    <w:rsid w:val="00B757F3"/>
    <w:rsid w:val="00B828BC"/>
    <w:rsid w:val="00B83708"/>
    <w:rsid w:val="00B939A2"/>
    <w:rsid w:val="00B93BDC"/>
    <w:rsid w:val="00BA3F3C"/>
    <w:rsid w:val="00BC3DD0"/>
    <w:rsid w:val="00BE12F1"/>
    <w:rsid w:val="00BF6606"/>
    <w:rsid w:val="00C003D5"/>
    <w:rsid w:val="00C019D2"/>
    <w:rsid w:val="00C15F16"/>
    <w:rsid w:val="00C16B35"/>
    <w:rsid w:val="00C202B7"/>
    <w:rsid w:val="00C24197"/>
    <w:rsid w:val="00C366A6"/>
    <w:rsid w:val="00C45E15"/>
    <w:rsid w:val="00C75EF2"/>
    <w:rsid w:val="00C858F4"/>
    <w:rsid w:val="00CB7117"/>
    <w:rsid w:val="00CC6272"/>
    <w:rsid w:val="00CE6485"/>
    <w:rsid w:val="00CF14E3"/>
    <w:rsid w:val="00D042AC"/>
    <w:rsid w:val="00D07A49"/>
    <w:rsid w:val="00D10B61"/>
    <w:rsid w:val="00D51A2A"/>
    <w:rsid w:val="00D6259C"/>
    <w:rsid w:val="00D67081"/>
    <w:rsid w:val="00DA72E3"/>
    <w:rsid w:val="00DB2DA6"/>
    <w:rsid w:val="00DB4289"/>
    <w:rsid w:val="00DB54AF"/>
    <w:rsid w:val="00DE3EE6"/>
    <w:rsid w:val="00DE6322"/>
    <w:rsid w:val="00E23B2F"/>
    <w:rsid w:val="00E44073"/>
    <w:rsid w:val="00E44285"/>
    <w:rsid w:val="00E44D13"/>
    <w:rsid w:val="00E53575"/>
    <w:rsid w:val="00E55CE7"/>
    <w:rsid w:val="00E63346"/>
    <w:rsid w:val="00E67CDC"/>
    <w:rsid w:val="00E70EAF"/>
    <w:rsid w:val="00E81349"/>
    <w:rsid w:val="00E876FA"/>
    <w:rsid w:val="00EA0FE4"/>
    <w:rsid w:val="00EA35E7"/>
    <w:rsid w:val="00ED0AD3"/>
    <w:rsid w:val="00ED357E"/>
    <w:rsid w:val="00EE2B67"/>
    <w:rsid w:val="00EF7DE5"/>
    <w:rsid w:val="00F033F0"/>
    <w:rsid w:val="00F10A91"/>
    <w:rsid w:val="00F11561"/>
    <w:rsid w:val="00F1166E"/>
    <w:rsid w:val="00F26896"/>
    <w:rsid w:val="00F33269"/>
    <w:rsid w:val="00F34F4C"/>
    <w:rsid w:val="00F769DC"/>
    <w:rsid w:val="00FA7B85"/>
    <w:rsid w:val="00FB5008"/>
    <w:rsid w:val="00FB7330"/>
    <w:rsid w:val="00FC1101"/>
    <w:rsid w:val="00FD1E11"/>
    <w:rsid w:val="00FE1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BD040AF5-74F7-49C8-8CB4-99067A6D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Celltext">
    <w:name w:val="Cell text"/>
    <w:basedOn w:val="Normal"/>
    <w:rsid w:val="00A04839"/>
    <w:pPr>
      <w:spacing w:before="120"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1E9E09-822E-437C-A61C-DA1431AC58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13C05E6182AF344AD725E218A72EE6A" ma:contentTypeVersion="" ma:contentTypeDescription="PDMS Document Site Content Type" ma:contentTypeScope="" ma:versionID="d46d46fda72458b8c803da97db28957f">
  <xsd:schema xmlns:xsd="http://www.w3.org/2001/XMLSchema" xmlns:xs="http://www.w3.org/2001/XMLSchema" xmlns:p="http://schemas.microsoft.com/office/2006/metadata/properties" xmlns:ns2="CD1E9E09-822E-437C-A61C-DA1431AC5833" targetNamespace="http://schemas.microsoft.com/office/2006/metadata/properties" ma:root="true" ma:fieldsID="b6f17417090297ad0abe8407bcfa8b10" ns2:_="">
    <xsd:import namespace="CD1E9E09-822E-437C-A61C-DA1431AC58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9E09-822E-437C-A61C-DA1431AC58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CD1E9E09-822E-437C-A61C-DA1431AC5833"/>
  </ds:schemaRefs>
</ds:datastoreItem>
</file>

<file path=customXml/itemProps2.xml><?xml version="1.0" encoding="utf-8"?>
<ds:datastoreItem xmlns:ds="http://schemas.openxmlformats.org/officeDocument/2006/customXml" ds:itemID="{DEC183FC-01D5-48C2-89DE-6A159ED51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9E09-822E-437C-A61C-DA1431AC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16BB6724-3E55-4343-9353-213C1956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Celliers, Anna</cp:lastModifiedBy>
  <cp:revision>5</cp:revision>
  <dcterms:created xsi:type="dcterms:W3CDTF">2021-03-25T05:32:00Z</dcterms:created>
  <dcterms:modified xsi:type="dcterms:W3CDTF">2021-06-10T02:06:00Z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0x010100266966F133664895A6EE3632470D45F500C13C05E6182AF344AD725E218A72EE6A</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