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5E5919F5" w14:textId="77777777" w:rsidTr="00A22E0D">
        <w:tc>
          <w:tcPr>
            <w:tcW w:w="4661" w:type="dxa"/>
          </w:tcPr>
          <w:p w14:paraId="3F91F50F" w14:textId="77777777" w:rsidR="00090A6F" w:rsidRPr="0000292B" w:rsidRDefault="00364B30">
            <w:pPr>
              <w:pStyle w:val="CoverStandard"/>
            </w:pPr>
            <w:r>
              <w:t>AASB</w:t>
            </w:r>
            <w:r w:rsidR="00831497">
              <w:t xml:space="preserve"> Standard</w:t>
            </w:r>
          </w:p>
        </w:tc>
        <w:tc>
          <w:tcPr>
            <w:tcW w:w="4661" w:type="dxa"/>
          </w:tcPr>
          <w:p w14:paraId="5D73199D" w14:textId="34265617" w:rsidR="00090A6F" w:rsidRPr="0000292B" w:rsidRDefault="00831497">
            <w:pPr>
              <w:pStyle w:val="CoverNumber"/>
            </w:pPr>
            <w:r>
              <w:t>AASB</w:t>
            </w:r>
            <w:r w:rsidR="00090A6F" w:rsidRPr="0000292B">
              <w:t xml:space="preserve"> </w:t>
            </w:r>
            <w:bookmarkStart w:id="0" w:name="DocNo"/>
            <w:r w:rsidR="004A3747">
              <w:t>20</w:t>
            </w:r>
            <w:r w:rsidR="0022041E">
              <w:t>21</w:t>
            </w:r>
            <w:r w:rsidR="00BC63EA">
              <w:t>-</w:t>
            </w:r>
            <w:r w:rsidR="00056E73">
              <w:t>4</w:t>
            </w:r>
            <w:bookmarkEnd w:id="0"/>
          </w:p>
          <w:p w14:paraId="23AA7BB8" w14:textId="7CB14E8C" w:rsidR="00090A6F" w:rsidRPr="0000292B" w:rsidRDefault="00CE40AF" w:rsidP="0020560B">
            <w:pPr>
              <w:pStyle w:val="CoverDate"/>
            </w:pPr>
            <w:bookmarkStart w:id="1" w:name="DocDate"/>
            <w:r>
              <w:t>June</w:t>
            </w:r>
            <w:r w:rsidR="004A3747">
              <w:t xml:space="preserve"> 20</w:t>
            </w:r>
            <w:r w:rsidR="0022041E">
              <w:t>2</w:t>
            </w:r>
            <w:r w:rsidR="0020560B">
              <w:t>1</w:t>
            </w:r>
            <w:bookmarkEnd w:id="1"/>
          </w:p>
        </w:tc>
      </w:tr>
    </w:tbl>
    <w:p w14:paraId="1B45BD39" w14:textId="030F76BD" w:rsidR="00090A6F" w:rsidRDefault="004A3747" w:rsidP="003C6B24">
      <w:pPr>
        <w:pStyle w:val="CoverTitle"/>
        <w:jc w:val="left"/>
      </w:pPr>
      <w:bookmarkStart w:id="2" w:name="DocTitle"/>
      <w:r>
        <w:t>Amendments to Australian Accounting Standard</w:t>
      </w:r>
      <w:r w:rsidR="0020560B">
        <w:t xml:space="preserve">s – </w:t>
      </w:r>
      <w:r w:rsidR="00932BF3" w:rsidRPr="00932BF3">
        <w:t>Modified Retrospective Transition Approach for Service Concession Grantors</w:t>
      </w:r>
      <w:bookmarkEnd w:id="2"/>
    </w:p>
    <w:p w14:paraId="5D78F8CA" w14:textId="1AA0CB59" w:rsidR="00737714" w:rsidRPr="00AE7679" w:rsidRDefault="00892DE1" w:rsidP="00AE7679">
      <w:pPr>
        <w:pStyle w:val="CoverTitle"/>
        <w:jc w:val="left"/>
        <w:rPr>
          <w:sz w:val="40"/>
          <w:szCs w:val="40"/>
        </w:rPr>
      </w:pPr>
      <w:r>
        <w:rPr>
          <w:sz w:val="40"/>
          <w:szCs w:val="40"/>
        </w:rPr>
        <w:t>[</w:t>
      </w:r>
      <w:r w:rsidRPr="004D4FDA">
        <w:rPr>
          <w:sz w:val="40"/>
          <w:szCs w:val="40"/>
        </w:rPr>
        <w:t>A</w:t>
      </w:r>
      <w:r w:rsidR="001E09E1">
        <w:rPr>
          <w:sz w:val="40"/>
          <w:szCs w:val="40"/>
        </w:rPr>
        <w:t>ASB 1059</w:t>
      </w:r>
      <w:r w:rsidRPr="004D4FDA">
        <w:rPr>
          <w:sz w:val="40"/>
          <w:szCs w:val="40"/>
        </w:rPr>
        <w:t>]</w:t>
      </w:r>
    </w:p>
    <w:p w14:paraId="04ED495C" w14:textId="77777777" w:rsidR="00090A6F" w:rsidRPr="0000292B" w:rsidRDefault="008B643A">
      <w:pPr>
        <w:sectPr w:rsidR="00090A6F" w:rsidRPr="0000292B" w:rsidSect="00D74C6A">
          <w:pgSz w:w="11907" w:h="16840" w:code="9"/>
          <w:pgMar w:top="1418" w:right="1418" w:bottom="1418" w:left="1418" w:header="709" w:footer="709" w:gutter="0"/>
          <w:paperSrc w:first="7" w:other="7"/>
          <w:cols w:space="720"/>
        </w:sectPr>
      </w:pPr>
      <w:r>
        <w:rPr>
          <w:noProof/>
          <w:lang w:eastAsia="en-AU"/>
        </w:rPr>
        <w:drawing>
          <wp:anchor distT="0" distB="0" distL="114300" distR="114300" simplePos="0" relativeHeight="251658240" behindDoc="0" locked="1" layoutInCell="1" allowOverlap="1" wp14:anchorId="485854B1" wp14:editId="7FB5E7BC">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3F816" w14:textId="77777777"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64F1172B"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1012A8C9" w14:textId="77777777" w:rsidR="00895809" w:rsidRPr="0000292B" w:rsidRDefault="00895809" w:rsidP="00895809">
      <w:r w:rsidRPr="0000292B">
        <w:t>Australian Accounting Standards Board</w:t>
      </w:r>
    </w:p>
    <w:p w14:paraId="36E1EA88" w14:textId="77777777" w:rsidR="00895809" w:rsidRPr="0000292B" w:rsidRDefault="00895809" w:rsidP="00895809">
      <w:r>
        <w:t>PO Box 204</w:t>
      </w:r>
    </w:p>
    <w:p w14:paraId="13EF3023" w14:textId="77777777" w:rsidR="00895809" w:rsidRPr="0000292B" w:rsidRDefault="00895809" w:rsidP="00895809">
      <w:r>
        <w:t>Collins Street West</w:t>
      </w:r>
    </w:p>
    <w:p w14:paraId="5A166230" w14:textId="77777777" w:rsidR="00895809" w:rsidRPr="0000292B" w:rsidRDefault="00895809" w:rsidP="00895809">
      <w:r>
        <w:t>Victoria   8007</w:t>
      </w:r>
    </w:p>
    <w:p w14:paraId="27C1C379" w14:textId="77777777" w:rsidR="00895809" w:rsidRDefault="00895809" w:rsidP="00895809">
      <w:pPr>
        <w:pStyle w:val="CoverContact"/>
        <w:spacing w:after="200"/>
      </w:pPr>
      <w:r w:rsidRPr="0000292B">
        <w:t>AUSTRALIA</w:t>
      </w:r>
    </w:p>
    <w:p w14:paraId="4F74D259" w14:textId="77777777" w:rsidR="00737714" w:rsidRDefault="00BF0190" w:rsidP="00B82F15">
      <w:pPr>
        <w:pStyle w:val="CoverContact"/>
      </w:pPr>
      <w:r>
        <w:t>Phone:</w:t>
      </w:r>
      <w:r>
        <w:tab/>
        <w:t>(03) 9617 7600</w:t>
      </w:r>
    </w:p>
    <w:p w14:paraId="4FB66E8E" w14:textId="77777777" w:rsidR="00E96D45" w:rsidRDefault="00DB00CD" w:rsidP="00DB00CD">
      <w:pPr>
        <w:pStyle w:val="CoverContact"/>
      </w:pPr>
      <w:r>
        <w:t>E-mail:</w:t>
      </w:r>
      <w:r>
        <w:tab/>
      </w:r>
      <w:r w:rsidR="00BF0190">
        <w:t>standard</w:t>
      </w:r>
      <w:r>
        <w:t>@aasb.gov</w:t>
      </w:r>
      <w:r w:rsidRPr="00C5022C">
        <w:t>.au</w:t>
      </w:r>
    </w:p>
    <w:p w14:paraId="24BC2FB4" w14:textId="77777777" w:rsidR="00E96D45" w:rsidRPr="00E96D45" w:rsidRDefault="00DB00CD" w:rsidP="00DB00CD">
      <w:pPr>
        <w:pStyle w:val="CoverContact"/>
        <w:spacing w:after="240"/>
      </w:pPr>
      <w:r>
        <w:t>Website:</w:t>
      </w:r>
      <w:r>
        <w:tab/>
        <w:t>www.aasb.gov.au</w:t>
      </w:r>
    </w:p>
    <w:p w14:paraId="627ED85E" w14:textId="77777777" w:rsidR="00090A6F" w:rsidRPr="0000292B" w:rsidRDefault="00090A6F" w:rsidP="00F13C5A">
      <w:pPr>
        <w:pStyle w:val="Heading1"/>
      </w:pPr>
      <w:r w:rsidRPr="0000292B">
        <w:t xml:space="preserve">Other </w:t>
      </w:r>
      <w:r w:rsidR="005655CE" w:rsidRPr="0000292B">
        <w:t>enquiries</w:t>
      </w:r>
    </w:p>
    <w:p w14:paraId="373F6F08"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17935A6E" w14:textId="77777777" w:rsidR="00EB16BA" w:rsidRDefault="00923261" w:rsidP="00EB16BA">
      <w:pPr>
        <w:pStyle w:val="CoverContact"/>
      </w:pPr>
      <w:r>
        <w:t>E-mail:</w:t>
      </w:r>
      <w:r>
        <w:tab/>
      </w:r>
      <w:bookmarkStart w:id="3" w:name="CopyrightText"/>
      <w:r w:rsidR="00A211C9">
        <w:t>standard@aasb.gov</w:t>
      </w:r>
      <w:r w:rsidR="00A211C9" w:rsidRPr="00C5022C">
        <w:t>.au</w:t>
      </w:r>
    </w:p>
    <w:p w14:paraId="0B00DD3F" w14:textId="77777777" w:rsidR="00276BC5" w:rsidRDefault="00276BC5" w:rsidP="00310DC3">
      <w:pPr>
        <w:pStyle w:val="CoverContact"/>
        <w:spacing w:before="7440"/>
      </w:pPr>
      <w:r>
        <w:t>COPYRIGHT</w:t>
      </w:r>
    </w:p>
    <w:p w14:paraId="3B345E9A" w14:textId="167650D2" w:rsidR="00276BC5" w:rsidRDefault="00276BC5" w:rsidP="00276BC5">
      <w:pPr>
        <w:pStyle w:val="NoNumPlain1"/>
      </w:pPr>
      <w:r>
        <w:t>© Com</w:t>
      </w:r>
      <w:bookmarkStart w:id="4" w:name="CopyrightDomestic"/>
      <w:bookmarkEnd w:id="4"/>
      <w:r>
        <w:t xml:space="preserve">monwealth of Australia </w:t>
      </w:r>
      <w:bookmarkStart w:id="5" w:name="Year"/>
      <w:r w:rsidR="004A3747">
        <w:t>20</w:t>
      </w:r>
      <w:r w:rsidR="00572CF7">
        <w:t>2</w:t>
      </w:r>
      <w:r w:rsidR="0020560B">
        <w:t>1</w:t>
      </w:r>
      <w:bookmarkEnd w:id="5"/>
    </w:p>
    <w:p w14:paraId="631E13EF" w14:textId="77777777" w:rsidR="00276BC5" w:rsidRPr="00DE4E67" w:rsidRDefault="00E46988" w:rsidP="00895809">
      <w:pPr>
        <w:spacing w:after="200"/>
      </w:pPr>
      <w:r w:rsidRPr="00E46988">
        <w:t xml:space="preserve">This work is copyright.  Apart from any use as permitted under the </w:t>
      </w:r>
      <w:r w:rsidRPr="00F311FB">
        <w:rPr>
          <w:i/>
        </w:rPr>
        <w:t>Copyright Act 1968</w:t>
      </w:r>
      <w:r w:rsidRPr="00E46988">
        <w:t xml:space="preserve">, no part may be reproduced by any process without prior written permission.  Requests and enquiries concerning reproduction and rights should be addressed to The </w:t>
      </w:r>
      <w:r w:rsidR="00BF0190">
        <w:t xml:space="preserve">National </w:t>
      </w:r>
      <w:r w:rsidRPr="00E46988">
        <w:t>Director, Australian Accounting Standards Board, PO Box 204</w:t>
      </w:r>
      <w:r w:rsidR="00F311FB">
        <w:t>, Collins Street West, Victoria </w:t>
      </w:r>
      <w:r w:rsidRPr="00E46988">
        <w:t>8007</w:t>
      </w:r>
      <w:r w:rsidR="00276BC5" w:rsidRPr="00DE4E67">
        <w:t>.</w:t>
      </w:r>
    </w:p>
    <w:bookmarkEnd w:id="3"/>
    <w:p w14:paraId="13EF9770" w14:textId="77777777" w:rsidR="007455F0" w:rsidRPr="0000292B" w:rsidRDefault="006D4700" w:rsidP="006D4700">
      <w:r>
        <w:t xml:space="preserve">ISSN </w:t>
      </w:r>
      <w:bookmarkStart w:id="6" w:name="ISSN"/>
      <w:r w:rsidR="004A3747">
        <w:t>1036-4803</w:t>
      </w:r>
      <w:bookmarkEnd w:id="6"/>
    </w:p>
    <w:p w14:paraId="69914E78" w14:textId="77777777" w:rsidR="00090A6F" w:rsidRPr="0000292B" w:rsidRDefault="00090A6F">
      <w:pPr>
        <w:sectPr w:rsidR="00090A6F" w:rsidRPr="0000292B" w:rsidSect="00D74C6A">
          <w:footerReference w:type="default" r:id="rId12"/>
          <w:pgSz w:w="11907" w:h="16840" w:code="9"/>
          <w:pgMar w:top="1418" w:right="1418" w:bottom="1418" w:left="1418" w:header="709" w:footer="709" w:gutter="0"/>
          <w:paperSrc w:first="7" w:other="7"/>
          <w:cols w:space="720"/>
        </w:sectPr>
      </w:pPr>
    </w:p>
    <w:p w14:paraId="067C46EF" w14:textId="77777777" w:rsidR="00090A6F" w:rsidRPr="0000292B" w:rsidRDefault="005655CE">
      <w:pPr>
        <w:pStyle w:val="Heading1"/>
      </w:pPr>
      <w:r w:rsidRPr="0000292B">
        <w:lastRenderedPageBreak/>
        <w:t>Contents</w:t>
      </w:r>
    </w:p>
    <w:p w14:paraId="68BA0388" w14:textId="77777777" w:rsidR="00090A6F" w:rsidRPr="0000292B" w:rsidRDefault="00A5122D" w:rsidP="003F6ED6">
      <w:pPr>
        <w:pStyle w:val="ContentsCapsPlain"/>
        <w:spacing w:before="400"/>
      </w:pPr>
      <w:r w:rsidRPr="0000292B">
        <w:t>PREFACE</w:t>
      </w:r>
    </w:p>
    <w:p w14:paraId="432667E6" w14:textId="77777777" w:rsidR="00090A6F" w:rsidRPr="0000292B" w:rsidRDefault="00A5122D">
      <w:pPr>
        <w:pStyle w:val="ContentsCapsBold"/>
      </w:pPr>
      <w:r w:rsidRPr="0000292B">
        <w:t>ACCOUNTING STANDARD</w:t>
      </w:r>
    </w:p>
    <w:p w14:paraId="6F222DBD" w14:textId="0EB18CD2" w:rsidR="002B7803" w:rsidRPr="00223A79" w:rsidRDefault="00A5122D" w:rsidP="00116447">
      <w:pPr>
        <w:pStyle w:val="ContentsCapsBold"/>
        <w:spacing w:after="200"/>
        <w:rPr>
          <w:i/>
        </w:rPr>
      </w:pPr>
      <w:r w:rsidRPr="0000292B">
        <w:t xml:space="preserve">AASB </w:t>
      </w:r>
      <w:r w:rsidR="009C2479" w:rsidRPr="00BC0D5D">
        <w:rPr>
          <w:iCs/>
        </w:rPr>
        <w:fldChar w:fldCharType="begin"/>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A16A5E" w:rsidRPr="00A16A5E">
        <w:rPr>
          <w:iCs/>
        </w:rPr>
        <w:t>2021-4</w:t>
      </w:r>
      <w:r w:rsidR="009C2479" w:rsidRPr="00BC0D5D">
        <w:rPr>
          <w:iCs/>
        </w:rPr>
        <w:fldChar w:fldCharType="end"/>
      </w:r>
      <w:r w:rsidRPr="0000292B">
        <w:t xml:space="preserve"> </w:t>
      </w:r>
      <w:r w:rsidR="0009548F" w:rsidRPr="00E16436">
        <w:rPr>
          <w:i/>
          <w:iCs/>
          <w:caps/>
        </w:rPr>
        <w:fldChar w:fldCharType="begin"/>
      </w:r>
      <w:r w:rsidR="0009548F" w:rsidRPr="00E16436">
        <w:rPr>
          <w:i/>
          <w:iCs/>
          <w:caps/>
        </w:rPr>
        <w:instrText xml:space="preserve"> REF  DocTitle </w:instrText>
      </w:r>
      <w:r w:rsidR="00F112FF" w:rsidRPr="00E16436">
        <w:rPr>
          <w:i/>
          <w:iCs/>
          <w:caps/>
        </w:rPr>
        <w:instrText xml:space="preserve"> \* MERGEFORMAT </w:instrText>
      </w:r>
      <w:r w:rsidR="0009548F" w:rsidRPr="00E16436">
        <w:rPr>
          <w:i/>
          <w:iCs/>
          <w:caps/>
        </w:rPr>
        <w:fldChar w:fldCharType="separate"/>
      </w:r>
      <w:r w:rsidR="00A16A5E" w:rsidRPr="00A16A5E">
        <w:rPr>
          <w:i/>
          <w:iCs/>
          <w:caps/>
        </w:rPr>
        <w:t>Amendments to Australian Accounting Standards – Modified Retrospective Transition Approach for Service Concession Grantors</w:t>
      </w:r>
      <w:r w:rsidR="0009548F" w:rsidRPr="00E16436">
        <w:rPr>
          <w:i/>
          <w:iCs/>
          <w:caps/>
        </w:rPr>
        <w:fldChar w:fldCharType="end"/>
      </w:r>
      <w:r w:rsidR="000D582D" w:rsidRPr="00223A79">
        <w:rPr>
          <w:i/>
        </w:rPr>
        <w:t xml:space="preserve"> </w:t>
      </w:r>
      <w:r w:rsidR="006F6101">
        <w:rPr>
          <w:i/>
        </w:rPr>
        <w:t xml:space="preserve"> </w:t>
      </w:r>
    </w:p>
    <w:p w14:paraId="0D41996F" w14:textId="77777777" w:rsidR="00090A6F" w:rsidRPr="00D253C7" w:rsidRDefault="00D253C7">
      <w:pPr>
        <w:pStyle w:val="ContentsParaHead"/>
      </w:pPr>
      <w:r w:rsidRPr="00D253C7">
        <w:t>f</w:t>
      </w:r>
      <w:r w:rsidR="00E55F2F" w:rsidRPr="00D253C7">
        <w:t>rom paragraph</w:t>
      </w:r>
    </w:p>
    <w:p w14:paraId="28A7EED9" w14:textId="77777777" w:rsidR="00090A6F" w:rsidRPr="00A5122D" w:rsidRDefault="00A5122D" w:rsidP="009E2F6C">
      <w:pPr>
        <w:pStyle w:val="ContentsLevel1"/>
        <w:ind w:right="-1"/>
        <w:jc w:val="right"/>
        <w:rPr>
          <w:b/>
        </w:rPr>
      </w:pPr>
      <w:bookmarkStart w:id="7" w:name="TOCRange"/>
      <w:r w:rsidRPr="00A5122D">
        <w:rPr>
          <w:b/>
        </w:rPr>
        <w:t>OBJECTIVE</w:t>
      </w:r>
      <w:r w:rsidRPr="00A5122D">
        <w:rPr>
          <w:b/>
        </w:rPr>
        <w:tab/>
        <w:t>1</w:t>
      </w:r>
    </w:p>
    <w:p w14:paraId="4D82C529" w14:textId="77777777" w:rsidR="00090A6F" w:rsidRPr="00A5122D" w:rsidRDefault="00A5122D" w:rsidP="009E2F6C">
      <w:pPr>
        <w:pStyle w:val="ContentsLevel1"/>
        <w:ind w:right="-1"/>
        <w:rPr>
          <w:b/>
        </w:rPr>
      </w:pPr>
      <w:r w:rsidRPr="00A5122D">
        <w:rPr>
          <w:b/>
        </w:rPr>
        <w:t>APPLICATION</w:t>
      </w:r>
      <w:r w:rsidRPr="00A5122D">
        <w:rPr>
          <w:b/>
        </w:rPr>
        <w:tab/>
        <w:t>2</w:t>
      </w:r>
    </w:p>
    <w:p w14:paraId="2CD296EE" w14:textId="3B912BD8" w:rsidR="004A3747" w:rsidRPr="00A5122D" w:rsidRDefault="00E866DA" w:rsidP="009E2F6C">
      <w:pPr>
        <w:pStyle w:val="ContentsLevel1"/>
        <w:ind w:right="-143"/>
        <w:rPr>
          <w:b/>
        </w:rPr>
      </w:pPr>
      <w:r>
        <w:rPr>
          <w:b/>
        </w:rPr>
        <w:t>AMENDMENTS TO AASB 1059</w:t>
      </w:r>
      <w:r w:rsidR="004C4BAD">
        <w:rPr>
          <w:b/>
        </w:rPr>
        <w:tab/>
      </w:r>
      <w:r w:rsidR="00CB16D5">
        <w:rPr>
          <w:b/>
        </w:rPr>
        <w:t>5</w:t>
      </w:r>
    </w:p>
    <w:p w14:paraId="25F4E48E" w14:textId="68CF0086" w:rsidR="00090A6F" w:rsidRDefault="00A5122D" w:rsidP="00E55F2F">
      <w:pPr>
        <w:tabs>
          <w:tab w:val="right" w:pos="9071"/>
        </w:tabs>
        <w:rPr>
          <w:b/>
        </w:rPr>
      </w:pPr>
      <w:r w:rsidRPr="00A5122D">
        <w:rPr>
          <w:b/>
        </w:rPr>
        <w:t xml:space="preserve">COMMENCEMENT OF THE </w:t>
      </w:r>
      <w:r w:rsidR="00E55F2F">
        <w:rPr>
          <w:b/>
        </w:rPr>
        <w:t>LEGISLATIVE INSTRUMENT</w:t>
      </w:r>
      <w:r>
        <w:rPr>
          <w:b/>
        </w:rPr>
        <w:tab/>
      </w:r>
      <w:bookmarkStart w:id="8" w:name="ContentsMarker"/>
      <w:bookmarkEnd w:id="8"/>
      <w:r w:rsidR="00DD3EBB">
        <w:rPr>
          <w:b/>
        </w:rPr>
        <w:t>6</w:t>
      </w:r>
    </w:p>
    <w:p w14:paraId="3EF0E8FD" w14:textId="77777777" w:rsidR="00D253C7" w:rsidRDefault="00D253C7" w:rsidP="00E55F2F">
      <w:pPr>
        <w:tabs>
          <w:tab w:val="right" w:pos="9071"/>
        </w:tabs>
        <w:rPr>
          <w:b/>
        </w:rPr>
      </w:pPr>
    </w:p>
    <w:p w14:paraId="5FAA3921" w14:textId="77777777" w:rsidR="007A6F5D" w:rsidRDefault="007A6F5D" w:rsidP="007A6F5D">
      <w:pPr>
        <w:tabs>
          <w:tab w:val="right" w:pos="9071"/>
        </w:tabs>
        <w:rPr>
          <w:b/>
        </w:rPr>
      </w:pPr>
      <w:r>
        <w:rPr>
          <w:b/>
        </w:rPr>
        <w:t>BASIS FOR CONCLUSIONS</w:t>
      </w:r>
    </w:p>
    <w:p w14:paraId="3AF85A45" w14:textId="77777777" w:rsidR="007A6F5D" w:rsidRDefault="007A6F5D" w:rsidP="00E55F2F">
      <w:pPr>
        <w:tabs>
          <w:tab w:val="right" w:pos="9071"/>
        </w:tabs>
        <w:rPr>
          <w:b/>
        </w:rPr>
      </w:pPr>
    </w:p>
    <w:p w14:paraId="3B26FDBD" w14:textId="77777777" w:rsidR="00E55F2F" w:rsidRPr="0000292B" w:rsidRDefault="00E55F2F"/>
    <w:bookmarkEnd w:id="7"/>
    <w:p w14:paraId="61E10E9B" w14:textId="4F99BAD8" w:rsidR="00090A6F" w:rsidRPr="0000292B" w:rsidRDefault="00F56BB3">
      <w:pPr>
        <w:pStyle w:val="ContentsBox"/>
      </w:pPr>
      <w:r>
        <w:t>Australian Accounting S</w:t>
      </w:r>
      <w:r w:rsidRPr="0000292B">
        <w:t xml:space="preserve">tandard </w:t>
      </w:r>
      <w:r>
        <w:t>AASB</w:t>
      </w:r>
      <w:r w:rsidRPr="0000292B">
        <w:t xml:space="preserve"> </w:t>
      </w:r>
      <w:r w:rsidR="0076791F" w:rsidRPr="00BC0D5D">
        <w:rPr>
          <w:iCs/>
        </w:rPr>
        <w:fldChar w:fldCharType="begin"/>
      </w:r>
      <w:r w:rsidR="0076791F" w:rsidRPr="00BC0D5D">
        <w:rPr>
          <w:iCs/>
        </w:rPr>
        <w:instrText xml:space="preserve"> REF </w:instrText>
      </w:r>
      <w:r w:rsidR="0076791F">
        <w:rPr>
          <w:iCs/>
        </w:rPr>
        <w:instrText>Doc</w:instrText>
      </w:r>
      <w:r w:rsidR="0076791F" w:rsidRPr="00BC0D5D">
        <w:rPr>
          <w:iCs/>
        </w:rPr>
        <w:instrText xml:space="preserve">No \* charformat </w:instrText>
      </w:r>
      <w:r w:rsidR="0076791F" w:rsidRPr="00BC0D5D">
        <w:rPr>
          <w:iCs/>
        </w:rPr>
        <w:fldChar w:fldCharType="separate"/>
      </w:r>
      <w:r w:rsidR="00A16A5E" w:rsidRPr="00A16A5E">
        <w:rPr>
          <w:iCs/>
        </w:rPr>
        <w:t>2021-4</w:t>
      </w:r>
      <w:r w:rsidR="0076791F" w:rsidRPr="00BC0D5D">
        <w:rPr>
          <w:iCs/>
        </w:rPr>
        <w:fldChar w:fldCharType="end"/>
      </w:r>
      <w:r w:rsidR="0076791F">
        <w:rPr>
          <w:iCs/>
        </w:rPr>
        <w:t xml:space="preserve"> </w:t>
      </w:r>
      <w:r w:rsidR="0076791F" w:rsidRPr="0076791F">
        <w:rPr>
          <w:i/>
        </w:rPr>
        <w:fldChar w:fldCharType="begin"/>
      </w:r>
      <w:r w:rsidR="0076791F" w:rsidRPr="0076791F">
        <w:rPr>
          <w:i/>
        </w:rPr>
        <w:instrText xml:space="preserve"> REF \* charformat DocTitle  \* MERGEFORMAT </w:instrText>
      </w:r>
      <w:r w:rsidR="0076791F" w:rsidRPr="0076791F">
        <w:rPr>
          <w:i/>
        </w:rPr>
        <w:fldChar w:fldCharType="separate"/>
      </w:r>
      <w:r w:rsidR="00A16A5E" w:rsidRPr="00A16A5E">
        <w:rPr>
          <w:i/>
        </w:rPr>
        <w:t>Amendments to Australian Accounting Standards – Modified Retrospective Transition Approach for Service Concession Grantors</w:t>
      </w:r>
      <w:r w:rsidR="0076791F" w:rsidRPr="0076791F">
        <w:rPr>
          <w:i/>
        </w:rPr>
        <w:fldChar w:fldCharType="end"/>
      </w:r>
      <w:r w:rsidR="00223A79">
        <w:rPr>
          <w:i/>
        </w:rPr>
        <w:t xml:space="preserve"> </w:t>
      </w:r>
      <w:r w:rsidRPr="0000292B">
        <w:t xml:space="preserve">is set out </w:t>
      </w:r>
      <w:r w:rsidRPr="0020560B">
        <w:t>in paragraphs</w:t>
      </w:r>
      <w:r w:rsidR="00A5122D" w:rsidRPr="0020560B">
        <w:t xml:space="preserve"> 1 – </w:t>
      </w:r>
      <w:r w:rsidR="00DD3EBB">
        <w:t>6</w:t>
      </w:r>
      <w:r w:rsidRPr="0020560B">
        <w:t>.</w:t>
      </w:r>
      <w:r w:rsidRPr="0000292B">
        <w:t xml:space="preserve"> All the pa</w:t>
      </w:r>
      <w:r>
        <w:t>ragraphs have equal authority.</w:t>
      </w:r>
    </w:p>
    <w:p w14:paraId="11FA2D13" w14:textId="77777777" w:rsidR="00090A6F" w:rsidRPr="0000292B" w:rsidRDefault="00090A6F">
      <w:pPr>
        <w:pStyle w:val="ContentsBox"/>
        <w:pBdr>
          <w:top w:val="none" w:sz="0" w:space="0" w:color="auto"/>
          <w:left w:val="none" w:sz="0" w:space="0" w:color="auto"/>
          <w:bottom w:val="none" w:sz="0" w:space="0" w:color="auto"/>
          <w:right w:val="none" w:sz="0" w:space="0" w:color="auto"/>
        </w:pBdr>
      </w:pPr>
    </w:p>
    <w:p w14:paraId="459FE06F" w14:textId="77777777" w:rsidR="00090A6F" w:rsidRPr="0000292B" w:rsidRDefault="00090A6F">
      <w:pPr>
        <w:sectPr w:rsidR="00090A6F" w:rsidRPr="0000292B" w:rsidSect="00D74C6A">
          <w:footerReference w:type="default" r:id="rId13"/>
          <w:pgSz w:w="11907" w:h="16840" w:code="9"/>
          <w:pgMar w:top="1418" w:right="1418" w:bottom="1418" w:left="1418" w:header="709" w:footer="709" w:gutter="0"/>
          <w:paperSrc w:first="7" w:other="7"/>
          <w:cols w:space="720"/>
        </w:sectPr>
      </w:pPr>
    </w:p>
    <w:p w14:paraId="2171D473" w14:textId="77777777" w:rsidR="00090A6F" w:rsidRPr="0000292B" w:rsidRDefault="00090A6F">
      <w:pPr>
        <w:pStyle w:val="Heading1"/>
      </w:pPr>
      <w:r w:rsidRPr="0000292B">
        <w:lastRenderedPageBreak/>
        <w:t>Preface</w:t>
      </w:r>
    </w:p>
    <w:p w14:paraId="26EFF641" w14:textId="4416977A" w:rsidR="000F64CC" w:rsidRPr="0000292B" w:rsidRDefault="00CA61C5">
      <w:pPr>
        <w:pStyle w:val="Heading2"/>
      </w:pPr>
      <w:r>
        <w:t xml:space="preserve">Standards amended by AASB </w:t>
      </w:r>
      <w:r>
        <w:fldChar w:fldCharType="begin"/>
      </w:r>
      <w:r>
        <w:instrText xml:space="preserve"> REF DocNo \* charformat</w:instrText>
      </w:r>
      <w:r>
        <w:fldChar w:fldCharType="separate"/>
      </w:r>
      <w:r w:rsidR="00A16A5E">
        <w:t>2021-4</w:t>
      </w:r>
      <w:r>
        <w:fldChar w:fldCharType="end"/>
      </w:r>
    </w:p>
    <w:p w14:paraId="5EC6D11C" w14:textId="5F98A8DA" w:rsidR="00ED3777" w:rsidRDefault="009C2479" w:rsidP="00E55F2F">
      <w:pPr>
        <w:pStyle w:val="NoNumPlain1"/>
      </w:pPr>
      <w:r>
        <w:t>This S</w:t>
      </w:r>
      <w:r w:rsidR="00E55F2F">
        <w:t xml:space="preserve">tandard makes amendments </w:t>
      </w:r>
      <w:r w:rsidR="00522BDB">
        <w:t>to</w:t>
      </w:r>
      <w:r w:rsidR="0028759D">
        <w:t xml:space="preserve"> </w:t>
      </w:r>
      <w:r w:rsidR="0063418D">
        <w:t xml:space="preserve">AASB 1059 </w:t>
      </w:r>
      <w:r w:rsidR="0063418D" w:rsidRPr="0063418D">
        <w:rPr>
          <w:i/>
        </w:rPr>
        <w:t>Service Concession Arrangements: Grantors</w:t>
      </w:r>
      <w:r w:rsidR="0063418D">
        <w:t xml:space="preserve"> (July</w:t>
      </w:r>
      <w:r w:rsidR="00A5122D">
        <w:t xml:space="preserve"> 201</w:t>
      </w:r>
      <w:r w:rsidR="0063418D">
        <w:t>7</w:t>
      </w:r>
      <w:r w:rsidR="00A5122D">
        <w:t>)</w:t>
      </w:r>
      <w:r w:rsidR="002862EE">
        <w:t>.</w:t>
      </w:r>
    </w:p>
    <w:p w14:paraId="18A18FE0" w14:textId="78DD66DB" w:rsidR="00BA7256" w:rsidRDefault="00ED3777" w:rsidP="00E55F2F">
      <w:pPr>
        <w:pStyle w:val="NoNumPlain1"/>
      </w:pPr>
      <w:r>
        <w:t>The AASB</w:t>
      </w:r>
      <w:r w:rsidRPr="00ED3777">
        <w:t xml:space="preserve"> received </w:t>
      </w:r>
      <w:r w:rsidR="003E2A41">
        <w:t>comment</w:t>
      </w:r>
      <w:r w:rsidR="00116447">
        <w:t>s</w:t>
      </w:r>
      <w:r w:rsidRPr="00ED3777">
        <w:t xml:space="preserve"> from </w:t>
      </w:r>
      <w:r w:rsidR="00E473B2">
        <w:t>a stakeholder</w:t>
      </w:r>
      <w:r w:rsidRPr="00ED3777">
        <w:t xml:space="preserve"> </w:t>
      </w:r>
      <w:r w:rsidR="0010515C">
        <w:t>regarding</w:t>
      </w:r>
      <w:r>
        <w:t xml:space="preserve"> </w:t>
      </w:r>
      <w:r w:rsidR="00925A2C" w:rsidRPr="00925A2C">
        <w:t>the modified retrospective method for measuring the Grant of a Right to the Operator (GORTO) liability set out in paragraph C4(c) of AASB 1059</w:t>
      </w:r>
      <w:r w:rsidR="00116447">
        <w:t xml:space="preserve"> when implementing the Standard</w:t>
      </w:r>
      <w:r w:rsidR="00490C6F">
        <w:t xml:space="preserve">. </w:t>
      </w:r>
      <w:r w:rsidR="0083429E">
        <w:t>The s</w:t>
      </w:r>
      <w:r w:rsidR="001D46F3">
        <w:t xml:space="preserve">takeholder </w:t>
      </w:r>
      <w:r w:rsidR="0083429E">
        <w:t>noted</w:t>
      </w:r>
      <w:r w:rsidR="001D46F3">
        <w:t xml:space="preserve"> that</w:t>
      </w:r>
      <w:r w:rsidR="0098233D">
        <w:t xml:space="preserve"> </w:t>
      </w:r>
      <w:r w:rsidR="00BA7256">
        <w:t>the Standard is unclear how</w:t>
      </w:r>
      <w:r w:rsidR="00D258F8">
        <w:t xml:space="preserve"> </w:t>
      </w:r>
      <w:r w:rsidR="0083429E">
        <w:t xml:space="preserve">financial </w:t>
      </w:r>
      <w:r w:rsidR="00132FB7">
        <w:t>contributions</w:t>
      </w:r>
      <w:r w:rsidR="009946E9">
        <w:t xml:space="preserve"> paid by </w:t>
      </w:r>
      <w:r w:rsidR="00132FB7">
        <w:t>the</w:t>
      </w:r>
      <w:r w:rsidR="009946E9">
        <w:t xml:space="preserve"> grantor to </w:t>
      </w:r>
      <w:r w:rsidR="00132FB7">
        <w:t>the</w:t>
      </w:r>
      <w:r w:rsidR="009946E9">
        <w:t xml:space="preserve"> operator</w:t>
      </w:r>
      <w:r w:rsidR="003F0F01">
        <w:t xml:space="preserve"> </w:t>
      </w:r>
      <w:r w:rsidR="00A22C3D">
        <w:t xml:space="preserve">prior to the date of initial application </w:t>
      </w:r>
      <w:r w:rsidR="00D258F8">
        <w:t xml:space="preserve">should be treated </w:t>
      </w:r>
      <w:r w:rsidR="00A32CCF" w:rsidRPr="00A32CCF">
        <w:t xml:space="preserve">when calculating the GORTO liability under the modified retrospective transition </w:t>
      </w:r>
      <w:r w:rsidR="00204D97">
        <w:t>approach</w:t>
      </w:r>
      <w:r w:rsidR="008D3CCB">
        <w:t>.</w:t>
      </w:r>
      <w:r w:rsidR="00510C8C">
        <w:t xml:space="preserve"> </w:t>
      </w:r>
      <w:r w:rsidR="008504E5">
        <w:t>The stakeholder</w:t>
      </w:r>
      <w:r w:rsidR="007036C5">
        <w:t xml:space="preserve"> </w:t>
      </w:r>
      <w:r w:rsidR="00116447">
        <w:t xml:space="preserve">noted </w:t>
      </w:r>
      <w:r w:rsidR="007036C5">
        <w:t xml:space="preserve">that if these </w:t>
      </w:r>
      <w:r w:rsidR="008504E5">
        <w:t>financial contribution</w:t>
      </w:r>
      <w:r w:rsidR="006D795A">
        <w:t>s</w:t>
      </w:r>
      <w:r w:rsidR="007036C5">
        <w:t xml:space="preserve"> </w:t>
      </w:r>
      <w:r w:rsidR="00440697">
        <w:t>were</w:t>
      </w:r>
      <w:r w:rsidR="007036C5">
        <w:t xml:space="preserve"> not adjusted in </w:t>
      </w:r>
      <w:r w:rsidR="007C4A3B">
        <w:t xml:space="preserve">the </w:t>
      </w:r>
      <w:r w:rsidR="00504209">
        <w:t xml:space="preserve">grantor’s </w:t>
      </w:r>
      <w:r w:rsidR="00440697">
        <w:t>liability calculation</w:t>
      </w:r>
      <w:r w:rsidR="00945B18">
        <w:t xml:space="preserve">, </w:t>
      </w:r>
      <w:r w:rsidR="00116447">
        <w:t xml:space="preserve">the </w:t>
      </w:r>
      <w:r w:rsidR="00945B18">
        <w:t xml:space="preserve">GORTO liability </w:t>
      </w:r>
      <w:r w:rsidR="007C4A3B">
        <w:t>at</w:t>
      </w:r>
      <w:r w:rsidR="00945B18">
        <w:t xml:space="preserve"> the date of initial application</w:t>
      </w:r>
      <w:r w:rsidR="00116447">
        <w:t xml:space="preserve"> would </w:t>
      </w:r>
      <w:r w:rsidR="00116447" w:rsidDel="00A143A1">
        <w:t xml:space="preserve">be </w:t>
      </w:r>
      <w:r w:rsidR="00116447">
        <w:t>likely to be overstated</w:t>
      </w:r>
      <w:r w:rsidR="00945B18">
        <w:t xml:space="preserve">, which in turn would lead to </w:t>
      </w:r>
      <w:r w:rsidR="00116447">
        <w:t xml:space="preserve">the </w:t>
      </w:r>
      <w:r w:rsidR="00945B18">
        <w:t>overstatement of revenue</w:t>
      </w:r>
      <w:r w:rsidR="00F473E9">
        <w:t xml:space="preserve"> in subsequent periods as the GORTO liability is unwound</w:t>
      </w:r>
      <w:r w:rsidR="00116447">
        <w:t xml:space="preserve"> over the </w:t>
      </w:r>
      <w:r w:rsidR="003460B6">
        <w:t xml:space="preserve">period </w:t>
      </w:r>
      <w:r w:rsidR="00116447">
        <w:t>of the service concession arrangement</w:t>
      </w:r>
      <w:r w:rsidR="00F473E9">
        <w:t>.</w:t>
      </w:r>
      <w:r w:rsidR="00440697">
        <w:t xml:space="preserve"> </w:t>
      </w:r>
    </w:p>
    <w:p w14:paraId="0C51138A" w14:textId="4E7F55B4" w:rsidR="00A5122D" w:rsidRDefault="00534BAD" w:rsidP="00E55F2F">
      <w:pPr>
        <w:pStyle w:val="NoNumPlain1"/>
      </w:pPr>
      <w:r>
        <w:t xml:space="preserve">The </w:t>
      </w:r>
      <w:r w:rsidR="0096317D">
        <w:t>AASB</w:t>
      </w:r>
      <w:r>
        <w:t xml:space="preserve"> </w:t>
      </w:r>
      <w:r w:rsidR="002B603F">
        <w:t>considered the stakeholder’s comment</w:t>
      </w:r>
      <w:r w:rsidR="00116447">
        <w:t>s</w:t>
      </w:r>
      <w:r w:rsidR="002B603F">
        <w:t xml:space="preserve"> and </w:t>
      </w:r>
      <w:r w:rsidR="00C22B7D">
        <w:t>decided to amend AASB 1059</w:t>
      </w:r>
      <w:r w:rsidR="00275490">
        <w:t xml:space="preserve"> </w:t>
      </w:r>
      <w:r w:rsidR="00C22B7D">
        <w:t xml:space="preserve">to address </w:t>
      </w:r>
      <w:r w:rsidR="001B342F">
        <w:t>the</w:t>
      </w:r>
      <w:r w:rsidR="00490C6F">
        <w:t xml:space="preserve"> issue.</w:t>
      </w:r>
    </w:p>
    <w:p w14:paraId="1D674BFC" w14:textId="77777777" w:rsidR="00090A6F" w:rsidRDefault="00F22AF2" w:rsidP="00F22AF2">
      <w:pPr>
        <w:pStyle w:val="Heading2"/>
      </w:pPr>
      <w:r>
        <w:t>Main features of this Standard</w:t>
      </w:r>
    </w:p>
    <w:p w14:paraId="1EDAB487" w14:textId="77777777" w:rsidR="00F22AF2" w:rsidRDefault="00F22AF2" w:rsidP="0096317D">
      <w:pPr>
        <w:pStyle w:val="Heading2Indent1"/>
      </w:pPr>
      <w:r>
        <w:t>Main requirements</w:t>
      </w:r>
    </w:p>
    <w:p w14:paraId="6E923042" w14:textId="0393CED1" w:rsidR="002A7815" w:rsidRDefault="00804D25" w:rsidP="00306EE3">
      <w:pPr>
        <w:pStyle w:val="NoNumPlain1"/>
      </w:pPr>
      <w:r>
        <w:t xml:space="preserve">This Standard </w:t>
      </w:r>
      <w:r w:rsidR="00916EFA">
        <w:t>makes amendme</w:t>
      </w:r>
      <w:r w:rsidR="00275490">
        <w:t xml:space="preserve">nts to </w:t>
      </w:r>
      <w:r w:rsidR="003A60C1">
        <w:t>AASB</w:t>
      </w:r>
      <w:r w:rsidR="00945F15">
        <w:t xml:space="preserve"> </w:t>
      </w:r>
      <w:r w:rsidR="00275490">
        <w:t>1059 to</w:t>
      </w:r>
      <w:r w:rsidR="00306EE3">
        <w:t xml:space="preserve"> </w:t>
      </w:r>
      <w:r w:rsidR="00275490">
        <w:t xml:space="preserve">change the modified retrospective method for measuring the Grant of a Right to the Operator (GORTO) liability set out in paragraph C4(c) of AASB 1059 so that the GORTO liability is initially measured </w:t>
      </w:r>
      <w:r w:rsidR="003F6ED6">
        <w:t>based on</w:t>
      </w:r>
      <w:r w:rsidR="00275490">
        <w:t xml:space="preserve"> the </w:t>
      </w:r>
      <w:r w:rsidR="004B5949">
        <w:t>fair value (</w:t>
      </w:r>
      <w:r w:rsidR="00275490">
        <w:t>current replacement cost</w:t>
      </w:r>
      <w:r w:rsidR="004B5949">
        <w:t>)</w:t>
      </w:r>
      <w:r w:rsidR="00275490">
        <w:t xml:space="preserve"> of the service concession asset at the date of initial application</w:t>
      </w:r>
      <w:r w:rsidR="00313A6B">
        <w:t>,</w:t>
      </w:r>
      <w:r w:rsidR="00275490">
        <w:t xml:space="preserve"> adjusted </w:t>
      </w:r>
      <w:r w:rsidR="00313A6B">
        <w:t>by</w:t>
      </w:r>
      <w:r w:rsidR="00306EE3">
        <w:t>:</w:t>
      </w:r>
      <w:r w:rsidR="00275490">
        <w:t xml:space="preserve"> </w:t>
      </w:r>
    </w:p>
    <w:p w14:paraId="1740D5C2" w14:textId="2105C012" w:rsidR="00F65542" w:rsidRDefault="00560AAC" w:rsidP="00F65542">
      <w:pPr>
        <w:pStyle w:val="NoNumPlain1"/>
        <w:ind w:left="510" w:hanging="510"/>
      </w:pPr>
      <w:r>
        <w:t>(</w:t>
      </w:r>
      <w:r w:rsidR="00116447">
        <w:t>a</w:t>
      </w:r>
      <w:r>
        <w:t>)</w:t>
      </w:r>
      <w:r>
        <w:tab/>
      </w:r>
      <w:r w:rsidR="00F65542">
        <w:t xml:space="preserve">deducting the carrying amount of any consideration </w:t>
      </w:r>
      <w:r w:rsidR="00CA1E0B">
        <w:t xml:space="preserve">transferred </w:t>
      </w:r>
      <w:r w:rsidR="00F65542">
        <w:t xml:space="preserve">by the grantor to the operator recognised as an asset; </w:t>
      </w:r>
    </w:p>
    <w:p w14:paraId="2D5527EE" w14:textId="3D95FAF7" w:rsidR="00F65542" w:rsidRDefault="00F65542" w:rsidP="00F65542">
      <w:pPr>
        <w:pStyle w:val="NoNumPlain1"/>
        <w:ind w:left="510" w:hanging="510"/>
      </w:pPr>
      <w:r>
        <w:t>(</w:t>
      </w:r>
      <w:r w:rsidR="00116447">
        <w:t>b</w:t>
      </w:r>
      <w:r>
        <w:t>)</w:t>
      </w:r>
      <w:r>
        <w:tab/>
        <w:t>adjusting the resulting amount to reflect the remaining period of the service concession arrangement relative to the total period of the arrangement; and then</w:t>
      </w:r>
    </w:p>
    <w:p w14:paraId="387FD6C7" w14:textId="3DC9A41B" w:rsidR="00712237" w:rsidRDefault="00F65542" w:rsidP="00011BDD">
      <w:pPr>
        <w:pStyle w:val="NoNumPlain1"/>
        <w:ind w:left="510" w:hanging="510"/>
      </w:pPr>
      <w:r>
        <w:t>(</w:t>
      </w:r>
      <w:r w:rsidR="00116447">
        <w:t>c</w:t>
      </w:r>
      <w:r>
        <w:t>)</w:t>
      </w:r>
      <w:r>
        <w:tab/>
        <w:t xml:space="preserve">deducting any </w:t>
      </w:r>
      <w:r w:rsidR="00011BDD">
        <w:t xml:space="preserve">outstanding </w:t>
      </w:r>
      <w:r>
        <w:t>related financial liabilities</w:t>
      </w:r>
      <w:r w:rsidR="00011BDD">
        <w:t>.</w:t>
      </w:r>
    </w:p>
    <w:p w14:paraId="2199A66F" w14:textId="77777777" w:rsidR="00F22AF2" w:rsidRDefault="00F22AF2" w:rsidP="0096317D">
      <w:pPr>
        <w:pStyle w:val="Heading2Indent1"/>
      </w:pPr>
      <w:r>
        <w:t>Application date</w:t>
      </w:r>
    </w:p>
    <w:p w14:paraId="1E92ABBF" w14:textId="6654E3B1" w:rsidR="00F22AF2" w:rsidRPr="00F22AF2" w:rsidRDefault="00B16904" w:rsidP="00F73284">
      <w:pPr>
        <w:pStyle w:val="IASBNormal"/>
      </w:pPr>
      <w:r>
        <w:t xml:space="preserve">This Standard applies to annual periods </w:t>
      </w:r>
      <w:bookmarkStart w:id="9" w:name="ApplyText"/>
      <w:r w:rsidR="00C71C53">
        <w:t>ending</w:t>
      </w:r>
      <w:bookmarkEnd w:id="9"/>
      <w:r>
        <w:t xml:space="preserve"> on or after</w:t>
      </w:r>
      <w:r w:rsidR="00867FB0">
        <w:t xml:space="preserve"> </w:t>
      </w:r>
      <w:bookmarkStart w:id="10" w:name="ApplyDate"/>
      <w:r w:rsidR="00C14137">
        <w:t>30 June 2021</w:t>
      </w:r>
      <w:bookmarkEnd w:id="10"/>
      <w:r w:rsidR="00804D25">
        <w:t xml:space="preserve">, </w:t>
      </w:r>
      <w:r w:rsidR="009E0595" w:rsidRPr="00766E15">
        <w:t>with earl</w:t>
      </w:r>
      <w:r w:rsidR="009E0595">
        <w:t>ier</w:t>
      </w:r>
      <w:r w:rsidR="009E0595" w:rsidRPr="00766E15">
        <w:t xml:space="preserve"> </w:t>
      </w:r>
      <w:r w:rsidR="009E0595">
        <w:t>application</w:t>
      </w:r>
      <w:r w:rsidR="009E0595" w:rsidRPr="00766E15">
        <w:t xml:space="preserve"> permitted. </w:t>
      </w:r>
    </w:p>
    <w:p w14:paraId="7BD3736F" w14:textId="77777777" w:rsidR="00F22AF2" w:rsidRPr="0000292B" w:rsidRDefault="00F22AF2"/>
    <w:p w14:paraId="7A005A3D" w14:textId="77777777" w:rsidR="00090A6F" w:rsidRPr="0000292B" w:rsidRDefault="00090A6F">
      <w:pPr>
        <w:sectPr w:rsidR="00090A6F" w:rsidRPr="0000292B" w:rsidSect="00D74C6A">
          <w:footerReference w:type="default" r:id="rId14"/>
          <w:pgSz w:w="11907" w:h="16840" w:code="9"/>
          <w:pgMar w:top="1418" w:right="1418" w:bottom="1418" w:left="1418" w:header="709" w:footer="709" w:gutter="0"/>
          <w:paperSrc w:first="7" w:other="7"/>
          <w:cols w:space="720"/>
        </w:sectPr>
      </w:pPr>
    </w:p>
    <w:p w14:paraId="7A92CC2B" w14:textId="4B08CDA9" w:rsidR="001662B8" w:rsidRPr="0000292B" w:rsidRDefault="00F13C5A" w:rsidP="001662B8">
      <w:pPr>
        <w:pStyle w:val="Heading1"/>
      </w:pPr>
      <w:r w:rsidRPr="0000292B">
        <w:lastRenderedPageBreak/>
        <w:t xml:space="preserve">Accounting Standard </w:t>
      </w:r>
      <w:r w:rsidR="001662B8" w:rsidRPr="0000292B">
        <w:t xml:space="preserve">AASB </w:t>
      </w:r>
      <w:r w:rsidR="001662B8" w:rsidRPr="00BC0D5D">
        <w:rPr>
          <w:iCs/>
        </w:rPr>
        <w:fldChar w:fldCharType="begin"/>
      </w:r>
      <w:r w:rsidR="001662B8" w:rsidRPr="00BC0D5D">
        <w:rPr>
          <w:iCs/>
        </w:rPr>
        <w:instrText xml:space="preserve"> REF </w:instrText>
      </w:r>
      <w:r w:rsidR="001662B8">
        <w:rPr>
          <w:iCs/>
        </w:rPr>
        <w:instrText>Doc</w:instrText>
      </w:r>
      <w:r w:rsidR="001662B8" w:rsidRPr="00BC0D5D">
        <w:rPr>
          <w:iCs/>
        </w:rPr>
        <w:instrText xml:space="preserve">No \* charformat </w:instrText>
      </w:r>
      <w:r w:rsidR="001662B8" w:rsidRPr="00BC0D5D">
        <w:rPr>
          <w:iCs/>
        </w:rPr>
        <w:fldChar w:fldCharType="separate"/>
      </w:r>
      <w:r w:rsidR="00A16A5E" w:rsidRPr="00A16A5E">
        <w:rPr>
          <w:iCs/>
        </w:rPr>
        <w:t>2021-4</w:t>
      </w:r>
      <w:r w:rsidR="001662B8" w:rsidRPr="00BC0D5D">
        <w:rPr>
          <w:iCs/>
        </w:rPr>
        <w:fldChar w:fldCharType="end"/>
      </w:r>
    </w:p>
    <w:p w14:paraId="6CAF911E" w14:textId="33677A76" w:rsidR="001662B8" w:rsidRDefault="001662B8" w:rsidP="003E1900">
      <w:pPr>
        <w:pStyle w:val="NoNumPlain1"/>
      </w:pPr>
      <w:r>
        <w:t>The Australian Accounting Standards Board makes Accounting Standard AASB </w:t>
      </w:r>
      <w:fldSimple w:instr=" REF DocNo  \* charformat ">
        <w:r w:rsidR="00A16A5E">
          <w:t>2021-4</w:t>
        </w:r>
      </w:fldSimple>
      <w:r>
        <w:t xml:space="preserve"> </w:t>
      </w:r>
      <w:r w:rsidR="00CC1DF4" w:rsidRPr="00CC1DF4">
        <w:rPr>
          <w:i/>
        </w:rPr>
        <w:fldChar w:fldCharType="begin"/>
      </w:r>
      <w:r w:rsidR="00CC1DF4" w:rsidRPr="00CC1DF4">
        <w:rPr>
          <w:i/>
        </w:rPr>
        <w:instrText xml:space="preserve"> REF DocTitle \* charformat </w:instrText>
      </w:r>
      <w:r w:rsidR="00CC1DF4" w:rsidRPr="00CC1DF4">
        <w:rPr>
          <w:i/>
        </w:rPr>
        <w:fldChar w:fldCharType="separate"/>
      </w:r>
      <w:r w:rsidR="00A16A5E" w:rsidRPr="00A16A5E">
        <w:rPr>
          <w:i/>
        </w:rPr>
        <w:t>Amendments to Australian Accounting Standards – Modified Retrospective Transition Approach for Service Concession Grantors</w:t>
      </w:r>
      <w:r w:rsidR="00CC1DF4" w:rsidRPr="00CC1DF4">
        <w:rPr>
          <w:i/>
        </w:rPr>
        <w:fldChar w:fldCharType="end"/>
      </w:r>
      <w:bookmarkStart w:id="11" w:name="CorpsAct"/>
      <w:r w:rsidR="00074CB7">
        <w:rPr>
          <w:i/>
        </w:rPr>
        <w:t xml:space="preserve"> </w:t>
      </w:r>
      <w:r>
        <w:t xml:space="preserve">under section 334 of the </w:t>
      </w:r>
      <w:r>
        <w:rPr>
          <w:i/>
          <w:iCs/>
        </w:rPr>
        <w:t>Corporations Act 2001</w:t>
      </w:r>
      <w:bookmarkEnd w:id="11"/>
      <w:r>
        <w:t>.</w:t>
      </w:r>
    </w:p>
    <w:tbl>
      <w:tblPr>
        <w:tblW w:w="907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711"/>
      </w:tblGrid>
      <w:tr w:rsidR="00C03C7B" w14:paraId="64B7EB67" w14:textId="77777777" w:rsidTr="001A4E74">
        <w:tc>
          <w:tcPr>
            <w:tcW w:w="4361" w:type="dxa"/>
          </w:tcPr>
          <w:p w14:paraId="265F23B6" w14:textId="77777777" w:rsidR="00C03C7B" w:rsidRDefault="00C03C7B" w:rsidP="0048155F"/>
        </w:tc>
        <w:tc>
          <w:tcPr>
            <w:tcW w:w="4711" w:type="dxa"/>
          </w:tcPr>
          <w:p w14:paraId="2AE9C1AE" w14:textId="42C86181" w:rsidR="00C03C7B" w:rsidRDefault="008F3EBA" w:rsidP="0048155F">
            <w:pPr>
              <w:jc w:val="right"/>
            </w:pPr>
            <w:r>
              <w:t>K</w:t>
            </w:r>
            <w:r w:rsidR="0011209D">
              <w:t>eith Kendall</w:t>
            </w:r>
          </w:p>
        </w:tc>
      </w:tr>
      <w:tr w:rsidR="00C03C7B" w14:paraId="356A72EC" w14:textId="77777777" w:rsidTr="001A4E74">
        <w:tc>
          <w:tcPr>
            <w:tcW w:w="4361" w:type="dxa"/>
          </w:tcPr>
          <w:p w14:paraId="7ECEBB49" w14:textId="6040C5B3" w:rsidR="00C03C7B" w:rsidRDefault="002504AF" w:rsidP="00525AE6">
            <w:r>
              <w:t xml:space="preserve">  </w:t>
            </w:r>
            <w:r w:rsidR="00F34813">
              <w:t>Dated</w:t>
            </w:r>
            <w:r w:rsidR="00525AE6">
              <w:t xml:space="preserve"> </w:t>
            </w:r>
            <w:r w:rsidR="007259C9">
              <w:t>21 June 2021</w:t>
            </w:r>
          </w:p>
        </w:tc>
        <w:tc>
          <w:tcPr>
            <w:tcW w:w="4711" w:type="dxa"/>
          </w:tcPr>
          <w:p w14:paraId="5BF3DCCC" w14:textId="77777777" w:rsidR="00C03C7B" w:rsidRDefault="00C03C7B" w:rsidP="0048155F">
            <w:pPr>
              <w:jc w:val="right"/>
            </w:pPr>
            <w:r>
              <w:t>Chair – AASB</w:t>
            </w:r>
          </w:p>
        </w:tc>
      </w:tr>
    </w:tbl>
    <w:p w14:paraId="4FC7A864" w14:textId="6D7D287A" w:rsidR="00090A6F" w:rsidRPr="0000292B" w:rsidRDefault="00F13C5A" w:rsidP="00867FB0">
      <w:pPr>
        <w:pStyle w:val="Heading1"/>
        <w:spacing w:after="0"/>
      </w:pPr>
      <w:r w:rsidRPr="0000292B">
        <w:t xml:space="preserve">Accounting Standard </w:t>
      </w:r>
      <w:r w:rsidR="00090A6F" w:rsidRPr="0000292B">
        <w:t xml:space="preserve">AASB </w:t>
      </w:r>
      <w:r w:rsidR="00BC0D5D" w:rsidRPr="00BC0D5D">
        <w:rPr>
          <w:iCs/>
        </w:rPr>
        <w:fldChar w:fldCharType="begin"/>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A16A5E" w:rsidRPr="00A16A5E">
        <w:rPr>
          <w:iCs/>
        </w:rPr>
        <w:t>2021-4</w:t>
      </w:r>
      <w:r w:rsidR="00BC0D5D" w:rsidRPr="00BC0D5D">
        <w:rPr>
          <w:iCs/>
        </w:rPr>
        <w:fldChar w:fldCharType="end"/>
      </w:r>
    </w:p>
    <w:p w14:paraId="3993EA4E" w14:textId="12B800AF" w:rsidR="00090A6F" w:rsidRPr="00BF3DA7" w:rsidRDefault="00D11F00" w:rsidP="003E1900">
      <w:pPr>
        <w:pStyle w:val="Heading1Italic"/>
        <w:spacing w:before="0"/>
      </w:pPr>
      <w:fldSimple w:instr=" REF \* charformat DocTitle  \* MERGEFORMAT ">
        <w:r w:rsidR="00A16A5E">
          <w:t xml:space="preserve">Amendments to Australian Accounting Standards – </w:t>
        </w:r>
        <w:r w:rsidR="00A16A5E" w:rsidRPr="00932BF3">
          <w:t>Modified Retrospective Transition Approach for Service Concession Grantors</w:t>
        </w:r>
      </w:fldSimple>
    </w:p>
    <w:p w14:paraId="7A909457" w14:textId="77777777" w:rsidR="00090A6F" w:rsidRPr="0000292B" w:rsidRDefault="00090A6F" w:rsidP="00FC30DA">
      <w:pPr>
        <w:pStyle w:val="Heading2"/>
      </w:pPr>
      <w:bookmarkStart w:id="12" w:name="TOCStart"/>
      <w:bookmarkEnd w:id="12"/>
      <w:r w:rsidRPr="0000292B">
        <w:t>Objective</w:t>
      </w:r>
    </w:p>
    <w:p w14:paraId="6D9EF78B" w14:textId="4A8E0CC5" w:rsidR="003A60C1" w:rsidRDefault="00867FB0" w:rsidP="005F7008">
      <w:pPr>
        <w:pStyle w:val="NumPlain1"/>
        <w:ind w:left="782" w:hanging="782"/>
      </w:pPr>
      <w:r>
        <w:t>This</w:t>
      </w:r>
      <w:r w:rsidR="001662B8">
        <w:t xml:space="preserve"> Standard </w:t>
      </w:r>
      <w:r>
        <w:t>amends</w:t>
      </w:r>
      <w:r w:rsidR="00E96457">
        <w:t xml:space="preserve"> </w:t>
      </w:r>
      <w:r w:rsidR="004A3C2F">
        <w:t xml:space="preserve">AASB 1059 </w:t>
      </w:r>
      <w:r w:rsidR="004A3C2F" w:rsidRPr="00E96457">
        <w:rPr>
          <w:i/>
        </w:rPr>
        <w:t>Service Concession Arrangements: Grantors</w:t>
      </w:r>
      <w:r w:rsidR="004A3C2F">
        <w:t xml:space="preserve"> (July 2017) </w:t>
      </w:r>
      <w:r w:rsidR="00E21AE9">
        <w:t>to</w:t>
      </w:r>
      <w:r w:rsidR="009E0595">
        <w:t xml:space="preserve"> </w:t>
      </w:r>
      <w:r w:rsidR="006E3D97" w:rsidRPr="006E3D97">
        <w:t>change the modified retrospective method for measuring the Grant of a Right to the Operator (GORTO) liability set out in paragraph C4(c) of</w:t>
      </w:r>
      <w:r w:rsidR="00CD1869">
        <w:t xml:space="preserve"> AASB 1059</w:t>
      </w:r>
      <w:r w:rsidR="009E0595">
        <w:t>.</w:t>
      </w:r>
    </w:p>
    <w:p w14:paraId="068B93AC" w14:textId="77777777" w:rsidR="00090A6F" w:rsidRPr="0000292B" w:rsidRDefault="00090A6F">
      <w:pPr>
        <w:pStyle w:val="Heading2"/>
      </w:pPr>
      <w:bookmarkStart w:id="13" w:name="StndObj"/>
      <w:bookmarkStart w:id="14" w:name="ArisingDate"/>
      <w:bookmarkEnd w:id="13"/>
      <w:bookmarkEnd w:id="14"/>
      <w:r w:rsidRPr="0000292B">
        <w:t>Application</w:t>
      </w:r>
    </w:p>
    <w:p w14:paraId="33ACF0D9" w14:textId="1C7FA9C7" w:rsidR="005A6AC7" w:rsidRPr="00920B8B" w:rsidRDefault="005A6AC7" w:rsidP="005F7008">
      <w:pPr>
        <w:pStyle w:val="NumBold1"/>
        <w:ind w:left="782" w:hanging="782"/>
        <w:rPr>
          <w:b w:val="0"/>
        </w:rPr>
      </w:pPr>
      <w:r w:rsidRPr="00920B8B">
        <w:rPr>
          <w:b w:val="0"/>
        </w:rPr>
        <w:t xml:space="preserve">The amendments set out in this Standard apply to entities and financial statements in accordance with the application of </w:t>
      </w:r>
      <w:r w:rsidR="004A3C2F">
        <w:rPr>
          <w:b w:val="0"/>
        </w:rPr>
        <w:t xml:space="preserve">AASB </w:t>
      </w:r>
      <w:r w:rsidR="00534BAD">
        <w:rPr>
          <w:b w:val="0"/>
        </w:rPr>
        <w:t>1059</w:t>
      </w:r>
      <w:r w:rsidRPr="00920B8B">
        <w:rPr>
          <w:b w:val="0"/>
        </w:rPr>
        <w:t xml:space="preserve"> set out in AASB 1057 </w:t>
      </w:r>
      <w:r w:rsidRPr="00920B8B">
        <w:rPr>
          <w:b w:val="0"/>
          <w:i/>
        </w:rPr>
        <w:t>Application of Australian Accounting Standards</w:t>
      </w:r>
      <w:r w:rsidRPr="00870A13">
        <w:rPr>
          <w:b w:val="0"/>
        </w:rPr>
        <w:t>.</w:t>
      </w:r>
    </w:p>
    <w:p w14:paraId="1A08C7F5" w14:textId="2D7B3EC7" w:rsidR="009E0595" w:rsidRPr="009E0595" w:rsidRDefault="00090A6F" w:rsidP="005F7008">
      <w:pPr>
        <w:pStyle w:val="NumBold1"/>
        <w:ind w:left="782" w:hanging="782"/>
        <w:rPr>
          <w:b w:val="0"/>
        </w:rPr>
      </w:pPr>
      <w:r w:rsidRPr="00920B8B">
        <w:rPr>
          <w:b w:val="0"/>
        </w:rPr>
        <w:t xml:space="preserve">This Standard applies to annual periods </w:t>
      </w:r>
      <w:r w:rsidR="005A6AC7" w:rsidRPr="00920B8B">
        <w:rPr>
          <w:b w:val="0"/>
        </w:rPr>
        <w:fldChar w:fldCharType="begin"/>
      </w:r>
      <w:r w:rsidR="005A6AC7" w:rsidRPr="00920B8B">
        <w:rPr>
          <w:b w:val="0"/>
        </w:rPr>
        <w:instrText xml:space="preserve"> REF ApplyText \* charformat</w:instrText>
      </w:r>
      <w:r w:rsidR="00920B8B">
        <w:rPr>
          <w:b w:val="0"/>
        </w:rPr>
        <w:instrText xml:space="preserve"> \* MERGEFORMAT </w:instrText>
      </w:r>
      <w:r w:rsidR="005A6AC7" w:rsidRPr="00920B8B">
        <w:rPr>
          <w:b w:val="0"/>
        </w:rPr>
        <w:fldChar w:fldCharType="separate"/>
      </w:r>
      <w:r w:rsidR="00A16A5E" w:rsidRPr="00A16A5E">
        <w:rPr>
          <w:b w:val="0"/>
        </w:rPr>
        <w:t>ending</w:t>
      </w:r>
      <w:r w:rsidR="005A6AC7" w:rsidRPr="00920B8B">
        <w:rPr>
          <w:b w:val="0"/>
        </w:rPr>
        <w:fldChar w:fldCharType="end"/>
      </w:r>
      <w:r w:rsidRPr="00920B8B">
        <w:rPr>
          <w:b w:val="0"/>
        </w:rPr>
        <w:t xml:space="preserve"> on or after </w:t>
      </w:r>
      <w:r w:rsidR="005A6AC7" w:rsidRPr="00920B8B">
        <w:rPr>
          <w:b w:val="0"/>
        </w:rPr>
        <w:fldChar w:fldCharType="begin"/>
      </w:r>
      <w:r w:rsidR="005A6AC7" w:rsidRPr="00920B8B">
        <w:rPr>
          <w:b w:val="0"/>
        </w:rPr>
        <w:instrText xml:space="preserve"> REF ApplyDate \* charformat</w:instrText>
      </w:r>
      <w:r w:rsidR="00920B8B">
        <w:rPr>
          <w:b w:val="0"/>
        </w:rPr>
        <w:instrText xml:space="preserve"> \* MERGEFORMAT </w:instrText>
      </w:r>
      <w:r w:rsidR="005A6AC7" w:rsidRPr="00920B8B">
        <w:rPr>
          <w:b w:val="0"/>
        </w:rPr>
        <w:fldChar w:fldCharType="separate"/>
      </w:r>
      <w:r w:rsidR="00A16A5E" w:rsidRPr="00A16A5E">
        <w:rPr>
          <w:b w:val="0"/>
        </w:rPr>
        <w:t>30 June 2021</w:t>
      </w:r>
      <w:r w:rsidR="005A6AC7" w:rsidRPr="00920B8B">
        <w:rPr>
          <w:b w:val="0"/>
        </w:rPr>
        <w:fldChar w:fldCharType="end"/>
      </w:r>
      <w:r w:rsidRPr="00920B8B">
        <w:rPr>
          <w:b w:val="0"/>
        </w:rPr>
        <w:t>.</w:t>
      </w:r>
      <w:r w:rsidR="009E0595">
        <w:rPr>
          <w:b w:val="0"/>
        </w:rPr>
        <w:t xml:space="preserve">  </w:t>
      </w:r>
      <w:r w:rsidR="009E0595" w:rsidRPr="009E0595">
        <w:rPr>
          <w:b w:val="0"/>
        </w:rPr>
        <w:t>Earlier application of this Standard is permitted.</w:t>
      </w:r>
    </w:p>
    <w:p w14:paraId="32E50A98" w14:textId="468CB782" w:rsidR="009E0595" w:rsidRPr="00920B8B" w:rsidRDefault="009E0595" w:rsidP="005F7008">
      <w:pPr>
        <w:pStyle w:val="NumBold1"/>
        <w:ind w:left="782" w:hanging="782"/>
      </w:pPr>
      <w:r w:rsidRPr="009E0595">
        <w:rPr>
          <w:b w:val="0"/>
        </w:rPr>
        <w:t>This Standard uses underlining, striking out and other typographical material to identify some of the amendments to</w:t>
      </w:r>
      <w:r w:rsidR="00CD1869">
        <w:rPr>
          <w:b w:val="0"/>
        </w:rPr>
        <w:t xml:space="preserve"> AASB 1059</w:t>
      </w:r>
      <w:r w:rsidRPr="009E0595">
        <w:rPr>
          <w:b w:val="0"/>
        </w:rPr>
        <w:t>, in order to make the amendments more understandable. However, the amendments made by this Standard do not include that underlining, striking out or other typographical material. Amended paragraphs are shown with deleted text struck through and new text underlined. Ellipses (…) are used to help provide the context within which amendments are made and also to indicate text that is not amended.</w:t>
      </w:r>
    </w:p>
    <w:p w14:paraId="7B805FE9" w14:textId="77777777" w:rsidR="004A3C2F" w:rsidRDefault="004A3C2F" w:rsidP="004A3C2F">
      <w:pPr>
        <w:pStyle w:val="Heading2"/>
      </w:pPr>
      <w:r>
        <w:t>Amendments to AASB 1059</w:t>
      </w:r>
    </w:p>
    <w:p w14:paraId="06EC7951" w14:textId="56F5B358" w:rsidR="004A3C2F" w:rsidRDefault="004A3C2F" w:rsidP="005F7008">
      <w:pPr>
        <w:pStyle w:val="NumPlain1"/>
        <w:ind w:left="782" w:hanging="782"/>
      </w:pPr>
      <w:r>
        <w:t>Paragraph C</w:t>
      </w:r>
      <w:r w:rsidR="009E0595">
        <w:t>4</w:t>
      </w:r>
      <w:r w:rsidR="00CF060B">
        <w:t>(c)</w:t>
      </w:r>
      <w:r w:rsidR="00A8184D">
        <w:t xml:space="preserve"> </w:t>
      </w:r>
      <w:r w:rsidR="00B22865">
        <w:t>and paragraph</w:t>
      </w:r>
      <w:r w:rsidR="00CD1869">
        <w:t>s</w:t>
      </w:r>
      <w:r w:rsidR="00B22865">
        <w:t xml:space="preserve"> </w:t>
      </w:r>
      <w:r w:rsidR="00CD1869">
        <w:t>IE42–</w:t>
      </w:r>
      <w:r w:rsidR="00B22865">
        <w:t>IE4</w:t>
      </w:r>
      <w:r w:rsidR="00960877">
        <w:t>4</w:t>
      </w:r>
      <w:r w:rsidR="00B22865">
        <w:t xml:space="preserve"> in the </w:t>
      </w:r>
      <w:r w:rsidR="0059506D">
        <w:t>accompanying illustrative</w:t>
      </w:r>
      <w:r w:rsidR="00B22865">
        <w:t xml:space="preserve"> examples </w:t>
      </w:r>
      <w:r w:rsidR="00CF5EBC">
        <w:t>are</w:t>
      </w:r>
      <w:r>
        <w:t xml:space="preserve"> amended</w:t>
      </w:r>
      <w:r w:rsidR="005A00C9">
        <w:t xml:space="preserve"> as follows</w:t>
      </w:r>
      <w:r w:rsidR="006318F5">
        <w:t>. Paragraph C4(b)</w:t>
      </w:r>
      <w:r w:rsidR="00CB4CBA">
        <w:t xml:space="preserve"> is</w:t>
      </w:r>
      <w:r w:rsidR="006318F5">
        <w:t xml:space="preserve"> not amended, but </w:t>
      </w:r>
      <w:r w:rsidR="00CB4CBA">
        <w:t xml:space="preserve">is </w:t>
      </w:r>
      <w:r w:rsidR="006318F5">
        <w:t>included for</w:t>
      </w:r>
      <w:r w:rsidR="00CB4CBA">
        <w:t xml:space="preserve"> context.</w:t>
      </w:r>
    </w:p>
    <w:p w14:paraId="38F6BBB8" w14:textId="0BF7518D" w:rsidR="008F0274" w:rsidRDefault="008F0274" w:rsidP="005F7008">
      <w:pPr>
        <w:pStyle w:val="NumPlain1"/>
        <w:numPr>
          <w:ilvl w:val="0"/>
          <w:numId w:val="0"/>
        </w:numPr>
        <w:ind w:left="1564" w:hanging="782"/>
      </w:pPr>
      <w:r>
        <w:t>C4</w:t>
      </w:r>
      <w:r>
        <w:tab/>
        <w:t xml:space="preserve">If a grantor elects to apply this Standard retrospectively in accordance with paragraph C3(b), the grantor shall: </w:t>
      </w:r>
    </w:p>
    <w:p w14:paraId="383E04E0" w14:textId="29D3E30C" w:rsidR="009E0595" w:rsidRDefault="009E0595" w:rsidP="005F7008">
      <w:pPr>
        <w:pStyle w:val="NumPlain1"/>
        <w:numPr>
          <w:ilvl w:val="0"/>
          <w:numId w:val="0"/>
        </w:numPr>
        <w:ind w:left="2347" w:hanging="782"/>
      </w:pPr>
      <w:r>
        <w:t>(a)</w:t>
      </w:r>
      <w:r>
        <w:tab/>
      </w:r>
      <w:r w:rsidR="0059506D">
        <w:t>…</w:t>
      </w:r>
    </w:p>
    <w:p w14:paraId="40BA1675" w14:textId="726DBC49" w:rsidR="00220088" w:rsidRDefault="00220088" w:rsidP="005F7008">
      <w:pPr>
        <w:pStyle w:val="NumPlain1"/>
        <w:numPr>
          <w:ilvl w:val="0"/>
          <w:numId w:val="0"/>
        </w:numPr>
        <w:ind w:left="2347" w:hanging="782"/>
      </w:pPr>
      <w:r>
        <w:t>(b)</w:t>
      </w:r>
      <w:r>
        <w:tab/>
      </w:r>
      <w:r w:rsidR="002313EB" w:rsidRPr="002313EB">
        <w:t xml:space="preserve">measure </w:t>
      </w:r>
      <w:r w:rsidR="00CF060B" w:rsidRPr="00CF060B">
        <w:t>a</w:t>
      </w:r>
      <w:r w:rsidR="002313EB" w:rsidRPr="002313EB">
        <w:t xml:space="preserve"> financial liability arising under a service concession arrangement at fair value at the date of initial application</w:t>
      </w:r>
      <w:r w:rsidR="002313EB">
        <w:t>;</w:t>
      </w:r>
    </w:p>
    <w:p w14:paraId="32CEC755" w14:textId="5B08F159" w:rsidR="00E63B5D" w:rsidRDefault="008F0274" w:rsidP="005F7008">
      <w:pPr>
        <w:pStyle w:val="NumPlain1"/>
        <w:numPr>
          <w:ilvl w:val="0"/>
          <w:numId w:val="0"/>
        </w:numPr>
        <w:ind w:left="2347" w:hanging="782"/>
      </w:pPr>
      <w:r>
        <w:t>(c)</w:t>
      </w:r>
      <w:r>
        <w:tab/>
        <w:t xml:space="preserve">measure a liability representing the unearned portion of any revenue arising from the receipt of a service concession asset under the grant of a right to the operator model at the fair value (current replacement cost) of the related service concession asset at the date of initial application, adjusted </w:t>
      </w:r>
      <w:r w:rsidR="00F75AD8" w:rsidRPr="00854ACA">
        <w:rPr>
          <w:u w:val="single"/>
        </w:rPr>
        <w:t>by</w:t>
      </w:r>
      <w:r w:rsidR="00E63B5D" w:rsidRPr="00F77874">
        <w:rPr>
          <w:u w:val="single"/>
        </w:rPr>
        <w:t>:</w:t>
      </w:r>
    </w:p>
    <w:p w14:paraId="2ED882FD" w14:textId="0D48406C" w:rsidR="006E20A3" w:rsidRDefault="006E20A3" w:rsidP="005F7008">
      <w:pPr>
        <w:pStyle w:val="NumPlain1"/>
        <w:numPr>
          <w:ilvl w:val="0"/>
          <w:numId w:val="0"/>
        </w:numPr>
        <w:ind w:left="3129" w:hanging="782"/>
      </w:pPr>
      <w:r w:rsidRPr="00343D15">
        <w:rPr>
          <w:u w:val="single"/>
        </w:rPr>
        <w:t>(i)</w:t>
      </w:r>
      <w:r>
        <w:tab/>
      </w:r>
      <w:r w:rsidR="00CC5155" w:rsidRPr="00CC5155">
        <w:rPr>
          <w:u w:val="single"/>
        </w:rPr>
        <w:t xml:space="preserve">deducting the carrying amount of any consideration </w:t>
      </w:r>
      <w:r w:rsidR="00777522">
        <w:rPr>
          <w:u w:val="single"/>
        </w:rPr>
        <w:t xml:space="preserve">transferred </w:t>
      </w:r>
      <w:r w:rsidR="00CC5155" w:rsidRPr="00CC5155">
        <w:rPr>
          <w:u w:val="single"/>
        </w:rPr>
        <w:t xml:space="preserve">by the grantor to the operator recognised as an asset; </w:t>
      </w:r>
    </w:p>
    <w:p w14:paraId="00435AD6" w14:textId="54B56A6D" w:rsidR="00F0391D" w:rsidRDefault="006E20A3" w:rsidP="005F7008">
      <w:pPr>
        <w:pStyle w:val="NumPlain1"/>
        <w:numPr>
          <w:ilvl w:val="0"/>
          <w:numId w:val="0"/>
        </w:numPr>
        <w:ind w:left="3129" w:hanging="782"/>
      </w:pPr>
      <w:r w:rsidRPr="00343D15">
        <w:rPr>
          <w:u w:val="single"/>
        </w:rPr>
        <w:t>(ii)</w:t>
      </w:r>
      <w:r>
        <w:tab/>
      </w:r>
      <w:r w:rsidR="00CC5155" w:rsidRPr="00CC5155">
        <w:rPr>
          <w:u w:val="single"/>
        </w:rPr>
        <w:t>adjusting the resulting amount</w:t>
      </w:r>
      <w:r w:rsidR="00CC5155">
        <w:t xml:space="preserve"> to reflect </w:t>
      </w:r>
      <w:r w:rsidR="008F0274">
        <w:t xml:space="preserve">the remaining period of the service concession arrangement relative to </w:t>
      </w:r>
      <w:r w:rsidR="008F0274" w:rsidRPr="009E0595">
        <w:t xml:space="preserve">the </w:t>
      </w:r>
      <w:r w:rsidR="008F0274" w:rsidRPr="00220088">
        <w:t>total period of the arrangement</w:t>
      </w:r>
      <w:r w:rsidR="008F0274" w:rsidRPr="00F0391D">
        <w:rPr>
          <w:strike/>
        </w:rPr>
        <w:t>,</w:t>
      </w:r>
      <w:r w:rsidR="00CC5155" w:rsidRPr="00F0391D">
        <w:rPr>
          <w:u w:val="single"/>
        </w:rPr>
        <w:t>;</w:t>
      </w:r>
      <w:r w:rsidR="008F0274" w:rsidRPr="00F0391D">
        <w:rPr>
          <w:u w:val="single"/>
        </w:rPr>
        <w:t xml:space="preserve"> </w:t>
      </w:r>
      <w:r w:rsidR="00F0391D" w:rsidRPr="00F0391D">
        <w:rPr>
          <w:u w:val="single"/>
        </w:rPr>
        <w:t>and then</w:t>
      </w:r>
    </w:p>
    <w:p w14:paraId="5D13D7DC" w14:textId="5D40AB05" w:rsidR="008F0274" w:rsidRPr="00CC5155" w:rsidRDefault="00F0391D" w:rsidP="005F7008">
      <w:pPr>
        <w:pStyle w:val="NumPlain1"/>
        <w:numPr>
          <w:ilvl w:val="0"/>
          <w:numId w:val="0"/>
        </w:numPr>
        <w:ind w:left="3129" w:hanging="782"/>
      </w:pPr>
      <w:r w:rsidRPr="00F0391D">
        <w:rPr>
          <w:u w:val="single"/>
        </w:rPr>
        <w:t>(iii)</w:t>
      </w:r>
      <w:r>
        <w:tab/>
      </w:r>
      <w:r w:rsidRPr="00F0391D">
        <w:rPr>
          <w:u w:val="single"/>
        </w:rPr>
        <w:t>deducting</w:t>
      </w:r>
      <w:r>
        <w:t xml:space="preserve"> </w:t>
      </w:r>
      <w:r w:rsidR="008F0274" w:rsidRPr="00F0391D">
        <w:rPr>
          <w:strike/>
        </w:rPr>
        <w:t>less</w:t>
      </w:r>
      <w:r w:rsidR="008F0274" w:rsidRPr="00CC5155">
        <w:t xml:space="preserve"> any related financial liabilities measured in accordance with paragraph</w:t>
      </w:r>
      <w:r w:rsidR="00B07A5D">
        <w:t> </w:t>
      </w:r>
      <w:r w:rsidR="008F0274" w:rsidRPr="00CC5155">
        <w:t>(b);</w:t>
      </w:r>
    </w:p>
    <w:p w14:paraId="5D4D0363" w14:textId="180B5D42" w:rsidR="008F0274" w:rsidRDefault="008F0274" w:rsidP="005F7008">
      <w:pPr>
        <w:pStyle w:val="NumPlain1"/>
        <w:numPr>
          <w:ilvl w:val="0"/>
          <w:numId w:val="0"/>
        </w:numPr>
        <w:spacing w:after="0"/>
        <w:ind w:left="2347" w:hanging="782"/>
      </w:pPr>
      <w:r>
        <w:lastRenderedPageBreak/>
        <w:t>(d)</w:t>
      </w:r>
      <w:r>
        <w:tab/>
        <w:t>…</w:t>
      </w:r>
    </w:p>
    <w:p w14:paraId="18499A2C" w14:textId="48067977" w:rsidR="004037F5" w:rsidRPr="004037F5" w:rsidRDefault="004037F5" w:rsidP="00785915">
      <w:pPr>
        <w:pStyle w:val="IGpara1"/>
        <w:numPr>
          <w:ilvl w:val="0"/>
          <w:numId w:val="0"/>
        </w:numPr>
        <w:spacing w:before="360"/>
        <w:ind w:left="782"/>
        <w:rPr>
          <w:b/>
          <w:sz w:val="26"/>
          <w:szCs w:val="26"/>
        </w:rPr>
      </w:pPr>
      <w:r w:rsidRPr="004037F5">
        <w:rPr>
          <w:b/>
          <w:sz w:val="26"/>
          <w:szCs w:val="26"/>
        </w:rPr>
        <w:t>Example 10: Transition – measuring the liability under the grant of a right to the operator model at the date of initial application</w:t>
      </w:r>
    </w:p>
    <w:p w14:paraId="102F7E90" w14:textId="4FBD72FA" w:rsidR="004037F5" w:rsidRPr="004037F5" w:rsidRDefault="00B84486" w:rsidP="00221634">
      <w:pPr>
        <w:pStyle w:val="IGpara1"/>
        <w:numPr>
          <w:ilvl w:val="0"/>
          <w:numId w:val="0"/>
        </w:numPr>
        <w:ind w:left="1564" w:hanging="782"/>
      </w:pPr>
      <w:r>
        <w:t>…</w:t>
      </w:r>
    </w:p>
    <w:p w14:paraId="216A97C1" w14:textId="27DC3538" w:rsidR="004037F5" w:rsidRDefault="004037F5" w:rsidP="0038342A">
      <w:pPr>
        <w:pStyle w:val="IGpara1"/>
        <w:numPr>
          <w:ilvl w:val="0"/>
          <w:numId w:val="0"/>
        </w:numPr>
        <w:spacing w:before="100"/>
        <w:ind w:left="1564" w:hanging="782"/>
      </w:pPr>
      <w:r w:rsidRPr="004037F5">
        <w:t>IE42</w:t>
      </w:r>
      <w:r w:rsidRPr="004037F5">
        <w:tab/>
        <w:t xml:space="preserve">This example illustrates the approach set out in paragraph C4(c) to measuring a liability under the grant of a right to the operator model at the date of initial application. The liability related to the grant of a right to the operator is required to be measured at the fair value (current replacement cost) of the related service concession asset at the date of initial application, adjusted </w:t>
      </w:r>
      <w:r w:rsidR="002F4CC5" w:rsidRPr="00B85D9B">
        <w:rPr>
          <w:u w:val="single"/>
        </w:rPr>
        <w:t xml:space="preserve">(1) for any consideration </w:t>
      </w:r>
      <w:r w:rsidR="00B510AB">
        <w:rPr>
          <w:u w:val="single"/>
        </w:rPr>
        <w:t>transferred</w:t>
      </w:r>
      <w:r w:rsidR="00B510AB" w:rsidRPr="00B85D9B">
        <w:rPr>
          <w:u w:val="single"/>
        </w:rPr>
        <w:t xml:space="preserve"> </w:t>
      </w:r>
      <w:r w:rsidR="002F4CC5" w:rsidRPr="00B85D9B">
        <w:rPr>
          <w:u w:val="single"/>
        </w:rPr>
        <w:t>by the grantor to the operator that is recognised as an asset and (2)</w:t>
      </w:r>
      <w:r w:rsidR="002F4CC5">
        <w:t xml:space="preserve"> </w:t>
      </w:r>
      <w:r w:rsidRPr="004037F5">
        <w:t xml:space="preserve">to reflect the remaining period of the service concession arrangement relative to the </w:t>
      </w:r>
      <w:r w:rsidR="00F015EE" w:rsidRPr="009978E0">
        <w:t xml:space="preserve">total period of the </w:t>
      </w:r>
      <w:r w:rsidR="00F015EE" w:rsidRPr="004307CB">
        <w:t>arrangement</w:t>
      </w:r>
      <w:r w:rsidRPr="004307CB">
        <w:t xml:space="preserve">, </w:t>
      </w:r>
      <w:r w:rsidR="00355171" w:rsidRPr="0078006F">
        <w:rPr>
          <w:u w:val="single"/>
        </w:rPr>
        <w:t>(3)</w:t>
      </w:r>
      <w:r w:rsidR="00355171">
        <w:t xml:space="preserve"> </w:t>
      </w:r>
      <w:r w:rsidRPr="004307CB">
        <w:t>less any related financial liabilities.</w:t>
      </w:r>
    </w:p>
    <w:p w14:paraId="65D252F4" w14:textId="1B95F71E" w:rsidR="00C20C07" w:rsidRDefault="00C20C07" w:rsidP="00221634">
      <w:pPr>
        <w:pStyle w:val="IGpara1"/>
        <w:numPr>
          <w:ilvl w:val="0"/>
          <w:numId w:val="0"/>
        </w:numPr>
        <w:ind w:left="1564" w:hanging="782"/>
      </w:pPr>
      <w:r>
        <w:t>IE43</w:t>
      </w:r>
      <w:r>
        <w:tab/>
        <w:t xml:space="preserve">Assuming </w:t>
      </w:r>
      <w:r w:rsidRPr="004307CB">
        <w:t>that</w:t>
      </w:r>
      <w:r>
        <w:t xml:space="preserve"> the service concession arrangement in this example </w:t>
      </w:r>
      <w:r w:rsidR="002F4CC5" w:rsidRPr="00B85D9B">
        <w:rPr>
          <w:u w:val="single"/>
        </w:rPr>
        <w:t xml:space="preserve">has not required any payments </w:t>
      </w:r>
      <w:r w:rsidR="00CE15B4">
        <w:rPr>
          <w:u w:val="single"/>
        </w:rPr>
        <w:t xml:space="preserve">or other consideration </w:t>
      </w:r>
      <w:r w:rsidR="002F4CC5" w:rsidRPr="00B85D9B">
        <w:rPr>
          <w:u w:val="single"/>
        </w:rPr>
        <w:t>from the grantor to the operator and</w:t>
      </w:r>
      <w:r w:rsidR="002F4CC5">
        <w:t xml:space="preserve"> </w:t>
      </w:r>
      <w:r w:rsidRPr="00360009">
        <w:t xml:space="preserve">does not </w:t>
      </w:r>
      <w:r w:rsidRPr="00B85D9B">
        <w:rPr>
          <w:strike/>
        </w:rPr>
        <w:t>also</w:t>
      </w:r>
      <w:r w:rsidRPr="00360009">
        <w:t xml:space="preserve"> give rise to a financial liability for the grantor</w:t>
      </w:r>
      <w:r>
        <w:t>, the information needed for measuring the liability is illustrated in the following table:</w:t>
      </w:r>
    </w:p>
    <w:p w14:paraId="79A7EB4B" w14:textId="2AEE0DBD" w:rsidR="00C20C07" w:rsidRDefault="00C20C07" w:rsidP="00B03D04">
      <w:pPr>
        <w:pStyle w:val="IGpara1"/>
        <w:numPr>
          <w:ilvl w:val="0"/>
          <w:numId w:val="0"/>
        </w:numPr>
        <w:ind w:left="1922" w:hanging="357"/>
        <w:rPr>
          <w:b/>
        </w:rPr>
      </w:pPr>
      <w:r w:rsidRPr="00C20C07">
        <w:rPr>
          <w:b/>
        </w:rPr>
        <w:t>Table 10 Estimates at the date of initial application</w:t>
      </w:r>
    </w:p>
    <w:tbl>
      <w:tblPr>
        <w:tblW w:w="7371"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easuring the GORTO liability on transition"/>
        <w:tblDescription w:val="Table 10: Estimates at the date of initial application&#10;Fair value (current replacement cost) of the service concession asset&#10;Remaining economic life of the asset&#10;Remaining service concession period&#10;Apportionment for the liability re grant of rights to the operator&#10;"/>
      </w:tblPr>
      <w:tblGrid>
        <w:gridCol w:w="4395"/>
        <w:gridCol w:w="2976"/>
      </w:tblGrid>
      <w:tr w:rsidR="00B84486" w:rsidRPr="00662611" w14:paraId="2EAEBDE2" w14:textId="77777777" w:rsidTr="00343922">
        <w:trPr>
          <w:trHeight w:val="132"/>
        </w:trPr>
        <w:tc>
          <w:tcPr>
            <w:tcW w:w="4395" w:type="dxa"/>
            <w:tcBorders>
              <w:bottom w:val="single" w:sz="4" w:space="0" w:color="auto"/>
            </w:tcBorders>
          </w:tcPr>
          <w:p w14:paraId="6FCB48A7" w14:textId="0A6F94BF" w:rsidR="00B84486" w:rsidRPr="00662611" w:rsidRDefault="00B84486" w:rsidP="00FF7AA5">
            <w:pPr>
              <w:pStyle w:val="Default"/>
              <w:spacing w:after="100"/>
              <w:rPr>
                <w:b/>
                <w:sz w:val="19"/>
                <w:szCs w:val="19"/>
              </w:rPr>
            </w:pPr>
            <w:r w:rsidRPr="00662611">
              <w:rPr>
                <w:b/>
                <w:sz w:val="19"/>
                <w:szCs w:val="19"/>
              </w:rPr>
              <w:t>Parameter</w:t>
            </w:r>
          </w:p>
        </w:tc>
        <w:tc>
          <w:tcPr>
            <w:tcW w:w="2976" w:type="dxa"/>
            <w:tcBorders>
              <w:bottom w:val="single" w:sz="4" w:space="0" w:color="auto"/>
            </w:tcBorders>
          </w:tcPr>
          <w:p w14:paraId="64AF286D" w14:textId="77777777" w:rsidR="00B84486" w:rsidRPr="00662611" w:rsidRDefault="00B84486" w:rsidP="00FF7AA5">
            <w:pPr>
              <w:pStyle w:val="Default"/>
              <w:spacing w:after="100"/>
              <w:jc w:val="center"/>
              <w:rPr>
                <w:b/>
                <w:sz w:val="19"/>
                <w:szCs w:val="19"/>
              </w:rPr>
            </w:pPr>
            <w:r w:rsidRPr="00662611">
              <w:rPr>
                <w:b/>
                <w:sz w:val="19"/>
                <w:szCs w:val="19"/>
              </w:rPr>
              <w:t>Amount or period</w:t>
            </w:r>
          </w:p>
        </w:tc>
      </w:tr>
      <w:tr w:rsidR="00B84486" w:rsidRPr="00662611" w14:paraId="4BD9423A" w14:textId="77777777" w:rsidTr="00343922">
        <w:trPr>
          <w:trHeight w:val="130"/>
        </w:trPr>
        <w:tc>
          <w:tcPr>
            <w:tcW w:w="4395" w:type="dxa"/>
            <w:tcBorders>
              <w:top w:val="nil"/>
              <w:bottom w:val="nil"/>
            </w:tcBorders>
          </w:tcPr>
          <w:p w14:paraId="00B74A3E" w14:textId="77777777" w:rsidR="00B84486" w:rsidRPr="00662611" w:rsidRDefault="00B84486" w:rsidP="00FF7AA5">
            <w:pPr>
              <w:pStyle w:val="Default"/>
              <w:spacing w:after="100"/>
              <w:rPr>
                <w:sz w:val="19"/>
                <w:szCs w:val="19"/>
              </w:rPr>
            </w:pPr>
            <w:r w:rsidRPr="00662611">
              <w:rPr>
                <w:sz w:val="19"/>
                <w:szCs w:val="19"/>
              </w:rPr>
              <w:t xml:space="preserve">Fair value (current replacement cost) of the </w:t>
            </w:r>
            <w:r w:rsidRPr="00662611">
              <w:rPr>
                <w:sz w:val="19"/>
                <w:szCs w:val="19"/>
              </w:rPr>
              <w:br/>
              <w:t>service concession asset</w:t>
            </w:r>
          </w:p>
        </w:tc>
        <w:tc>
          <w:tcPr>
            <w:tcW w:w="2976" w:type="dxa"/>
            <w:tcBorders>
              <w:top w:val="nil"/>
              <w:bottom w:val="nil"/>
            </w:tcBorders>
            <w:vAlign w:val="center"/>
          </w:tcPr>
          <w:p w14:paraId="12A7D669" w14:textId="77777777" w:rsidR="00B84486" w:rsidRPr="00662611" w:rsidRDefault="00B84486" w:rsidP="00FF7AA5">
            <w:pPr>
              <w:pStyle w:val="Default"/>
              <w:spacing w:after="100"/>
              <w:ind w:left="176" w:right="175"/>
              <w:jc w:val="center"/>
              <w:rPr>
                <w:sz w:val="19"/>
                <w:szCs w:val="19"/>
              </w:rPr>
            </w:pPr>
            <w:r w:rsidRPr="00662611">
              <w:rPr>
                <w:sz w:val="19"/>
                <w:szCs w:val="19"/>
              </w:rPr>
              <w:t>CU1,200</w:t>
            </w:r>
          </w:p>
        </w:tc>
      </w:tr>
      <w:tr w:rsidR="00B84486" w:rsidRPr="00662611" w14:paraId="35506D9F" w14:textId="77777777" w:rsidTr="00343922">
        <w:trPr>
          <w:trHeight w:val="130"/>
        </w:trPr>
        <w:tc>
          <w:tcPr>
            <w:tcW w:w="4395" w:type="dxa"/>
            <w:tcBorders>
              <w:top w:val="nil"/>
              <w:bottom w:val="nil"/>
            </w:tcBorders>
          </w:tcPr>
          <w:p w14:paraId="68CE865E" w14:textId="56AE06E2" w:rsidR="00B84486" w:rsidRPr="007332FE" w:rsidRDefault="00B84486" w:rsidP="00FF7AA5">
            <w:pPr>
              <w:pStyle w:val="Default"/>
              <w:spacing w:after="100"/>
              <w:rPr>
                <w:strike/>
                <w:sz w:val="19"/>
                <w:szCs w:val="19"/>
              </w:rPr>
            </w:pPr>
            <w:r w:rsidRPr="007332FE">
              <w:rPr>
                <w:sz w:val="19"/>
                <w:szCs w:val="19"/>
              </w:rPr>
              <w:t>Total period of the arrangement</w:t>
            </w:r>
          </w:p>
        </w:tc>
        <w:tc>
          <w:tcPr>
            <w:tcW w:w="2976" w:type="dxa"/>
            <w:tcBorders>
              <w:top w:val="nil"/>
              <w:bottom w:val="nil"/>
            </w:tcBorders>
          </w:tcPr>
          <w:p w14:paraId="5605BDD5" w14:textId="1B4B0717" w:rsidR="00B84486" w:rsidRPr="0098396A" w:rsidRDefault="00B84486" w:rsidP="00FF7AA5">
            <w:pPr>
              <w:pStyle w:val="Default"/>
              <w:spacing w:after="100"/>
              <w:ind w:left="176" w:right="175"/>
              <w:jc w:val="center"/>
              <w:rPr>
                <w:sz w:val="19"/>
                <w:szCs w:val="19"/>
              </w:rPr>
            </w:pPr>
            <w:r w:rsidRPr="0098396A">
              <w:rPr>
                <w:sz w:val="19"/>
                <w:szCs w:val="19"/>
              </w:rPr>
              <w:t>20 years</w:t>
            </w:r>
          </w:p>
        </w:tc>
      </w:tr>
      <w:tr w:rsidR="00B84486" w:rsidRPr="00662611" w14:paraId="14A0A113" w14:textId="77777777" w:rsidTr="00343922">
        <w:trPr>
          <w:trHeight w:val="130"/>
        </w:trPr>
        <w:tc>
          <w:tcPr>
            <w:tcW w:w="4395" w:type="dxa"/>
            <w:tcBorders>
              <w:top w:val="nil"/>
              <w:bottom w:val="nil"/>
            </w:tcBorders>
          </w:tcPr>
          <w:p w14:paraId="698A2D0C" w14:textId="77777777" w:rsidR="00B84486" w:rsidRPr="00662611" w:rsidRDefault="00B84486" w:rsidP="00FF7AA5">
            <w:pPr>
              <w:pStyle w:val="Default"/>
              <w:spacing w:after="100"/>
              <w:rPr>
                <w:sz w:val="19"/>
                <w:szCs w:val="19"/>
              </w:rPr>
            </w:pPr>
            <w:r w:rsidRPr="00662611">
              <w:rPr>
                <w:sz w:val="19"/>
                <w:szCs w:val="19"/>
              </w:rPr>
              <w:t>Remaining service concession period</w:t>
            </w:r>
          </w:p>
        </w:tc>
        <w:tc>
          <w:tcPr>
            <w:tcW w:w="2976" w:type="dxa"/>
            <w:tcBorders>
              <w:top w:val="nil"/>
              <w:bottom w:val="nil"/>
            </w:tcBorders>
          </w:tcPr>
          <w:p w14:paraId="74EF1FB7" w14:textId="77777777" w:rsidR="00B84486" w:rsidRPr="00662611" w:rsidRDefault="00B84486" w:rsidP="00FF7AA5">
            <w:pPr>
              <w:pStyle w:val="Default"/>
              <w:spacing w:after="100"/>
              <w:ind w:left="176" w:right="175"/>
              <w:jc w:val="center"/>
              <w:rPr>
                <w:sz w:val="19"/>
                <w:szCs w:val="19"/>
              </w:rPr>
            </w:pPr>
            <w:r w:rsidRPr="00662611">
              <w:rPr>
                <w:sz w:val="19"/>
                <w:szCs w:val="19"/>
              </w:rPr>
              <w:t>10 years</w:t>
            </w:r>
          </w:p>
        </w:tc>
      </w:tr>
      <w:tr w:rsidR="00B84486" w:rsidRPr="00662611" w14:paraId="44AD4AA1" w14:textId="77777777" w:rsidTr="00343922">
        <w:trPr>
          <w:trHeight w:val="130"/>
        </w:trPr>
        <w:tc>
          <w:tcPr>
            <w:tcW w:w="4395" w:type="dxa"/>
            <w:tcBorders>
              <w:top w:val="nil"/>
              <w:bottom w:val="single" w:sz="4" w:space="0" w:color="auto"/>
            </w:tcBorders>
          </w:tcPr>
          <w:p w14:paraId="71501776" w14:textId="77777777" w:rsidR="00B84486" w:rsidRPr="00662611" w:rsidRDefault="00B84486" w:rsidP="00FF7AA5">
            <w:pPr>
              <w:pStyle w:val="Default"/>
              <w:spacing w:after="100"/>
              <w:rPr>
                <w:sz w:val="19"/>
                <w:szCs w:val="19"/>
              </w:rPr>
            </w:pPr>
            <w:r w:rsidRPr="00662611">
              <w:rPr>
                <w:sz w:val="19"/>
                <w:szCs w:val="19"/>
              </w:rPr>
              <w:t xml:space="preserve">Apportionment for the liability re grant of rights </w:t>
            </w:r>
            <w:r w:rsidRPr="00662611">
              <w:rPr>
                <w:sz w:val="19"/>
                <w:szCs w:val="19"/>
              </w:rPr>
              <w:br/>
              <w:t>to the operator</w:t>
            </w:r>
          </w:p>
        </w:tc>
        <w:tc>
          <w:tcPr>
            <w:tcW w:w="2976" w:type="dxa"/>
            <w:tcBorders>
              <w:top w:val="nil"/>
              <w:bottom w:val="single" w:sz="4" w:space="0" w:color="auto"/>
            </w:tcBorders>
            <w:vAlign w:val="center"/>
          </w:tcPr>
          <w:p w14:paraId="28A10799" w14:textId="41F8C3A9" w:rsidR="00B84486" w:rsidRPr="00662611" w:rsidRDefault="00B84486" w:rsidP="00FF7AA5">
            <w:pPr>
              <w:pStyle w:val="Default"/>
              <w:spacing w:after="100"/>
              <w:ind w:left="176" w:right="175"/>
              <w:jc w:val="center"/>
              <w:rPr>
                <w:sz w:val="19"/>
                <w:szCs w:val="19"/>
              </w:rPr>
            </w:pPr>
            <w:r w:rsidRPr="00662611">
              <w:rPr>
                <w:sz w:val="19"/>
                <w:szCs w:val="19"/>
              </w:rPr>
              <w:t xml:space="preserve">CU1,200 </w:t>
            </w:r>
            <w:r w:rsidR="00C57220" w:rsidRPr="00662611">
              <w:rPr>
                <w:sz w:val="19"/>
                <w:szCs w:val="19"/>
              </w:rPr>
              <w:t xml:space="preserve">x </w:t>
            </w:r>
            <w:r w:rsidRPr="00662611">
              <w:rPr>
                <w:sz w:val="19"/>
                <w:szCs w:val="19"/>
              </w:rPr>
              <w:t xml:space="preserve">10/20 = </w:t>
            </w:r>
            <w:r w:rsidR="00790822" w:rsidRPr="00360009">
              <w:rPr>
                <w:sz w:val="19"/>
                <w:szCs w:val="19"/>
              </w:rPr>
              <w:t>CU600</w:t>
            </w:r>
          </w:p>
        </w:tc>
      </w:tr>
    </w:tbl>
    <w:p w14:paraId="002B464B" w14:textId="45F271D8" w:rsidR="00CD3DDE" w:rsidRDefault="00CD3DDE" w:rsidP="00343922">
      <w:pPr>
        <w:pStyle w:val="IGpara1"/>
        <w:numPr>
          <w:ilvl w:val="0"/>
          <w:numId w:val="0"/>
        </w:numPr>
        <w:spacing w:before="100"/>
        <w:ind w:left="1564" w:hanging="782"/>
        <w:jc w:val="left"/>
      </w:pPr>
      <w:r>
        <w:t>IE44</w:t>
      </w:r>
      <w:r>
        <w:tab/>
      </w:r>
      <w:r w:rsidRPr="00017C7D">
        <w:t xml:space="preserve">If </w:t>
      </w:r>
      <w:r>
        <w:t xml:space="preserve">the service concession arrangement is a hybrid arrangement, </w:t>
      </w:r>
      <w:r w:rsidR="00750EDC" w:rsidRPr="009162E1">
        <w:rPr>
          <w:u w:val="single"/>
        </w:rPr>
        <w:t>t</w:t>
      </w:r>
      <w:r w:rsidR="00A1794D" w:rsidRPr="009162E1">
        <w:rPr>
          <w:u w:val="single"/>
        </w:rPr>
        <w:t>he carrying amount of a</w:t>
      </w:r>
      <w:r w:rsidR="002B0D1D" w:rsidRPr="009162E1">
        <w:rPr>
          <w:u w:val="single"/>
        </w:rPr>
        <w:t xml:space="preserve">ny consideration </w:t>
      </w:r>
      <w:r w:rsidR="00971382">
        <w:rPr>
          <w:u w:val="single"/>
        </w:rPr>
        <w:t>transferred</w:t>
      </w:r>
      <w:r w:rsidR="00971382" w:rsidRPr="009162E1">
        <w:rPr>
          <w:u w:val="single"/>
        </w:rPr>
        <w:t xml:space="preserve"> </w:t>
      </w:r>
      <w:r w:rsidR="002B0D1D" w:rsidRPr="009162E1">
        <w:rPr>
          <w:u w:val="single"/>
        </w:rPr>
        <w:t xml:space="preserve">by the </w:t>
      </w:r>
      <w:r w:rsidR="00A1794D" w:rsidRPr="009162E1">
        <w:rPr>
          <w:u w:val="single"/>
        </w:rPr>
        <w:t xml:space="preserve">grantor to the operator </w:t>
      </w:r>
      <w:r w:rsidR="00B345F8" w:rsidRPr="009162E1">
        <w:rPr>
          <w:u w:val="single"/>
        </w:rPr>
        <w:t xml:space="preserve">that has been recognised as an asset </w:t>
      </w:r>
      <w:r w:rsidR="002F4CC5">
        <w:rPr>
          <w:u w:val="single"/>
        </w:rPr>
        <w:t xml:space="preserve">is first </w:t>
      </w:r>
      <w:r w:rsidR="00B345F8" w:rsidRPr="009162E1">
        <w:rPr>
          <w:u w:val="single"/>
        </w:rPr>
        <w:t xml:space="preserve">deducted from the </w:t>
      </w:r>
      <w:r w:rsidR="000246E8">
        <w:rPr>
          <w:u w:val="single"/>
        </w:rPr>
        <w:t>fair value (</w:t>
      </w:r>
      <w:r w:rsidR="00B345F8" w:rsidRPr="009162E1">
        <w:rPr>
          <w:u w:val="single"/>
        </w:rPr>
        <w:t>current replacement cost</w:t>
      </w:r>
      <w:r w:rsidR="000246E8">
        <w:rPr>
          <w:u w:val="single"/>
        </w:rPr>
        <w:t>)</w:t>
      </w:r>
      <w:r w:rsidR="00B345F8" w:rsidRPr="009162E1">
        <w:rPr>
          <w:u w:val="single"/>
        </w:rPr>
        <w:t xml:space="preserve"> of the </w:t>
      </w:r>
      <w:r w:rsidR="003C0A73" w:rsidRPr="009162E1">
        <w:rPr>
          <w:u w:val="single"/>
        </w:rPr>
        <w:t xml:space="preserve">service concession </w:t>
      </w:r>
      <w:r w:rsidR="00B345F8" w:rsidRPr="009162E1">
        <w:rPr>
          <w:u w:val="single"/>
        </w:rPr>
        <w:t>asset</w:t>
      </w:r>
      <w:r w:rsidR="00FB1E3B" w:rsidRPr="009162E1">
        <w:rPr>
          <w:u w:val="single"/>
        </w:rPr>
        <w:t>.</w:t>
      </w:r>
      <w:r w:rsidR="00BA441D" w:rsidRPr="009162E1">
        <w:rPr>
          <w:u w:val="single"/>
        </w:rPr>
        <w:t xml:space="preserve"> </w:t>
      </w:r>
      <w:r w:rsidR="002F4CC5">
        <w:rPr>
          <w:u w:val="single"/>
        </w:rPr>
        <w:t xml:space="preserve">The resulting amount is then apportioned for the remaining service concession period. </w:t>
      </w:r>
      <w:r w:rsidR="00BA441D" w:rsidRPr="009162E1">
        <w:rPr>
          <w:u w:val="single"/>
        </w:rPr>
        <w:t>Any outstanding</w:t>
      </w:r>
      <w:r w:rsidR="00BA441D">
        <w:t xml:space="preserve"> </w:t>
      </w:r>
      <w:r w:rsidR="00750EDC" w:rsidRPr="000C549B">
        <w:rPr>
          <w:strike/>
        </w:rPr>
        <w:t>then the</w:t>
      </w:r>
      <w:r w:rsidR="00750EDC">
        <w:t xml:space="preserve"> financial liability </w:t>
      </w:r>
      <w:r w:rsidR="00750EDC" w:rsidRPr="00B85D9B">
        <w:rPr>
          <w:strike/>
        </w:rPr>
        <w:t>would be</w:t>
      </w:r>
      <w:r w:rsidR="00750EDC">
        <w:t xml:space="preserve"> </w:t>
      </w:r>
      <w:r w:rsidR="002F4CC5" w:rsidRPr="00B85D9B">
        <w:rPr>
          <w:u w:val="single"/>
        </w:rPr>
        <w:t>(</w:t>
      </w:r>
      <w:r w:rsidR="00750EDC">
        <w:t xml:space="preserve">measured separately under the financial liability model </w:t>
      </w:r>
      <w:r w:rsidR="000246E8" w:rsidRPr="00B85D9B">
        <w:rPr>
          <w:u w:val="single"/>
        </w:rPr>
        <w:t>at fair value</w:t>
      </w:r>
      <w:r w:rsidR="000246E8">
        <w:t xml:space="preserve"> </w:t>
      </w:r>
      <w:r w:rsidR="00750EDC">
        <w:t>at the date of initial application</w:t>
      </w:r>
      <w:r w:rsidR="002F4CC5" w:rsidRPr="00B85D9B">
        <w:rPr>
          <w:u w:val="single"/>
        </w:rPr>
        <w:t>)</w:t>
      </w:r>
      <w:r w:rsidR="00750EDC" w:rsidRPr="00B85D9B">
        <w:rPr>
          <w:strike/>
        </w:rPr>
        <w:t>. The amount of the financial liability</w:t>
      </w:r>
      <w:r w:rsidR="00750EDC" w:rsidRPr="000246E8">
        <w:t xml:space="preserve"> </w:t>
      </w:r>
      <w:r w:rsidR="00750EDC">
        <w:t xml:space="preserve">would then be deducted from the apportioned amount for the liability re the grant of rights to the operator </w:t>
      </w:r>
      <w:r w:rsidR="00750EDC" w:rsidRPr="00B85D9B">
        <w:rPr>
          <w:strike/>
        </w:rPr>
        <w:t xml:space="preserve">as per the table </w:t>
      </w:r>
      <w:r w:rsidR="00750EDC">
        <w:t>in order to derive the amount to be recognised for the liability.</w:t>
      </w:r>
    </w:p>
    <w:p w14:paraId="7059F746" w14:textId="69EF3B86" w:rsidR="004A3747" w:rsidRDefault="004A3747">
      <w:pPr>
        <w:pStyle w:val="Heading2"/>
      </w:pPr>
      <w:r>
        <w:t>Commencement of the legislative instrument</w:t>
      </w:r>
    </w:p>
    <w:p w14:paraId="2B347C28" w14:textId="2B48B243" w:rsidR="000D582D" w:rsidRPr="00AE7679" w:rsidRDefault="004A3747" w:rsidP="005F7008">
      <w:pPr>
        <w:pStyle w:val="NumBold1"/>
        <w:tabs>
          <w:tab w:val="left" w:pos="783"/>
        </w:tabs>
        <w:ind w:left="782" w:hanging="782"/>
        <w:jc w:val="left"/>
      </w:pPr>
      <w:r w:rsidRPr="00273B7F">
        <w:rPr>
          <w:b w:val="0"/>
        </w:rPr>
        <w:t xml:space="preserve">For legal purposes, this legislative instrument commences on </w:t>
      </w:r>
      <w:bookmarkStart w:id="15" w:name="CommenceDate"/>
      <w:r w:rsidR="00684FDF">
        <w:rPr>
          <w:b w:val="0"/>
        </w:rPr>
        <w:t>29 June 2021</w:t>
      </w:r>
      <w:bookmarkEnd w:id="15"/>
      <w:r w:rsidRPr="00273B7F">
        <w:rPr>
          <w:b w:val="0"/>
        </w:rPr>
        <w:t>.</w:t>
      </w:r>
    </w:p>
    <w:p w14:paraId="67FDD1DD" w14:textId="77777777" w:rsidR="00AE7679" w:rsidRDefault="00AE7679" w:rsidP="00AE7679">
      <w:pPr>
        <w:pStyle w:val="NumBold1"/>
        <w:numPr>
          <w:ilvl w:val="0"/>
          <w:numId w:val="0"/>
        </w:numPr>
        <w:tabs>
          <w:tab w:val="left" w:pos="783"/>
        </w:tabs>
        <w:spacing w:after="0"/>
        <w:jc w:val="left"/>
      </w:pPr>
    </w:p>
    <w:p w14:paraId="68F67986" w14:textId="5AF1AD55" w:rsidR="004D5AD1" w:rsidRPr="000D582D" w:rsidRDefault="004D5AD1" w:rsidP="00AE7679">
      <w:pPr>
        <w:tabs>
          <w:tab w:val="left" w:pos="783"/>
        </w:tabs>
        <w:sectPr w:rsidR="004D5AD1" w:rsidRPr="000D582D" w:rsidSect="00D74C6A">
          <w:footerReference w:type="default" r:id="rId15"/>
          <w:pgSz w:w="11907" w:h="16840" w:code="9"/>
          <w:pgMar w:top="1418" w:right="1418" w:bottom="1418" w:left="1418" w:header="709" w:footer="709" w:gutter="0"/>
          <w:paperSrc w:first="7" w:other="7"/>
          <w:cols w:space="720"/>
          <w:docGrid w:linePitch="65"/>
        </w:sectPr>
      </w:pPr>
    </w:p>
    <w:p w14:paraId="0C911E97" w14:textId="6335F7CA" w:rsidR="004D5AD1" w:rsidRPr="00766E15" w:rsidRDefault="004D5AD1" w:rsidP="004D5AD1">
      <w:pPr>
        <w:pStyle w:val="ConvSectionTitle"/>
        <w:jc w:val="both"/>
      </w:pPr>
      <w:r w:rsidRPr="00766E15">
        <w:lastRenderedPageBreak/>
        <w:t>Basis for Conclusions</w:t>
      </w:r>
    </w:p>
    <w:p w14:paraId="364F3B88" w14:textId="3CAF420B" w:rsidR="004D5AD1" w:rsidRPr="00766E15" w:rsidRDefault="004D5AD1" w:rsidP="004D5AD1">
      <w:pPr>
        <w:pStyle w:val="AppendixNote"/>
        <w:spacing w:after="100"/>
      </w:pPr>
      <w:r w:rsidRPr="00766E15">
        <w:t xml:space="preserve">This Basis for Conclusions accompanies, but is not part of, </w:t>
      </w:r>
      <w:r>
        <w:t>AASB </w:t>
      </w:r>
      <w:fldSimple w:instr=" REF \* charformat DocNo ">
        <w:r w:rsidR="00A16A5E">
          <w:t>2021-4</w:t>
        </w:r>
      </w:fldSimple>
      <w:r>
        <w:t xml:space="preserve"> </w:t>
      </w:r>
      <w:r>
        <w:rPr>
          <w:i w:val="0"/>
        </w:rPr>
        <w:fldChar w:fldCharType="begin"/>
      </w:r>
      <w:r>
        <w:rPr>
          <w:i w:val="0"/>
        </w:rPr>
        <w:instrText xml:space="preserve"> REF \* charformat DocTitle </w:instrText>
      </w:r>
      <w:r>
        <w:rPr>
          <w:i w:val="0"/>
        </w:rPr>
        <w:fldChar w:fldCharType="separate"/>
      </w:r>
      <w:r w:rsidR="00A16A5E" w:rsidRPr="00A16A5E">
        <w:rPr>
          <w:i w:val="0"/>
        </w:rPr>
        <w:t>Amendments to Australian Accounting Standards – Modified Retrospective Transition Approach for Service Concession Grantors</w:t>
      </w:r>
      <w:r>
        <w:rPr>
          <w:i w:val="0"/>
        </w:rPr>
        <w:fldChar w:fldCharType="end"/>
      </w:r>
      <w:r w:rsidRPr="00766E15">
        <w:t>.</w:t>
      </w:r>
    </w:p>
    <w:p w14:paraId="18AB9E7C" w14:textId="77777777" w:rsidR="004D5AD1" w:rsidRPr="00766E15" w:rsidRDefault="004D5AD1" w:rsidP="004D5AD1">
      <w:pPr>
        <w:pStyle w:val="IASBSectionTitle1NonInd"/>
        <w:jc w:val="both"/>
      </w:pPr>
      <w:r w:rsidRPr="00766E15">
        <w:t>Introduction</w:t>
      </w:r>
    </w:p>
    <w:p w14:paraId="0AEBB8DE" w14:textId="2A004931" w:rsidR="004D5AD1" w:rsidRPr="00766E15" w:rsidRDefault="004D5AD1" w:rsidP="004D5AD1">
      <w:pPr>
        <w:pStyle w:val="NumBC1"/>
        <w:numPr>
          <w:ilvl w:val="0"/>
          <w:numId w:val="24"/>
        </w:numPr>
        <w:spacing w:before="0"/>
      </w:pPr>
      <w:r w:rsidRPr="00766E15">
        <w:t xml:space="preserve">This Basis for Conclusions summarises the Australian Accounting Standards Board’s considerations in reaching the conclusions </w:t>
      </w:r>
      <w:r>
        <w:t>i</w:t>
      </w:r>
      <w:r w:rsidRPr="00766E15">
        <w:t xml:space="preserve">n this </w:t>
      </w:r>
      <w:r>
        <w:t>Standard</w:t>
      </w:r>
      <w:r w:rsidRPr="00766E15">
        <w:t xml:space="preserve">.  It sets out the reasons why the Board developed the </w:t>
      </w:r>
      <w:r>
        <w:t>Standard</w:t>
      </w:r>
      <w:r w:rsidRPr="00766E15">
        <w:t xml:space="preserve">, the approach taken to developing the </w:t>
      </w:r>
      <w:r>
        <w:t>Standard</w:t>
      </w:r>
      <w:r w:rsidRPr="00766E15">
        <w:t xml:space="preserve"> and the key decisions made.  In making decisions, individual Board members gave greater weight to some factors than to others. </w:t>
      </w:r>
    </w:p>
    <w:p w14:paraId="101FCA82" w14:textId="6B3B7B3C" w:rsidR="004D5AD1" w:rsidRPr="00766E15" w:rsidRDefault="00A219D9" w:rsidP="004D5AD1">
      <w:pPr>
        <w:pStyle w:val="IASBSectionTitle1NonInd"/>
        <w:jc w:val="both"/>
        <w:rPr>
          <w:iCs/>
        </w:rPr>
      </w:pPr>
      <w:r>
        <w:t>Background</w:t>
      </w:r>
    </w:p>
    <w:p w14:paraId="7657F23F" w14:textId="24F950CC" w:rsidR="00B53322" w:rsidRDefault="00B53322" w:rsidP="00D74A80">
      <w:pPr>
        <w:pStyle w:val="IASBSectionTitle2Ind"/>
        <w:jc w:val="both"/>
      </w:pPr>
      <w:r w:rsidRPr="00B53322">
        <w:t>Reasons for issuing this Standard</w:t>
      </w:r>
    </w:p>
    <w:p w14:paraId="2EA896FF" w14:textId="0C8D4802" w:rsidR="00534E7B" w:rsidRDefault="00534E7B" w:rsidP="00741B1B">
      <w:pPr>
        <w:pStyle w:val="NoNumPlain1"/>
        <w:numPr>
          <w:ilvl w:val="0"/>
          <w:numId w:val="24"/>
        </w:numPr>
      </w:pPr>
      <w:r w:rsidRPr="00534E7B">
        <w:t xml:space="preserve">The </w:t>
      </w:r>
      <w:r w:rsidR="00741B1B">
        <w:t>Board</w:t>
      </w:r>
      <w:r w:rsidR="00741B1B" w:rsidRPr="00741B1B">
        <w:t xml:space="preserve"> received </w:t>
      </w:r>
      <w:r w:rsidR="004E2A5F">
        <w:t>comment</w:t>
      </w:r>
      <w:r w:rsidR="00F2438C">
        <w:t>s</w:t>
      </w:r>
      <w:r w:rsidR="004E2A5F">
        <w:t xml:space="preserve"> </w:t>
      </w:r>
      <w:r w:rsidR="00741B1B" w:rsidRPr="00741B1B">
        <w:t xml:space="preserve">from </w:t>
      </w:r>
      <w:r w:rsidR="003B1326">
        <w:t xml:space="preserve">the </w:t>
      </w:r>
      <w:r w:rsidR="00E0176C">
        <w:t>Treasury</w:t>
      </w:r>
      <w:r w:rsidR="003B1326">
        <w:t xml:space="preserve"> office in one jurisdiction</w:t>
      </w:r>
      <w:r w:rsidR="00741B1B" w:rsidRPr="00741B1B">
        <w:t xml:space="preserve"> regarding </w:t>
      </w:r>
      <w:r w:rsidR="005B6FD6">
        <w:t xml:space="preserve">an </w:t>
      </w:r>
      <w:r w:rsidR="00741B1B" w:rsidRPr="00741B1B">
        <w:t>issue applying the modified retrospective method to measure the Grant of a Right to the Operator (GORTO) liability</w:t>
      </w:r>
      <w:r w:rsidR="00F2438C">
        <w:t>,</w:t>
      </w:r>
      <w:r w:rsidR="00741B1B" w:rsidRPr="00741B1B">
        <w:t xml:space="preserve"> </w:t>
      </w:r>
      <w:r w:rsidR="00F2438C">
        <w:t xml:space="preserve">as </w:t>
      </w:r>
      <w:r w:rsidR="00741B1B" w:rsidRPr="00741B1B">
        <w:t>stated in paragraph C4(c) of AASB</w:t>
      </w:r>
      <w:r w:rsidR="002B603F">
        <w:t> </w:t>
      </w:r>
      <w:r w:rsidR="00741B1B" w:rsidRPr="00741B1B">
        <w:t>1059</w:t>
      </w:r>
      <w:r w:rsidR="00741B1B">
        <w:t xml:space="preserve"> </w:t>
      </w:r>
      <w:r w:rsidR="00741B1B" w:rsidRPr="00741B1B">
        <w:rPr>
          <w:i/>
        </w:rPr>
        <w:t>Service Concession Arrangements: Grantors</w:t>
      </w:r>
      <w:r w:rsidR="00741B1B" w:rsidRPr="00741B1B">
        <w:t xml:space="preserve">. </w:t>
      </w:r>
      <w:r w:rsidR="00741B1B">
        <w:t xml:space="preserve">The </w:t>
      </w:r>
      <w:r w:rsidR="00741B1B" w:rsidRPr="00741B1B">
        <w:t>B</w:t>
      </w:r>
      <w:r w:rsidR="00741B1B">
        <w:t>oard</w:t>
      </w:r>
      <w:r w:rsidR="00741B1B" w:rsidRPr="00741B1B">
        <w:t xml:space="preserve"> considered </w:t>
      </w:r>
      <w:r w:rsidR="002B603F">
        <w:t xml:space="preserve">the </w:t>
      </w:r>
      <w:r w:rsidR="00741B1B" w:rsidRPr="00741B1B">
        <w:t>stakeholder</w:t>
      </w:r>
      <w:r w:rsidR="002B603F">
        <w:t>’</w:t>
      </w:r>
      <w:r w:rsidR="00741B1B" w:rsidRPr="00741B1B">
        <w:t>s</w:t>
      </w:r>
      <w:r w:rsidR="002B603F">
        <w:t xml:space="preserve"> </w:t>
      </w:r>
      <w:r w:rsidR="008A63DA">
        <w:t>comments</w:t>
      </w:r>
      <w:r w:rsidR="00741B1B" w:rsidRPr="00741B1B">
        <w:t xml:space="preserve"> and decided to </w:t>
      </w:r>
      <w:r w:rsidR="00F2438C">
        <w:t xml:space="preserve">propose amendments to </w:t>
      </w:r>
      <w:r w:rsidR="00741B1B" w:rsidRPr="00741B1B">
        <w:t>AASB 1059 to address the issu</w:t>
      </w:r>
      <w:r w:rsidR="00841DCB">
        <w:t>e.</w:t>
      </w:r>
    </w:p>
    <w:p w14:paraId="3F4D5445" w14:textId="77777777" w:rsidR="001768C6" w:rsidRDefault="001768C6" w:rsidP="001768C6">
      <w:pPr>
        <w:pStyle w:val="IASBSectionTitle2Ind"/>
        <w:jc w:val="both"/>
      </w:pPr>
      <w:r>
        <w:t>Issue of Fatal-Flaw Review version of the Standard</w:t>
      </w:r>
    </w:p>
    <w:p w14:paraId="14A69FEE" w14:textId="5CF4CDA4" w:rsidR="001768C6" w:rsidRPr="00065F5A" w:rsidRDefault="001768C6" w:rsidP="001768C6">
      <w:pPr>
        <w:pStyle w:val="NoNumPlain1"/>
        <w:numPr>
          <w:ilvl w:val="0"/>
          <w:numId w:val="24"/>
        </w:numPr>
      </w:pPr>
      <w:r>
        <w:rPr>
          <w:szCs w:val="19"/>
        </w:rPr>
        <w:t xml:space="preserve">In </w:t>
      </w:r>
      <w:r w:rsidR="00B714AA">
        <w:rPr>
          <w:szCs w:val="19"/>
        </w:rPr>
        <w:t>May 2021</w:t>
      </w:r>
      <w:r>
        <w:rPr>
          <w:szCs w:val="19"/>
        </w:rPr>
        <w:t xml:space="preserve">, the Board issued a Fatal-Flaw Review version of the Standard for public comment. </w:t>
      </w:r>
      <w:r w:rsidR="005F6022" w:rsidRPr="005F6022">
        <w:rPr>
          <w:szCs w:val="19"/>
        </w:rPr>
        <w:t xml:space="preserve">The Board received three </w:t>
      </w:r>
      <w:r w:rsidR="005F6022">
        <w:rPr>
          <w:szCs w:val="19"/>
        </w:rPr>
        <w:t>submission</w:t>
      </w:r>
      <w:r w:rsidR="00D74A80">
        <w:rPr>
          <w:szCs w:val="19"/>
        </w:rPr>
        <w:t>s</w:t>
      </w:r>
      <w:r w:rsidR="005F6022" w:rsidRPr="005F6022">
        <w:rPr>
          <w:szCs w:val="19"/>
        </w:rPr>
        <w:t xml:space="preserve"> and </w:t>
      </w:r>
      <w:r w:rsidR="004E11A9">
        <w:rPr>
          <w:szCs w:val="19"/>
        </w:rPr>
        <w:t xml:space="preserve">informal </w:t>
      </w:r>
      <w:r w:rsidR="005F6022" w:rsidRPr="005F6022">
        <w:rPr>
          <w:szCs w:val="19"/>
        </w:rPr>
        <w:t xml:space="preserve">comments from </w:t>
      </w:r>
      <w:r w:rsidR="00D74A80">
        <w:rPr>
          <w:szCs w:val="19"/>
        </w:rPr>
        <w:t xml:space="preserve">another </w:t>
      </w:r>
      <w:r w:rsidR="005F6022" w:rsidRPr="005F6022">
        <w:rPr>
          <w:szCs w:val="19"/>
        </w:rPr>
        <w:t>stakeholder</w:t>
      </w:r>
      <w:r>
        <w:rPr>
          <w:szCs w:val="19"/>
        </w:rPr>
        <w:t>.</w:t>
      </w:r>
      <w:r w:rsidR="00142286">
        <w:rPr>
          <w:szCs w:val="19"/>
        </w:rPr>
        <w:t xml:space="preserve"> </w:t>
      </w:r>
      <w:r>
        <w:rPr>
          <w:szCs w:val="19"/>
        </w:rPr>
        <w:t xml:space="preserve">All </w:t>
      </w:r>
      <w:r w:rsidRPr="00F17840">
        <w:t xml:space="preserve">respondents were supportive of the </w:t>
      </w:r>
      <w:r>
        <w:t>Board</w:t>
      </w:r>
      <w:r w:rsidRPr="00F17840">
        <w:t xml:space="preserve"> </w:t>
      </w:r>
      <w:r>
        <w:t>changing the</w:t>
      </w:r>
      <w:r w:rsidRPr="008B675D">
        <w:t xml:space="preserve"> </w:t>
      </w:r>
      <w:r w:rsidRPr="00741B1B">
        <w:t>modified retrospective method to measure the GORTO liability stated in paragraph C4(c) of AASB</w:t>
      </w:r>
      <w:r>
        <w:t> </w:t>
      </w:r>
      <w:r w:rsidRPr="00741B1B">
        <w:t>1059</w:t>
      </w:r>
      <w:r>
        <w:t xml:space="preserve">. </w:t>
      </w:r>
    </w:p>
    <w:p w14:paraId="022C5AFE" w14:textId="6C999EAE" w:rsidR="00EF0587" w:rsidRDefault="00C37434">
      <w:pPr>
        <w:pStyle w:val="NoNumPlain1"/>
        <w:numPr>
          <w:ilvl w:val="0"/>
          <w:numId w:val="24"/>
        </w:numPr>
      </w:pPr>
      <w:r>
        <w:t>One stakeholder noted that t</w:t>
      </w:r>
      <w:r w:rsidR="00EF0587">
        <w:t xml:space="preserve">he changes to AASB 1059 paragraph C4(c) </w:t>
      </w:r>
      <w:r w:rsidR="00D74A80">
        <w:t xml:space="preserve">proposed </w:t>
      </w:r>
      <w:r w:rsidR="00B60072">
        <w:t xml:space="preserve">in the </w:t>
      </w:r>
      <w:r w:rsidR="00B60072">
        <w:rPr>
          <w:szCs w:val="19"/>
        </w:rPr>
        <w:t xml:space="preserve">Fatal-Flaw Review version of the Standard </w:t>
      </w:r>
      <w:r w:rsidR="00EF0587">
        <w:t xml:space="preserve">specifically </w:t>
      </w:r>
      <w:r w:rsidR="00D74A80">
        <w:t xml:space="preserve">addressed only </w:t>
      </w:r>
      <w:r w:rsidR="00EF0587">
        <w:t>financial consideration paid by the grantor to the operator prior to the date of initial application</w:t>
      </w:r>
      <w:r w:rsidR="00D74A80">
        <w:t xml:space="preserve"> of the Standard</w:t>
      </w:r>
      <w:r w:rsidR="00EF0587">
        <w:t xml:space="preserve">. </w:t>
      </w:r>
      <w:r w:rsidR="00FF6780">
        <w:t>The stakeholder commented that</w:t>
      </w:r>
      <w:r w:rsidR="00EF0587">
        <w:t xml:space="preserve"> the GORTO liability and subsequent revenue would also </w:t>
      </w:r>
      <w:r w:rsidR="00DD7A9F">
        <w:t xml:space="preserve">be likely to </w:t>
      </w:r>
      <w:r w:rsidR="00EF0587">
        <w:t xml:space="preserve">be overstated if the grantor had provided non-financial consideration prior to the date of initial application that was not adjusted in determining the grantor’s GORTO liability. </w:t>
      </w:r>
    </w:p>
    <w:p w14:paraId="231031A5" w14:textId="7B04DFA7" w:rsidR="001768C6" w:rsidRDefault="00DD7A9F">
      <w:pPr>
        <w:pStyle w:val="NoNumPlain1"/>
        <w:numPr>
          <w:ilvl w:val="0"/>
          <w:numId w:val="24"/>
        </w:numPr>
      </w:pPr>
      <w:r>
        <w:t xml:space="preserve">The Board </w:t>
      </w:r>
      <w:r w:rsidR="006D0BD2" w:rsidRPr="00741B1B">
        <w:t xml:space="preserve">considered </w:t>
      </w:r>
      <w:r w:rsidR="002F3C79">
        <w:t xml:space="preserve">the </w:t>
      </w:r>
      <w:r w:rsidR="006D0BD2" w:rsidRPr="00741B1B">
        <w:t xml:space="preserve">feedback </w:t>
      </w:r>
      <w:r w:rsidR="00D74A80">
        <w:t xml:space="preserve">received </w:t>
      </w:r>
      <w:r w:rsidR="006D0BD2" w:rsidRPr="00741B1B">
        <w:t>and decided to amend AASB 1059 to address th</w:t>
      </w:r>
      <w:r w:rsidR="002F3C79">
        <w:t>e</w:t>
      </w:r>
      <w:r w:rsidR="006D0BD2" w:rsidRPr="00741B1B">
        <w:t xml:space="preserve"> issue</w:t>
      </w:r>
      <w:r w:rsidR="00330C72">
        <w:t>s</w:t>
      </w:r>
      <w:r w:rsidR="002F3C79">
        <w:t>. The Board</w:t>
      </w:r>
      <w:r w:rsidR="006D0BD2">
        <w:t xml:space="preserve"> </w:t>
      </w:r>
      <w:r w:rsidR="00330C72">
        <w:t xml:space="preserve">decided </w:t>
      </w:r>
      <w:r w:rsidR="00EF0587">
        <w:t xml:space="preserve">that expanding the scope of the amendments </w:t>
      </w:r>
      <w:r w:rsidR="00C64FD3">
        <w:t>to include non-financial consideration</w:t>
      </w:r>
      <w:r w:rsidR="00330C72">
        <w:t xml:space="preserve"> was appropriate</w:t>
      </w:r>
      <w:r w:rsidR="00EF0587">
        <w:t xml:space="preserve">, </w:t>
      </w:r>
      <w:r w:rsidR="00E57E9C">
        <w:t xml:space="preserve">based on the </w:t>
      </w:r>
      <w:r w:rsidR="00EF0587">
        <w:t>principle</w:t>
      </w:r>
      <w:r w:rsidR="00E57E9C">
        <w:t>s</w:t>
      </w:r>
      <w:r w:rsidR="00EF0587">
        <w:t xml:space="preserve"> and approach </w:t>
      </w:r>
      <w:r w:rsidR="00330C72">
        <w:t>proposed in the Fatal-Flaw Review</w:t>
      </w:r>
      <w:r w:rsidR="00E57E9C">
        <w:t xml:space="preserve"> version</w:t>
      </w:r>
      <w:r w:rsidR="00EF0587">
        <w:t>.</w:t>
      </w:r>
      <w:r w:rsidR="001768C6">
        <w:t xml:space="preserve"> </w:t>
      </w:r>
    </w:p>
    <w:p w14:paraId="14B59034" w14:textId="160458EE" w:rsidR="00534E7B" w:rsidRPr="00766E15" w:rsidRDefault="006D795A" w:rsidP="007045E0">
      <w:pPr>
        <w:pStyle w:val="IASBSectionTitle1NonInd"/>
        <w:rPr>
          <w:iCs/>
        </w:rPr>
      </w:pPr>
      <w:r>
        <w:t xml:space="preserve">Consideration </w:t>
      </w:r>
      <w:r w:rsidR="00C96331">
        <w:t xml:space="preserve">transferred </w:t>
      </w:r>
      <w:r w:rsidR="00F35A1B">
        <w:t xml:space="preserve">to </w:t>
      </w:r>
      <w:r w:rsidR="00006E58">
        <w:t xml:space="preserve">the </w:t>
      </w:r>
      <w:r w:rsidR="00F35A1B">
        <w:t>operator</w:t>
      </w:r>
      <w:r w:rsidR="00335855">
        <w:t xml:space="preserve"> prior to the date of initial application</w:t>
      </w:r>
    </w:p>
    <w:p w14:paraId="6E655FCF" w14:textId="631A8CEF" w:rsidR="009953B4" w:rsidRDefault="00006E58" w:rsidP="00E57E9C">
      <w:pPr>
        <w:pStyle w:val="NoNumPlain1"/>
        <w:numPr>
          <w:ilvl w:val="0"/>
          <w:numId w:val="24"/>
        </w:numPr>
      </w:pPr>
      <w:bookmarkStart w:id="16" w:name="_Ref70061089"/>
      <w:r>
        <w:t xml:space="preserve">The </w:t>
      </w:r>
      <w:r w:rsidR="00330C72">
        <w:t xml:space="preserve">Treasury office </w:t>
      </w:r>
      <w:r w:rsidR="009953B4" w:rsidRPr="009953B4">
        <w:t xml:space="preserve">commented </w:t>
      </w:r>
      <w:r w:rsidR="00E57E9C">
        <w:t xml:space="preserve">in raising the issue for the AASB’s consideration </w:t>
      </w:r>
      <w:r w:rsidR="009953B4" w:rsidRPr="009953B4">
        <w:t xml:space="preserve">that </w:t>
      </w:r>
      <w:r w:rsidR="00E84B6B">
        <w:t>AASB</w:t>
      </w:r>
      <w:r w:rsidR="00E57E9C">
        <w:t> </w:t>
      </w:r>
      <w:r w:rsidR="00E84B6B">
        <w:t>1059</w:t>
      </w:r>
      <w:r w:rsidR="009953B4" w:rsidRPr="009953B4">
        <w:t xml:space="preserve"> </w:t>
      </w:r>
      <w:r w:rsidR="007D06A9">
        <w:t xml:space="preserve">did not specify </w:t>
      </w:r>
      <w:r w:rsidR="009953B4" w:rsidRPr="009953B4">
        <w:t xml:space="preserve">how consideration paid by </w:t>
      </w:r>
      <w:r>
        <w:t>the</w:t>
      </w:r>
      <w:r w:rsidR="009953B4" w:rsidRPr="009953B4">
        <w:t xml:space="preserve"> grantor to </w:t>
      </w:r>
      <w:r>
        <w:t>the</w:t>
      </w:r>
      <w:r w:rsidR="009953B4" w:rsidRPr="009953B4">
        <w:t xml:space="preserve"> operator prior to the date of initial application (i.e. </w:t>
      </w:r>
      <w:r w:rsidR="004E11A9">
        <w:t xml:space="preserve">that </w:t>
      </w:r>
      <w:r w:rsidR="00F2438C">
        <w:t xml:space="preserve">was not </w:t>
      </w:r>
      <w:r w:rsidR="009953B4" w:rsidRPr="009953B4">
        <w:t xml:space="preserve">a financial liability at the date of initial application) should be treated under the </w:t>
      </w:r>
      <w:r w:rsidR="009953B4" w:rsidRPr="0037349B">
        <w:t xml:space="preserve">modified retrospective </w:t>
      </w:r>
      <w:r w:rsidR="0037349B" w:rsidRPr="0037349B">
        <w:t>transition approach</w:t>
      </w:r>
      <w:r w:rsidR="009953B4" w:rsidRPr="009953B4">
        <w:t xml:space="preserve">. </w:t>
      </w:r>
      <w:r w:rsidR="00705AFD">
        <w:t xml:space="preserve">The stakeholder </w:t>
      </w:r>
      <w:r w:rsidR="00F2438C">
        <w:t xml:space="preserve">noted </w:t>
      </w:r>
      <w:r w:rsidR="009953B4" w:rsidRPr="009953B4">
        <w:t xml:space="preserve">that if </w:t>
      </w:r>
      <w:r w:rsidR="00F2438C">
        <w:t xml:space="preserve">such </w:t>
      </w:r>
      <w:r w:rsidR="009953B4" w:rsidRPr="009953B4">
        <w:t xml:space="preserve">consideration </w:t>
      </w:r>
      <w:r w:rsidR="00A83B5E">
        <w:t>is</w:t>
      </w:r>
      <w:r w:rsidR="009953B4" w:rsidRPr="009953B4">
        <w:t xml:space="preserve"> not adjusted in </w:t>
      </w:r>
      <w:r w:rsidR="00EA65DC">
        <w:t xml:space="preserve">the </w:t>
      </w:r>
      <w:r w:rsidR="009953B4" w:rsidRPr="009953B4">
        <w:t xml:space="preserve">grantor’s </w:t>
      </w:r>
      <w:r w:rsidR="00F2438C">
        <w:t xml:space="preserve">GORTO </w:t>
      </w:r>
      <w:r w:rsidR="009953B4" w:rsidRPr="009953B4">
        <w:t xml:space="preserve">liability calculation, </w:t>
      </w:r>
      <w:r w:rsidR="00F2438C">
        <w:t xml:space="preserve">the </w:t>
      </w:r>
      <w:r w:rsidR="009953B4" w:rsidRPr="009953B4">
        <w:t xml:space="preserve">GORTO liability </w:t>
      </w:r>
      <w:r w:rsidR="00EA65DC">
        <w:t>at</w:t>
      </w:r>
      <w:r w:rsidR="009953B4" w:rsidRPr="009953B4">
        <w:t xml:space="preserve"> the date of initial application</w:t>
      </w:r>
      <w:r w:rsidR="00F2438C">
        <w:t xml:space="preserve"> would be likely to be overstated</w:t>
      </w:r>
      <w:r w:rsidR="009953B4" w:rsidRPr="009953B4">
        <w:t xml:space="preserve">, which in turn would lead to </w:t>
      </w:r>
      <w:r w:rsidR="00F2438C">
        <w:t xml:space="preserve">the </w:t>
      </w:r>
      <w:r w:rsidR="009953B4" w:rsidRPr="009953B4">
        <w:t>overstatement of revenue in subsequent periods as the GORTO liability is unwound</w:t>
      </w:r>
      <w:r w:rsidR="00F2438C">
        <w:t xml:space="preserve"> over the period of the service concession arrangement</w:t>
      </w:r>
      <w:r w:rsidR="009953B4" w:rsidRPr="009953B4">
        <w:t>.</w:t>
      </w:r>
      <w:bookmarkEnd w:id="16"/>
      <w:r w:rsidR="009953B4" w:rsidRPr="009953B4">
        <w:t xml:space="preserve"> </w:t>
      </w:r>
      <w:r w:rsidR="00AD46F9">
        <w:t xml:space="preserve">The Board concluded that the GORTO liability and subsequent revenue would be overstated </w:t>
      </w:r>
      <w:r w:rsidR="003D2730">
        <w:t xml:space="preserve">whether </w:t>
      </w:r>
      <w:r w:rsidR="00AD46F9">
        <w:t xml:space="preserve">the grantor had provided </w:t>
      </w:r>
      <w:r w:rsidR="00330C72">
        <w:t xml:space="preserve">financial or </w:t>
      </w:r>
      <w:r w:rsidR="00AD46F9">
        <w:t>non-financial consideration prior to the date of initial application</w:t>
      </w:r>
      <w:r w:rsidR="009748FC">
        <w:t xml:space="preserve"> that was not adjusted in determining the grantor’s GORTO liability</w:t>
      </w:r>
      <w:r w:rsidR="00AD46F9">
        <w:t>.</w:t>
      </w:r>
    </w:p>
    <w:p w14:paraId="02F3B763" w14:textId="1AB22260" w:rsidR="00CE68BA" w:rsidRDefault="00EA7C6D" w:rsidP="00957F05">
      <w:pPr>
        <w:pStyle w:val="NoNumPlain1"/>
        <w:numPr>
          <w:ilvl w:val="0"/>
          <w:numId w:val="24"/>
        </w:numPr>
      </w:pPr>
      <w:r>
        <w:t>The Board noted that</w:t>
      </w:r>
      <w:r w:rsidR="001223FB">
        <w:t xml:space="preserve"> </w:t>
      </w:r>
      <w:r w:rsidR="00CC69FD">
        <w:t xml:space="preserve">consideration </w:t>
      </w:r>
      <w:r w:rsidR="003C305A">
        <w:t xml:space="preserve">transferred </w:t>
      </w:r>
      <w:r w:rsidR="008B6C81">
        <w:t xml:space="preserve">by the grantor to the operator </w:t>
      </w:r>
      <w:r w:rsidR="00A74FD8">
        <w:t xml:space="preserve">in respect of a service concession asset </w:t>
      </w:r>
      <w:r w:rsidR="008B6C81">
        <w:t>do</w:t>
      </w:r>
      <w:r w:rsidR="00BE03C8">
        <w:t>es</w:t>
      </w:r>
      <w:r w:rsidR="008B6C81">
        <w:t xml:space="preserve"> not represent a liability</w:t>
      </w:r>
      <w:r w:rsidR="0083697E">
        <w:t xml:space="preserve"> </w:t>
      </w:r>
      <w:r w:rsidR="008D566E">
        <w:t xml:space="preserve">or </w:t>
      </w:r>
      <w:r w:rsidR="00C370AB">
        <w:t>revenue</w:t>
      </w:r>
      <w:r w:rsidR="008D566E">
        <w:t xml:space="preserve"> </w:t>
      </w:r>
      <w:r w:rsidR="0083697E">
        <w:t>for the grantor</w:t>
      </w:r>
      <w:r w:rsidR="007B717A">
        <w:t xml:space="preserve"> and therefore would not be </w:t>
      </w:r>
      <w:r w:rsidR="00D31617">
        <w:t>recognise</w:t>
      </w:r>
      <w:r w:rsidR="00F2438C">
        <w:t>d appropriately</w:t>
      </w:r>
      <w:r w:rsidR="00D31617">
        <w:t xml:space="preserve"> as part of the GORTO liability</w:t>
      </w:r>
      <w:r w:rsidR="009D2C29">
        <w:t xml:space="preserve"> on transition</w:t>
      </w:r>
      <w:r w:rsidR="008D566E">
        <w:t xml:space="preserve">. </w:t>
      </w:r>
      <w:r w:rsidR="00CE68BA">
        <w:t xml:space="preserve">Under paragraph 12 of </w:t>
      </w:r>
      <w:r w:rsidR="00194EA3">
        <w:t>AASB 1059</w:t>
      </w:r>
      <w:r w:rsidR="00CE68BA">
        <w:t>, s</w:t>
      </w:r>
      <w:r w:rsidR="008D566E">
        <w:t xml:space="preserve">uch </w:t>
      </w:r>
      <w:r w:rsidR="00CC69FD">
        <w:t>consider</w:t>
      </w:r>
      <w:r w:rsidR="00CE68BA">
        <w:t>ation</w:t>
      </w:r>
      <w:r w:rsidR="00CC69FD">
        <w:t xml:space="preserve"> </w:t>
      </w:r>
      <w:r w:rsidR="00BE03C8">
        <w:t>is</w:t>
      </w:r>
      <w:r w:rsidR="00CC69FD">
        <w:t xml:space="preserve"> required to be adjusted </w:t>
      </w:r>
      <w:r w:rsidR="009D2C29">
        <w:t xml:space="preserve">when measuring the grantor’s liability at initial recognition based on </w:t>
      </w:r>
      <w:r w:rsidR="00CC69FD">
        <w:lastRenderedPageBreak/>
        <w:t xml:space="preserve">the </w:t>
      </w:r>
      <w:r w:rsidR="00A35FE7">
        <w:t>current replacement cost of the service concession asset</w:t>
      </w:r>
      <w:r w:rsidR="00BC77D9">
        <w:t>.</w:t>
      </w:r>
      <w:r w:rsidR="007A49F2">
        <w:t xml:space="preserve"> This requirement </w:t>
      </w:r>
      <w:r w:rsidR="00796FFE">
        <w:t>is also</w:t>
      </w:r>
      <w:r w:rsidR="007A49F2">
        <w:t xml:space="preserve"> </w:t>
      </w:r>
      <w:r w:rsidR="007875C1">
        <w:t>applicable</w:t>
      </w:r>
      <w:r w:rsidR="00387E35">
        <w:t xml:space="preserve"> for entities applying the full retrospective transition approach</w:t>
      </w:r>
      <w:r w:rsidR="009D2C29">
        <w:t xml:space="preserve"> to the implementation of AASB 1059</w:t>
      </w:r>
      <w:r w:rsidR="00387E35">
        <w:t>.</w:t>
      </w:r>
    </w:p>
    <w:p w14:paraId="4F6B5DAB" w14:textId="0A4FC32E" w:rsidR="00F13A02" w:rsidRPr="00F13A02" w:rsidRDefault="005517D6" w:rsidP="005F7008">
      <w:pPr>
        <w:pStyle w:val="ListParagraph"/>
        <w:numPr>
          <w:ilvl w:val="0"/>
          <w:numId w:val="24"/>
        </w:numPr>
        <w:jc w:val="both"/>
        <w:rPr>
          <w:sz w:val="19"/>
          <w:szCs w:val="20"/>
          <w:lang w:eastAsia="en-US"/>
        </w:rPr>
      </w:pPr>
      <w:r>
        <w:rPr>
          <w:sz w:val="19"/>
          <w:szCs w:val="20"/>
          <w:lang w:eastAsia="en-US"/>
        </w:rPr>
        <w:t xml:space="preserve">The </w:t>
      </w:r>
      <w:r w:rsidR="0072147A">
        <w:rPr>
          <w:sz w:val="19"/>
          <w:szCs w:val="20"/>
          <w:lang w:eastAsia="en-US"/>
        </w:rPr>
        <w:t xml:space="preserve">Board </w:t>
      </w:r>
      <w:r w:rsidR="00F13A02" w:rsidRPr="00F13A02">
        <w:rPr>
          <w:sz w:val="19"/>
          <w:szCs w:val="20"/>
          <w:lang w:eastAsia="en-US"/>
        </w:rPr>
        <w:t>consider</w:t>
      </w:r>
      <w:r w:rsidR="0072147A">
        <w:rPr>
          <w:sz w:val="19"/>
          <w:szCs w:val="20"/>
          <w:lang w:eastAsia="en-US"/>
        </w:rPr>
        <w:t>ed</w:t>
      </w:r>
      <w:r w:rsidR="00F13A02" w:rsidRPr="00F13A02">
        <w:rPr>
          <w:sz w:val="19"/>
          <w:szCs w:val="20"/>
          <w:lang w:eastAsia="en-US"/>
        </w:rPr>
        <w:t xml:space="preserve"> amending the GORTO liability calculation under the modified retrospective transition approach has merit. The current drafting of the modified retrospective transition approach c</w:t>
      </w:r>
      <w:r w:rsidR="007275BE">
        <w:rPr>
          <w:sz w:val="19"/>
          <w:szCs w:val="20"/>
          <w:lang w:eastAsia="en-US"/>
        </w:rPr>
        <w:t>ould</w:t>
      </w:r>
      <w:r w:rsidR="00F13A02" w:rsidRPr="00F13A02">
        <w:rPr>
          <w:sz w:val="19"/>
          <w:szCs w:val="20"/>
          <w:lang w:eastAsia="en-US"/>
        </w:rPr>
        <w:t xml:space="preserve"> result in overstatement of the GORTO liability </w:t>
      </w:r>
      <w:r w:rsidR="007275BE">
        <w:rPr>
          <w:sz w:val="19"/>
          <w:szCs w:val="20"/>
          <w:lang w:eastAsia="en-US"/>
        </w:rPr>
        <w:t xml:space="preserve">for affected </w:t>
      </w:r>
      <w:r>
        <w:rPr>
          <w:sz w:val="19"/>
          <w:szCs w:val="20"/>
          <w:lang w:eastAsia="en-US"/>
        </w:rPr>
        <w:t xml:space="preserve">grantors </w:t>
      </w:r>
      <w:r w:rsidR="00F13A02" w:rsidRPr="00F13A02">
        <w:rPr>
          <w:sz w:val="19"/>
          <w:szCs w:val="20"/>
          <w:lang w:eastAsia="en-US"/>
        </w:rPr>
        <w:t>at the</w:t>
      </w:r>
      <w:r w:rsidR="0087566C">
        <w:rPr>
          <w:sz w:val="19"/>
          <w:szCs w:val="20"/>
          <w:lang w:eastAsia="en-US"/>
        </w:rPr>
        <w:t xml:space="preserve"> initial application</w:t>
      </w:r>
      <w:r w:rsidR="00F13A02" w:rsidRPr="00F13A02">
        <w:rPr>
          <w:sz w:val="19"/>
          <w:szCs w:val="20"/>
          <w:lang w:eastAsia="en-US"/>
        </w:rPr>
        <w:t xml:space="preserve"> date and of the subsequent revenue recognition, which </w:t>
      </w:r>
      <w:r w:rsidR="00A74FD8">
        <w:rPr>
          <w:sz w:val="19"/>
          <w:szCs w:val="20"/>
          <w:lang w:eastAsia="en-US"/>
        </w:rPr>
        <w:t xml:space="preserve">would </w:t>
      </w:r>
      <w:r w:rsidR="00F13A02" w:rsidRPr="00F13A02">
        <w:rPr>
          <w:sz w:val="19"/>
          <w:szCs w:val="20"/>
          <w:lang w:eastAsia="en-US"/>
        </w:rPr>
        <w:t xml:space="preserve">continue throughout the remaining period of the affected service concession arrangements. Considering the potential public interest in and user information needs regarding service concession arrangements, these overstatements </w:t>
      </w:r>
      <w:r w:rsidR="00A74FD8">
        <w:rPr>
          <w:sz w:val="19"/>
          <w:szCs w:val="20"/>
          <w:lang w:eastAsia="en-US"/>
        </w:rPr>
        <w:t xml:space="preserve">could </w:t>
      </w:r>
      <w:r w:rsidR="00F13A02" w:rsidRPr="00F13A02">
        <w:rPr>
          <w:sz w:val="19"/>
          <w:szCs w:val="20"/>
          <w:lang w:eastAsia="en-US"/>
        </w:rPr>
        <w:t>be considered qualitatively material and might mislead users of the financial statements for a long period of time.</w:t>
      </w:r>
    </w:p>
    <w:p w14:paraId="19350CA6" w14:textId="3EDD77C5" w:rsidR="00367C1D" w:rsidRDefault="001748C1" w:rsidP="00367C1D">
      <w:pPr>
        <w:pStyle w:val="NoNumPlain1"/>
        <w:numPr>
          <w:ilvl w:val="0"/>
          <w:numId w:val="24"/>
        </w:numPr>
      </w:pPr>
      <w:r>
        <w:t xml:space="preserve">The </w:t>
      </w:r>
      <w:r w:rsidR="008048DD">
        <w:t>Board</w:t>
      </w:r>
      <w:r>
        <w:t xml:space="preserve"> </w:t>
      </w:r>
      <w:r w:rsidR="008D2C71">
        <w:t>decided</w:t>
      </w:r>
      <w:r w:rsidR="008048DD">
        <w:t xml:space="preserve"> </w:t>
      </w:r>
      <w:r>
        <w:t>that c</w:t>
      </w:r>
      <w:r w:rsidR="00367C1D">
        <w:t xml:space="preserve">hanging the modified retrospective </w:t>
      </w:r>
      <w:r w:rsidR="008D2C71">
        <w:t>transition approach</w:t>
      </w:r>
      <w:r w:rsidR="00367C1D">
        <w:t xml:space="preserve"> is justified under </w:t>
      </w:r>
      <w:r w:rsidR="000B38A3" w:rsidRPr="000B38A3">
        <w:rPr>
          <w:iCs/>
        </w:rPr>
        <w:t>the</w:t>
      </w:r>
      <w:r w:rsidR="00367C1D" w:rsidRPr="001748C1">
        <w:rPr>
          <w:i/>
        </w:rPr>
        <w:t xml:space="preserve"> AASB Not-for-Profit Entity Standard-Setting Framework </w:t>
      </w:r>
      <w:r w:rsidR="00536394" w:rsidRPr="00536394">
        <w:rPr>
          <w:iCs/>
        </w:rPr>
        <w:t>(October 2020)</w:t>
      </w:r>
      <w:r w:rsidR="00A74FD8">
        <w:rPr>
          <w:iCs/>
        </w:rPr>
        <w:t>,</w:t>
      </w:r>
      <w:r w:rsidR="00536394" w:rsidRPr="00536394">
        <w:rPr>
          <w:iCs/>
        </w:rPr>
        <w:t xml:space="preserve"> </w:t>
      </w:r>
      <w:r w:rsidR="00391430">
        <w:t xml:space="preserve">paragraph </w:t>
      </w:r>
      <w:r w:rsidR="000B38A3">
        <w:t>30</w:t>
      </w:r>
      <w:r w:rsidR="00391430">
        <w:t>(</w:t>
      </w:r>
      <w:r w:rsidR="008D2C71">
        <w:t>e</w:t>
      </w:r>
      <w:r w:rsidR="00391430">
        <w:t>)</w:t>
      </w:r>
      <w:r w:rsidR="004D419A">
        <w:t>. This is because</w:t>
      </w:r>
      <w:r w:rsidR="00367C1D">
        <w:t xml:space="preserve"> the existing modified retrospective GORTO liability calculation </w:t>
      </w:r>
      <w:r w:rsidR="0073378B">
        <w:t xml:space="preserve">– </w:t>
      </w:r>
      <w:r w:rsidR="00A74FD8">
        <w:t xml:space="preserve">which would make no adjustment for the grantor’s </w:t>
      </w:r>
      <w:r w:rsidR="0073378B">
        <w:t xml:space="preserve">own contributions to a service concession asset </w:t>
      </w:r>
      <w:r w:rsidR="006D7826" w:rsidRPr="00712F3E">
        <w:t xml:space="preserve">prior to the </w:t>
      </w:r>
      <w:r w:rsidR="00F46453">
        <w:t xml:space="preserve">initial application </w:t>
      </w:r>
      <w:r w:rsidR="006D7826" w:rsidRPr="00712F3E">
        <w:t>date</w:t>
      </w:r>
      <w:r w:rsidR="00F46453">
        <w:t xml:space="preserve"> </w:t>
      </w:r>
      <w:r w:rsidR="0073378B">
        <w:t xml:space="preserve">– </w:t>
      </w:r>
      <w:r w:rsidR="003F6ED6">
        <w:t xml:space="preserve">would </w:t>
      </w:r>
      <w:r w:rsidR="00367C1D">
        <w:t xml:space="preserve">appear to result in reported </w:t>
      </w:r>
      <w:r w:rsidR="00A74FD8">
        <w:t xml:space="preserve">financial </w:t>
      </w:r>
      <w:r w:rsidR="00367C1D">
        <w:t xml:space="preserve">performance or financial position not reflecting economic reality. </w:t>
      </w:r>
    </w:p>
    <w:p w14:paraId="2332F481" w14:textId="31BBAF55" w:rsidR="00B07E83" w:rsidRPr="009C54B8" w:rsidRDefault="00771905" w:rsidP="009C54B8">
      <w:pPr>
        <w:pStyle w:val="IASBSectionTitle2Ind"/>
        <w:jc w:val="both"/>
      </w:pPr>
      <w:r>
        <w:t xml:space="preserve">Options </w:t>
      </w:r>
      <w:r w:rsidR="007A6F5D">
        <w:t>for</w:t>
      </w:r>
      <w:r>
        <w:t xml:space="preserve"> addressing the</w:t>
      </w:r>
      <w:r w:rsidR="00E77B0D">
        <w:t xml:space="preserve"> issue</w:t>
      </w:r>
    </w:p>
    <w:p w14:paraId="3E0CE473" w14:textId="41584B89" w:rsidR="001D405C" w:rsidRDefault="00994E67" w:rsidP="0094799A">
      <w:pPr>
        <w:pStyle w:val="NoNumPlain1"/>
        <w:numPr>
          <w:ilvl w:val="0"/>
          <w:numId w:val="24"/>
        </w:numPr>
      </w:pPr>
      <w:r>
        <w:t>The stakeholder</w:t>
      </w:r>
      <w:r w:rsidRPr="00994E67">
        <w:t xml:space="preserve"> advised that, prior to application of AASB 1059, grantor </w:t>
      </w:r>
      <w:r w:rsidR="001C2FDD">
        <w:t xml:space="preserve">financial </w:t>
      </w:r>
      <w:r w:rsidRPr="00994E67">
        <w:t xml:space="preserve">contributions to service concession arrangements have been capitalised as a prepayment, which is </w:t>
      </w:r>
      <w:r w:rsidR="00E77B0D">
        <w:t xml:space="preserve">recognised </w:t>
      </w:r>
      <w:r w:rsidRPr="00994E67">
        <w:t>as an expense over the concession period</w:t>
      </w:r>
      <w:r w:rsidR="00C24AAF">
        <w:t>s</w:t>
      </w:r>
      <w:r w:rsidR="00343234">
        <w:t>.</w:t>
      </w:r>
    </w:p>
    <w:p w14:paraId="74DAC0AE" w14:textId="6B72FDC8" w:rsidR="00BD240D" w:rsidRDefault="00367C1D" w:rsidP="00BD240D">
      <w:pPr>
        <w:pStyle w:val="NoNumPlain1"/>
        <w:numPr>
          <w:ilvl w:val="0"/>
          <w:numId w:val="24"/>
        </w:numPr>
      </w:pPr>
      <w:r>
        <w:t xml:space="preserve">The </w:t>
      </w:r>
      <w:r w:rsidR="008048DD">
        <w:t>Board</w:t>
      </w:r>
      <w:r>
        <w:t xml:space="preserve"> considered four </w:t>
      </w:r>
      <w:r w:rsidR="00537456">
        <w:t xml:space="preserve">possible options </w:t>
      </w:r>
      <w:r w:rsidR="007A6F5D">
        <w:t>for</w:t>
      </w:r>
      <w:r w:rsidR="00537456">
        <w:t xml:space="preserve"> </w:t>
      </w:r>
      <w:r w:rsidR="00785417">
        <w:t>amending</w:t>
      </w:r>
      <w:r w:rsidR="00785417" w:rsidRPr="00785417">
        <w:t xml:space="preserve"> the modified retrospective GORTO liability calculation</w:t>
      </w:r>
      <w:r w:rsidR="00397523">
        <w:t xml:space="preserve"> in relation to grantor contributions </w:t>
      </w:r>
      <w:r w:rsidR="00397523" w:rsidRPr="00712F3E">
        <w:t xml:space="preserve">prior to the </w:t>
      </w:r>
      <w:r w:rsidR="00397523">
        <w:t xml:space="preserve">initial application </w:t>
      </w:r>
      <w:r w:rsidR="00397523" w:rsidRPr="00712F3E">
        <w:t>date</w:t>
      </w:r>
      <w:r w:rsidR="00C24AAF">
        <w:t>.</w:t>
      </w:r>
      <w:r w:rsidR="00CD16AA">
        <w:t xml:space="preserve"> </w:t>
      </w:r>
      <w:r w:rsidR="00C24AAF">
        <w:t>Options 1–3 differ only in what is first deducted from the fair value (current replacement cost) of the service concession asset in calculating the liability.</w:t>
      </w:r>
    </w:p>
    <w:p w14:paraId="275BFFAA" w14:textId="51489190" w:rsidR="00FC4BC9" w:rsidRDefault="00CD16AA" w:rsidP="00DA7DB1">
      <w:pPr>
        <w:pStyle w:val="NoNumPlain1"/>
        <w:numPr>
          <w:ilvl w:val="0"/>
          <w:numId w:val="25"/>
        </w:numPr>
        <w:ind w:left="1139" w:hanging="357"/>
      </w:pPr>
      <w:r>
        <w:t>Option 1 –</w:t>
      </w:r>
      <w:r w:rsidR="00DD490D" w:rsidRPr="00DD490D">
        <w:t xml:space="preserve"> </w:t>
      </w:r>
      <w:r w:rsidR="00DD490D" w:rsidRPr="006C1524">
        <w:t>measure</w:t>
      </w:r>
      <w:r w:rsidR="00DD490D">
        <w:t xml:space="preserve"> </w:t>
      </w:r>
      <w:r w:rsidR="00785417">
        <w:t>the GORTO liability</w:t>
      </w:r>
      <w:r w:rsidR="006C1524" w:rsidRPr="006C1524">
        <w:t xml:space="preserve"> </w:t>
      </w:r>
      <w:r w:rsidR="00A62AE5">
        <w:t xml:space="preserve">by deducting the </w:t>
      </w:r>
      <w:r w:rsidR="00A62AE5" w:rsidRPr="00FC4BC9">
        <w:rPr>
          <w:b/>
          <w:bCs/>
        </w:rPr>
        <w:t>carrying amount</w:t>
      </w:r>
      <w:r w:rsidR="00A62AE5">
        <w:t xml:space="preserve"> of capitalised grantor contributions from the current replacement cost of the service concession asset as at the date of initial application; then adjusting this amount to reflect the remaining period of the service concession arrangement relative to the total period of the arrangement; and finally deducting the fair value of any related financial liability as at the date of initial application</w:t>
      </w:r>
      <w:r w:rsidR="00FC4BC9">
        <w:t>;</w:t>
      </w:r>
    </w:p>
    <w:p w14:paraId="45C4C1D2" w14:textId="680528B6" w:rsidR="00FC4BC9" w:rsidRDefault="00FC4BC9" w:rsidP="00DA7DB1">
      <w:pPr>
        <w:pStyle w:val="NoNumPlain1"/>
        <w:numPr>
          <w:ilvl w:val="0"/>
          <w:numId w:val="25"/>
        </w:numPr>
        <w:ind w:left="1139" w:hanging="357"/>
      </w:pPr>
      <w:r>
        <w:t xml:space="preserve">Option 2 – </w:t>
      </w:r>
      <w:r w:rsidRPr="006C1524">
        <w:t>measure</w:t>
      </w:r>
      <w:r>
        <w:t xml:space="preserve"> the GORTO liability</w:t>
      </w:r>
      <w:r w:rsidRPr="006C1524">
        <w:t xml:space="preserve"> </w:t>
      </w:r>
      <w:r>
        <w:t xml:space="preserve">by deducting the </w:t>
      </w:r>
      <w:r w:rsidRPr="009B2912">
        <w:rPr>
          <w:b/>
          <w:bCs/>
        </w:rPr>
        <w:t>historica</w:t>
      </w:r>
      <w:r w:rsidR="009B2912" w:rsidRPr="009B2912">
        <w:rPr>
          <w:b/>
          <w:bCs/>
        </w:rPr>
        <w:t>l</w:t>
      </w:r>
      <w:r w:rsidRPr="009B2912">
        <w:rPr>
          <w:b/>
          <w:bCs/>
        </w:rPr>
        <w:t xml:space="preserve"> amount</w:t>
      </w:r>
      <w:r w:rsidR="009B2912" w:rsidRPr="009B2912">
        <w:rPr>
          <w:b/>
          <w:bCs/>
        </w:rPr>
        <w:t>s</w:t>
      </w:r>
      <w:r>
        <w:t xml:space="preserve"> of grantor contributions from the current replacement cost of the service concession asset as at the date of initial application; then adjusting this amount to reflect the remaining period of the service concession arrangement relative to the total period of the arrangement; and finally deducting the fair value of any related financial liability as at the date of initial application;</w:t>
      </w:r>
    </w:p>
    <w:p w14:paraId="53EECD2E" w14:textId="28F7C16F" w:rsidR="009B2912" w:rsidRDefault="009B2912" w:rsidP="00DA7DB1">
      <w:pPr>
        <w:pStyle w:val="NoNumPlain1"/>
        <w:numPr>
          <w:ilvl w:val="0"/>
          <w:numId w:val="25"/>
        </w:numPr>
        <w:ind w:left="1139" w:hanging="357"/>
      </w:pPr>
      <w:r>
        <w:t xml:space="preserve">Option 3 – </w:t>
      </w:r>
      <w:r w:rsidRPr="006C1524">
        <w:t>measure</w:t>
      </w:r>
      <w:r>
        <w:t xml:space="preserve"> the GORTO liability</w:t>
      </w:r>
      <w:r w:rsidRPr="006C1524">
        <w:t xml:space="preserve"> </w:t>
      </w:r>
      <w:r>
        <w:t xml:space="preserve">by deducting the </w:t>
      </w:r>
      <w:r w:rsidR="004F5F95">
        <w:rPr>
          <w:b/>
          <w:bCs/>
        </w:rPr>
        <w:t>fair value</w:t>
      </w:r>
      <w:r>
        <w:t xml:space="preserve"> of grantor contributions from the current replacement cost of the service concession asset as at the date of initial application; then adjusting this amount to reflect the remaining period of the service concession arrangement relative to the total period of the arrangement; and finally deducting the fair value of any related financial liability as at the date of initial application;</w:t>
      </w:r>
      <w:r w:rsidR="00B26F4C">
        <w:t xml:space="preserve"> and</w:t>
      </w:r>
    </w:p>
    <w:p w14:paraId="5BCF738A" w14:textId="4CE95946" w:rsidR="00465B07" w:rsidRDefault="00465B07" w:rsidP="00DA7DB1">
      <w:pPr>
        <w:pStyle w:val="NoNumPlain1"/>
        <w:numPr>
          <w:ilvl w:val="0"/>
          <w:numId w:val="25"/>
        </w:numPr>
        <w:ind w:left="1139" w:hanging="357"/>
      </w:pPr>
      <w:r>
        <w:t xml:space="preserve">Option 4 – </w:t>
      </w:r>
      <w:r w:rsidRPr="006C1524">
        <w:t>measure</w:t>
      </w:r>
      <w:r>
        <w:t xml:space="preserve"> the GORTO liability</w:t>
      </w:r>
      <w:r w:rsidRPr="006C1524">
        <w:t xml:space="preserve"> </w:t>
      </w:r>
      <w:r>
        <w:t xml:space="preserve">by </w:t>
      </w:r>
      <w:r w:rsidR="00ED2AA7">
        <w:t>a</w:t>
      </w:r>
      <w:r w:rsidR="00ED2AA7" w:rsidRPr="00ED2AA7">
        <w:t xml:space="preserve">pplying the </w:t>
      </w:r>
      <w:r w:rsidR="00ED2AA7" w:rsidRPr="00881E89">
        <w:t xml:space="preserve">proportion of the GORTO liability relative to the total liability calculated at </w:t>
      </w:r>
      <w:r w:rsidR="00B26F4C">
        <w:t xml:space="preserve">the </w:t>
      </w:r>
      <w:r w:rsidR="00ED2AA7" w:rsidRPr="00881E89">
        <w:t>inception</w:t>
      </w:r>
      <w:r w:rsidR="00ED2AA7" w:rsidRPr="00ED2AA7">
        <w:t xml:space="preserve"> </w:t>
      </w:r>
      <w:r w:rsidR="00B26F4C">
        <w:t xml:space="preserve">of the service concession arrangement </w:t>
      </w:r>
      <w:r w:rsidR="00ED2AA7" w:rsidRPr="00ED2AA7">
        <w:t xml:space="preserve">to the </w:t>
      </w:r>
      <w:r w:rsidR="00ED2AA7">
        <w:t>current replacement cost</w:t>
      </w:r>
      <w:r w:rsidR="00ED2AA7" w:rsidRPr="00ED2AA7">
        <w:t xml:space="preserve"> of the </w:t>
      </w:r>
      <w:r w:rsidR="00ED2AA7">
        <w:t>service con</w:t>
      </w:r>
      <w:r w:rsidR="00B775C4">
        <w:t xml:space="preserve">cession </w:t>
      </w:r>
      <w:r w:rsidR="00ED2AA7" w:rsidRPr="00ED2AA7">
        <w:t xml:space="preserve">asset as at the </w:t>
      </w:r>
      <w:r w:rsidR="00B775C4">
        <w:t>initial application</w:t>
      </w:r>
      <w:r w:rsidR="00D743CF">
        <w:t xml:space="preserve"> date</w:t>
      </w:r>
      <w:r w:rsidR="00093057">
        <w:t>; and then adjusting this amount to reflect the remaining period of the service concession arrangement relative to the total period of the arrangement.</w:t>
      </w:r>
    </w:p>
    <w:p w14:paraId="2D024845" w14:textId="1DDFDB37" w:rsidR="00F029FB" w:rsidRDefault="00F029FB" w:rsidP="00957F05">
      <w:pPr>
        <w:pStyle w:val="NoNumPlain1"/>
        <w:numPr>
          <w:ilvl w:val="0"/>
          <w:numId w:val="24"/>
        </w:numPr>
      </w:pPr>
      <w:bookmarkStart w:id="17" w:name="_Ref70077711"/>
      <w:r>
        <w:t xml:space="preserve">The Board </w:t>
      </w:r>
      <w:r w:rsidR="001D332E">
        <w:t xml:space="preserve">was concerned </w:t>
      </w:r>
      <w:r>
        <w:t xml:space="preserve">that </w:t>
      </w:r>
      <w:r w:rsidRPr="00F029FB">
        <w:t xml:space="preserve">if a contribution was made close to the inception of the arrangement and the </w:t>
      </w:r>
      <w:r w:rsidR="00A95448">
        <w:t>capitalised grantor contribution</w:t>
      </w:r>
      <w:r w:rsidRPr="00F029FB">
        <w:t xml:space="preserve"> has a low carrying amount on the </w:t>
      </w:r>
      <w:r w:rsidR="00EB28BF">
        <w:t>initial application</w:t>
      </w:r>
      <w:r w:rsidRPr="00F029FB">
        <w:t xml:space="preserve"> date because it has been </w:t>
      </w:r>
      <w:r w:rsidR="00B26F4C">
        <w:t xml:space="preserve">amortised </w:t>
      </w:r>
      <w:r w:rsidRPr="00F029FB">
        <w:t>over a number of periods</w:t>
      </w:r>
      <w:r w:rsidR="00B26F4C">
        <w:t>,</w:t>
      </w:r>
      <w:r w:rsidRPr="00F029FB">
        <w:t xml:space="preserve"> Option</w:t>
      </w:r>
      <w:r w:rsidR="00A95448">
        <w:t xml:space="preserve"> </w:t>
      </w:r>
      <w:r w:rsidRPr="00F029FB">
        <w:t>1 could result in a similar outcome to the current modified retrospective transition approach</w:t>
      </w:r>
      <w:r w:rsidR="00D82D66">
        <w:t>.</w:t>
      </w:r>
      <w:bookmarkEnd w:id="17"/>
      <w:r w:rsidR="00B26F4C">
        <w:t xml:space="preserve"> However, this effect would be moderated since the higher the number of years of amortisation to the date of initial application, the smaller the remaining period of the arrangement, which would reduce the calculated GORTO liability.</w:t>
      </w:r>
    </w:p>
    <w:p w14:paraId="51036644" w14:textId="62E95006" w:rsidR="003F4197" w:rsidRDefault="003F4197" w:rsidP="00957F05">
      <w:pPr>
        <w:pStyle w:val="NoNumPlain1"/>
        <w:numPr>
          <w:ilvl w:val="0"/>
          <w:numId w:val="24"/>
        </w:numPr>
      </w:pPr>
      <w:r>
        <w:t xml:space="preserve">The Board </w:t>
      </w:r>
      <w:r w:rsidR="007D1D7C">
        <w:t>rejected Option 2</w:t>
      </w:r>
      <w:r w:rsidR="004A4CE2">
        <w:t xml:space="preserve">. This is because </w:t>
      </w:r>
      <w:r>
        <w:t xml:space="preserve">the modified retrospective </w:t>
      </w:r>
      <w:r w:rsidR="00E0005B">
        <w:t xml:space="preserve">transition </w:t>
      </w:r>
      <w:r>
        <w:t xml:space="preserve">approach </w:t>
      </w:r>
      <w:r w:rsidR="00E0005B">
        <w:t xml:space="preserve">requires </w:t>
      </w:r>
      <w:r w:rsidR="000336D5" w:rsidRPr="000336D5">
        <w:t xml:space="preserve">the service concession asset and any outstanding financial liability to be measured at fair value </w:t>
      </w:r>
      <w:r w:rsidR="00B26F4C">
        <w:t xml:space="preserve">as at </w:t>
      </w:r>
      <w:r w:rsidR="000336D5" w:rsidRPr="000336D5">
        <w:t xml:space="preserve">the </w:t>
      </w:r>
      <w:r w:rsidR="00667563">
        <w:t>initial application</w:t>
      </w:r>
      <w:r w:rsidR="00667563" w:rsidRPr="000336D5">
        <w:t xml:space="preserve"> date</w:t>
      </w:r>
      <w:r w:rsidR="005E29A7">
        <w:t>.</w:t>
      </w:r>
      <w:r w:rsidR="00186036">
        <w:t xml:space="preserve"> </w:t>
      </w:r>
      <w:r w:rsidR="005E29A7">
        <w:t>D</w:t>
      </w:r>
      <w:r w:rsidR="000336D5" w:rsidRPr="000336D5">
        <w:t>educting the sum of historical amounts –</w:t>
      </w:r>
      <w:r w:rsidR="00020299">
        <w:t xml:space="preserve"> </w:t>
      </w:r>
      <w:r w:rsidR="000336D5" w:rsidRPr="000336D5">
        <w:t xml:space="preserve">ignoring the time value of money for </w:t>
      </w:r>
      <w:r w:rsidR="00B26F4C">
        <w:t xml:space="preserve">the </w:t>
      </w:r>
      <w:r w:rsidR="000336D5" w:rsidRPr="000336D5">
        <w:t>co</w:t>
      </w:r>
      <w:r w:rsidR="005E29A7">
        <w:t>nsideration</w:t>
      </w:r>
      <w:r w:rsidR="000336D5" w:rsidRPr="000336D5">
        <w:t xml:space="preserve"> paid prior to </w:t>
      </w:r>
      <w:r w:rsidR="00B26F4C">
        <w:t xml:space="preserve">the </w:t>
      </w:r>
      <w:r w:rsidR="005E29A7">
        <w:t>initial application</w:t>
      </w:r>
      <w:r w:rsidR="000336D5" w:rsidRPr="000336D5">
        <w:t xml:space="preserve"> date – from the fair value of the asset might not result in an appropriate GORTO liability amount. </w:t>
      </w:r>
      <w:r w:rsidR="00B26F4C">
        <w:t>The t</w:t>
      </w:r>
      <w:r w:rsidR="00B26F4C" w:rsidRPr="000336D5">
        <w:t xml:space="preserve">ime </w:t>
      </w:r>
      <w:r w:rsidR="000336D5" w:rsidRPr="000336D5">
        <w:t xml:space="preserve">value of money </w:t>
      </w:r>
      <w:r w:rsidR="00D12887">
        <w:t>would be</w:t>
      </w:r>
      <w:r w:rsidR="000336D5" w:rsidRPr="000336D5">
        <w:t xml:space="preserve"> particularly relevant for c</w:t>
      </w:r>
      <w:r w:rsidR="00D12887">
        <w:t>onsideration</w:t>
      </w:r>
      <w:r w:rsidR="000336D5" w:rsidRPr="000336D5">
        <w:t xml:space="preserve"> paid by instalments under </w:t>
      </w:r>
      <w:r w:rsidR="00D12887">
        <w:t>the</w:t>
      </w:r>
      <w:r w:rsidR="000336D5" w:rsidRPr="000336D5">
        <w:t xml:space="preserve"> arrangement</w:t>
      </w:r>
      <w:r w:rsidR="00D12887">
        <w:t>.</w:t>
      </w:r>
    </w:p>
    <w:p w14:paraId="52672C8E" w14:textId="6596F010" w:rsidR="00473FAC" w:rsidRDefault="002E321E" w:rsidP="007E215A">
      <w:pPr>
        <w:pStyle w:val="NoNumPlain1"/>
        <w:numPr>
          <w:ilvl w:val="0"/>
          <w:numId w:val="24"/>
        </w:numPr>
      </w:pPr>
      <w:r>
        <w:t xml:space="preserve">The Board </w:t>
      </w:r>
      <w:r w:rsidR="00CC63FA">
        <w:t xml:space="preserve">decided against Option 3 </w:t>
      </w:r>
      <w:r w:rsidR="001955AE">
        <w:t>because</w:t>
      </w:r>
      <w:r>
        <w:t xml:space="preserve"> estimation of the fair value of </w:t>
      </w:r>
      <w:r w:rsidR="007F6C8E">
        <w:t xml:space="preserve">historical consideration </w:t>
      </w:r>
      <w:r w:rsidR="00D84F93">
        <w:t xml:space="preserve">transferred </w:t>
      </w:r>
      <w:r>
        <w:t>might not be a straightforward exercise and further guidance might be required to assist grantors in identifying</w:t>
      </w:r>
      <w:r w:rsidR="007F6C8E">
        <w:t xml:space="preserve"> </w:t>
      </w:r>
      <w:r>
        <w:lastRenderedPageBreak/>
        <w:t xml:space="preserve">the factors a market participant would consider when pricing such historical </w:t>
      </w:r>
      <w:r w:rsidR="00B32A3C">
        <w:t>consideration</w:t>
      </w:r>
      <w:r w:rsidR="00B26F4C">
        <w:t xml:space="preserve">, such as </w:t>
      </w:r>
      <w:r>
        <w:t>the appropriate interest rate.</w:t>
      </w:r>
      <w:r w:rsidR="00B32A3C">
        <w:t xml:space="preserve"> </w:t>
      </w:r>
      <w:r w:rsidR="0056758A">
        <w:t xml:space="preserve">Such </w:t>
      </w:r>
      <w:r w:rsidR="0070094E">
        <w:t xml:space="preserve">guidance </w:t>
      </w:r>
      <w:r w:rsidR="0056758A">
        <w:t xml:space="preserve">would be unlikely </w:t>
      </w:r>
      <w:r w:rsidR="00700322">
        <w:t>to be finalise</w:t>
      </w:r>
      <w:r w:rsidR="003E2622">
        <w:t>d</w:t>
      </w:r>
      <w:r w:rsidR="00700322">
        <w:t xml:space="preserve"> </w:t>
      </w:r>
      <w:r w:rsidR="003044B8">
        <w:t xml:space="preserve">in time for </w:t>
      </w:r>
      <w:r w:rsidR="005E60CB">
        <w:t xml:space="preserve">entities </w:t>
      </w:r>
      <w:r w:rsidR="003C3FF9">
        <w:t xml:space="preserve">applying </w:t>
      </w:r>
      <w:r w:rsidR="00E866E2">
        <w:t>AASB 1</w:t>
      </w:r>
      <w:r w:rsidR="00F113C2">
        <w:t xml:space="preserve">059 </w:t>
      </w:r>
      <w:r w:rsidR="003C3FF9">
        <w:t>to</w:t>
      </w:r>
      <w:r w:rsidR="00F113C2">
        <w:t xml:space="preserve"> the annual </w:t>
      </w:r>
      <w:r w:rsidR="00F113C2" w:rsidRPr="00F113C2">
        <w:t>reporting period ending 30</w:t>
      </w:r>
      <w:r w:rsidR="0056758A">
        <w:t xml:space="preserve"> </w:t>
      </w:r>
      <w:r w:rsidR="00F113C2" w:rsidRPr="00F113C2">
        <w:t>June</w:t>
      </w:r>
      <w:r w:rsidR="00405393">
        <w:t xml:space="preserve"> 2021</w:t>
      </w:r>
      <w:r w:rsidR="00B028D0">
        <w:t xml:space="preserve">, </w:t>
      </w:r>
      <w:r w:rsidR="003C3FF9">
        <w:t xml:space="preserve">which is the </w:t>
      </w:r>
      <w:r w:rsidR="00405393">
        <w:t xml:space="preserve">initial </w:t>
      </w:r>
      <w:r w:rsidR="003C3FF9">
        <w:t xml:space="preserve">mandatory application </w:t>
      </w:r>
      <w:r w:rsidR="0056758A">
        <w:t xml:space="preserve">of the Standard </w:t>
      </w:r>
      <w:r w:rsidR="003C3FF9">
        <w:t xml:space="preserve">for </w:t>
      </w:r>
      <w:r w:rsidR="000F5E2F">
        <w:t xml:space="preserve">most </w:t>
      </w:r>
      <w:r w:rsidR="00405393">
        <w:t xml:space="preserve">(if not all) </w:t>
      </w:r>
      <w:r w:rsidR="003C3FF9">
        <w:t xml:space="preserve">Australian </w:t>
      </w:r>
      <w:r w:rsidR="000F5E2F">
        <w:t>public sector grantors.</w:t>
      </w:r>
      <w:r w:rsidR="00B028D0">
        <w:t xml:space="preserve"> </w:t>
      </w:r>
    </w:p>
    <w:p w14:paraId="3452CBDE" w14:textId="5A51B3D6" w:rsidR="00A75D30" w:rsidRPr="00A75D30" w:rsidRDefault="0056758A" w:rsidP="005F7008">
      <w:pPr>
        <w:pStyle w:val="ListParagraph"/>
        <w:numPr>
          <w:ilvl w:val="0"/>
          <w:numId w:val="24"/>
        </w:numPr>
        <w:jc w:val="both"/>
        <w:rPr>
          <w:sz w:val="19"/>
          <w:szCs w:val="20"/>
          <w:lang w:eastAsia="en-US"/>
        </w:rPr>
      </w:pPr>
      <w:r>
        <w:rPr>
          <w:sz w:val="19"/>
          <w:szCs w:val="20"/>
          <w:lang w:eastAsia="en-US"/>
        </w:rPr>
        <w:t>Under Option 4, a</w:t>
      </w:r>
      <w:r w:rsidRPr="00512473">
        <w:rPr>
          <w:sz w:val="19"/>
          <w:szCs w:val="20"/>
          <w:lang w:eastAsia="en-US"/>
        </w:rPr>
        <w:t xml:space="preserve">pplying </w:t>
      </w:r>
      <w:r w:rsidR="00512473" w:rsidRPr="00512473">
        <w:rPr>
          <w:sz w:val="19"/>
          <w:szCs w:val="20"/>
          <w:lang w:eastAsia="en-US"/>
        </w:rPr>
        <w:t xml:space="preserve">the proportion of the GORTO liability relative to the total liability calculated at </w:t>
      </w:r>
      <w:r>
        <w:rPr>
          <w:sz w:val="19"/>
          <w:szCs w:val="20"/>
          <w:lang w:eastAsia="en-US"/>
        </w:rPr>
        <w:t xml:space="preserve">the </w:t>
      </w:r>
      <w:r w:rsidR="00512473" w:rsidRPr="00512473">
        <w:rPr>
          <w:sz w:val="19"/>
          <w:szCs w:val="20"/>
          <w:lang w:eastAsia="en-US"/>
        </w:rPr>
        <w:t xml:space="preserve">inception </w:t>
      </w:r>
      <w:r>
        <w:rPr>
          <w:sz w:val="19"/>
          <w:szCs w:val="20"/>
          <w:lang w:eastAsia="en-US"/>
        </w:rPr>
        <w:t xml:space="preserve">of the service concession arrangement would limit the basic GORTO liability amount at the date of initial application, which is then apportioned again to reflect </w:t>
      </w:r>
      <w:r w:rsidR="00512473" w:rsidRPr="00512473">
        <w:rPr>
          <w:sz w:val="19"/>
          <w:szCs w:val="20"/>
          <w:lang w:eastAsia="en-US"/>
        </w:rPr>
        <w:t xml:space="preserve">the remaining period </w:t>
      </w:r>
      <w:r>
        <w:rPr>
          <w:sz w:val="19"/>
          <w:szCs w:val="20"/>
          <w:lang w:eastAsia="en-US"/>
        </w:rPr>
        <w:t xml:space="preserve">of </w:t>
      </w:r>
      <w:r w:rsidR="00512473" w:rsidRPr="00512473">
        <w:rPr>
          <w:sz w:val="19"/>
          <w:szCs w:val="20"/>
          <w:lang w:eastAsia="en-US"/>
        </w:rPr>
        <w:t>the arrangement.</w:t>
      </w:r>
      <w:r w:rsidR="00840DFD">
        <w:rPr>
          <w:sz w:val="19"/>
          <w:szCs w:val="20"/>
          <w:lang w:eastAsia="en-US"/>
        </w:rPr>
        <w:t xml:space="preserve"> However, </w:t>
      </w:r>
      <w:r w:rsidR="00DD4C50">
        <w:rPr>
          <w:sz w:val="19"/>
          <w:szCs w:val="20"/>
          <w:lang w:eastAsia="en-US"/>
        </w:rPr>
        <w:t>in order</w:t>
      </w:r>
      <w:r w:rsidR="00EB40EB">
        <w:rPr>
          <w:sz w:val="19"/>
          <w:szCs w:val="20"/>
          <w:lang w:eastAsia="en-US"/>
        </w:rPr>
        <w:t xml:space="preserve"> t</w:t>
      </w:r>
      <w:r w:rsidR="00A75D30" w:rsidRPr="00A75D30">
        <w:rPr>
          <w:sz w:val="19"/>
          <w:szCs w:val="20"/>
          <w:lang w:eastAsia="en-US"/>
        </w:rPr>
        <w:t>o calculate the proportion of the GORTO liability relative to the total liability at inception, an entity would need to know the estimated value of the service concession asset that the operator agreed to provide</w:t>
      </w:r>
      <w:r>
        <w:rPr>
          <w:sz w:val="19"/>
          <w:szCs w:val="20"/>
          <w:lang w:eastAsia="en-US"/>
        </w:rPr>
        <w:t>,</w:t>
      </w:r>
      <w:r w:rsidR="00A75D30" w:rsidRPr="00A75D30">
        <w:rPr>
          <w:sz w:val="19"/>
          <w:szCs w:val="20"/>
          <w:lang w:eastAsia="en-US"/>
        </w:rPr>
        <w:t xml:space="preserve"> as well as the contribution</w:t>
      </w:r>
      <w:r>
        <w:rPr>
          <w:sz w:val="19"/>
          <w:szCs w:val="20"/>
          <w:lang w:eastAsia="en-US"/>
        </w:rPr>
        <w:t>s</w:t>
      </w:r>
      <w:r w:rsidR="00A75D30" w:rsidRPr="00A75D30">
        <w:rPr>
          <w:sz w:val="19"/>
          <w:szCs w:val="20"/>
          <w:lang w:eastAsia="en-US"/>
        </w:rPr>
        <w:t xml:space="preserve"> that the grantor agreed to</w:t>
      </w:r>
      <w:r w:rsidR="00D84F93">
        <w:rPr>
          <w:sz w:val="19"/>
          <w:szCs w:val="20"/>
          <w:lang w:eastAsia="en-US"/>
        </w:rPr>
        <w:t xml:space="preserve"> provide</w:t>
      </w:r>
      <w:r w:rsidR="00500656">
        <w:rPr>
          <w:sz w:val="19"/>
          <w:szCs w:val="20"/>
          <w:lang w:eastAsia="en-US"/>
        </w:rPr>
        <w:t xml:space="preserve"> to the operator</w:t>
      </w:r>
      <w:r w:rsidR="00A75D30" w:rsidRPr="00A75D30">
        <w:rPr>
          <w:sz w:val="19"/>
          <w:szCs w:val="20"/>
          <w:lang w:eastAsia="en-US"/>
        </w:rPr>
        <w:t xml:space="preserve">. </w:t>
      </w:r>
      <w:r>
        <w:rPr>
          <w:sz w:val="19"/>
          <w:szCs w:val="20"/>
          <w:lang w:eastAsia="en-US"/>
        </w:rPr>
        <w:t xml:space="preserve">The </w:t>
      </w:r>
      <w:r w:rsidR="0030559F">
        <w:rPr>
          <w:sz w:val="19"/>
          <w:szCs w:val="20"/>
          <w:lang w:eastAsia="en-US"/>
        </w:rPr>
        <w:t xml:space="preserve">Board was concerned that </w:t>
      </w:r>
      <w:r w:rsidR="00A75D30" w:rsidRPr="00A75D30">
        <w:rPr>
          <w:sz w:val="19"/>
          <w:szCs w:val="20"/>
          <w:lang w:eastAsia="en-US"/>
        </w:rPr>
        <w:t>it might be difficult for auditors to obtain sufficient appropriate audit evidence to support the estimation of the fair value of the service concession asset at inception.</w:t>
      </w:r>
      <w:r w:rsidR="004679C1">
        <w:rPr>
          <w:sz w:val="19"/>
          <w:szCs w:val="20"/>
          <w:lang w:eastAsia="en-US"/>
        </w:rPr>
        <w:t xml:space="preserve"> O</w:t>
      </w:r>
      <w:r w:rsidR="00A75D30" w:rsidRPr="00A75D30">
        <w:rPr>
          <w:sz w:val="19"/>
          <w:szCs w:val="20"/>
          <w:lang w:eastAsia="en-US"/>
        </w:rPr>
        <w:t xml:space="preserve">ption </w:t>
      </w:r>
      <w:r w:rsidR="004679C1">
        <w:rPr>
          <w:sz w:val="19"/>
          <w:szCs w:val="20"/>
          <w:lang w:eastAsia="en-US"/>
        </w:rPr>
        <w:t xml:space="preserve">4 also </w:t>
      </w:r>
      <w:r w:rsidR="00A75D30" w:rsidRPr="00A75D30">
        <w:rPr>
          <w:sz w:val="19"/>
          <w:szCs w:val="20"/>
          <w:lang w:eastAsia="en-US"/>
        </w:rPr>
        <w:t xml:space="preserve">does not factor in </w:t>
      </w:r>
      <w:r w:rsidR="00127DB3">
        <w:rPr>
          <w:sz w:val="19"/>
          <w:szCs w:val="20"/>
          <w:lang w:eastAsia="en-US"/>
        </w:rPr>
        <w:t xml:space="preserve">any </w:t>
      </w:r>
      <w:r w:rsidR="00A75D30" w:rsidRPr="00A75D30">
        <w:rPr>
          <w:sz w:val="19"/>
          <w:szCs w:val="20"/>
          <w:lang w:eastAsia="en-US"/>
        </w:rPr>
        <w:t>changes to the service concession asset</w:t>
      </w:r>
      <w:r w:rsidR="00127DB3">
        <w:rPr>
          <w:sz w:val="19"/>
          <w:szCs w:val="20"/>
          <w:lang w:eastAsia="en-US"/>
        </w:rPr>
        <w:t>,</w:t>
      </w:r>
      <w:r w:rsidR="00A75D30" w:rsidRPr="00A75D30">
        <w:rPr>
          <w:sz w:val="19"/>
          <w:szCs w:val="20"/>
          <w:lang w:eastAsia="en-US"/>
        </w:rPr>
        <w:t xml:space="preserve"> </w:t>
      </w:r>
      <w:r w:rsidR="00127DB3">
        <w:rPr>
          <w:sz w:val="19"/>
          <w:szCs w:val="20"/>
          <w:lang w:eastAsia="en-US"/>
        </w:rPr>
        <w:t xml:space="preserve">such as </w:t>
      </w:r>
      <w:r w:rsidR="00A75D30" w:rsidRPr="00A75D30">
        <w:rPr>
          <w:sz w:val="19"/>
          <w:szCs w:val="20"/>
          <w:lang w:eastAsia="en-US"/>
        </w:rPr>
        <w:t>improvements or additions to the asset between inception and the date of initial application of AASB 1059.</w:t>
      </w:r>
    </w:p>
    <w:p w14:paraId="2821FA04" w14:textId="5C62B113" w:rsidR="008665A4" w:rsidRDefault="00B06DBC" w:rsidP="00D365CB">
      <w:pPr>
        <w:pStyle w:val="NoNumPlain1"/>
        <w:numPr>
          <w:ilvl w:val="0"/>
          <w:numId w:val="24"/>
        </w:numPr>
      </w:pPr>
      <w:bookmarkStart w:id="18" w:name="_Ref70080894"/>
      <w:r w:rsidRPr="00B06DBC">
        <w:t>The Board considered the advantages and disadvantages of each option and decided to adopt Option 1</w:t>
      </w:r>
      <w:r w:rsidR="00D24765">
        <w:t>.</w:t>
      </w:r>
      <w:r w:rsidR="00DA3719">
        <w:t xml:space="preserve"> </w:t>
      </w:r>
      <w:r w:rsidR="00D365CB">
        <w:t xml:space="preserve">This is </w:t>
      </w:r>
      <w:r w:rsidR="008665A4">
        <w:t>because:</w:t>
      </w:r>
      <w:bookmarkEnd w:id="18"/>
    </w:p>
    <w:p w14:paraId="43B70529" w14:textId="5CE220F3" w:rsidR="00CC78E5" w:rsidRDefault="00CC78E5" w:rsidP="007C6168">
      <w:pPr>
        <w:pStyle w:val="NoNumPlain1"/>
        <w:numPr>
          <w:ilvl w:val="0"/>
          <w:numId w:val="30"/>
        </w:numPr>
        <w:ind w:left="1564" w:hanging="782"/>
      </w:pPr>
      <w:r w:rsidRPr="00A56BEB">
        <w:t xml:space="preserve">the stakeholder advised that most of the affected hybrid service concession arrangements would still be in </w:t>
      </w:r>
      <w:r w:rsidR="00127DB3">
        <w:t xml:space="preserve">the </w:t>
      </w:r>
      <w:r w:rsidRPr="00A56BEB">
        <w:t xml:space="preserve">construction phase as at </w:t>
      </w:r>
      <w:r w:rsidR="00127DB3">
        <w:t xml:space="preserve">the date of </w:t>
      </w:r>
      <w:r w:rsidRPr="00A56BEB">
        <w:t>initial application</w:t>
      </w:r>
      <w:r w:rsidR="00127DB3">
        <w:t>,</w:t>
      </w:r>
      <w:r w:rsidRPr="00A56BEB">
        <w:t xml:space="preserve"> </w:t>
      </w:r>
      <w:r w:rsidR="00127DB3">
        <w:t xml:space="preserve">so that the </w:t>
      </w:r>
      <w:r w:rsidRPr="00A56BEB">
        <w:t>capitalised grantor contribution</w:t>
      </w:r>
      <w:r w:rsidR="00127DB3">
        <w:t>s</w:t>
      </w:r>
      <w:r w:rsidRPr="00A56BEB">
        <w:t xml:space="preserve"> would not </w:t>
      </w:r>
      <w:r w:rsidR="00127DB3">
        <w:t xml:space="preserve">yet </w:t>
      </w:r>
      <w:r w:rsidRPr="00A56BEB">
        <w:t>have been</w:t>
      </w:r>
      <w:r w:rsidR="00127DB3">
        <w:t xml:space="preserve"> amortised</w:t>
      </w:r>
      <w:r w:rsidRPr="00A56BEB">
        <w:t xml:space="preserve">. Therefore, the concern described in paragraph </w:t>
      </w:r>
      <w:r w:rsidRPr="00A56BEB">
        <w:fldChar w:fldCharType="begin"/>
      </w:r>
      <w:r w:rsidRPr="00A56BEB">
        <w:instrText xml:space="preserve"> REF _Ref70077711 \r \h </w:instrText>
      </w:r>
      <w:r>
        <w:instrText xml:space="preserve"> \* MERGEFORMAT </w:instrText>
      </w:r>
      <w:r w:rsidRPr="00A56BEB">
        <w:fldChar w:fldCharType="separate"/>
      </w:r>
      <w:r w:rsidR="00A16A5E">
        <w:t>BC12</w:t>
      </w:r>
      <w:r w:rsidRPr="00A56BEB">
        <w:fldChar w:fldCharType="end"/>
      </w:r>
      <w:r>
        <w:t xml:space="preserve"> </w:t>
      </w:r>
      <w:r w:rsidRPr="00A56BEB">
        <w:t>would not be a significant issue in practice</w:t>
      </w:r>
      <w:r w:rsidR="000D337F">
        <w:t>;</w:t>
      </w:r>
    </w:p>
    <w:p w14:paraId="5FFC96F1" w14:textId="27EA72F4" w:rsidR="008E2ED4" w:rsidRDefault="00D72CB5" w:rsidP="007C6168">
      <w:pPr>
        <w:pStyle w:val="NoNumPlain1"/>
        <w:numPr>
          <w:ilvl w:val="0"/>
          <w:numId w:val="30"/>
        </w:numPr>
        <w:ind w:left="1564" w:hanging="782"/>
      </w:pPr>
      <w:r>
        <w:t>deducting the carrying amount of the capital</w:t>
      </w:r>
      <w:r w:rsidR="001D405C">
        <w:t xml:space="preserve">ised </w:t>
      </w:r>
      <w:r w:rsidR="0048387B">
        <w:t>grantor contribution</w:t>
      </w:r>
      <w:r w:rsidR="00127DB3">
        <w:t>s</w:t>
      </w:r>
      <w:r>
        <w:t xml:space="preserve"> from the current replacement cost of the service concession asset conceptually </w:t>
      </w:r>
      <w:r w:rsidR="00127DB3">
        <w:t xml:space="preserve">is </w:t>
      </w:r>
      <w:r>
        <w:t>similar to the way other existing assets of the grantor are treated when calculating the grantor’s liability under the general requirements in AASB</w:t>
      </w:r>
      <w:r w:rsidR="00405393">
        <w:t> </w:t>
      </w:r>
      <w:r>
        <w:t>1059 paragraph</w:t>
      </w:r>
      <w:r w:rsidR="00127DB3">
        <w:t xml:space="preserve"> </w:t>
      </w:r>
      <w:r>
        <w:t>11 – when existing assets of the grantor are reclassified as service concession assets, the grantor does not recognise a liability in relation to the reclassified assets</w:t>
      </w:r>
      <w:r w:rsidR="008E2ED4">
        <w:t>;</w:t>
      </w:r>
      <w:r w:rsidR="007C6E2E">
        <w:t xml:space="preserve"> </w:t>
      </w:r>
      <w:r w:rsidR="0014659C">
        <w:t>and</w:t>
      </w:r>
    </w:p>
    <w:p w14:paraId="6BC78471" w14:textId="1297C1B1" w:rsidR="00D365CB" w:rsidRDefault="008665A4" w:rsidP="007C6168">
      <w:pPr>
        <w:pStyle w:val="NoNumPlain1"/>
        <w:numPr>
          <w:ilvl w:val="0"/>
          <w:numId w:val="30"/>
        </w:numPr>
        <w:ind w:left="1564" w:hanging="782"/>
      </w:pPr>
      <w:r>
        <w:t>it</w:t>
      </w:r>
      <w:r w:rsidR="003F0B2E">
        <w:t xml:space="preserve"> </w:t>
      </w:r>
      <w:r w:rsidR="00D365CB">
        <w:t>is</w:t>
      </w:r>
      <w:r w:rsidR="003F0B2E">
        <w:t xml:space="preserve"> the most </w:t>
      </w:r>
      <w:r w:rsidR="00D365CB">
        <w:t xml:space="preserve">straightforward option to apply out of the four options </w:t>
      </w:r>
      <w:r w:rsidR="00664A19">
        <w:t>considered</w:t>
      </w:r>
      <w:r w:rsidR="00B746A9">
        <w:t xml:space="preserve">. </w:t>
      </w:r>
      <w:r w:rsidR="00D365CB">
        <w:t>Since the carrying amount of the capitalised contribution</w:t>
      </w:r>
      <w:r w:rsidR="00F67D1E">
        <w:t>s</w:t>
      </w:r>
      <w:r w:rsidR="00D365CB">
        <w:t xml:space="preserve"> </w:t>
      </w:r>
      <w:r w:rsidR="00F67D1E">
        <w:t xml:space="preserve">typically </w:t>
      </w:r>
      <w:r w:rsidR="00D365CB">
        <w:t xml:space="preserve">would have been subject to audit in prior periods, it is expected that affected grantors would be able to provide sufficient evidence </w:t>
      </w:r>
      <w:r w:rsidR="00F67D1E">
        <w:t xml:space="preserve">(based on their accounting policy) </w:t>
      </w:r>
      <w:r w:rsidR="00D365CB">
        <w:t>to support the carrying amount of the capitalised contribution</w:t>
      </w:r>
      <w:r w:rsidR="00F67D1E">
        <w:t>s</w:t>
      </w:r>
      <w:r w:rsidR="00D365CB">
        <w:t xml:space="preserve"> as at the date of initial application</w:t>
      </w:r>
      <w:r w:rsidR="0014659C">
        <w:t>.</w:t>
      </w:r>
    </w:p>
    <w:p w14:paraId="063BA001" w14:textId="3B7DA84C" w:rsidR="008537C3" w:rsidRDefault="0014659C" w:rsidP="00B03457">
      <w:pPr>
        <w:pStyle w:val="NoNumPlain1"/>
        <w:numPr>
          <w:ilvl w:val="0"/>
          <w:numId w:val="24"/>
        </w:numPr>
      </w:pPr>
      <w:r>
        <w:t xml:space="preserve">The Board acknowledged that, on conceptual grounds, </w:t>
      </w:r>
      <w:r w:rsidR="00DC421E" w:rsidRPr="00A56BEB">
        <w:t xml:space="preserve">Option 1 might not be the most appropriate option to apply due to the concern described in paragraph </w:t>
      </w:r>
      <w:r w:rsidR="00DC421E" w:rsidRPr="00A56BEB">
        <w:fldChar w:fldCharType="begin"/>
      </w:r>
      <w:r w:rsidR="00DC421E" w:rsidRPr="00A56BEB">
        <w:instrText xml:space="preserve"> REF _Ref70077711 \r \h </w:instrText>
      </w:r>
      <w:r w:rsidR="00DC421E">
        <w:instrText xml:space="preserve"> \* MERGEFORMAT </w:instrText>
      </w:r>
      <w:r w:rsidR="00DC421E" w:rsidRPr="00A56BEB">
        <w:fldChar w:fldCharType="separate"/>
      </w:r>
      <w:r w:rsidR="00A16A5E">
        <w:t>BC12</w:t>
      </w:r>
      <w:r w:rsidR="00DC421E" w:rsidRPr="00A56BEB">
        <w:fldChar w:fldCharType="end"/>
      </w:r>
      <w:r>
        <w:t xml:space="preserve">. However, </w:t>
      </w:r>
      <w:r w:rsidR="00026EF3">
        <w:t>it noted that</w:t>
      </w:r>
      <w:r w:rsidR="000D337F">
        <w:t xml:space="preserve"> this is not an ongoing issue, </w:t>
      </w:r>
      <w:r w:rsidR="00F67D1E">
        <w:t xml:space="preserve">as </w:t>
      </w:r>
      <w:r w:rsidR="000D337F">
        <w:t>paragraph C4(c) i</w:t>
      </w:r>
      <w:r w:rsidR="00911C5A">
        <w:t>s</w:t>
      </w:r>
      <w:r w:rsidR="000D337F">
        <w:t xml:space="preserve"> not expected to be applied in any period </w:t>
      </w:r>
      <w:r w:rsidR="00405393">
        <w:t xml:space="preserve">later </w:t>
      </w:r>
      <w:r w:rsidR="00F77F9C">
        <w:t>than</w:t>
      </w:r>
      <w:r w:rsidR="000D337F">
        <w:t xml:space="preserve"> </w:t>
      </w:r>
      <w:r w:rsidR="00F67D1E">
        <w:t xml:space="preserve">the </w:t>
      </w:r>
      <w:r w:rsidR="000D337F" w:rsidRPr="009E518F">
        <w:t xml:space="preserve">annual reporting period </w:t>
      </w:r>
      <w:r w:rsidR="000D337F">
        <w:t>ending 30 June</w:t>
      </w:r>
      <w:r w:rsidR="00405393">
        <w:t xml:space="preserve"> 2021</w:t>
      </w:r>
      <w:r w:rsidR="000D337F">
        <w:t xml:space="preserve">, </w:t>
      </w:r>
      <w:r w:rsidR="009231A4">
        <w:t xml:space="preserve">and </w:t>
      </w:r>
      <w:r w:rsidR="00E45E35">
        <w:t xml:space="preserve">the stakeholder </w:t>
      </w:r>
      <w:r w:rsidR="00FD6046">
        <w:t xml:space="preserve">advised that the </w:t>
      </w:r>
      <w:r w:rsidR="00FD6046" w:rsidRPr="00A56BEB">
        <w:t xml:space="preserve">concern described in paragraph </w:t>
      </w:r>
      <w:r w:rsidR="00FD6046" w:rsidRPr="00A56BEB">
        <w:fldChar w:fldCharType="begin"/>
      </w:r>
      <w:r w:rsidR="00FD6046" w:rsidRPr="00A56BEB">
        <w:instrText xml:space="preserve"> REF _Ref70077711 \r \h </w:instrText>
      </w:r>
      <w:r w:rsidR="00FD6046">
        <w:instrText xml:space="preserve"> \* MERGEFORMAT </w:instrText>
      </w:r>
      <w:r w:rsidR="00FD6046" w:rsidRPr="00A56BEB">
        <w:fldChar w:fldCharType="separate"/>
      </w:r>
      <w:r w:rsidR="00A16A5E">
        <w:t>BC12</w:t>
      </w:r>
      <w:r w:rsidR="00FD6046" w:rsidRPr="00A56BEB">
        <w:fldChar w:fldCharType="end"/>
      </w:r>
      <w:r w:rsidR="007D675D" w:rsidRPr="007D675D">
        <w:t xml:space="preserve"> </w:t>
      </w:r>
      <w:r w:rsidR="00F67D1E">
        <w:t xml:space="preserve">does </w:t>
      </w:r>
      <w:r w:rsidR="007D675D" w:rsidRPr="00A56BEB">
        <w:t xml:space="preserve">not </w:t>
      </w:r>
      <w:r w:rsidR="00F67D1E">
        <w:t xml:space="preserve">appear to </w:t>
      </w:r>
      <w:r w:rsidR="007D675D" w:rsidRPr="00A56BEB">
        <w:t xml:space="preserve">be a significant issue in </w:t>
      </w:r>
      <w:r w:rsidR="007D675D">
        <w:t>practice</w:t>
      </w:r>
      <w:r w:rsidR="00026EF3">
        <w:t xml:space="preserve">. Since there was a </w:t>
      </w:r>
      <w:r w:rsidR="0097256D">
        <w:t>need</w:t>
      </w:r>
      <w:r w:rsidR="00026EF3">
        <w:t xml:space="preserve"> to amend the current GORTO liability calculation </w:t>
      </w:r>
      <w:r w:rsidR="001747F5">
        <w:t xml:space="preserve">in paragraph C4(c) </w:t>
      </w:r>
      <w:r w:rsidR="00026EF3">
        <w:t>promptly</w:t>
      </w:r>
      <w:r w:rsidR="007C099B">
        <w:t xml:space="preserve"> </w:t>
      </w:r>
      <w:r w:rsidR="00C746FF">
        <w:t>prior to</w:t>
      </w:r>
      <w:r w:rsidR="007C099B">
        <w:t xml:space="preserve"> </w:t>
      </w:r>
      <w:r w:rsidR="0097256D">
        <w:t xml:space="preserve">the </w:t>
      </w:r>
      <w:r w:rsidR="00055E17">
        <w:t>prepara</w:t>
      </w:r>
      <w:r w:rsidR="00F67D1E">
        <w:t xml:space="preserve">tion </w:t>
      </w:r>
      <w:r w:rsidR="0097256D">
        <w:t xml:space="preserve">of </w:t>
      </w:r>
      <w:r w:rsidR="007D675D" w:rsidRPr="005F7008">
        <w:t>grantors</w:t>
      </w:r>
      <w:r w:rsidR="00812EE1" w:rsidRPr="005F7008">
        <w:t>’</w:t>
      </w:r>
      <w:r w:rsidR="007D675D" w:rsidRPr="005F7008">
        <w:t xml:space="preserve"> </w:t>
      </w:r>
      <w:r w:rsidR="007C099B" w:rsidRPr="005F7008">
        <w:t>30</w:t>
      </w:r>
      <w:r w:rsidR="00405393">
        <w:t xml:space="preserve"> </w:t>
      </w:r>
      <w:r w:rsidR="007C099B" w:rsidRPr="005F7008">
        <w:t>June</w:t>
      </w:r>
      <w:r w:rsidR="00405393">
        <w:t xml:space="preserve"> </w:t>
      </w:r>
      <w:r w:rsidR="007C099B" w:rsidRPr="005F7008">
        <w:t>202</w:t>
      </w:r>
      <w:r w:rsidR="00F11886">
        <w:t>1</w:t>
      </w:r>
      <w:r w:rsidR="00FD6046" w:rsidRPr="005F7008">
        <w:t xml:space="preserve"> </w:t>
      </w:r>
      <w:r w:rsidR="007D675D" w:rsidRPr="005F7008">
        <w:t>financial</w:t>
      </w:r>
      <w:r w:rsidR="007D675D">
        <w:t xml:space="preserve"> statements</w:t>
      </w:r>
      <w:r w:rsidR="00FD6046">
        <w:t xml:space="preserve">, </w:t>
      </w:r>
      <w:r w:rsidR="000D337F">
        <w:t xml:space="preserve">for practical </w:t>
      </w:r>
      <w:r w:rsidR="00055E17">
        <w:t xml:space="preserve">reasons </w:t>
      </w:r>
      <w:r w:rsidR="000D337F">
        <w:t xml:space="preserve">the Board decided to </w:t>
      </w:r>
      <w:r w:rsidR="004B7E6C">
        <w:t xml:space="preserve">amend paragraph C4(c) based on </w:t>
      </w:r>
      <w:r w:rsidR="000D337F">
        <w:t>Option</w:t>
      </w:r>
      <w:r w:rsidR="00DC421E">
        <w:t> </w:t>
      </w:r>
      <w:r w:rsidR="000D337F">
        <w:t>1</w:t>
      </w:r>
      <w:r w:rsidR="00DC421E">
        <w:t>.</w:t>
      </w:r>
    </w:p>
    <w:sectPr w:rsidR="008537C3" w:rsidSect="00D74C6A">
      <w:footerReference w:type="default" r:id="rId16"/>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70C0" w14:textId="77777777" w:rsidR="00DB3EDE" w:rsidRDefault="00DB3EDE">
      <w:r>
        <w:separator/>
      </w:r>
    </w:p>
  </w:endnote>
  <w:endnote w:type="continuationSeparator" w:id="0">
    <w:p w14:paraId="69E2B7D6" w14:textId="77777777" w:rsidR="00DB3EDE" w:rsidRDefault="00DB3EDE">
      <w:r>
        <w:continuationSeparator/>
      </w:r>
    </w:p>
  </w:endnote>
  <w:endnote w:type="continuationNotice" w:id="1">
    <w:p w14:paraId="37611B07" w14:textId="77777777" w:rsidR="00DB3EDE" w:rsidRDefault="00DB3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D074" w14:textId="134BFCE6" w:rsidR="007E215A" w:rsidRDefault="007E215A">
    <w:pPr>
      <w:pStyle w:val="Footer"/>
      <w:rPr>
        <w:b/>
      </w:rPr>
    </w:pPr>
    <w:r>
      <w:rPr>
        <w:b/>
      </w:rPr>
      <w:t xml:space="preserve">AASB </w:t>
    </w:r>
    <w:r>
      <w:rPr>
        <w:b/>
      </w:rPr>
      <w:fldChar w:fldCharType="begin"/>
    </w:r>
    <w:r>
      <w:rPr>
        <w:b/>
      </w:rPr>
      <w:instrText xml:space="preserve"> REF DocNo  \* charformat </w:instrText>
    </w:r>
    <w:r>
      <w:rPr>
        <w:b/>
      </w:rPr>
      <w:fldChar w:fldCharType="separate"/>
    </w:r>
    <w:r w:rsidR="00A16A5E" w:rsidRPr="00A16A5E">
      <w:rPr>
        <w:b/>
      </w:rPr>
      <w:t>2021-4</w:t>
    </w:r>
    <w:r>
      <w:rPr>
        <w:b/>
      </w:rPr>
      <w:fldChar w:fldCharType="end"/>
    </w:r>
    <w:r>
      <w:rPr>
        <w:b/>
      </w:rPr>
      <w:tab/>
    </w:r>
    <w:r>
      <w:fldChar w:fldCharType="begin"/>
    </w:r>
    <w:r>
      <w:instrText>PAGE</w:instrText>
    </w:r>
    <w:r>
      <w:fldChar w:fldCharType="separate"/>
    </w:r>
    <w:r>
      <w:rPr>
        <w:noProof/>
      </w:rPr>
      <w:t>2</w:t>
    </w:r>
    <w:r>
      <w:fldChar w:fldCharType="end"/>
    </w:r>
    <w:r>
      <w:tab/>
    </w:r>
    <w:r>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C217" w14:textId="74A5483F" w:rsidR="007E215A" w:rsidRDefault="007E215A">
    <w:pPr>
      <w:pStyle w:val="Footer"/>
      <w:rPr>
        <w:b/>
      </w:rPr>
    </w:pPr>
    <w:r>
      <w:rPr>
        <w:b/>
      </w:rPr>
      <w:t xml:space="preserve">AASB </w:t>
    </w:r>
    <w:r w:rsidR="005A03D4">
      <w:rPr>
        <w:b/>
      </w:rPr>
      <w:fldChar w:fldCharType="begin"/>
    </w:r>
    <w:r w:rsidR="005A03D4">
      <w:rPr>
        <w:b/>
      </w:rPr>
      <w:instrText xml:space="preserve"> REF DocNo  \* charformat </w:instrText>
    </w:r>
    <w:r w:rsidR="005A03D4">
      <w:rPr>
        <w:b/>
      </w:rPr>
      <w:fldChar w:fldCharType="separate"/>
    </w:r>
    <w:r w:rsidR="00A16A5E" w:rsidRPr="00A16A5E">
      <w:rPr>
        <w:b/>
      </w:rPr>
      <w:t>2021-4</w:t>
    </w:r>
    <w:r w:rsidR="005A03D4">
      <w:rPr>
        <w:b/>
      </w:rPr>
      <w:fldChar w:fldCharType="end"/>
    </w:r>
    <w:r>
      <w:rPr>
        <w:b/>
      </w:rPr>
      <w:tab/>
    </w:r>
    <w:r>
      <w:fldChar w:fldCharType="begin"/>
    </w:r>
    <w:r>
      <w:instrText>PAGE</w:instrText>
    </w:r>
    <w:r>
      <w:fldChar w:fldCharType="separate"/>
    </w:r>
    <w:r>
      <w:rPr>
        <w:noProof/>
      </w:rPr>
      <w:t>3</w:t>
    </w:r>
    <w:r>
      <w:fldChar w:fldCharType="end"/>
    </w:r>
    <w:r>
      <w:tab/>
    </w:r>
    <w:r>
      <w:rPr>
        <w:b/>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D1F4" w14:textId="3EB3AE99" w:rsidR="007E215A" w:rsidRDefault="007E215A">
    <w:pPr>
      <w:pStyle w:val="Footer"/>
      <w:rPr>
        <w:b/>
      </w:rPr>
    </w:pPr>
    <w:r>
      <w:rPr>
        <w:b/>
      </w:rPr>
      <w:t xml:space="preserve">AASB </w:t>
    </w:r>
    <w:r>
      <w:rPr>
        <w:b/>
      </w:rPr>
      <w:fldChar w:fldCharType="begin"/>
    </w:r>
    <w:r>
      <w:rPr>
        <w:b/>
      </w:rPr>
      <w:instrText xml:space="preserve"> REF DocNo  \* charformat </w:instrText>
    </w:r>
    <w:r>
      <w:rPr>
        <w:b/>
      </w:rPr>
      <w:fldChar w:fldCharType="separate"/>
    </w:r>
    <w:r w:rsidR="00A16A5E" w:rsidRPr="00A16A5E">
      <w:rPr>
        <w:b/>
      </w:rPr>
      <w:t>2021-4</w:t>
    </w:r>
    <w:r>
      <w:rPr>
        <w:b/>
      </w:rPr>
      <w:fldChar w:fldCharType="end"/>
    </w:r>
    <w:r>
      <w:rPr>
        <w:b/>
      </w:rPr>
      <w:tab/>
    </w:r>
    <w:r>
      <w:fldChar w:fldCharType="begin"/>
    </w:r>
    <w:r>
      <w:instrText>PAGE</w:instrText>
    </w:r>
    <w:r>
      <w:fldChar w:fldCharType="separate"/>
    </w:r>
    <w:r>
      <w:rPr>
        <w:noProof/>
      </w:rPr>
      <w:t>4</w:t>
    </w:r>
    <w:r>
      <w:fldChar w:fldCharType="end"/>
    </w:r>
    <w:r>
      <w:tab/>
    </w:r>
    <w:r>
      <w:rPr>
        <w:b/>
        <w:bCs/>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C8BB" w14:textId="644D5D70" w:rsidR="007E215A" w:rsidRDefault="007E215A">
    <w:pPr>
      <w:pStyle w:val="Footer"/>
      <w:rPr>
        <w:b/>
      </w:rPr>
    </w:pPr>
    <w:r>
      <w:rPr>
        <w:b/>
      </w:rPr>
      <w:t xml:space="preserve">AASB </w:t>
    </w:r>
    <w:r>
      <w:rPr>
        <w:b/>
      </w:rPr>
      <w:fldChar w:fldCharType="begin"/>
    </w:r>
    <w:r>
      <w:rPr>
        <w:b/>
      </w:rPr>
      <w:instrText xml:space="preserve"> REF DocNo  \* charformat </w:instrText>
    </w:r>
    <w:r>
      <w:rPr>
        <w:b/>
      </w:rPr>
      <w:fldChar w:fldCharType="separate"/>
    </w:r>
    <w:r w:rsidR="00A16A5E" w:rsidRPr="00A16A5E">
      <w:rPr>
        <w:b/>
      </w:rPr>
      <w:t>2021-4</w:t>
    </w:r>
    <w:r>
      <w:rPr>
        <w:b/>
      </w:rPr>
      <w:fldChar w:fldCharType="end"/>
    </w:r>
    <w:r>
      <w:rPr>
        <w:b/>
      </w:rPr>
      <w:tab/>
    </w:r>
    <w:r>
      <w:fldChar w:fldCharType="begin"/>
    </w:r>
    <w:r>
      <w:instrText>PAGE</w:instrText>
    </w:r>
    <w:r>
      <w:fldChar w:fldCharType="separate"/>
    </w:r>
    <w:r>
      <w:rPr>
        <w:noProof/>
      </w:rPr>
      <w:t>7</w:t>
    </w:r>
    <w:r>
      <w:fldChar w:fldCharType="end"/>
    </w:r>
    <w:r>
      <w:tab/>
    </w:r>
    <w:r w:rsidRPr="00870A13">
      <w:rPr>
        <w:b/>
        <w:bCs/>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2647" w14:textId="2B5A8FBF" w:rsidR="007E215A" w:rsidRDefault="007E215A">
    <w:pPr>
      <w:pStyle w:val="Footer"/>
      <w:rPr>
        <w:b/>
      </w:rPr>
    </w:pPr>
    <w:r>
      <w:rPr>
        <w:b/>
      </w:rPr>
      <w:t xml:space="preserve">AASB </w:t>
    </w:r>
    <w:r>
      <w:rPr>
        <w:b/>
      </w:rPr>
      <w:fldChar w:fldCharType="begin"/>
    </w:r>
    <w:r>
      <w:rPr>
        <w:b/>
      </w:rPr>
      <w:instrText xml:space="preserve"> REF DocNo  \* charformat </w:instrText>
    </w:r>
    <w:r>
      <w:rPr>
        <w:b/>
      </w:rPr>
      <w:fldChar w:fldCharType="separate"/>
    </w:r>
    <w:r w:rsidR="00A16A5E" w:rsidRPr="00A16A5E">
      <w:rPr>
        <w:b/>
      </w:rPr>
      <w:t>2021-4</w:t>
    </w:r>
    <w:r>
      <w:rPr>
        <w:b/>
      </w:rPr>
      <w:fldChar w:fldCharType="end"/>
    </w:r>
    <w:r>
      <w:rPr>
        <w:b/>
      </w:rPr>
      <w:tab/>
    </w:r>
    <w:r>
      <w:fldChar w:fldCharType="begin"/>
    </w:r>
    <w:r>
      <w:instrText>PAGE</w:instrText>
    </w:r>
    <w:r>
      <w:fldChar w:fldCharType="separate"/>
    </w:r>
    <w:r>
      <w:rPr>
        <w:noProof/>
      </w:rPr>
      <w:t>9</w:t>
    </w:r>
    <w:r>
      <w:fldChar w:fldCharType="end"/>
    </w:r>
    <w:r>
      <w:tab/>
    </w:r>
    <w:r>
      <w:rPr>
        <w:b/>
        <w:bCs/>
      </w:rPr>
      <w:t>BASIS FOR CONCLUSIONS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3D64" w14:textId="77777777" w:rsidR="00DB3EDE" w:rsidRDefault="00DB3EDE">
      <w:r>
        <w:separator/>
      </w:r>
    </w:p>
  </w:footnote>
  <w:footnote w:type="continuationSeparator" w:id="0">
    <w:p w14:paraId="2EF685CB" w14:textId="77777777" w:rsidR="00DB3EDE" w:rsidRDefault="00DB3EDE">
      <w:r>
        <w:continuationSeparator/>
      </w:r>
    </w:p>
  </w:footnote>
  <w:footnote w:type="continuationNotice" w:id="1">
    <w:p w14:paraId="7F4EFBE1" w14:textId="77777777" w:rsidR="00DB3EDE" w:rsidRDefault="00DB3E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047B0405"/>
    <w:multiLevelType w:val="hybridMultilevel"/>
    <w:tmpl w:val="4D9A88CE"/>
    <w:lvl w:ilvl="0" w:tplc="EB8277D2">
      <w:start w:val="1"/>
      <w:numFmt w:val="decimal"/>
      <w:pStyle w:val="IGpara1"/>
      <w:lvlText w:val="IG%1"/>
      <w:lvlJc w:val="left"/>
      <w:pPr>
        <w:ind w:left="720" w:hanging="360"/>
      </w:pPr>
      <w:rPr>
        <w:rFonts w:hint="default"/>
      </w:rPr>
    </w:lvl>
    <w:lvl w:ilvl="1" w:tplc="D896881A">
      <w:start w:val="1"/>
      <w:numFmt w:val="lowerLetter"/>
      <w:lvlText w:val="(%2)"/>
      <w:lvlJc w:val="left"/>
      <w:pPr>
        <w:ind w:left="1440" w:hanging="360"/>
      </w:pPr>
      <w:rPr>
        <w:rFonts w:ascii="Times New Roman" w:hAnsi="Times New Roman" w:hint="default"/>
        <w:b w:val="0"/>
        <w:i w:val="0"/>
        <w:sz w:val="19"/>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6871AB"/>
    <w:multiLevelType w:val="hybridMultilevel"/>
    <w:tmpl w:val="3DE49FEC"/>
    <w:lvl w:ilvl="0" w:tplc="E4A2CEE2">
      <w:start w:val="1"/>
      <w:numFmt w:val="lowerLetter"/>
      <w:lvlText w:val="(%1)"/>
      <w:lvlJc w:val="left"/>
      <w:pPr>
        <w:ind w:left="366" w:hanging="72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4" w15:restartNumberingAfterBreak="0">
    <w:nsid w:val="0E9A5CE4"/>
    <w:multiLevelType w:val="multilevel"/>
    <w:tmpl w:val="C3841212"/>
    <w:lvl w:ilvl="0">
      <w:start w:val="1"/>
      <w:numFmt w:val="decimal"/>
      <w:lvlText w:val="%1"/>
      <w:lvlJc w:val="left"/>
      <w:pPr>
        <w:tabs>
          <w:tab w:val="num" w:pos="510"/>
        </w:tabs>
        <w:ind w:left="510" w:hanging="510"/>
      </w:pPr>
      <w:rPr>
        <w:rFonts w:hint="default"/>
        <w:u w:val="none"/>
      </w:rPr>
    </w:lvl>
    <w:lvl w:ilvl="1">
      <w:start w:val="1"/>
      <w:numFmt w:val="lowerLetter"/>
      <w:lvlText w:val="(%2)"/>
      <w:lvlJc w:val="left"/>
      <w:pPr>
        <w:tabs>
          <w:tab w:val="num" w:pos="1021"/>
        </w:tabs>
        <w:ind w:left="1021" w:hanging="511"/>
      </w:pPr>
      <w:rPr>
        <w:rFonts w:hint="default"/>
        <w:b/>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5"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6" w15:restartNumberingAfterBreak="0">
    <w:nsid w:val="15494054"/>
    <w:multiLevelType w:val="multilevel"/>
    <w:tmpl w:val="3170FD08"/>
    <w:lvl w:ilvl="0">
      <w:start w:val="1"/>
      <w:numFmt w:val="bullet"/>
      <w:lvlText w:val=""/>
      <w:lvlJc w:val="left"/>
      <w:pPr>
        <w:tabs>
          <w:tab w:val="num" w:pos="782"/>
        </w:tabs>
        <w:ind w:left="782" w:hanging="782"/>
      </w:pPr>
      <w:rPr>
        <w:rFonts w:ascii="Symbol" w:hAnsi="Symbol" w:hint="default"/>
      </w:rPr>
    </w:lvl>
    <w:lvl w:ilvl="1">
      <w:start w:val="1"/>
      <w:numFmt w:val="lowerLetter"/>
      <w:lvlText w:val="(%2)"/>
      <w:lvlJc w:val="left"/>
      <w:pPr>
        <w:ind w:left="782" w:firstLine="0"/>
      </w:pPr>
      <w:rPr>
        <w:rFonts w:hint="default"/>
      </w:rPr>
    </w:lvl>
    <w:lvl w:ilvl="2">
      <w:start w:val="1"/>
      <w:numFmt w:val="lowerRoman"/>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1F272B"/>
    <w:multiLevelType w:val="hybridMultilevel"/>
    <w:tmpl w:val="C8FE36B2"/>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8" w15:restartNumberingAfterBreak="0">
    <w:nsid w:val="1BEC74DA"/>
    <w:multiLevelType w:val="hybridMultilevel"/>
    <w:tmpl w:val="3DE49FEC"/>
    <w:lvl w:ilvl="0" w:tplc="E4A2CEE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901F06"/>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10"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1" w15:restartNumberingAfterBreak="0">
    <w:nsid w:val="2576465B"/>
    <w:multiLevelType w:val="multilevel"/>
    <w:tmpl w:val="D9F888A8"/>
    <w:lvl w:ilvl="0">
      <w:start w:val="1"/>
      <w:numFmt w:val="lowerLetter"/>
      <w:pStyle w:val="NumPlainA"/>
      <w:lvlText w:val="(%1)"/>
      <w:lvlJc w:val="left"/>
      <w:pPr>
        <w:tabs>
          <w:tab w:val="num" w:pos="1666"/>
        </w:tabs>
        <w:ind w:left="1666" w:hanging="510"/>
      </w:pPr>
      <w:rPr>
        <w:rFonts w:hint="default"/>
      </w:rPr>
    </w:lvl>
    <w:lvl w:ilvl="1">
      <w:start w:val="1"/>
      <w:numFmt w:val="lowerRoman"/>
      <w:pStyle w:val="NumPlainA2"/>
      <w:lvlText w:val="(%2)"/>
      <w:lvlJc w:val="left"/>
      <w:pPr>
        <w:tabs>
          <w:tab w:val="num" w:pos="2177"/>
        </w:tabs>
        <w:ind w:left="2177" w:hanging="511"/>
      </w:pPr>
      <w:rPr>
        <w:rFonts w:hint="default"/>
      </w:rPr>
    </w:lvl>
    <w:lvl w:ilvl="2">
      <w:start w:val="1"/>
      <w:numFmt w:val="lowerRoman"/>
      <w:lvlText w:val="%3."/>
      <w:lvlJc w:val="right"/>
      <w:pPr>
        <w:tabs>
          <w:tab w:val="num" w:pos="3316"/>
        </w:tabs>
        <w:ind w:left="3316" w:hanging="180"/>
      </w:pPr>
      <w:rPr>
        <w:rFonts w:hint="default"/>
      </w:rPr>
    </w:lvl>
    <w:lvl w:ilvl="3">
      <w:start w:val="1"/>
      <w:numFmt w:val="decimal"/>
      <w:lvlText w:val="%4."/>
      <w:lvlJc w:val="left"/>
      <w:pPr>
        <w:tabs>
          <w:tab w:val="num" w:pos="4036"/>
        </w:tabs>
        <w:ind w:left="4036" w:hanging="360"/>
      </w:pPr>
      <w:rPr>
        <w:rFonts w:hint="default"/>
      </w:rPr>
    </w:lvl>
    <w:lvl w:ilvl="4">
      <w:start w:val="1"/>
      <w:numFmt w:val="lowerLetter"/>
      <w:lvlText w:val="%5."/>
      <w:lvlJc w:val="left"/>
      <w:pPr>
        <w:tabs>
          <w:tab w:val="num" w:pos="4756"/>
        </w:tabs>
        <w:ind w:left="4756" w:hanging="360"/>
      </w:pPr>
      <w:rPr>
        <w:rFonts w:hint="default"/>
      </w:rPr>
    </w:lvl>
    <w:lvl w:ilvl="5">
      <w:start w:val="1"/>
      <w:numFmt w:val="lowerRoman"/>
      <w:lvlText w:val="%6."/>
      <w:lvlJc w:val="right"/>
      <w:pPr>
        <w:tabs>
          <w:tab w:val="num" w:pos="5476"/>
        </w:tabs>
        <w:ind w:left="5476" w:hanging="180"/>
      </w:pPr>
      <w:rPr>
        <w:rFonts w:hint="default"/>
      </w:rPr>
    </w:lvl>
    <w:lvl w:ilvl="6">
      <w:start w:val="1"/>
      <w:numFmt w:val="decimal"/>
      <w:lvlText w:val="%7."/>
      <w:lvlJc w:val="left"/>
      <w:pPr>
        <w:tabs>
          <w:tab w:val="num" w:pos="6196"/>
        </w:tabs>
        <w:ind w:left="6196" w:hanging="360"/>
      </w:pPr>
      <w:rPr>
        <w:rFonts w:hint="default"/>
      </w:rPr>
    </w:lvl>
    <w:lvl w:ilvl="7">
      <w:start w:val="1"/>
      <w:numFmt w:val="lowerLetter"/>
      <w:lvlText w:val="%8."/>
      <w:lvlJc w:val="left"/>
      <w:pPr>
        <w:tabs>
          <w:tab w:val="num" w:pos="6916"/>
        </w:tabs>
        <w:ind w:left="6916" w:hanging="360"/>
      </w:pPr>
      <w:rPr>
        <w:rFonts w:hint="default"/>
      </w:rPr>
    </w:lvl>
    <w:lvl w:ilvl="8">
      <w:start w:val="1"/>
      <w:numFmt w:val="lowerRoman"/>
      <w:lvlText w:val="%9."/>
      <w:lvlJc w:val="right"/>
      <w:pPr>
        <w:tabs>
          <w:tab w:val="num" w:pos="7636"/>
        </w:tabs>
        <w:ind w:left="7636" w:hanging="180"/>
      </w:pPr>
      <w:rPr>
        <w:rFonts w:hint="default"/>
      </w:rPr>
    </w:lvl>
  </w:abstractNum>
  <w:abstractNum w:abstractNumId="12" w15:restartNumberingAfterBreak="0">
    <w:nsid w:val="25B25A19"/>
    <w:multiLevelType w:val="hybridMultilevel"/>
    <w:tmpl w:val="D16238EE"/>
    <w:lvl w:ilvl="0" w:tplc="3A2ABD76">
      <w:start w:val="1"/>
      <w:numFmt w:val="lowerLetter"/>
      <w:lvlText w:val="(%1)"/>
      <w:lvlJc w:val="left"/>
      <w:pPr>
        <w:ind w:left="1380" w:hanging="360"/>
      </w:pPr>
      <w:rPr>
        <w:rFonts w:hint="default"/>
      </w:r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13"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14" w15:restartNumberingAfterBreak="0">
    <w:nsid w:val="3A800B32"/>
    <w:multiLevelType w:val="hybridMultilevel"/>
    <w:tmpl w:val="50F8ACDE"/>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5" w15:restartNumberingAfterBreak="0">
    <w:nsid w:val="41FF24D0"/>
    <w:multiLevelType w:val="hybridMultilevel"/>
    <w:tmpl w:val="DA8CB9D0"/>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6" w15:restartNumberingAfterBreak="0">
    <w:nsid w:val="4CA52957"/>
    <w:multiLevelType w:val="hybridMultilevel"/>
    <w:tmpl w:val="4ADC36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0DF307B"/>
    <w:multiLevelType w:val="hybridMultilevel"/>
    <w:tmpl w:val="1AAA4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F60789"/>
    <w:multiLevelType w:val="hybridMultilevel"/>
    <w:tmpl w:val="7BB06F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542243"/>
    <w:multiLevelType w:val="multilevel"/>
    <w:tmpl w:val="C868E5B4"/>
    <w:lvl w:ilvl="0">
      <w:start w:val="1"/>
      <w:numFmt w:val="decimal"/>
      <w:pStyle w:val="NumPlain1"/>
      <w:lvlText w:val="%1"/>
      <w:lvlJc w:val="left"/>
      <w:pPr>
        <w:tabs>
          <w:tab w:val="num" w:pos="1020"/>
        </w:tabs>
        <w:ind w:left="1020" w:hanging="510"/>
      </w:pPr>
      <w:rPr>
        <w:rFonts w:hint="default"/>
        <w:b w:val="0"/>
      </w:rPr>
    </w:lvl>
    <w:lvl w:ilvl="1">
      <w:start w:val="1"/>
      <w:numFmt w:val="lowerLetter"/>
      <w:pStyle w:val="NumPlain2"/>
      <w:lvlText w:val="(%2)"/>
      <w:lvlJc w:val="left"/>
      <w:pPr>
        <w:tabs>
          <w:tab w:val="num" w:pos="1531"/>
        </w:tabs>
        <w:ind w:left="1531" w:hanging="511"/>
      </w:pPr>
      <w:rPr>
        <w:rFonts w:hint="default"/>
        <w:i w:val="0"/>
      </w:rPr>
    </w:lvl>
    <w:lvl w:ilvl="2">
      <w:start w:val="1"/>
      <w:numFmt w:val="lowerRoman"/>
      <w:pStyle w:val="NumPlain3"/>
      <w:lvlText w:val="(%3)"/>
      <w:lvlJc w:val="left"/>
      <w:pPr>
        <w:tabs>
          <w:tab w:val="num" w:pos="2041"/>
        </w:tabs>
        <w:ind w:left="2041" w:hanging="510"/>
      </w:pPr>
      <w:rPr>
        <w:rFonts w:hint="default"/>
      </w:rPr>
    </w:lvl>
    <w:lvl w:ilvl="3">
      <w:start w:val="1"/>
      <w:numFmt w:val="upperLetter"/>
      <w:pStyle w:val="NumPlain4"/>
      <w:lvlText w:val="(%4)"/>
      <w:lvlJc w:val="left"/>
      <w:pPr>
        <w:tabs>
          <w:tab w:val="num" w:pos="2551"/>
        </w:tabs>
        <w:ind w:left="2551" w:hanging="510"/>
      </w:pPr>
      <w:rPr>
        <w:rFonts w:hint="default"/>
      </w:rPr>
    </w:lvl>
    <w:lvl w:ilvl="4">
      <w:start w:val="1"/>
      <w:numFmt w:val="lowerLetter"/>
      <w:lvlText w:val="(%5)"/>
      <w:lvlJc w:val="left"/>
      <w:pPr>
        <w:tabs>
          <w:tab w:val="num" w:pos="3161"/>
        </w:tabs>
        <w:ind w:left="3161" w:hanging="360"/>
      </w:pPr>
      <w:rPr>
        <w:rFonts w:hint="default"/>
      </w:rPr>
    </w:lvl>
    <w:lvl w:ilvl="5">
      <w:start w:val="1"/>
      <w:numFmt w:val="lowerRoman"/>
      <w:lvlText w:val="(%6)"/>
      <w:lvlJc w:val="left"/>
      <w:pPr>
        <w:tabs>
          <w:tab w:val="num" w:pos="3521"/>
        </w:tabs>
        <w:ind w:left="3521" w:hanging="360"/>
      </w:pPr>
      <w:rPr>
        <w:rFonts w:hint="default"/>
      </w:rPr>
    </w:lvl>
    <w:lvl w:ilvl="6">
      <w:start w:val="1"/>
      <w:numFmt w:val="decimal"/>
      <w:lvlText w:val="%7."/>
      <w:lvlJc w:val="left"/>
      <w:pPr>
        <w:tabs>
          <w:tab w:val="num" w:pos="3881"/>
        </w:tabs>
        <w:ind w:left="3881" w:hanging="360"/>
      </w:pPr>
      <w:rPr>
        <w:rFonts w:hint="default"/>
      </w:rPr>
    </w:lvl>
    <w:lvl w:ilvl="7">
      <w:start w:val="1"/>
      <w:numFmt w:val="lowerLetter"/>
      <w:lvlText w:val="%8."/>
      <w:lvlJc w:val="left"/>
      <w:pPr>
        <w:tabs>
          <w:tab w:val="num" w:pos="4241"/>
        </w:tabs>
        <w:ind w:left="4241" w:hanging="360"/>
      </w:pPr>
      <w:rPr>
        <w:rFonts w:hint="default"/>
      </w:rPr>
    </w:lvl>
    <w:lvl w:ilvl="8">
      <w:start w:val="1"/>
      <w:numFmt w:val="lowerRoman"/>
      <w:lvlText w:val="%9."/>
      <w:lvlJc w:val="left"/>
      <w:pPr>
        <w:tabs>
          <w:tab w:val="num" w:pos="4601"/>
        </w:tabs>
        <w:ind w:left="4601" w:hanging="360"/>
      </w:pPr>
      <w:rPr>
        <w:rFonts w:hint="default"/>
      </w:rPr>
    </w:lvl>
  </w:abstractNum>
  <w:abstractNum w:abstractNumId="21" w15:restartNumberingAfterBreak="0">
    <w:nsid w:val="62373062"/>
    <w:multiLevelType w:val="hybridMultilevel"/>
    <w:tmpl w:val="D16238EE"/>
    <w:lvl w:ilvl="0" w:tplc="3A2ABD7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23" w15:restartNumberingAfterBreak="0">
    <w:nsid w:val="6EDC308C"/>
    <w:multiLevelType w:val="hybridMultilevel"/>
    <w:tmpl w:val="2A7642FE"/>
    <w:lvl w:ilvl="0" w:tplc="DAF0C66C">
      <w:start w:val="1"/>
      <w:numFmt w:val="lowerLetter"/>
      <w:lvlText w:val="(%1)"/>
      <w:lvlJc w:val="left"/>
      <w:pPr>
        <w:ind w:left="1142" w:hanging="360"/>
      </w:pPr>
      <w:rPr>
        <w:rFonts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24" w15:restartNumberingAfterBreak="0">
    <w:nsid w:val="6FB25B01"/>
    <w:multiLevelType w:val="hybridMultilevel"/>
    <w:tmpl w:val="E8D82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5"/>
  </w:num>
  <w:num w:numId="5">
    <w:abstractNumId w:val="10"/>
  </w:num>
  <w:num w:numId="6">
    <w:abstractNumId w:val="22"/>
  </w:num>
  <w:num w:numId="7">
    <w:abstractNumId w:val="11"/>
  </w:num>
  <w:num w:numId="8">
    <w:abstractNumId w:val="13"/>
  </w:num>
  <w:num w:numId="9">
    <w:abstractNumId w:val="1"/>
  </w:num>
  <w:num w:numId="10">
    <w:abstractNumId w:val="0"/>
  </w:num>
  <w:num w:numId="11">
    <w:abstractNumId w:val="19"/>
  </w:num>
  <w:num w:numId="12">
    <w:abstractNumId w:val="21"/>
  </w:num>
  <w:num w:numId="13">
    <w:abstractNumId w:val="12"/>
  </w:num>
  <w:num w:numId="14">
    <w:abstractNumId w:val="20"/>
  </w:num>
  <w:num w:numId="15">
    <w:abstractNumId w:val="11"/>
  </w:num>
  <w:num w:numId="16">
    <w:abstractNumId w:val="17"/>
  </w:num>
  <w:num w:numId="17">
    <w:abstractNumId w:val="3"/>
  </w:num>
  <w:num w:numId="18">
    <w:abstractNumId w:val="8"/>
  </w:num>
  <w:num w:numId="19">
    <w:abstractNumId w:val="20"/>
  </w:num>
  <w:num w:numId="20">
    <w:abstractNumId w:val="6"/>
  </w:num>
  <w:num w:numId="21">
    <w:abstractNumId w:val="2"/>
  </w:num>
  <w:num w:numId="22">
    <w:abstractNumId w:val="4"/>
  </w:num>
  <w:num w:numId="23">
    <w:abstractNumId w:val="24"/>
  </w:num>
  <w:num w:numId="24">
    <w:abstractNumId w:val="9"/>
  </w:num>
  <w:num w:numId="25">
    <w:abstractNumId w:val="16"/>
  </w:num>
  <w:num w:numId="26">
    <w:abstractNumId w:val="18"/>
  </w:num>
  <w:num w:numId="27">
    <w:abstractNumId w:val="2"/>
  </w:num>
  <w:num w:numId="28">
    <w:abstractNumId w:val="14"/>
  </w:num>
  <w:num w:numId="29">
    <w:abstractNumId w:val="7"/>
  </w:num>
  <w:num w:numId="30">
    <w:abstractNumId w:val="23"/>
  </w:num>
  <w:num w:numId="3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10"/>
  <w:doNotHyphenateCaps/>
  <w:drawingGridHorizontalSpacing w:val="24"/>
  <w:displayHorizontalDrawingGridEvery w:val="0"/>
  <w:displayVerticalDrawingGridEvery w:val="0"/>
  <w:doNotShadeFormData/>
  <w:noPunctuationKerning/>
  <w:characterSpacingControl w:val="doNotCompress"/>
  <w:hdrShapeDefaults>
    <o:shapedefaults v:ext="edit" spidmax="2049">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jewMDcyNTS3MDRR0lEKTi0uzszPAymwqAUAN3vTgCwAAAA="/>
  </w:docVars>
  <w:rsids>
    <w:rsidRoot w:val="004A3747"/>
    <w:rsid w:val="00000A67"/>
    <w:rsid w:val="000012B4"/>
    <w:rsid w:val="0000292B"/>
    <w:rsid w:val="000040C9"/>
    <w:rsid w:val="00005843"/>
    <w:rsid w:val="00006E58"/>
    <w:rsid w:val="00007E09"/>
    <w:rsid w:val="0001005F"/>
    <w:rsid w:val="00010B9B"/>
    <w:rsid w:val="00011BDD"/>
    <w:rsid w:val="00017C7D"/>
    <w:rsid w:val="00020299"/>
    <w:rsid w:val="000214CE"/>
    <w:rsid w:val="000217DB"/>
    <w:rsid w:val="000224DF"/>
    <w:rsid w:val="000246E8"/>
    <w:rsid w:val="00026EF3"/>
    <w:rsid w:val="00027E8B"/>
    <w:rsid w:val="000324FB"/>
    <w:rsid w:val="000336D5"/>
    <w:rsid w:val="0003692E"/>
    <w:rsid w:val="00043291"/>
    <w:rsid w:val="0004455B"/>
    <w:rsid w:val="00046196"/>
    <w:rsid w:val="000478B3"/>
    <w:rsid w:val="00053E3F"/>
    <w:rsid w:val="00055E17"/>
    <w:rsid w:val="00056E73"/>
    <w:rsid w:val="000577B1"/>
    <w:rsid w:val="000621BE"/>
    <w:rsid w:val="000625F2"/>
    <w:rsid w:val="0006511C"/>
    <w:rsid w:val="00065B29"/>
    <w:rsid w:val="00074133"/>
    <w:rsid w:val="00074CB7"/>
    <w:rsid w:val="00076084"/>
    <w:rsid w:val="000812F8"/>
    <w:rsid w:val="00081745"/>
    <w:rsid w:val="00084AB4"/>
    <w:rsid w:val="00090A6F"/>
    <w:rsid w:val="00091916"/>
    <w:rsid w:val="00093057"/>
    <w:rsid w:val="0009530C"/>
    <w:rsid w:val="0009548F"/>
    <w:rsid w:val="00096027"/>
    <w:rsid w:val="00096ED1"/>
    <w:rsid w:val="000A368E"/>
    <w:rsid w:val="000A6609"/>
    <w:rsid w:val="000B01FB"/>
    <w:rsid w:val="000B2AD3"/>
    <w:rsid w:val="000B38A3"/>
    <w:rsid w:val="000B599A"/>
    <w:rsid w:val="000B5E77"/>
    <w:rsid w:val="000B72A5"/>
    <w:rsid w:val="000B733C"/>
    <w:rsid w:val="000C3CA3"/>
    <w:rsid w:val="000C3EB0"/>
    <w:rsid w:val="000C4AEC"/>
    <w:rsid w:val="000C549B"/>
    <w:rsid w:val="000D337F"/>
    <w:rsid w:val="000D4A03"/>
    <w:rsid w:val="000D4D65"/>
    <w:rsid w:val="000D582D"/>
    <w:rsid w:val="000D7B40"/>
    <w:rsid w:val="000E3E92"/>
    <w:rsid w:val="000E547A"/>
    <w:rsid w:val="000F141D"/>
    <w:rsid w:val="000F2088"/>
    <w:rsid w:val="000F2365"/>
    <w:rsid w:val="000F5E2F"/>
    <w:rsid w:val="000F64CC"/>
    <w:rsid w:val="000F76BE"/>
    <w:rsid w:val="00101985"/>
    <w:rsid w:val="00101E01"/>
    <w:rsid w:val="001027DE"/>
    <w:rsid w:val="00102C7C"/>
    <w:rsid w:val="00102E33"/>
    <w:rsid w:val="0010515C"/>
    <w:rsid w:val="00106DCF"/>
    <w:rsid w:val="00107F01"/>
    <w:rsid w:val="00110B96"/>
    <w:rsid w:val="00111D53"/>
    <w:rsid w:val="00111DD1"/>
    <w:rsid w:val="0011209D"/>
    <w:rsid w:val="001162C5"/>
    <w:rsid w:val="00116447"/>
    <w:rsid w:val="001206CF"/>
    <w:rsid w:val="0012107D"/>
    <w:rsid w:val="001223FB"/>
    <w:rsid w:val="00123697"/>
    <w:rsid w:val="001246E6"/>
    <w:rsid w:val="00127BBF"/>
    <w:rsid w:val="00127DB3"/>
    <w:rsid w:val="00132FB7"/>
    <w:rsid w:val="0013564B"/>
    <w:rsid w:val="00142286"/>
    <w:rsid w:val="00143D65"/>
    <w:rsid w:val="0014659C"/>
    <w:rsid w:val="00151DD9"/>
    <w:rsid w:val="00156444"/>
    <w:rsid w:val="00156BDF"/>
    <w:rsid w:val="001627A5"/>
    <w:rsid w:val="00162F80"/>
    <w:rsid w:val="00164B59"/>
    <w:rsid w:val="001651E2"/>
    <w:rsid w:val="001662B8"/>
    <w:rsid w:val="00166E9F"/>
    <w:rsid w:val="001672C9"/>
    <w:rsid w:val="00171F51"/>
    <w:rsid w:val="00173F2A"/>
    <w:rsid w:val="001747F5"/>
    <w:rsid w:val="001748C1"/>
    <w:rsid w:val="001761C6"/>
    <w:rsid w:val="001768C6"/>
    <w:rsid w:val="001828EF"/>
    <w:rsid w:val="00186036"/>
    <w:rsid w:val="001864D4"/>
    <w:rsid w:val="0019263D"/>
    <w:rsid w:val="0019286F"/>
    <w:rsid w:val="00194EA3"/>
    <w:rsid w:val="001955AE"/>
    <w:rsid w:val="001A138D"/>
    <w:rsid w:val="001A25B1"/>
    <w:rsid w:val="001A4E74"/>
    <w:rsid w:val="001A5641"/>
    <w:rsid w:val="001A7557"/>
    <w:rsid w:val="001B0350"/>
    <w:rsid w:val="001B07D3"/>
    <w:rsid w:val="001B2092"/>
    <w:rsid w:val="001B276A"/>
    <w:rsid w:val="001B33A5"/>
    <w:rsid w:val="001B342F"/>
    <w:rsid w:val="001C1016"/>
    <w:rsid w:val="001C1678"/>
    <w:rsid w:val="001C1C5E"/>
    <w:rsid w:val="001C1D40"/>
    <w:rsid w:val="001C225F"/>
    <w:rsid w:val="001C272A"/>
    <w:rsid w:val="001C2FDD"/>
    <w:rsid w:val="001C41D5"/>
    <w:rsid w:val="001C49AC"/>
    <w:rsid w:val="001C7365"/>
    <w:rsid w:val="001D332E"/>
    <w:rsid w:val="001D405C"/>
    <w:rsid w:val="001D46F3"/>
    <w:rsid w:val="001D6BCC"/>
    <w:rsid w:val="001D72EA"/>
    <w:rsid w:val="001E09E1"/>
    <w:rsid w:val="001E351E"/>
    <w:rsid w:val="001E5E7B"/>
    <w:rsid w:val="001E6CDF"/>
    <w:rsid w:val="001F00DC"/>
    <w:rsid w:val="001F2B35"/>
    <w:rsid w:val="001F2DBC"/>
    <w:rsid w:val="001F59FA"/>
    <w:rsid w:val="001F78DF"/>
    <w:rsid w:val="001F7E3D"/>
    <w:rsid w:val="00201A99"/>
    <w:rsid w:val="00203609"/>
    <w:rsid w:val="00204D97"/>
    <w:rsid w:val="0020560B"/>
    <w:rsid w:val="002109E3"/>
    <w:rsid w:val="00212E65"/>
    <w:rsid w:val="00213C29"/>
    <w:rsid w:val="002169E1"/>
    <w:rsid w:val="00220088"/>
    <w:rsid w:val="0022022E"/>
    <w:rsid w:val="0022041E"/>
    <w:rsid w:val="00221634"/>
    <w:rsid w:val="00222D7C"/>
    <w:rsid w:val="00223A79"/>
    <w:rsid w:val="00223CC4"/>
    <w:rsid w:val="00226B3A"/>
    <w:rsid w:val="00226F32"/>
    <w:rsid w:val="002313EB"/>
    <w:rsid w:val="00233915"/>
    <w:rsid w:val="0023645E"/>
    <w:rsid w:val="002472F4"/>
    <w:rsid w:val="00247784"/>
    <w:rsid w:val="00250325"/>
    <w:rsid w:val="002504AF"/>
    <w:rsid w:val="0025497B"/>
    <w:rsid w:val="00254B16"/>
    <w:rsid w:val="00260CC0"/>
    <w:rsid w:val="00264B66"/>
    <w:rsid w:val="00265A50"/>
    <w:rsid w:val="00265AB7"/>
    <w:rsid w:val="00270B63"/>
    <w:rsid w:val="0027167F"/>
    <w:rsid w:val="00272A54"/>
    <w:rsid w:val="00273B7F"/>
    <w:rsid w:val="00275490"/>
    <w:rsid w:val="00276485"/>
    <w:rsid w:val="00276BC5"/>
    <w:rsid w:val="002777E4"/>
    <w:rsid w:val="0028086D"/>
    <w:rsid w:val="00283110"/>
    <w:rsid w:val="00283482"/>
    <w:rsid w:val="00285EEF"/>
    <w:rsid w:val="002862EE"/>
    <w:rsid w:val="0028759D"/>
    <w:rsid w:val="002908AD"/>
    <w:rsid w:val="00292DBD"/>
    <w:rsid w:val="00294B38"/>
    <w:rsid w:val="0029647E"/>
    <w:rsid w:val="002A201D"/>
    <w:rsid w:val="002A2CFD"/>
    <w:rsid w:val="002A2FD2"/>
    <w:rsid w:val="002A3230"/>
    <w:rsid w:val="002A327B"/>
    <w:rsid w:val="002A7815"/>
    <w:rsid w:val="002B0D1D"/>
    <w:rsid w:val="002B4063"/>
    <w:rsid w:val="002B5A0A"/>
    <w:rsid w:val="002B5D04"/>
    <w:rsid w:val="002B603F"/>
    <w:rsid w:val="002B7803"/>
    <w:rsid w:val="002C5641"/>
    <w:rsid w:val="002C736F"/>
    <w:rsid w:val="002C78A4"/>
    <w:rsid w:val="002D07E1"/>
    <w:rsid w:val="002E0145"/>
    <w:rsid w:val="002E321E"/>
    <w:rsid w:val="002E39B8"/>
    <w:rsid w:val="002E3A02"/>
    <w:rsid w:val="002E791E"/>
    <w:rsid w:val="002F09CE"/>
    <w:rsid w:val="002F1CD0"/>
    <w:rsid w:val="002F32ED"/>
    <w:rsid w:val="002F37E7"/>
    <w:rsid w:val="002F3C79"/>
    <w:rsid w:val="002F4736"/>
    <w:rsid w:val="002F4CC5"/>
    <w:rsid w:val="0030160D"/>
    <w:rsid w:val="003044B8"/>
    <w:rsid w:val="0030559F"/>
    <w:rsid w:val="00306EE3"/>
    <w:rsid w:val="00307F26"/>
    <w:rsid w:val="00310DC3"/>
    <w:rsid w:val="00313A6B"/>
    <w:rsid w:val="003159A1"/>
    <w:rsid w:val="00316966"/>
    <w:rsid w:val="00320837"/>
    <w:rsid w:val="00320B36"/>
    <w:rsid w:val="00323962"/>
    <w:rsid w:val="003244D7"/>
    <w:rsid w:val="00324B05"/>
    <w:rsid w:val="003251D8"/>
    <w:rsid w:val="00326453"/>
    <w:rsid w:val="00330393"/>
    <w:rsid w:val="00330C72"/>
    <w:rsid w:val="0033581C"/>
    <w:rsid w:val="00335855"/>
    <w:rsid w:val="00336294"/>
    <w:rsid w:val="0034246B"/>
    <w:rsid w:val="00343234"/>
    <w:rsid w:val="00343922"/>
    <w:rsid w:val="00343D15"/>
    <w:rsid w:val="003460B6"/>
    <w:rsid w:val="00346CAE"/>
    <w:rsid w:val="0035028E"/>
    <w:rsid w:val="003514A7"/>
    <w:rsid w:val="003517FF"/>
    <w:rsid w:val="00354187"/>
    <w:rsid w:val="00355171"/>
    <w:rsid w:val="00355CFC"/>
    <w:rsid w:val="00360009"/>
    <w:rsid w:val="003605F6"/>
    <w:rsid w:val="00364B30"/>
    <w:rsid w:val="00366AB3"/>
    <w:rsid w:val="003671B7"/>
    <w:rsid w:val="00367C1D"/>
    <w:rsid w:val="00367DC9"/>
    <w:rsid w:val="00371BCA"/>
    <w:rsid w:val="0037349B"/>
    <w:rsid w:val="00375023"/>
    <w:rsid w:val="00377B8D"/>
    <w:rsid w:val="00380CDD"/>
    <w:rsid w:val="00382796"/>
    <w:rsid w:val="0038342A"/>
    <w:rsid w:val="00383E58"/>
    <w:rsid w:val="00385DA9"/>
    <w:rsid w:val="00387E35"/>
    <w:rsid w:val="0039009E"/>
    <w:rsid w:val="003900F8"/>
    <w:rsid w:val="00391430"/>
    <w:rsid w:val="00393EF2"/>
    <w:rsid w:val="0039709C"/>
    <w:rsid w:val="00397523"/>
    <w:rsid w:val="00397D22"/>
    <w:rsid w:val="003A07F6"/>
    <w:rsid w:val="003A488F"/>
    <w:rsid w:val="003A60C1"/>
    <w:rsid w:val="003B01F7"/>
    <w:rsid w:val="003B0CAA"/>
    <w:rsid w:val="003B0E71"/>
    <w:rsid w:val="003B1326"/>
    <w:rsid w:val="003B30C5"/>
    <w:rsid w:val="003B334D"/>
    <w:rsid w:val="003B6633"/>
    <w:rsid w:val="003C0A73"/>
    <w:rsid w:val="003C284A"/>
    <w:rsid w:val="003C305A"/>
    <w:rsid w:val="003C3FF9"/>
    <w:rsid w:val="003C4A55"/>
    <w:rsid w:val="003C6B24"/>
    <w:rsid w:val="003D006D"/>
    <w:rsid w:val="003D1DD4"/>
    <w:rsid w:val="003D2730"/>
    <w:rsid w:val="003D40D1"/>
    <w:rsid w:val="003D5F1D"/>
    <w:rsid w:val="003E0A68"/>
    <w:rsid w:val="003E1890"/>
    <w:rsid w:val="003E1900"/>
    <w:rsid w:val="003E2622"/>
    <w:rsid w:val="003E2A41"/>
    <w:rsid w:val="003F0B2E"/>
    <w:rsid w:val="003F0F01"/>
    <w:rsid w:val="003F1E24"/>
    <w:rsid w:val="003F4197"/>
    <w:rsid w:val="003F6ED6"/>
    <w:rsid w:val="0040088B"/>
    <w:rsid w:val="00400E43"/>
    <w:rsid w:val="00401ECA"/>
    <w:rsid w:val="00402BA1"/>
    <w:rsid w:val="004037F5"/>
    <w:rsid w:val="004042C0"/>
    <w:rsid w:val="00405393"/>
    <w:rsid w:val="004113EE"/>
    <w:rsid w:val="00411BD0"/>
    <w:rsid w:val="00411D04"/>
    <w:rsid w:val="004150BD"/>
    <w:rsid w:val="00416A82"/>
    <w:rsid w:val="00422E4D"/>
    <w:rsid w:val="00426876"/>
    <w:rsid w:val="004307CB"/>
    <w:rsid w:val="00430AC4"/>
    <w:rsid w:val="00431991"/>
    <w:rsid w:val="00433FC5"/>
    <w:rsid w:val="00434D86"/>
    <w:rsid w:val="00435728"/>
    <w:rsid w:val="00436A2D"/>
    <w:rsid w:val="00440697"/>
    <w:rsid w:val="0044702C"/>
    <w:rsid w:val="00451D96"/>
    <w:rsid w:val="0045345B"/>
    <w:rsid w:val="00456D0C"/>
    <w:rsid w:val="00460FBB"/>
    <w:rsid w:val="004615EC"/>
    <w:rsid w:val="004624F6"/>
    <w:rsid w:val="0046426D"/>
    <w:rsid w:val="00465B07"/>
    <w:rsid w:val="004679C1"/>
    <w:rsid w:val="00470CE9"/>
    <w:rsid w:val="00473FAC"/>
    <w:rsid w:val="00476739"/>
    <w:rsid w:val="0047683E"/>
    <w:rsid w:val="00480C23"/>
    <w:rsid w:val="0048155F"/>
    <w:rsid w:val="00481B2E"/>
    <w:rsid w:val="0048387B"/>
    <w:rsid w:val="00485481"/>
    <w:rsid w:val="0048623E"/>
    <w:rsid w:val="0048761C"/>
    <w:rsid w:val="00487CF6"/>
    <w:rsid w:val="00490C6F"/>
    <w:rsid w:val="00491083"/>
    <w:rsid w:val="004961F8"/>
    <w:rsid w:val="004A3747"/>
    <w:rsid w:val="004A3BB8"/>
    <w:rsid w:val="004A3C2F"/>
    <w:rsid w:val="004A40EB"/>
    <w:rsid w:val="004A417F"/>
    <w:rsid w:val="004A4CE2"/>
    <w:rsid w:val="004B038C"/>
    <w:rsid w:val="004B1464"/>
    <w:rsid w:val="004B4319"/>
    <w:rsid w:val="004B532B"/>
    <w:rsid w:val="004B5949"/>
    <w:rsid w:val="004B6526"/>
    <w:rsid w:val="004B736C"/>
    <w:rsid w:val="004B7E6C"/>
    <w:rsid w:val="004C28A9"/>
    <w:rsid w:val="004C43D9"/>
    <w:rsid w:val="004C4BAD"/>
    <w:rsid w:val="004C5BDE"/>
    <w:rsid w:val="004C66C3"/>
    <w:rsid w:val="004D3809"/>
    <w:rsid w:val="004D419A"/>
    <w:rsid w:val="004D4D1C"/>
    <w:rsid w:val="004D4FBF"/>
    <w:rsid w:val="004D50FC"/>
    <w:rsid w:val="004D5AD1"/>
    <w:rsid w:val="004D715D"/>
    <w:rsid w:val="004E0EC4"/>
    <w:rsid w:val="004E1023"/>
    <w:rsid w:val="004E11A9"/>
    <w:rsid w:val="004E20BC"/>
    <w:rsid w:val="004E2A5F"/>
    <w:rsid w:val="004E3075"/>
    <w:rsid w:val="004E3B24"/>
    <w:rsid w:val="004F4617"/>
    <w:rsid w:val="004F46A9"/>
    <w:rsid w:val="004F55FE"/>
    <w:rsid w:val="004F5F95"/>
    <w:rsid w:val="004F6402"/>
    <w:rsid w:val="0050013B"/>
    <w:rsid w:val="00500479"/>
    <w:rsid w:val="00500656"/>
    <w:rsid w:val="00500E80"/>
    <w:rsid w:val="00504209"/>
    <w:rsid w:val="00505B11"/>
    <w:rsid w:val="00507834"/>
    <w:rsid w:val="00507971"/>
    <w:rsid w:val="00510C8C"/>
    <w:rsid w:val="00511C34"/>
    <w:rsid w:val="00512473"/>
    <w:rsid w:val="00513E2E"/>
    <w:rsid w:val="005145A7"/>
    <w:rsid w:val="005161CB"/>
    <w:rsid w:val="005166B2"/>
    <w:rsid w:val="0052076B"/>
    <w:rsid w:val="00522BDB"/>
    <w:rsid w:val="005233ED"/>
    <w:rsid w:val="00525AE6"/>
    <w:rsid w:val="00525F7F"/>
    <w:rsid w:val="0052696D"/>
    <w:rsid w:val="00532102"/>
    <w:rsid w:val="00533BEC"/>
    <w:rsid w:val="00533F9C"/>
    <w:rsid w:val="0053452C"/>
    <w:rsid w:val="00534BAD"/>
    <w:rsid w:val="00534E7B"/>
    <w:rsid w:val="00535EC5"/>
    <w:rsid w:val="00536394"/>
    <w:rsid w:val="00537456"/>
    <w:rsid w:val="0053782F"/>
    <w:rsid w:val="00540308"/>
    <w:rsid w:val="005409F5"/>
    <w:rsid w:val="005437FC"/>
    <w:rsid w:val="00544A86"/>
    <w:rsid w:val="00544AF9"/>
    <w:rsid w:val="0054552F"/>
    <w:rsid w:val="00545BE4"/>
    <w:rsid w:val="00546583"/>
    <w:rsid w:val="005517D6"/>
    <w:rsid w:val="00554290"/>
    <w:rsid w:val="00556CB6"/>
    <w:rsid w:val="00557A1B"/>
    <w:rsid w:val="00557A82"/>
    <w:rsid w:val="00560AAC"/>
    <w:rsid w:val="00562509"/>
    <w:rsid w:val="0056274D"/>
    <w:rsid w:val="00563ED6"/>
    <w:rsid w:val="00564C0B"/>
    <w:rsid w:val="005654E2"/>
    <w:rsid w:val="005655CE"/>
    <w:rsid w:val="0056758A"/>
    <w:rsid w:val="00572CF7"/>
    <w:rsid w:val="00572D8E"/>
    <w:rsid w:val="005748A6"/>
    <w:rsid w:val="00577065"/>
    <w:rsid w:val="0057742A"/>
    <w:rsid w:val="005779FA"/>
    <w:rsid w:val="0058004D"/>
    <w:rsid w:val="00580BC4"/>
    <w:rsid w:val="005834BF"/>
    <w:rsid w:val="00583668"/>
    <w:rsid w:val="005867A1"/>
    <w:rsid w:val="00590051"/>
    <w:rsid w:val="005941C0"/>
    <w:rsid w:val="0059506D"/>
    <w:rsid w:val="005A00C9"/>
    <w:rsid w:val="005A03D4"/>
    <w:rsid w:val="005A05FC"/>
    <w:rsid w:val="005A2514"/>
    <w:rsid w:val="005A5251"/>
    <w:rsid w:val="005A6AC7"/>
    <w:rsid w:val="005A7519"/>
    <w:rsid w:val="005B146F"/>
    <w:rsid w:val="005B2BD9"/>
    <w:rsid w:val="005B3437"/>
    <w:rsid w:val="005B435D"/>
    <w:rsid w:val="005B63F2"/>
    <w:rsid w:val="005B6FD6"/>
    <w:rsid w:val="005B7666"/>
    <w:rsid w:val="005B7836"/>
    <w:rsid w:val="005C050D"/>
    <w:rsid w:val="005C070D"/>
    <w:rsid w:val="005C4790"/>
    <w:rsid w:val="005D607A"/>
    <w:rsid w:val="005D6B3E"/>
    <w:rsid w:val="005D7B82"/>
    <w:rsid w:val="005E1CFD"/>
    <w:rsid w:val="005E275A"/>
    <w:rsid w:val="005E29A7"/>
    <w:rsid w:val="005E60CB"/>
    <w:rsid w:val="005E6BE4"/>
    <w:rsid w:val="005F0F4B"/>
    <w:rsid w:val="005F6022"/>
    <w:rsid w:val="005F7008"/>
    <w:rsid w:val="00602261"/>
    <w:rsid w:val="00605875"/>
    <w:rsid w:val="00606461"/>
    <w:rsid w:val="00607D02"/>
    <w:rsid w:val="006104F4"/>
    <w:rsid w:val="006105BF"/>
    <w:rsid w:val="00611D1E"/>
    <w:rsid w:val="006123A2"/>
    <w:rsid w:val="00614947"/>
    <w:rsid w:val="00616E1F"/>
    <w:rsid w:val="00620A5B"/>
    <w:rsid w:val="006213B0"/>
    <w:rsid w:val="006220D9"/>
    <w:rsid w:val="00630A2C"/>
    <w:rsid w:val="006318F5"/>
    <w:rsid w:val="0063418D"/>
    <w:rsid w:val="006403F7"/>
    <w:rsid w:val="00641282"/>
    <w:rsid w:val="006502A9"/>
    <w:rsid w:val="00652DF8"/>
    <w:rsid w:val="0065356F"/>
    <w:rsid w:val="006537C0"/>
    <w:rsid w:val="00661CFD"/>
    <w:rsid w:val="00664A19"/>
    <w:rsid w:val="00667563"/>
    <w:rsid w:val="0067124B"/>
    <w:rsid w:val="0067152C"/>
    <w:rsid w:val="00673DE1"/>
    <w:rsid w:val="00680091"/>
    <w:rsid w:val="00680543"/>
    <w:rsid w:val="00680F51"/>
    <w:rsid w:val="0068105B"/>
    <w:rsid w:val="00682BAC"/>
    <w:rsid w:val="00684A44"/>
    <w:rsid w:val="00684FDF"/>
    <w:rsid w:val="006914C1"/>
    <w:rsid w:val="006A3AE9"/>
    <w:rsid w:val="006A40E5"/>
    <w:rsid w:val="006B0CD6"/>
    <w:rsid w:val="006B2801"/>
    <w:rsid w:val="006B56C4"/>
    <w:rsid w:val="006B6111"/>
    <w:rsid w:val="006C1524"/>
    <w:rsid w:val="006C2E37"/>
    <w:rsid w:val="006C614E"/>
    <w:rsid w:val="006C6E9C"/>
    <w:rsid w:val="006C7593"/>
    <w:rsid w:val="006D055E"/>
    <w:rsid w:val="006D0BD2"/>
    <w:rsid w:val="006D134A"/>
    <w:rsid w:val="006D4700"/>
    <w:rsid w:val="006D5155"/>
    <w:rsid w:val="006D7679"/>
    <w:rsid w:val="006D7826"/>
    <w:rsid w:val="006D795A"/>
    <w:rsid w:val="006E168C"/>
    <w:rsid w:val="006E20A3"/>
    <w:rsid w:val="006E2C39"/>
    <w:rsid w:val="006E37A9"/>
    <w:rsid w:val="006E3D97"/>
    <w:rsid w:val="006E530F"/>
    <w:rsid w:val="006E65DF"/>
    <w:rsid w:val="006E6C5D"/>
    <w:rsid w:val="006E754A"/>
    <w:rsid w:val="006F0C3F"/>
    <w:rsid w:val="006F1BB6"/>
    <w:rsid w:val="006F1DF3"/>
    <w:rsid w:val="006F32C2"/>
    <w:rsid w:val="006F608F"/>
    <w:rsid w:val="006F6101"/>
    <w:rsid w:val="006F6367"/>
    <w:rsid w:val="00700322"/>
    <w:rsid w:val="0070094E"/>
    <w:rsid w:val="007010F2"/>
    <w:rsid w:val="007036C5"/>
    <w:rsid w:val="007045E0"/>
    <w:rsid w:val="00705AFD"/>
    <w:rsid w:val="00712237"/>
    <w:rsid w:val="007124EA"/>
    <w:rsid w:val="00712C54"/>
    <w:rsid w:val="00712F3E"/>
    <w:rsid w:val="00713EE8"/>
    <w:rsid w:val="00714340"/>
    <w:rsid w:val="007174A1"/>
    <w:rsid w:val="007212EA"/>
    <w:rsid w:val="0072147A"/>
    <w:rsid w:val="007219F7"/>
    <w:rsid w:val="007228EA"/>
    <w:rsid w:val="00722990"/>
    <w:rsid w:val="007259C9"/>
    <w:rsid w:val="007275BE"/>
    <w:rsid w:val="007332FE"/>
    <w:rsid w:val="007333C2"/>
    <w:rsid w:val="0073378B"/>
    <w:rsid w:val="00737714"/>
    <w:rsid w:val="0074018D"/>
    <w:rsid w:val="007404DC"/>
    <w:rsid w:val="00741B1B"/>
    <w:rsid w:val="00742E4B"/>
    <w:rsid w:val="00743492"/>
    <w:rsid w:val="007455F0"/>
    <w:rsid w:val="00750EDC"/>
    <w:rsid w:val="00750F92"/>
    <w:rsid w:val="00751F6A"/>
    <w:rsid w:val="00752245"/>
    <w:rsid w:val="007530C3"/>
    <w:rsid w:val="007554ED"/>
    <w:rsid w:val="00755E40"/>
    <w:rsid w:val="0075667A"/>
    <w:rsid w:val="00756FF6"/>
    <w:rsid w:val="0076023B"/>
    <w:rsid w:val="0076124A"/>
    <w:rsid w:val="0076127E"/>
    <w:rsid w:val="00764106"/>
    <w:rsid w:val="00764895"/>
    <w:rsid w:val="00765404"/>
    <w:rsid w:val="007654CA"/>
    <w:rsid w:val="00765F0B"/>
    <w:rsid w:val="0076791F"/>
    <w:rsid w:val="0077083B"/>
    <w:rsid w:val="00771905"/>
    <w:rsid w:val="00777522"/>
    <w:rsid w:val="0078006F"/>
    <w:rsid w:val="0078116B"/>
    <w:rsid w:val="00784F7A"/>
    <w:rsid w:val="00785417"/>
    <w:rsid w:val="00785915"/>
    <w:rsid w:val="007875C1"/>
    <w:rsid w:val="00790822"/>
    <w:rsid w:val="00792A7A"/>
    <w:rsid w:val="00796FFE"/>
    <w:rsid w:val="0079743B"/>
    <w:rsid w:val="00797C56"/>
    <w:rsid w:val="007A0FFA"/>
    <w:rsid w:val="007A17CC"/>
    <w:rsid w:val="007A283F"/>
    <w:rsid w:val="007A49F2"/>
    <w:rsid w:val="007A5B67"/>
    <w:rsid w:val="007A6BC3"/>
    <w:rsid w:val="007A6F5D"/>
    <w:rsid w:val="007B10F8"/>
    <w:rsid w:val="007B1933"/>
    <w:rsid w:val="007B2BD9"/>
    <w:rsid w:val="007B4F11"/>
    <w:rsid w:val="007B5808"/>
    <w:rsid w:val="007B717A"/>
    <w:rsid w:val="007B7BC6"/>
    <w:rsid w:val="007C099B"/>
    <w:rsid w:val="007C1DF5"/>
    <w:rsid w:val="007C2959"/>
    <w:rsid w:val="007C30B7"/>
    <w:rsid w:val="007C4A3B"/>
    <w:rsid w:val="007C6168"/>
    <w:rsid w:val="007C6E2E"/>
    <w:rsid w:val="007D02D5"/>
    <w:rsid w:val="007D06A9"/>
    <w:rsid w:val="007D1D7C"/>
    <w:rsid w:val="007D255B"/>
    <w:rsid w:val="007D4AFA"/>
    <w:rsid w:val="007D6351"/>
    <w:rsid w:val="007D675D"/>
    <w:rsid w:val="007E215A"/>
    <w:rsid w:val="007E4FFF"/>
    <w:rsid w:val="007F1D3D"/>
    <w:rsid w:val="007F6C8E"/>
    <w:rsid w:val="008000C2"/>
    <w:rsid w:val="008009CB"/>
    <w:rsid w:val="00803C69"/>
    <w:rsid w:val="008043C3"/>
    <w:rsid w:val="008048DD"/>
    <w:rsid w:val="00804D25"/>
    <w:rsid w:val="00812637"/>
    <w:rsid w:val="00812C07"/>
    <w:rsid w:val="00812EE1"/>
    <w:rsid w:val="00813227"/>
    <w:rsid w:val="00816494"/>
    <w:rsid w:val="00820794"/>
    <w:rsid w:val="00821D7C"/>
    <w:rsid w:val="00822B39"/>
    <w:rsid w:val="008256CA"/>
    <w:rsid w:val="00825DB3"/>
    <w:rsid w:val="0082655E"/>
    <w:rsid w:val="00831497"/>
    <w:rsid w:val="0083429E"/>
    <w:rsid w:val="0083697E"/>
    <w:rsid w:val="0084091D"/>
    <w:rsid w:val="00840DFD"/>
    <w:rsid w:val="00841999"/>
    <w:rsid w:val="00841DCB"/>
    <w:rsid w:val="00844F07"/>
    <w:rsid w:val="008459E8"/>
    <w:rsid w:val="008504E5"/>
    <w:rsid w:val="008515AD"/>
    <w:rsid w:val="00851C59"/>
    <w:rsid w:val="008537C3"/>
    <w:rsid w:val="00854ACA"/>
    <w:rsid w:val="0085580A"/>
    <w:rsid w:val="008562F5"/>
    <w:rsid w:val="00857085"/>
    <w:rsid w:val="0085770B"/>
    <w:rsid w:val="00864ADE"/>
    <w:rsid w:val="008665A4"/>
    <w:rsid w:val="00867FB0"/>
    <w:rsid w:val="008704A5"/>
    <w:rsid w:val="008705D6"/>
    <w:rsid w:val="00870A13"/>
    <w:rsid w:val="00871A12"/>
    <w:rsid w:val="0087566C"/>
    <w:rsid w:val="0087645A"/>
    <w:rsid w:val="008775C5"/>
    <w:rsid w:val="00881BBE"/>
    <w:rsid w:val="00881E89"/>
    <w:rsid w:val="00887E6E"/>
    <w:rsid w:val="00887FEC"/>
    <w:rsid w:val="00891E39"/>
    <w:rsid w:val="00892DE1"/>
    <w:rsid w:val="00895809"/>
    <w:rsid w:val="00895AC5"/>
    <w:rsid w:val="0089620B"/>
    <w:rsid w:val="0089775A"/>
    <w:rsid w:val="008A064C"/>
    <w:rsid w:val="008A16EB"/>
    <w:rsid w:val="008A5AE0"/>
    <w:rsid w:val="008A6182"/>
    <w:rsid w:val="008A63DA"/>
    <w:rsid w:val="008B1D94"/>
    <w:rsid w:val="008B4C8D"/>
    <w:rsid w:val="008B4F78"/>
    <w:rsid w:val="008B5A2D"/>
    <w:rsid w:val="008B6376"/>
    <w:rsid w:val="008B643A"/>
    <w:rsid w:val="008B6C81"/>
    <w:rsid w:val="008B70FD"/>
    <w:rsid w:val="008C1C4A"/>
    <w:rsid w:val="008C60B1"/>
    <w:rsid w:val="008C66F8"/>
    <w:rsid w:val="008C6BD0"/>
    <w:rsid w:val="008D0682"/>
    <w:rsid w:val="008D2C71"/>
    <w:rsid w:val="008D2CAF"/>
    <w:rsid w:val="008D2EBD"/>
    <w:rsid w:val="008D3CCB"/>
    <w:rsid w:val="008D566E"/>
    <w:rsid w:val="008E2ED4"/>
    <w:rsid w:val="008E5693"/>
    <w:rsid w:val="008E5AAA"/>
    <w:rsid w:val="008E5B8E"/>
    <w:rsid w:val="008E5E13"/>
    <w:rsid w:val="008E74EE"/>
    <w:rsid w:val="008E7B48"/>
    <w:rsid w:val="008F0274"/>
    <w:rsid w:val="008F09DF"/>
    <w:rsid w:val="008F0A81"/>
    <w:rsid w:val="008F3EBA"/>
    <w:rsid w:val="008F4AC5"/>
    <w:rsid w:val="008F5963"/>
    <w:rsid w:val="008F5B9A"/>
    <w:rsid w:val="008F65A3"/>
    <w:rsid w:val="008F69AE"/>
    <w:rsid w:val="008F7100"/>
    <w:rsid w:val="00911C5A"/>
    <w:rsid w:val="00912C1D"/>
    <w:rsid w:val="009146EF"/>
    <w:rsid w:val="009151D4"/>
    <w:rsid w:val="009162E1"/>
    <w:rsid w:val="00916EFA"/>
    <w:rsid w:val="0092010A"/>
    <w:rsid w:val="00920956"/>
    <w:rsid w:val="00920B8B"/>
    <w:rsid w:val="009231A4"/>
    <w:rsid w:val="00923261"/>
    <w:rsid w:val="0092498E"/>
    <w:rsid w:val="009256B7"/>
    <w:rsid w:val="00925A2C"/>
    <w:rsid w:val="00926A79"/>
    <w:rsid w:val="009317F6"/>
    <w:rsid w:val="00932BF3"/>
    <w:rsid w:val="00936C8E"/>
    <w:rsid w:val="009375CE"/>
    <w:rsid w:val="009420C5"/>
    <w:rsid w:val="0094275E"/>
    <w:rsid w:val="00945B18"/>
    <w:rsid w:val="00945F15"/>
    <w:rsid w:val="0094799A"/>
    <w:rsid w:val="00952EDF"/>
    <w:rsid w:val="00957F05"/>
    <w:rsid w:val="00960877"/>
    <w:rsid w:val="00961012"/>
    <w:rsid w:val="00962EAA"/>
    <w:rsid w:val="0096317D"/>
    <w:rsid w:val="00970C7A"/>
    <w:rsid w:val="00970CA5"/>
    <w:rsid w:val="00971382"/>
    <w:rsid w:val="009721DB"/>
    <w:rsid w:val="0097256D"/>
    <w:rsid w:val="00972AB0"/>
    <w:rsid w:val="00972BFA"/>
    <w:rsid w:val="009748FC"/>
    <w:rsid w:val="009755C5"/>
    <w:rsid w:val="00976FF7"/>
    <w:rsid w:val="00977EB0"/>
    <w:rsid w:val="0098092B"/>
    <w:rsid w:val="0098233D"/>
    <w:rsid w:val="0098396A"/>
    <w:rsid w:val="00983B78"/>
    <w:rsid w:val="009864D8"/>
    <w:rsid w:val="00991FE5"/>
    <w:rsid w:val="00992005"/>
    <w:rsid w:val="009946E9"/>
    <w:rsid w:val="00994E67"/>
    <w:rsid w:val="009953B4"/>
    <w:rsid w:val="009965BA"/>
    <w:rsid w:val="00996DBB"/>
    <w:rsid w:val="009978E0"/>
    <w:rsid w:val="009A1700"/>
    <w:rsid w:val="009A2252"/>
    <w:rsid w:val="009A393A"/>
    <w:rsid w:val="009A65B0"/>
    <w:rsid w:val="009A7F02"/>
    <w:rsid w:val="009B2912"/>
    <w:rsid w:val="009B6535"/>
    <w:rsid w:val="009C2479"/>
    <w:rsid w:val="009C270C"/>
    <w:rsid w:val="009C54B8"/>
    <w:rsid w:val="009C7A89"/>
    <w:rsid w:val="009D06F8"/>
    <w:rsid w:val="009D2C29"/>
    <w:rsid w:val="009D49C9"/>
    <w:rsid w:val="009D5167"/>
    <w:rsid w:val="009D533A"/>
    <w:rsid w:val="009D73F1"/>
    <w:rsid w:val="009D73FD"/>
    <w:rsid w:val="009E0595"/>
    <w:rsid w:val="009E24EC"/>
    <w:rsid w:val="009E2F6C"/>
    <w:rsid w:val="009E518F"/>
    <w:rsid w:val="009E527F"/>
    <w:rsid w:val="009E67CB"/>
    <w:rsid w:val="009E6E93"/>
    <w:rsid w:val="009F0388"/>
    <w:rsid w:val="009F138F"/>
    <w:rsid w:val="009F5B82"/>
    <w:rsid w:val="009F6ED0"/>
    <w:rsid w:val="009F7E8F"/>
    <w:rsid w:val="00A05041"/>
    <w:rsid w:val="00A075E3"/>
    <w:rsid w:val="00A13F82"/>
    <w:rsid w:val="00A143A1"/>
    <w:rsid w:val="00A16664"/>
    <w:rsid w:val="00A16A5E"/>
    <w:rsid w:val="00A1794D"/>
    <w:rsid w:val="00A2055F"/>
    <w:rsid w:val="00A211C9"/>
    <w:rsid w:val="00A219D9"/>
    <w:rsid w:val="00A21BB1"/>
    <w:rsid w:val="00A22C3D"/>
    <w:rsid w:val="00A22E0D"/>
    <w:rsid w:val="00A254F8"/>
    <w:rsid w:val="00A32CCF"/>
    <w:rsid w:val="00A336B2"/>
    <w:rsid w:val="00A35FE7"/>
    <w:rsid w:val="00A41ED3"/>
    <w:rsid w:val="00A47E93"/>
    <w:rsid w:val="00A47FA2"/>
    <w:rsid w:val="00A509F3"/>
    <w:rsid w:val="00A5122D"/>
    <w:rsid w:val="00A51942"/>
    <w:rsid w:val="00A51A7E"/>
    <w:rsid w:val="00A551F6"/>
    <w:rsid w:val="00A55CD5"/>
    <w:rsid w:val="00A55F4F"/>
    <w:rsid w:val="00A56BEB"/>
    <w:rsid w:val="00A57D8C"/>
    <w:rsid w:val="00A62626"/>
    <w:rsid w:val="00A62AE5"/>
    <w:rsid w:val="00A64B25"/>
    <w:rsid w:val="00A65361"/>
    <w:rsid w:val="00A70CFB"/>
    <w:rsid w:val="00A732D5"/>
    <w:rsid w:val="00A748BA"/>
    <w:rsid w:val="00A74FD8"/>
    <w:rsid w:val="00A75D30"/>
    <w:rsid w:val="00A8184D"/>
    <w:rsid w:val="00A834A5"/>
    <w:rsid w:val="00A83862"/>
    <w:rsid w:val="00A83B5E"/>
    <w:rsid w:val="00A8486C"/>
    <w:rsid w:val="00A86287"/>
    <w:rsid w:val="00A935DD"/>
    <w:rsid w:val="00A95448"/>
    <w:rsid w:val="00A96702"/>
    <w:rsid w:val="00A97EB2"/>
    <w:rsid w:val="00AA0825"/>
    <w:rsid w:val="00AA14A9"/>
    <w:rsid w:val="00AA24CD"/>
    <w:rsid w:val="00AA4D19"/>
    <w:rsid w:val="00AA79FD"/>
    <w:rsid w:val="00AB069B"/>
    <w:rsid w:val="00AB2A08"/>
    <w:rsid w:val="00AB39B3"/>
    <w:rsid w:val="00AB3CFF"/>
    <w:rsid w:val="00AB46EB"/>
    <w:rsid w:val="00AB481A"/>
    <w:rsid w:val="00AB4C5C"/>
    <w:rsid w:val="00AB780A"/>
    <w:rsid w:val="00AC1003"/>
    <w:rsid w:val="00AC1AAE"/>
    <w:rsid w:val="00AC4315"/>
    <w:rsid w:val="00AC47A5"/>
    <w:rsid w:val="00AC4BCF"/>
    <w:rsid w:val="00AC7FB7"/>
    <w:rsid w:val="00AD42DA"/>
    <w:rsid w:val="00AD46F9"/>
    <w:rsid w:val="00AE1E99"/>
    <w:rsid w:val="00AE2CBA"/>
    <w:rsid w:val="00AE39C2"/>
    <w:rsid w:val="00AE66EF"/>
    <w:rsid w:val="00AE7679"/>
    <w:rsid w:val="00AF4789"/>
    <w:rsid w:val="00AF61B8"/>
    <w:rsid w:val="00B028D0"/>
    <w:rsid w:val="00B028F0"/>
    <w:rsid w:val="00B02D38"/>
    <w:rsid w:val="00B02D7A"/>
    <w:rsid w:val="00B03457"/>
    <w:rsid w:val="00B037DF"/>
    <w:rsid w:val="00B03D04"/>
    <w:rsid w:val="00B06DBC"/>
    <w:rsid w:val="00B07A5D"/>
    <w:rsid w:val="00B07E83"/>
    <w:rsid w:val="00B110AD"/>
    <w:rsid w:val="00B11716"/>
    <w:rsid w:val="00B12217"/>
    <w:rsid w:val="00B162DD"/>
    <w:rsid w:val="00B16627"/>
    <w:rsid w:val="00B16904"/>
    <w:rsid w:val="00B1716B"/>
    <w:rsid w:val="00B177B9"/>
    <w:rsid w:val="00B22833"/>
    <w:rsid w:val="00B22865"/>
    <w:rsid w:val="00B22920"/>
    <w:rsid w:val="00B232E0"/>
    <w:rsid w:val="00B26AA1"/>
    <w:rsid w:val="00B26F0F"/>
    <w:rsid w:val="00B26F4C"/>
    <w:rsid w:val="00B2709A"/>
    <w:rsid w:val="00B271BA"/>
    <w:rsid w:val="00B2771A"/>
    <w:rsid w:val="00B27792"/>
    <w:rsid w:val="00B31DD6"/>
    <w:rsid w:val="00B32A3C"/>
    <w:rsid w:val="00B3429E"/>
    <w:rsid w:val="00B345F8"/>
    <w:rsid w:val="00B349BF"/>
    <w:rsid w:val="00B3514A"/>
    <w:rsid w:val="00B35A8E"/>
    <w:rsid w:val="00B37DEF"/>
    <w:rsid w:val="00B406C0"/>
    <w:rsid w:val="00B4649F"/>
    <w:rsid w:val="00B510AB"/>
    <w:rsid w:val="00B512E0"/>
    <w:rsid w:val="00B51A14"/>
    <w:rsid w:val="00B53322"/>
    <w:rsid w:val="00B53912"/>
    <w:rsid w:val="00B55DC6"/>
    <w:rsid w:val="00B60072"/>
    <w:rsid w:val="00B60A6D"/>
    <w:rsid w:val="00B61422"/>
    <w:rsid w:val="00B64EE8"/>
    <w:rsid w:val="00B6697D"/>
    <w:rsid w:val="00B6764A"/>
    <w:rsid w:val="00B70949"/>
    <w:rsid w:val="00B714AA"/>
    <w:rsid w:val="00B74237"/>
    <w:rsid w:val="00B746A9"/>
    <w:rsid w:val="00B775C4"/>
    <w:rsid w:val="00B811AA"/>
    <w:rsid w:val="00B82F15"/>
    <w:rsid w:val="00B8312F"/>
    <w:rsid w:val="00B84486"/>
    <w:rsid w:val="00B85D9B"/>
    <w:rsid w:val="00B90A1F"/>
    <w:rsid w:val="00B918AC"/>
    <w:rsid w:val="00B92155"/>
    <w:rsid w:val="00B93C33"/>
    <w:rsid w:val="00BA3AB4"/>
    <w:rsid w:val="00BA441D"/>
    <w:rsid w:val="00BA4622"/>
    <w:rsid w:val="00BA7256"/>
    <w:rsid w:val="00BB4C9F"/>
    <w:rsid w:val="00BB51C2"/>
    <w:rsid w:val="00BC011E"/>
    <w:rsid w:val="00BC0794"/>
    <w:rsid w:val="00BC0D5D"/>
    <w:rsid w:val="00BC3A19"/>
    <w:rsid w:val="00BC41C9"/>
    <w:rsid w:val="00BC5A13"/>
    <w:rsid w:val="00BC63EA"/>
    <w:rsid w:val="00BC77D9"/>
    <w:rsid w:val="00BD240D"/>
    <w:rsid w:val="00BD3081"/>
    <w:rsid w:val="00BD380D"/>
    <w:rsid w:val="00BD3AAA"/>
    <w:rsid w:val="00BD5411"/>
    <w:rsid w:val="00BD6F89"/>
    <w:rsid w:val="00BE03C8"/>
    <w:rsid w:val="00BE2F68"/>
    <w:rsid w:val="00BE38FC"/>
    <w:rsid w:val="00BE5BA9"/>
    <w:rsid w:val="00BF0190"/>
    <w:rsid w:val="00BF3DA7"/>
    <w:rsid w:val="00BF7945"/>
    <w:rsid w:val="00C03C7B"/>
    <w:rsid w:val="00C0567E"/>
    <w:rsid w:val="00C0730D"/>
    <w:rsid w:val="00C11EE7"/>
    <w:rsid w:val="00C13C64"/>
    <w:rsid w:val="00C14137"/>
    <w:rsid w:val="00C176A8"/>
    <w:rsid w:val="00C2043E"/>
    <w:rsid w:val="00C20C07"/>
    <w:rsid w:val="00C21982"/>
    <w:rsid w:val="00C22B7D"/>
    <w:rsid w:val="00C22C25"/>
    <w:rsid w:val="00C23E4E"/>
    <w:rsid w:val="00C241B7"/>
    <w:rsid w:val="00C24AAF"/>
    <w:rsid w:val="00C24DB0"/>
    <w:rsid w:val="00C3362D"/>
    <w:rsid w:val="00C33E45"/>
    <w:rsid w:val="00C343A9"/>
    <w:rsid w:val="00C3493B"/>
    <w:rsid w:val="00C36925"/>
    <w:rsid w:val="00C370AB"/>
    <w:rsid w:val="00C37434"/>
    <w:rsid w:val="00C37458"/>
    <w:rsid w:val="00C40FBC"/>
    <w:rsid w:val="00C41B48"/>
    <w:rsid w:val="00C438DD"/>
    <w:rsid w:val="00C43CD1"/>
    <w:rsid w:val="00C44903"/>
    <w:rsid w:val="00C45020"/>
    <w:rsid w:val="00C45260"/>
    <w:rsid w:val="00C45A4F"/>
    <w:rsid w:val="00C45C81"/>
    <w:rsid w:val="00C46E10"/>
    <w:rsid w:val="00C5022C"/>
    <w:rsid w:val="00C511B9"/>
    <w:rsid w:val="00C534B9"/>
    <w:rsid w:val="00C552FD"/>
    <w:rsid w:val="00C57220"/>
    <w:rsid w:val="00C63573"/>
    <w:rsid w:val="00C64FD3"/>
    <w:rsid w:val="00C71C53"/>
    <w:rsid w:val="00C71E87"/>
    <w:rsid w:val="00C722F7"/>
    <w:rsid w:val="00C728E8"/>
    <w:rsid w:val="00C72C6E"/>
    <w:rsid w:val="00C746FF"/>
    <w:rsid w:val="00C74A5E"/>
    <w:rsid w:val="00C75B64"/>
    <w:rsid w:val="00C767E0"/>
    <w:rsid w:val="00C8083E"/>
    <w:rsid w:val="00C848BD"/>
    <w:rsid w:val="00C867B3"/>
    <w:rsid w:val="00C8697E"/>
    <w:rsid w:val="00C87201"/>
    <w:rsid w:val="00C876C0"/>
    <w:rsid w:val="00C91BD3"/>
    <w:rsid w:val="00C935A1"/>
    <w:rsid w:val="00C93E57"/>
    <w:rsid w:val="00C94804"/>
    <w:rsid w:val="00C95D8A"/>
    <w:rsid w:val="00C96331"/>
    <w:rsid w:val="00CA1E0B"/>
    <w:rsid w:val="00CA61C5"/>
    <w:rsid w:val="00CA641E"/>
    <w:rsid w:val="00CB0B28"/>
    <w:rsid w:val="00CB16D5"/>
    <w:rsid w:val="00CB1C5E"/>
    <w:rsid w:val="00CB4647"/>
    <w:rsid w:val="00CB4CBA"/>
    <w:rsid w:val="00CB6316"/>
    <w:rsid w:val="00CB719A"/>
    <w:rsid w:val="00CC1DF4"/>
    <w:rsid w:val="00CC38EA"/>
    <w:rsid w:val="00CC3B81"/>
    <w:rsid w:val="00CC44B5"/>
    <w:rsid w:val="00CC5155"/>
    <w:rsid w:val="00CC5596"/>
    <w:rsid w:val="00CC5913"/>
    <w:rsid w:val="00CC63FA"/>
    <w:rsid w:val="00CC69FD"/>
    <w:rsid w:val="00CC6FCD"/>
    <w:rsid w:val="00CC78E5"/>
    <w:rsid w:val="00CD16AA"/>
    <w:rsid w:val="00CD1869"/>
    <w:rsid w:val="00CD1FDA"/>
    <w:rsid w:val="00CD3DDE"/>
    <w:rsid w:val="00CD4277"/>
    <w:rsid w:val="00CD5D1C"/>
    <w:rsid w:val="00CE15B4"/>
    <w:rsid w:val="00CE23D8"/>
    <w:rsid w:val="00CE2F8C"/>
    <w:rsid w:val="00CE40AF"/>
    <w:rsid w:val="00CE503B"/>
    <w:rsid w:val="00CE68BA"/>
    <w:rsid w:val="00CF060B"/>
    <w:rsid w:val="00CF1560"/>
    <w:rsid w:val="00CF1D2A"/>
    <w:rsid w:val="00CF29F5"/>
    <w:rsid w:val="00CF5EBC"/>
    <w:rsid w:val="00CF75CA"/>
    <w:rsid w:val="00CF75CC"/>
    <w:rsid w:val="00CF7B67"/>
    <w:rsid w:val="00D00FD5"/>
    <w:rsid w:val="00D027FA"/>
    <w:rsid w:val="00D02F8C"/>
    <w:rsid w:val="00D03F58"/>
    <w:rsid w:val="00D041F2"/>
    <w:rsid w:val="00D05901"/>
    <w:rsid w:val="00D11F00"/>
    <w:rsid w:val="00D11FE3"/>
    <w:rsid w:val="00D12887"/>
    <w:rsid w:val="00D17325"/>
    <w:rsid w:val="00D24765"/>
    <w:rsid w:val="00D253C7"/>
    <w:rsid w:val="00D258F8"/>
    <w:rsid w:val="00D30878"/>
    <w:rsid w:val="00D309F3"/>
    <w:rsid w:val="00D31617"/>
    <w:rsid w:val="00D34CE2"/>
    <w:rsid w:val="00D365CB"/>
    <w:rsid w:val="00D40791"/>
    <w:rsid w:val="00D45703"/>
    <w:rsid w:val="00D46A05"/>
    <w:rsid w:val="00D46E12"/>
    <w:rsid w:val="00D46E37"/>
    <w:rsid w:val="00D473B3"/>
    <w:rsid w:val="00D51B53"/>
    <w:rsid w:val="00D52086"/>
    <w:rsid w:val="00D525A4"/>
    <w:rsid w:val="00D54F5C"/>
    <w:rsid w:val="00D56CD4"/>
    <w:rsid w:val="00D63D80"/>
    <w:rsid w:val="00D64D8C"/>
    <w:rsid w:val="00D66BDF"/>
    <w:rsid w:val="00D67336"/>
    <w:rsid w:val="00D676AE"/>
    <w:rsid w:val="00D72CB5"/>
    <w:rsid w:val="00D73DA3"/>
    <w:rsid w:val="00D74038"/>
    <w:rsid w:val="00D743CF"/>
    <w:rsid w:val="00D74A80"/>
    <w:rsid w:val="00D74C6A"/>
    <w:rsid w:val="00D755C1"/>
    <w:rsid w:val="00D806D6"/>
    <w:rsid w:val="00D81705"/>
    <w:rsid w:val="00D82D66"/>
    <w:rsid w:val="00D841CC"/>
    <w:rsid w:val="00D84F93"/>
    <w:rsid w:val="00D92337"/>
    <w:rsid w:val="00D942EB"/>
    <w:rsid w:val="00D96A64"/>
    <w:rsid w:val="00DA2538"/>
    <w:rsid w:val="00DA2A7B"/>
    <w:rsid w:val="00DA2B44"/>
    <w:rsid w:val="00DA3719"/>
    <w:rsid w:val="00DA3B2B"/>
    <w:rsid w:val="00DA5025"/>
    <w:rsid w:val="00DA7DB1"/>
    <w:rsid w:val="00DB00CD"/>
    <w:rsid w:val="00DB0432"/>
    <w:rsid w:val="00DB2CB8"/>
    <w:rsid w:val="00DB2CB9"/>
    <w:rsid w:val="00DB3EDE"/>
    <w:rsid w:val="00DB719F"/>
    <w:rsid w:val="00DB7C1F"/>
    <w:rsid w:val="00DC421E"/>
    <w:rsid w:val="00DC4E37"/>
    <w:rsid w:val="00DC653F"/>
    <w:rsid w:val="00DC7E1B"/>
    <w:rsid w:val="00DD1DDC"/>
    <w:rsid w:val="00DD2C49"/>
    <w:rsid w:val="00DD30E6"/>
    <w:rsid w:val="00DD3740"/>
    <w:rsid w:val="00DD3EBB"/>
    <w:rsid w:val="00DD490D"/>
    <w:rsid w:val="00DD4C50"/>
    <w:rsid w:val="00DD7A9F"/>
    <w:rsid w:val="00DD7E7A"/>
    <w:rsid w:val="00DE1AB0"/>
    <w:rsid w:val="00DE4604"/>
    <w:rsid w:val="00DF111F"/>
    <w:rsid w:val="00DF39E3"/>
    <w:rsid w:val="00DF5522"/>
    <w:rsid w:val="00DF6B7B"/>
    <w:rsid w:val="00E0005B"/>
    <w:rsid w:val="00E0176C"/>
    <w:rsid w:val="00E02E68"/>
    <w:rsid w:val="00E033B7"/>
    <w:rsid w:val="00E06A1A"/>
    <w:rsid w:val="00E06C2F"/>
    <w:rsid w:val="00E07145"/>
    <w:rsid w:val="00E15688"/>
    <w:rsid w:val="00E16436"/>
    <w:rsid w:val="00E209B8"/>
    <w:rsid w:val="00E21AE9"/>
    <w:rsid w:val="00E22C26"/>
    <w:rsid w:val="00E24399"/>
    <w:rsid w:val="00E24C45"/>
    <w:rsid w:val="00E25D7E"/>
    <w:rsid w:val="00E274C6"/>
    <w:rsid w:val="00E274DD"/>
    <w:rsid w:val="00E337EF"/>
    <w:rsid w:val="00E41399"/>
    <w:rsid w:val="00E419BC"/>
    <w:rsid w:val="00E43C80"/>
    <w:rsid w:val="00E45481"/>
    <w:rsid w:val="00E4571D"/>
    <w:rsid w:val="00E45E35"/>
    <w:rsid w:val="00E46988"/>
    <w:rsid w:val="00E473B2"/>
    <w:rsid w:val="00E52062"/>
    <w:rsid w:val="00E5386B"/>
    <w:rsid w:val="00E55F2F"/>
    <w:rsid w:val="00E56D49"/>
    <w:rsid w:val="00E57E9C"/>
    <w:rsid w:val="00E602D4"/>
    <w:rsid w:val="00E60880"/>
    <w:rsid w:val="00E61199"/>
    <w:rsid w:val="00E623C2"/>
    <w:rsid w:val="00E63279"/>
    <w:rsid w:val="00E63B5D"/>
    <w:rsid w:val="00E674C1"/>
    <w:rsid w:val="00E703F5"/>
    <w:rsid w:val="00E724E6"/>
    <w:rsid w:val="00E73AE9"/>
    <w:rsid w:val="00E74BD5"/>
    <w:rsid w:val="00E7592A"/>
    <w:rsid w:val="00E76618"/>
    <w:rsid w:val="00E77B0D"/>
    <w:rsid w:val="00E839DA"/>
    <w:rsid w:val="00E840C6"/>
    <w:rsid w:val="00E84B6B"/>
    <w:rsid w:val="00E866DA"/>
    <w:rsid w:val="00E866E2"/>
    <w:rsid w:val="00E90756"/>
    <w:rsid w:val="00E90B4F"/>
    <w:rsid w:val="00E91104"/>
    <w:rsid w:val="00E915E3"/>
    <w:rsid w:val="00E9203B"/>
    <w:rsid w:val="00E946CD"/>
    <w:rsid w:val="00E94DA2"/>
    <w:rsid w:val="00E95789"/>
    <w:rsid w:val="00E96457"/>
    <w:rsid w:val="00E96D45"/>
    <w:rsid w:val="00E97B4B"/>
    <w:rsid w:val="00EA3F79"/>
    <w:rsid w:val="00EA4266"/>
    <w:rsid w:val="00EA45A5"/>
    <w:rsid w:val="00EA51B1"/>
    <w:rsid w:val="00EA626B"/>
    <w:rsid w:val="00EA63F0"/>
    <w:rsid w:val="00EA65DC"/>
    <w:rsid w:val="00EA67EF"/>
    <w:rsid w:val="00EA7C6D"/>
    <w:rsid w:val="00EB16BA"/>
    <w:rsid w:val="00EB28BF"/>
    <w:rsid w:val="00EB40EB"/>
    <w:rsid w:val="00EB4197"/>
    <w:rsid w:val="00EB4756"/>
    <w:rsid w:val="00EC1463"/>
    <w:rsid w:val="00EC2896"/>
    <w:rsid w:val="00EC4AFD"/>
    <w:rsid w:val="00EC50BA"/>
    <w:rsid w:val="00EC5340"/>
    <w:rsid w:val="00EC5E9A"/>
    <w:rsid w:val="00ED0067"/>
    <w:rsid w:val="00ED06E4"/>
    <w:rsid w:val="00ED0AA7"/>
    <w:rsid w:val="00ED2AA7"/>
    <w:rsid w:val="00ED3777"/>
    <w:rsid w:val="00ED4848"/>
    <w:rsid w:val="00ED4F21"/>
    <w:rsid w:val="00ED600E"/>
    <w:rsid w:val="00ED602F"/>
    <w:rsid w:val="00EE2509"/>
    <w:rsid w:val="00EE2D9F"/>
    <w:rsid w:val="00EE3D03"/>
    <w:rsid w:val="00EE5DE6"/>
    <w:rsid w:val="00EE740D"/>
    <w:rsid w:val="00EF0587"/>
    <w:rsid w:val="00EF25D7"/>
    <w:rsid w:val="00EF5917"/>
    <w:rsid w:val="00EF7A1D"/>
    <w:rsid w:val="00EF7A7F"/>
    <w:rsid w:val="00F015EE"/>
    <w:rsid w:val="00F029FB"/>
    <w:rsid w:val="00F02E68"/>
    <w:rsid w:val="00F02F65"/>
    <w:rsid w:val="00F0391D"/>
    <w:rsid w:val="00F03F7B"/>
    <w:rsid w:val="00F0509C"/>
    <w:rsid w:val="00F0723D"/>
    <w:rsid w:val="00F112FF"/>
    <w:rsid w:val="00F113C2"/>
    <w:rsid w:val="00F11886"/>
    <w:rsid w:val="00F13A02"/>
    <w:rsid w:val="00F13C5A"/>
    <w:rsid w:val="00F14BDB"/>
    <w:rsid w:val="00F17267"/>
    <w:rsid w:val="00F22A9B"/>
    <w:rsid w:val="00F22AF2"/>
    <w:rsid w:val="00F23A76"/>
    <w:rsid w:val="00F2438C"/>
    <w:rsid w:val="00F2677A"/>
    <w:rsid w:val="00F27D29"/>
    <w:rsid w:val="00F310F8"/>
    <w:rsid w:val="00F311FB"/>
    <w:rsid w:val="00F31412"/>
    <w:rsid w:val="00F34318"/>
    <w:rsid w:val="00F34813"/>
    <w:rsid w:val="00F35A1B"/>
    <w:rsid w:val="00F36B19"/>
    <w:rsid w:val="00F424C9"/>
    <w:rsid w:val="00F43966"/>
    <w:rsid w:val="00F46453"/>
    <w:rsid w:val="00F46813"/>
    <w:rsid w:val="00F473E9"/>
    <w:rsid w:val="00F52485"/>
    <w:rsid w:val="00F52674"/>
    <w:rsid w:val="00F54B6A"/>
    <w:rsid w:val="00F5587F"/>
    <w:rsid w:val="00F55A39"/>
    <w:rsid w:val="00F56BB3"/>
    <w:rsid w:val="00F57AA5"/>
    <w:rsid w:val="00F61E60"/>
    <w:rsid w:val="00F65542"/>
    <w:rsid w:val="00F66585"/>
    <w:rsid w:val="00F66B41"/>
    <w:rsid w:val="00F67D1E"/>
    <w:rsid w:val="00F73284"/>
    <w:rsid w:val="00F743EB"/>
    <w:rsid w:val="00F75AD8"/>
    <w:rsid w:val="00F77456"/>
    <w:rsid w:val="00F77874"/>
    <w:rsid w:val="00F77F9C"/>
    <w:rsid w:val="00F82A0E"/>
    <w:rsid w:val="00F84D11"/>
    <w:rsid w:val="00F85FAD"/>
    <w:rsid w:val="00F87BF3"/>
    <w:rsid w:val="00F91FE1"/>
    <w:rsid w:val="00F97030"/>
    <w:rsid w:val="00F970FB"/>
    <w:rsid w:val="00FA3AD5"/>
    <w:rsid w:val="00FA7B0A"/>
    <w:rsid w:val="00FB1E3B"/>
    <w:rsid w:val="00FB39CB"/>
    <w:rsid w:val="00FB42D3"/>
    <w:rsid w:val="00FB597C"/>
    <w:rsid w:val="00FC1909"/>
    <w:rsid w:val="00FC2254"/>
    <w:rsid w:val="00FC30DA"/>
    <w:rsid w:val="00FC3519"/>
    <w:rsid w:val="00FC36F8"/>
    <w:rsid w:val="00FC3CFF"/>
    <w:rsid w:val="00FC4BC9"/>
    <w:rsid w:val="00FC64EE"/>
    <w:rsid w:val="00FC6C2A"/>
    <w:rsid w:val="00FC6F9A"/>
    <w:rsid w:val="00FC73E4"/>
    <w:rsid w:val="00FD1F30"/>
    <w:rsid w:val="00FD6046"/>
    <w:rsid w:val="00FE161D"/>
    <w:rsid w:val="00FE511D"/>
    <w:rsid w:val="00FF13D5"/>
    <w:rsid w:val="00FF2DF2"/>
    <w:rsid w:val="00FF361A"/>
    <w:rsid w:val="00FF4DB8"/>
    <w:rsid w:val="00FF6780"/>
    <w:rsid w:val="00FF7A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silver,#eaeaea"/>
    </o:shapedefaults>
    <o:shapelayout v:ext="edit">
      <o:idmap v:ext="edit" data="1"/>
    </o:shapelayout>
  </w:shapeDefaults>
  <w:decimalSymbol w:val="."/>
  <w:listSeparator w:val=","/>
  <w14:docId w14:val="1BCF4817"/>
  <w15:docId w15:val="{33F6CE59-7506-4E05-A269-5E3320E8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6"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uiPriority w:val="2"/>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uiPriority w:val="2"/>
    <w:qFormat/>
    <w:rsid w:val="00426876"/>
    <w:pPr>
      <w:numPr>
        <w:ilvl w:val="1"/>
      </w:numPr>
    </w:pPr>
  </w:style>
  <w:style w:type="paragraph" w:customStyle="1" w:styleId="NumPlain3">
    <w:name w:val="Num Plain3"/>
    <w:basedOn w:val="NumPlain2"/>
    <w:uiPriority w:val="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Default">
    <w:name w:val="Default"/>
    <w:rsid w:val="00532102"/>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6F608F"/>
    <w:rPr>
      <w:rFonts w:ascii="Segoe UI" w:hAnsi="Segoe UI" w:cs="Segoe UI"/>
      <w:sz w:val="18"/>
      <w:szCs w:val="18"/>
    </w:rPr>
  </w:style>
  <w:style w:type="character" w:customStyle="1" w:styleId="BalloonTextChar">
    <w:name w:val="Balloon Text Char"/>
    <w:basedOn w:val="DefaultParagraphFont"/>
    <w:link w:val="BalloonText"/>
    <w:semiHidden/>
    <w:rsid w:val="006F608F"/>
    <w:rPr>
      <w:rFonts w:ascii="Segoe UI" w:hAnsi="Segoe UI" w:cs="Segoe UI"/>
      <w:sz w:val="18"/>
      <w:szCs w:val="18"/>
      <w:lang w:eastAsia="en-US"/>
    </w:rPr>
  </w:style>
  <w:style w:type="character" w:customStyle="1" w:styleId="HeaderChar">
    <w:name w:val="Header Char"/>
    <w:basedOn w:val="DefaultParagraphFont"/>
    <w:link w:val="Header"/>
    <w:uiPriority w:val="99"/>
    <w:rsid w:val="00EB16BA"/>
    <w:rPr>
      <w:sz w:val="19"/>
      <w:lang w:eastAsia="en-US"/>
    </w:rPr>
  </w:style>
  <w:style w:type="character" w:styleId="CommentReference">
    <w:name w:val="annotation reference"/>
    <w:basedOn w:val="DefaultParagraphFont"/>
    <w:semiHidden/>
    <w:unhideWhenUsed/>
    <w:rsid w:val="00A65361"/>
    <w:rPr>
      <w:sz w:val="16"/>
      <w:szCs w:val="16"/>
    </w:rPr>
  </w:style>
  <w:style w:type="paragraph" w:styleId="CommentText">
    <w:name w:val="annotation text"/>
    <w:basedOn w:val="Normal"/>
    <w:link w:val="CommentTextChar"/>
    <w:semiHidden/>
    <w:unhideWhenUsed/>
    <w:rsid w:val="00A65361"/>
    <w:rPr>
      <w:sz w:val="20"/>
    </w:rPr>
  </w:style>
  <w:style w:type="character" w:customStyle="1" w:styleId="CommentTextChar">
    <w:name w:val="Comment Text Char"/>
    <w:basedOn w:val="DefaultParagraphFont"/>
    <w:link w:val="CommentText"/>
    <w:semiHidden/>
    <w:rsid w:val="00A65361"/>
    <w:rPr>
      <w:lang w:eastAsia="en-US"/>
    </w:rPr>
  </w:style>
  <w:style w:type="paragraph" w:styleId="CommentSubject">
    <w:name w:val="annotation subject"/>
    <w:basedOn w:val="CommentText"/>
    <w:next w:val="CommentText"/>
    <w:link w:val="CommentSubjectChar"/>
    <w:semiHidden/>
    <w:unhideWhenUsed/>
    <w:rsid w:val="00A65361"/>
    <w:rPr>
      <w:b/>
      <w:bCs/>
    </w:rPr>
  </w:style>
  <w:style w:type="character" w:customStyle="1" w:styleId="CommentSubjectChar">
    <w:name w:val="Comment Subject Char"/>
    <w:basedOn w:val="CommentTextChar"/>
    <w:link w:val="CommentSubject"/>
    <w:semiHidden/>
    <w:rsid w:val="00A65361"/>
    <w:rPr>
      <w:b/>
      <w:bCs/>
      <w:lang w:eastAsia="en-US"/>
    </w:rPr>
  </w:style>
  <w:style w:type="paragraph" w:styleId="ListParagraph">
    <w:name w:val="List Paragraph"/>
    <w:basedOn w:val="Normal"/>
    <w:uiPriority w:val="34"/>
    <w:rsid w:val="00BC3A19"/>
    <w:pPr>
      <w:ind w:left="720"/>
      <w:contextualSpacing/>
      <w:jc w:val="left"/>
    </w:pPr>
    <w:rPr>
      <w:sz w:val="24"/>
      <w:szCs w:val="24"/>
      <w:lang w:eastAsia="en-AU"/>
    </w:rPr>
  </w:style>
  <w:style w:type="paragraph" w:styleId="NormalWeb">
    <w:name w:val="Normal (Web)"/>
    <w:basedOn w:val="Normal"/>
    <w:uiPriority w:val="6"/>
    <w:semiHidden/>
    <w:rsid w:val="00BC3A19"/>
    <w:pPr>
      <w:jc w:val="left"/>
    </w:pPr>
    <w:rPr>
      <w:sz w:val="24"/>
      <w:szCs w:val="24"/>
      <w:lang w:eastAsia="en-AU"/>
    </w:rPr>
  </w:style>
  <w:style w:type="paragraph" w:customStyle="1" w:styleId="IGpara1">
    <w:name w:val="IG para 1"/>
    <w:basedOn w:val="Normal"/>
    <w:uiPriority w:val="9"/>
    <w:qFormat/>
    <w:rsid w:val="00C8083E"/>
    <w:pPr>
      <w:numPr>
        <w:numId w:val="21"/>
      </w:numPr>
      <w:spacing w:after="100"/>
    </w:pPr>
    <w:rPr>
      <w:szCs w:val="19"/>
    </w:rPr>
  </w:style>
  <w:style w:type="paragraph" w:customStyle="1" w:styleId="IASBNote">
    <w:name w:val="IASB Note"/>
    <w:basedOn w:val="Normal"/>
    <w:uiPriority w:val="8"/>
    <w:rsid w:val="00C8083E"/>
    <w:pPr>
      <w:tabs>
        <w:tab w:val="left" w:pos="4253"/>
      </w:tabs>
      <w:spacing w:before="100" w:after="100"/>
    </w:pPr>
    <w:rPr>
      <w:i/>
    </w:rPr>
  </w:style>
  <w:style w:type="paragraph" w:customStyle="1" w:styleId="NumBoldA2">
    <w:name w:val="Num BoldA2"/>
    <w:basedOn w:val="NumPlain2"/>
    <w:uiPriority w:val="9"/>
    <w:qFormat/>
    <w:rsid w:val="00C8083E"/>
    <w:pPr>
      <w:numPr>
        <w:ilvl w:val="0"/>
        <w:numId w:val="0"/>
      </w:numPr>
      <w:tabs>
        <w:tab w:val="num" w:pos="1021"/>
      </w:tabs>
      <w:spacing w:before="0"/>
      <w:ind w:left="1021" w:hanging="511"/>
    </w:pPr>
    <w:rPr>
      <w:b/>
      <w:szCs w:val="24"/>
      <w:lang w:eastAsia="en-AU"/>
    </w:rPr>
  </w:style>
  <w:style w:type="paragraph" w:customStyle="1" w:styleId="IASBSectionTitle1NonInd">
    <w:name w:val="IASB Section Title 1 NonInd"/>
    <w:basedOn w:val="Normal"/>
    <w:link w:val="IASBSectionTitle1NonIndChar"/>
    <w:uiPriority w:val="8"/>
    <w:rsid w:val="004D5AD1"/>
    <w:pPr>
      <w:keepNext/>
      <w:keepLines/>
      <w:pBdr>
        <w:bottom w:val="single" w:sz="4" w:space="0" w:color="auto"/>
      </w:pBdr>
      <w:spacing w:before="400" w:after="200"/>
      <w:jc w:val="left"/>
      <w:outlineLvl w:val="0"/>
    </w:pPr>
    <w:rPr>
      <w:rFonts w:ascii="Arial" w:hAnsi="Arial" w:cs="Arial"/>
      <w:b/>
      <w:sz w:val="26"/>
    </w:rPr>
  </w:style>
  <w:style w:type="character" w:customStyle="1" w:styleId="IASBSectionTitle1NonIndChar">
    <w:name w:val="IASB Section Title 1 NonInd Char"/>
    <w:basedOn w:val="DefaultParagraphFont"/>
    <w:link w:val="IASBSectionTitle1NonInd"/>
    <w:uiPriority w:val="8"/>
    <w:rsid w:val="004D5AD1"/>
    <w:rPr>
      <w:rFonts w:ascii="Arial" w:hAnsi="Arial" w:cs="Arial"/>
      <w:b/>
      <w:sz w:val="26"/>
      <w:lang w:eastAsia="en-US"/>
    </w:rPr>
  </w:style>
  <w:style w:type="paragraph" w:customStyle="1" w:styleId="ConvSectionTitle">
    <w:name w:val="Conv Section Title"/>
    <w:basedOn w:val="IASBSectionTitle1NonInd"/>
    <w:uiPriority w:val="9"/>
    <w:qFormat/>
    <w:rsid w:val="004D5AD1"/>
    <w:pPr>
      <w:pBdr>
        <w:bottom w:val="none" w:sz="0" w:space="0" w:color="auto"/>
      </w:pBdr>
    </w:pPr>
  </w:style>
  <w:style w:type="paragraph" w:customStyle="1" w:styleId="IASBSectionTitle2Ind">
    <w:name w:val="IASB Section Title 2 Ind"/>
    <w:basedOn w:val="Normal"/>
    <w:uiPriority w:val="8"/>
    <w:rsid w:val="009C54B8"/>
    <w:pPr>
      <w:keepNext/>
      <w:keepLines/>
      <w:spacing w:before="240" w:after="200"/>
      <w:ind w:left="782"/>
      <w:jc w:val="left"/>
      <w:outlineLvl w:val="1"/>
    </w:pPr>
    <w:rPr>
      <w:rFonts w:ascii="Arial" w:hAnsi="Arial" w:cs="Arial"/>
      <w:b/>
      <w:sz w:val="26"/>
    </w:rPr>
  </w:style>
  <w:style w:type="character" w:styleId="FootnoteReference">
    <w:name w:val="footnote reference"/>
    <w:basedOn w:val="DefaultParagraphFont"/>
    <w:semiHidden/>
    <w:unhideWhenUsed/>
    <w:rsid w:val="00490C6F"/>
    <w:rPr>
      <w:vertAlign w:val="superscript"/>
    </w:rPr>
  </w:style>
  <w:style w:type="paragraph" w:customStyle="1" w:styleId="IASBNormal">
    <w:name w:val="IASB Normal"/>
    <w:link w:val="IASBNormalChar"/>
    <w:uiPriority w:val="8"/>
    <w:rsid w:val="009E0595"/>
    <w:pPr>
      <w:tabs>
        <w:tab w:val="left" w:pos="4253"/>
      </w:tabs>
      <w:spacing w:before="100" w:after="100"/>
      <w:jc w:val="both"/>
    </w:pPr>
    <w:rPr>
      <w:sz w:val="19"/>
      <w:lang w:eastAsia="en-US"/>
    </w:rPr>
  </w:style>
  <w:style w:type="character" w:customStyle="1" w:styleId="IASBNormalChar">
    <w:name w:val="IASB Normal Char"/>
    <w:basedOn w:val="DefaultParagraphFont"/>
    <w:link w:val="IASBNormal"/>
    <w:uiPriority w:val="8"/>
    <w:rsid w:val="009E0595"/>
    <w:rPr>
      <w:sz w:val="19"/>
      <w:lang w:eastAsia="en-US"/>
    </w:rPr>
  </w:style>
  <w:style w:type="character" w:styleId="UnresolvedMention">
    <w:name w:val="Unresolved Mention"/>
    <w:basedOn w:val="DefaultParagraphFont"/>
    <w:uiPriority w:val="99"/>
    <w:semiHidden/>
    <w:unhideWhenUsed/>
    <w:rsid w:val="00557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C46006CD627C4DAB0A5D920EA18588" ma:contentTypeVersion="12" ma:contentTypeDescription="Create a new document." ma:contentTypeScope="" ma:versionID="faa33bdc1168148bdf5994864954b9c8">
  <xsd:schema xmlns:xsd="http://www.w3.org/2001/XMLSchema" xmlns:xs="http://www.w3.org/2001/XMLSchema" xmlns:p="http://schemas.microsoft.com/office/2006/metadata/properties" xmlns:ns3="5d3f9470-a3c7-46bb-8005-97f4844b7de8" xmlns:ns4="c1d7709e-ad09-4874-a631-612541faf18e" targetNamespace="http://schemas.microsoft.com/office/2006/metadata/properties" ma:root="true" ma:fieldsID="5165be52fca657300dac2ab1ad6b7c62" ns3:_="" ns4:_="">
    <xsd:import namespace="5d3f9470-a3c7-46bb-8005-97f4844b7de8"/>
    <xsd:import namespace="c1d7709e-ad09-4874-a631-612541faf1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f9470-a3c7-46bb-8005-97f4844b7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7709e-ad09-4874-a631-612541faf1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A6436-06AB-4731-809B-87B6A73BA946}">
  <ds:schemaRefs>
    <ds:schemaRef ds:uri="http://schemas.microsoft.com/sharepoint/v3/contenttype/forms"/>
  </ds:schemaRefs>
</ds:datastoreItem>
</file>

<file path=customXml/itemProps2.xml><?xml version="1.0" encoding="utf-8"?>
<ds:datastoreItem xmlns:ds="http://schemas.openxmlformats.org/officeDocument/2006/customXml" ds:itemID="{9384C141-B1AA-4EC8-88F6-920E6C7299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D9A8EA-A4C2-406A-8C3E-B07ED2D13A0E}">
  <ds:schemaRefs>
    <ds:schemaRef ds:uri="http://schemas.openxmlformats.org/officeDocument/2006/bibliography"/>
  </ds:schemaRefs>
</ds:datastoreItem>
</file>

<file path=customXml/itemProps4.xml><?xml version="1.0" encoding="utf-8"?>
<ds:datastoreItem xmlns:ds="http://schemas.openxmlformats.org/officeDocument/2006/customXml" ds:itemID="{BA172F54-743F-463E-8D06-60AA0CC83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f9470-a3c7-46bb-8005-97f4844b7de8"/>
    <ds:schemaRef ds:uri="c1d7709e-ad09-4874-a631-612541faf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3253</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subject/>
  <dc:creator>.</dc:creator>
  <cp:keywords/>
  <dc:description/>
  <cp:lastModifiedBy>Kathleen John</cp:lastModifiedBy>
  <cp:revision>4</cp:revision>
  <cp:lastPrinted>2021-06-24T04:31:00Z</cp:lastPrinted>
  <dcterms:created xsi:type="dcterms:W3CDTF">2021-06-24T04:12:00Z</dcterms:created>
  <dcterms:modified xsi:type="dcterms:W3CDTF">2021-06-24T04:32:00Z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0x010100EDC46006CD627C4DAB0A5D920EA18588</vt:lpwstr>
  </property>
</Properties>
</file>