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3000E" w14:textId="58765896" w:rsidR="00414BC3" w:rsidRPr="001B1D7C" w:rsidRDefault="00414BC3" w:rsidP="00A94F2A">
      <w:pPr>
        <w:pStyle w:val="CoverTitle"/>
        <w:spacing w:after="600"/>
        <w:jc w:val="center"/>
      </w:pPr>
      <w:r w:rsidRPr="001B1D7C">
        <w:t>Explanatory Statement</w:t>
      </w:r>
    </w:p>
    <w:p w14:paraId="1CB81A28" w14:textId="303AE80E" w:rsidR="006776BD" w:rsidRDefault="00396BCD" w:rsidP="00C677B9">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D60D2A">
        <w:rPr>
          <w:sz w:val="36"/>
          <w:szCs w:val="36"/>
        </w:rPr>
        <w:t>2021-4</w:t>
      </w:r>
      <w:r w:rsidR="00347521" w:rsidRPr="00314DC3">
        <w:rPr>
          <w:sz w:val="36"/>
          <w:szCs w:val="36"/>
        </w:rPr>
        <w:br/>
      </w:r>
      <w:r w:rsidR="00C14F83" w:rsidRPr="00C14F83">
        <w:rPr>
          <w:i/>
          <w:sz w:val="36"/>
          <w:szCs w:val="36"/>
        </w:rPr>
        <w:t xml:space="preserve">Amendments to Australian Accounting Standards – </w:t>
      </w:r>
      <w:r w:rsidR="00C677B9">
        <w:rPr>
          <w:i/>
          <w:sz w:val="36"/>
          <w:szCs w:val="36"/>
        </w:rPr>
        <w:br/>
      </w:r>
      <w:r w:rsidR="00B96DFC" w:rsidRPr="00B96DFC">
        <w:rPr>
          <w:i/>
          <w:sz w:val="36"/>
          <w:szCs w:val="36"/>
        </w:rPr>
        <w:t>Modified Retrospective Transition Approach for Service Concession</w:t>
      </w:r>
      <w:r w:rsidR="00B96DFC">
        <w:rPr>
          <w:i/>
          <w:sz w:val="36"/>
          <w:szCs w:val="36"/>
        </w:rPr>
        <w:t xml:space="preserve"> Grantors</w:t>
      </w:r>
    </w:p>
    <w:p w14:paraId="404A1F6F" w14:textId="77777777" w:rsidR="00D36B1E" w:rsidRPr="001B1D7C" w:rsidRDefault="00D36B1E" w:rsidP="00D36B1E">
      <w:pPr>
        <w:pStyle w:val="CoverSubtitle"/>
        <w:spacing w:after="3120"/>
        <w:rPr>
          <w:sz w:val="32"/>
          <w:szCs w:val="32"/>
        </w:rPr>
      </w:pPr>
    </w:p>
    <w:p w14:paraId="76A4C860" w14:textId="0216A860" w:rsidR="00D36B1E" w:rsidRPr="001B1D7C" w:rsidRDefault="00B96DFC" w:rsidP="00D36B1E">
      <w:pPr>
        <w:pStyle w:val="CoverDate"/>
        <w:tabs>
          <w:tab w:val="left" w:pos="3794"/>
          <w:tab w:val="left" w:pos="6232"/>
        </w:tabs>
        <w:spacing w:before="840"/>
        <w:jc w:val="center"/>
        <w:rPr>
          <w:b/>
          <w:sz w:val="28"/>
          <w:szCs w:val="28"/>
        </w:rPr>
      </w:pPr>
      <w:r>
        <w:rPr>
          <w:b/>
          <w:sz w:val="28"/>
          <w:szCs w:val="28"/>
        </w:rPr>
        <w:t>June</w:t>
      </w:r>
      <w:r w:rsidR="007A218F">
        <w:rPr>
          <w:b/>
          <w:sz w:val="28"/>
          <w:szCs w:val="28"/>
        </w:rPr>
        <w:t xml:space="preserve"> 20</w:t>
      </w:r>
      <w:r>
        <w:rPr>
          <w:b/>
          <w:sz w:val="28"/>
          <w:szCs w:val="28"/>
        </w:rPr>
        <w:t>21</w:t>
      </w:r>
    </w:p>
    <w:p w14:paraId="199CBD61" w14:textId="77777777" w:rsidR="00414BC3" w:rsidRPr="00314DC3" w:rsidRDefault="00684FE3">
      <w:pPr>
        <w:sectPr w:rsidR="00414BC3" w:rsidRPr="00314DC3" w:rsidSect="00B93CE4">
          <w:pgSz w:w="11907" w:h="16840"/>
          <w:pgMar w:top="1134" w:right="1134" w:bottom="1134" w:left="1134" w:header="720" w:footer="720" w:gutter="0"/>
          <w:cols w:space="720"/>
        </w:sectPr>
      </w:pPr>
      <w:r>
        <w:rPr>
          <w:noProof/>
        </w:rPr>
        <w:object w:dxaOrig="1440" w:dyaOrig="1440" w14:anchorId="4520E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11" o:title=""/>
            <w10:wrap anchorx="margin" anchory="margin"/>
            <w10:anchorlock/>
          </v:shape>
          <o:OLEObject Type="Embed" ProgID="Word.Picture.8" ShapeID="_x0000_s1026" DrawAspect="Content" ObjectID="_1686049440" r:id="rId12"/>
        </w:object>
      </w:r>
    </w:p>
    <w:p w14:paraId="2D19E39E" w14:textId="77777777" w:rsidR="00414BC3" w:rsidRPr="00314DC3" w:rsidRDefault="00414BC3">
      <w:pPr>
        <w:pStyle w:val="Heading1"/>
      </w:pPr>
      <w:r w:rsidRPr="00314DC3">
        <w:lastRenderedPageBreak/>
        <w:t>EXPLANATORY STATEMENT</w:t>
      </w:r>
    </w:p>
    <w:p w14:paraId="553DF2C6" w14:textId="55438140" w:rsidR="00FD4C0C" w:rsidRPr="001B1D7C" w:rsidRDefault="006B1B4A" w:rsidP="00FD4C0C">
      <w:pPr>
        <w:pStyle w:val="Heading2"/>
      </w:pPr>
      <w:r w:rsidRPr="00314DC3">
        <w:t>Standard</w:t>
      </w:r>
      <w:r w:rsidR="00465EBE">
        <w:t>s</w:t>
      </w:r>
      <w:r w:rsidRPr="00314DC3">
        <w:t xml:space="preserve"> Amended by</w:t>
      </w:r>
      <w:r w:rsidR="00FD4C0C" w:rsidRPr="001B1D7C">
        <w:t xml:space="preserve"> AASB</w:t>
      </w:r>
      <w:r w:rsidR="00F913AF">
        <w:t> </w:t>
      </w:r>
      <w:r w:rsidR="00D60D2A">
        <w:t>2021-4</w:t>
      </w:r>
    </w:p>
    <w:p w14:paraId="147EF4FD" w14:textId="7AEF5E98" w:rsidR="00C14F83" w:rsidRDefault="007A218F" w:rsidP="007A218F">
      <w:pPr>
        <w:pStyle w:val="NoNumPlain1"/>
      </w:pPr>
      <w:r>
        <w:t xml:space="preserve">This Standard makes amendments </w:t>
      </w:r>
      <w:r w:rsidR="003038C5">
        <w:t xml:space="preserve">to AASB 1059 </w:t>
      </w:r>
      <w:r w:rsidR="003038C5" w:rsidRPr="0063418D">
        <w:rPr>
          <w:i/>
        </w:rPr>
        <w:t>Service Concession Arrangements: Grantors</w:t>
      </w:r>
      <w:r w:rsidR="003038C5">
        <w:t xml:space="preserve"> (July 2017)</w:t>
      </w:r>
      <w:r w:rsidR="00C14F83" w:rsidRPr="00C14F83">
        <w:t>.</w:t>
      </w:r>
    </w:p>
    <w:p w14:paraId="3BCC0D9C" w14:textId="7C0FA773" w:rsidR="00C14F83" w:rsidRDefault="000B739E" w:rsidP="00F937C1">
      <w:pPr>
        <w:pStyle w:val="Heading3"/>
        <w:keepNext w:val="0"/>
        <w:spacing w:line="200" w:lineRule="exact"/>
        <w:rPr>
          <w:rFonts w:cs="Times New Roman"/>
          <w:b w:val="0"/>
          <w:bCs w:val="0"/>
          <w:iCs w:val="0"/>
          <w:sz w:val="20"/>
          <w:szCs w:val="20"/>
        </w:rPr>
      </w:pPr>
      <w:r w:rsidRPr="000B739E">
        <w:rPr>
          <w:rFonts w:cs="Times New Roman"/>
          <w:b w:val="0"/>
          <w:bCs w:val="0"/>
          <w:iCs w:val="0"/>
          <w:sz w:val="20"/>
          <w:szCs w:val="20"/>
        </w:rPr>
        <w:t xml:space="preserve">The AASB received </w:t>
      </w:r>
      <w:r w:rsidR="009C4FA2" w:rsidRPr="009C4FA2">
        <w:rPr>
          <w:rFonts w:cs="Times New Roman"/>
          <w:b w:val="0"/>
          <w:bCs w:val="0"/>
          <w:iCs w:val="0"/>
          <w:sz w:val="20"/>
          <w:szCs w:val="20"/>
        </w:rPr>
        <w:t>comments from a stakeholder regarding the modified retrospective method for measuring the Grant of a Right to the Operator (GORTO) liability set out in paragraph C4(c) of AASB 1059 when implementing the Standard. The stakeholder noted that the Standard is unclear how financial contributions paid by the grantor to the operator prior to the date of initial application should be treated when calculating the GORTO liability under the modified retrospective transition approach. The stakeholder noted that if these financial contributions were not adjusted in the grantor’s liability calculation, the GORTO liability at the date of initial application would be likely to be overstated, which in turn would lead to the overstatement of revenue in subsequent periods as the GORTO liability is unwound over the period of the service concession arrangement</w:t>
      </w:r>
      <w:r w:rsidR="009C4FA2">
        <w:rPr>
          <w:rFonts w:cs="Times New Roman"/>
          <w:b w:val="0"/>
          <w:bCs w:val="0"/>
          <w:iCs w:val="0"/>
          <w:sz w:val="20"/>
          <w:szCs w:val="20"/>
        </w:rPr>
        <w:t>.</w:t>
      </w:r>
      <w:r w:rsidRPr="000B739E">
        <w:rPr>
          <w:rFonts w:cs="Times New Roman"/>
          <w:b w:val="0"/>
          <w:bCs w:val="0"/>
          <w:iCs w:val="0"/>
          <w:sz w:val="20"/>
          <w:szCs w:val="20"/>
        </w:rPr>
        <w:t xml:space="preserve"> The AASB considered </w:t>
      </w:r>
      <w:r w:rsidR="009C4FA2">
        <w:rPr>
          <w:rFonts w:cs="Times New Roman"/>
          <w:b w:val="0"/>
          <w:bCs w:val="0"/>
          <w:iCs w:val="0"/>
          <w:sz w:val="20"/>
          <w:szCs w:val="20"/>
        </w:rPr>
        <w:t xml:space="preserve">the </w:t>
      </w:r>
      <w:r w:rsidRPr="000B739E">
        <w:rPr>
          <w:rFonts w:cs="Times New Roman"/>
          <w:b w:val="0"/>
          <w:bCs w:val="0"/>
          <w:iCs w:val="0"/>
          <w:sz w:val="20"/>
          <w:szCs w:val="20"/>
        </w:rPr>
        <w:t xml:space="preserve">stakeholders’ </w:t>
      </w:r>
      <w:r w:rsidR="009C4FA2">
        <w:rPr>
          <w:rFonts w:cs="Times New Roman"/>
          <w:b w:val="0"/>
          <w:bCs w:val="0"/>
          <w:iCs w:val="0"/>
          <w:sz w:val="20"/>
          <w:szCs w:val="20"/>
        </w:rPr>
        <w:t>comments</w:t>
      </w:r>
      <w:r w:rsidRPr="000B739E">
        <w:rPr>
          <w:rFonts w:cs="Times New Roman"/>
          <w:b w:val="0"/>
          <w:bCs w:val="0"/>
          <w:iCs w:val="0"/>
          <w:sz w:val="20"/>
          <w:szCs w:val="20"/>
        </w:rPr>
        <w:t xml:space="preserve"> and decided to amend AASB 1059 to address </w:t>
      </w:r>
      <w:r w:rsidR="004D12B3">
        <w:rPr>
          <w:rFonts w:cs="Times New Roman"/>
          <w:b w:val="0"/>
          <w:bCs w:val="0"/>
          <w:iCs w:val="0"/>
          <w:sz w:val="20"/>
          <w:szCs w:val="20"/>
        </w:rPr>
        <w:t>the issue</w:t>
      </w:r>
      <w:r w:rsidRPr="000B739E">
        <w:rPr>
          <w:rFonts w:cs="Times New Roman"/>
          <w:b w:val="0"/>
          <w:bCs w:val="0"/>
          <w:iCs w:val="0"/>
          <w:sz w:val="20"/>
          <w:szCs w:val="20"/>
        </w:rPr>
        <w:t xml:space="preserve">. </w:t>
      </w:r>
    </w:p>
    <w:p w14:paraId="5D20C8EA" w14:textId="77777777" w:rsidR="00F937C1" w:rsidRPr="00C549FE" w:rsidRDefault="00F937C1" w:rsidP="00F937C1">
      <w:pPr>
        <w:pStyle w:val="Heading3"/>
      </w:pPr>
      <w:r w:rsidRPr="00C549FE">
        <w:t>Marked-up Text</w:t>
      </w:r>
    </w:p>
    <w:p w14:paraId="4DC8A7D4" w14:textId="1DAAAC1C" w:rsidR="00F937C1" w:rsidRPr="00C549FE" w:rsidRDefault="00F937C1" w:rsidP="00F937C1">
      <w:pPr>
        <w:pStyle w:val="NoNumPlain1"/>
      </w:pPr>
      <w:r w:rsidRPr="00FC0FAA">
        <w:t xml:space="preserve">This Standard incorporates marked-up text to clearly identify </w:t>
      </w:r>
      <w:r>
        <w:t xml:space="preserve">the amendments </w:t>
      </w:r>
      <w:r w:rsidRPr="00FC0FAA">
        <w:t>to</w:t>
      </w:r>
      <w:r>
        <w:t xml:space="preserve"> AASB 1059</w:t>
      </w:r>
      <w:r w:rsidRPr="00FC0FAA">
        <w:t xml:space="preserve">. All amendments are incorporated using clean text into the compilation of </w:t>
      </w:r>
      <w:r w:rsidR="00EB29A3">
        <w:t>AASB 1059</w:t>
      </w:r>
      <w:r w:rsidRPr="00FC0FAA">
        <w:t xml:space="preserve"> when prepared, based on the legal commencement date of the amendments.</w:t>
      </w:r>
    </w:p>
    <w:p w14:paraId="68B1CB72" w14:textId="1E32EBCC" w:rsidR="00ED4F33" w:rsidRPr="001B1D7C" w:rsidRDefault="00A94F2A" w:rsidP="00A94F2A">
      <w:pPr>
        <w:pStyle w:val="Heading3"/>
      </w:pPr>
      <w:r w:rsidRPr="001B1D7C">
        <w:t>Power to Make Amendments</w:t>
      </w:r>
      <w:r w:rsidR="007676C0" w:rsidRPr="001B1D7C">
        <w:t xml:space="preserve"> </w:t>
      </w:r>
    </w:p>
    <w:p w14:paraId="07D6B8BF" w14:textId="77777777"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14:paraId="537A3EA5" w14:textId="50B01DB4" w:rsidR="00FD4C0C" w:rsidRPr="00127350" w:rsidRDefault="00FD4C0C" w:rsidP="00F73663">
      <w:pPr>
        <w:pStyle w:val="Heading2"/>
      </w:pPr>
      <w:r w:rsidRPr="00127350">
        <w:t>Main Features of AASB</w:t>
      </w:r>
      <w:r w:rsidR="00375119">
        <w:t> </w:t>
      </w:r>
      <w:r w:rsidR="00D60D2A">
        <w:t>2021-4</w:t>
      </w:r>
    </w:p>
    <w:p w14:paraId="13C20FD1" w14:textId="77777777" w:rsidR="00ED4F33" w:rsidRPr="001B1D7C" w:rsidRDefault="00ED4F33" w:rsidP="00ED4F33">
      <w:pPr>
        <w:pStyle w:val="Heading3"/>
      </w:pPr>
      <w:r w:rsidRPr="001B1D7C">
        <w:t>Main Requirements</w:t>
      </w:r>
    </w:p>
    <w:p w14:paraId="7FBC546B" w14:textId="67385674" w:rsidR="00AD4AE3" w:rsidRPr="00AD4AE3" w:rsidRDefault="00C14F83" w:rsidP="00F937C1">
      <w:pPr>
        <w:pStyle w:val="Heading3"/>
        <w:keepNext w:val="0"/>
        <w:spacing w:line="200" w:lineRule="exact"/>
        <w:rPr>
          <w:rFonts w:cs="Times New Roman"/>
          <w:b w:val="0"/>
          <w:bCs w:val="0"/>
          <w:iCs w:val="0"/>
          <w:sz w:val="20"/>
          <w:szCs w:val="20"/>
        </w:rPr>
      </w:pPr>
      <w:r w:rsidRPr="00C14F83">
        <w:rPr>
          <w:rFonts w:cs="Times New Roman"/>
          <w:b w:val="0"/>
          <w:bCs w:val="0"/>
          <w:iCs w:val="0"/>
          <w:sz w:val="20"/>
          <w:szCs w:val="20"/>
        </w:rPr>
        <w:t xml:space="preserve">AASB </w:t>
      </w:r>
      <w:r w:rsidR="00D60D2A">
        <w:rPr>
          <w:rFonts w:cs="Times New Roman"/>
          <w:b w:val="0"/>
          <w:bCs w:val="0"/>
          <w:iCs w:val="0"/>
          <w:sz w:val="20"/>
          <w:szCs w:val="20"/>
        </w:rPr>
        <w:t>2021-4</w:t>
      </w:r>
      <w:r w:rsidR="003038C5">
        <w:rPr>
          <w:rFonts w:cs="Times New Roman"/>
          <w:b w:val="0"/>
          <w:bCs w:val="0"/>
          <w:iCs w:val="0"/>
          <w:sz w:val="20"/>
          <w:szCs w:val="20"/>
        </w:rPr>
        <w:t xml:space="preserve"> </w:t>
      </w:r>
      <w:r w:rsidR="003038C5" w:rsidRPr="003038C5">
        <w:rPr>
          <w:rFonts w:cs="Times New Roman"/>
          <w:b w:val="0"/>
          <w:bCs w:val="0"/>
          <w:iCs w:val="0"/>
          <w:sz w:val="20"/>
          <w:szCs w:val="20"/>
        </w:rPr>
        <w:t xml:space="preserve">amends </w:t>
      </w:r>
      <w:r w:rsidR="00AD4AE3" w:rsidRPr="00AD4AE3">
        <w:rPr>
          <w:rFonts w:cs="Times New Roman"/>
          <w:b w:val="0"/>
          <w:bCs w:val="0"/>
          <w:iCs w:val="0"/>
          <w:sz w:val="20"/>
          <w:szCs w:val="20"/>
        </w:rPr>
        <w:t xml:space="preserve">AASB 1059 </w:t>
      </w:r>
      <w:r w:rsidR="008B351D">
        <w:rPr>
          <w:rFonts w:cs="Times New Roman"/>
          <w:b w:val="0"/>
          <w:bCs w:val="0"/>
          <w:iCs w:val="0"/>
          <w:sz w:val="20"/>
          <w:szCs w:val="20"/>
        </w:rPr>
        <w:t xml:space="preserve">to </w:t>
      </w:r>
      <w:r w:rsidR="00186F57" w:rsidRPr="00186F57">
        <w:rPr>
          <w:rFonts w:cs="Times New Roman"/>
          <w:b w:val="0"/>
          <w:bCs w:val="0"/>
          <w:iCs w:val="0"/>
          <w:sz w:val="20"/>
          <w:szCs w:val="20"/>
        </w:rPr>
        <w:t>change the modified retrospective method for measuring the Grant of a Right to the Operator (GORTO) liability set out in paragraph C4(c) of AASB 1059 so that the GORTO liability is initially measured based on the fair value (current replacement cost) of the service concession asset at the date of initial application, adjusted by</w:t>
      </w:r>
      <w:r w:rsidR="00AD4AE3" w:rsidRPr="00AD4AE3">
        <w:rPr>
          <w:rFonts w:cs="Times New Roman"/>
          <w:b w:val="0"/>
          <w:bCs w:val="0"/>
          <w:iCs w:val="0"/>
          <w:sz w:val="20"/>
          <w:szCs w:val="20"/>
        </w:rPr>
        <w:t>:</w:t>
      </w:r>
    </w:p>
    <w:p w14:paraId="6E910592" w14:textId="3303B1BD" w:rsidR="00F624BA" w:rsidRPr="00F624BA" w:rsidRDefault="00F624BA" w:rsidP="00F57B96">
      <w:pPr>
        <w:pStyle w:val="Heading3"/>
        <w:keepNext w:val="0"/>
        <w:numPr>
          <w:ilvl w:val="0"/>
          <w:numId w:val="21"/>
        </w:numPr>
        <w:spacing w:line="200" w:lineRule="exact"/>
        <w:ind w:left="510" w:hanging="510"/>
        <w:rPr>
          <w:rFonts w:cs="Times New Roman"/>
          <w:b w:val="0"/>
          <w:bCs w:val="0"/>
          <w:iCs w:val="0"/>
          <w:sz w:val="20"/>
          <w:szCs w:val="20"/>
        </w:rPr>
      </w:pPr>
      <w:r w:rsidRPr="00F624BA">
        <w:rPr>
          <w:rFonts w:cs="Times New Roman"/>
          <w:b w:val="0"/>
          <w:bCs w:val="0"/>
          <w:iCs w:val="0"/>
          <w:sz w:val="20"/>
          <w:szCs w:val="20"/>
        </w:rPr>
        <w:t xml:space="preserve">deducting the carrying amount of any consideration transferred by the grantor to the operator recognised as an asset; </w:t>
      </w:r>
    </w:p>
    <w:p w14:paraId="4C8F9FCF" w14:textId="2D950FAC" w:rsidR="00F624BA" w:rsidRPr="00F624BA" w:rsidRDefault="00F624BA" w:rsidP="00F57B96">
      <w:pPr>
        <w:pStyle w:val="Heading3"/>
        <w:keepNext w:val="0"/>
        <w:numPr>
          <w:ilvl w:val="0"/>
          <w:numId w:val="21"/>
        </w:numPr>
        <w:spacing w:line="200" w:lineRule="exact"/>
        <w:ind w:left="510" w:hanging="510"/>
        <w:rPr>
          <w:rFonts w:cs="Times New Roman"/>
          <w:b w:val="0"/>
          <w:bCs w:val="0"/>
          <w:iCs w:val="0"/>
          <w:sz w:val="20"/>
          <w:szCs w:val="20"/>
        </w:rPr>
      </w:pPr>
      <w:r w:rsidRPr="00F624BA">
        <w:rPr>
          <w:rFonts w:cs="Times New Roman"/>
          <w:b w:val="0"/>
          <w:bCs w:val="0"/>
          <w:iCs w:val="0"/>
          <w:sz w:val="20"/>
          <w:szCs w:val="20"/>
        </w:rPr>
        <w:t>adjusting the resulting amount to reflect the remaining period of the service concession arrangement relative to the total period of the arrangement; and then</w:t>
      </w:r>
    </w:p>
    <w:p w14:paraId="2C16E968" w14:textId="31EF5D83" w:rsidR="00B6306C" w:rsidRPr="00CA66B4" w:rsidRDefault="00F624BA" w:rsidP="00F57B96">
      <w:pPr>
        <w:pStyle w:val="Heading3"/>
        <w:keepNext w:val="0"/>
        <w:numPr>
          <w:ilvl w:val="0"/>
          <w:numId w:val="21"/>
        </w:numPr>
        <w:spacing w:line="200" w:lineRule="exact"/>
        <w:ind w:left="510" w:hanging="510"/>
        <w:rPr>
          <w:rFonts w:cs="Times New Roman"/>
          <w:b w:val="0"/>
          <w:bCs w:val="0"/>
          <w:iCs w:val="0"/>
          <w:sz w:val="20"/>
          <w:szCs w:val="20"/>
        </w:rPr>
      </w:pPr>
      <w:r w:rsidRPr="00F624BA">
        <w:rPr>
          <w:rFonts w:cs="Times New Roman"/>
          <w:b w:val="0"/>
          <w:bCs w:val="0"/>
          <w:iCs w:val="0"/>
          <w:sz w:val="20"/>
          <w:szCs w:val="20"/>
        </w:rPr>
        <w:t>deducting any outstanding related financial liabilities</w:t>
      </w:r>
      <w:r w:rsidR="00AD4AE3" w:rsidRPr="00AD4AE3">
        <w:rPr>
          <w:rFonts w:cs="Times New Roman"/>
          <w:b w:val="0"/>
          <w:bCs w:val="0"/>
          <w:iCs w:val="0"/>
          <w:sz w:val="20"/>
          <w:szCs w:val="20"/>
        </w:rPr>
        <w:t>.</w:t>
      </w:r>
    </w:p>
    <w:p w14:paraId="2DC32F77" w14:textId="70DD65FD" w:rsidR="00FD4C0C" w:rsidRPr="001B1D7C" w:rsidRDefault="00FD4C0C" w:rsidP="006B1B4A">
      <w:pPr>
        <w:pStyle w:val="Heading3"/>
      </w:pPr>
      <w:r w:rsidRPr="001B1D7C">
        <w:t>Application Date</w:t>
      </w:r>
    </w:p>
    <w:p w14:paraId="3400B303" w14:textId="41B460CF" w:rsidR="00BE66D4" w:rsidRDefault="005F1173" w:rsidP="00A92FFA">
      <w:pPr>
        <w:pStyle w:val="NoNumPlain1"/>
      </w:pPr>
      <w:r w:rsidRPr="00127350">
        <w:t>AASB</w:t>
      </w:r>
      <w:r w:rsidR="00F913AF">
        <w:t> </w:t>
      </w:r>
      <w:r w:rsidR="00D60D2A">
        <w:t>2021-4</w:t>
      </w:r>
      <w:r w:rsidR="006D6B35" w:rsidRPr="00127350">
        <w:t xml:space="preserve"> </w:t>
      </w:r>
      <w:r w:rsidR="00294D8C">
        <w:t>applies to</w:t>
      </w:r>
      <w:r w:rsidR="001D3B0B" w:rsidRPr="000F1CD0">
        <w:t xml:space="preserve"> annual </w:t>
      </w:r>
      <w:r w:rsidR="00A638C0">
        <w:t xml:space="preserve">reporting </w:t>
      </w:r>
      <w:r w:rsidR="001D3B0B" w:rsidRPr="000F1CD0">
        <w:t xml:space="preserve">periods </w:t>
      </w:r>
      <w:r w:rsidR="00F624BA">
        <w:t>ending</w:t>
      </w:r>
      <w:r w:rsidR="001D3B0B" w:rsidRPr="000F1CD0">
        <w:t xml:space="preserve"> on or after </w:t>
      </w:r>
      <w:r w:rsidR="00F624BA">
        <w:t>30 June</w:t>
      </w:r>
      <w:r w:rsidR="001D3B0B" w:rsidRPr="000F1CD0">
        <w:t> 20</w:t>
      </w:r>
      <w:r w:rsidR="00F40264">
        <w:t>2</w:t>
      </w:r>
      <w:r w:rsidR="00F624BA">
        <w:t>1</w:t>
      </w:r>
      <w:r w:rsidR="003038C5">
        <w:t>,</w:t>
      </w:r>
      <w:r w:rsidR="003038C5" w:rsidRPr="003038C5">
        <w:t xml:space="preserve"> </w:t>
      </w:r>
      <w:r w:rsidR="00D87FAC">
        <w:t>with earlier application permitted</w:t>
      </w:r>
      <w:r w:rsidR="00294D8C">
        <w:t>.</w:t>
      </w:r>
    </w:p>
    <w:p w14:paraId="49D912FC" w14:textId="77777777" w:rsidR="00ED4F33" w:rsidRPr="00127350" w:rsidRDefault="007676C0" w:rsidP="007676C0">
      <w:pPr>
        <w:pStyle w:val="Heading3"/>
      </w:pPr>
      <w:r w:rsidRPr="00127350">
        <w:t>References to Other AASB Standards</w:t>
      </w:r>
    </w:p>
    <w:p w14:paraId="27BA1D33" w14:textId="4A15E45A" w:rsidR="00ED4F33" w:rsidRPr="00127350" w:rsidRDefault="006D4E28" w:rsidP="00ED4F33">
      <w:pPr>
        <w:pStyle w:val="NoNumPlain1"/>
      </w:pPr>
      <w:r>
        <w:t>References in this</w:t>
      </w:r>
      <w:r w:rsidR="00ED4F33" w:rsidRPr="00127350">
        <w:t xml:space="preserve"> Standard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14:paraId="29FEE43A" w14:textId="30FD7705" w:rsidR="00EA0A87" w:rsidRPr="00314DC3" w:rsidRDefault="00EA0A87" w:rsidP="00EA0A87">
      <w:pPr>
        <w:pStyle w:val="Heading2"/>
      </w:pPr>
      <w:r w:rsidRPr="00314DC3">
        <w:t>C</w:t>
      </w:r>
      <w:r w:rsidR="00465EBE">
        <w:t>on</w:t>
      </w:r>
      <w:r w:rsidR="009F3698">
        <w:t>sultation Prior to Issuing this</w:t>
      </w:r>
      <w:r w:rsidRPr="00314DC3">
        <w:t xml:space="preserve"> Standard</w:t>
      </w:r>
    </w:p>
    <w:p w14:paraId="5B35B425" w14:textId="602BA574" w:rsidR="00841AFC" w:rsidRPr="00841AFC" w:rsidRDefault="007A3EE4" w:rsidP="00841AFC">
      <w:pPr>
        <w:pStyle w:val="NoNumPlain1"/>
        <w:rPr>
          <w:szCs w:val="19"/>
        </w:rPr>
      </w:pPr>
      <w:r>
        <w:t xml:space="preserve">The </w:t>
      </w:r>
      <w:r w:rsidR="00F92913">
        <w:t>AASB</w:t>
      </w:r>
      <w:r w:rsidR="003600E3" w:rsidRPr="003600E3">
        <w:t xml:space="preserve"> issued </w:t>
      </w:r>
      <w:r w:rsidR="003038C5">
        <w:t>a Fatal</w:t>
      </w:r>
      <w:r w:rsidR="00A57536">
        <w:t>-</w:t>
      </w:r>
      <w:r w:rsidR="003038C5">
        <w:t xml:space="preserve">Flaw Review version of </w:t>
      </w:r>
      <w:r w:rsidR="003D034E">
        <w:t xml:space="preserve">the proposed amending Standard </w:t>
      </w:r>
      <w:r w:rsidR="003038C5">
        <w:t>in</w:t>
      </w:r>
      <w:r w:rsidR="00E8028D">
        <w:t xml:space="preserve"> </w:t>
      </w:r>
      <w:r w:rsidR="00F624BA">
        <w:t>May 2021</w:t>
      </w:r>
      <w:r w:rsidR="00EB29A3">
        <w:t xml:space="preserve"> </w:t>
      </w:r>
      <w:r w:rsidR="003600E3">
        <w:t xml:space="preserve">for comment by </w:t>
      </w:r>
      <w:r w:rsidR="00586559">
        <w:t>4 June 2021</w:t>
      </w:r>
      <w:r w:rsidR="003600E3" w:rsidRPr="003D034E">
        <w:t xml:space="preserve">. </w:t>
      </w:r>
      <w:r w:rsidRPr="00A57536">
        <w:t>T</w:t>
      </w:r>
      <w:r w:rsidR="00E8028D" w:rsidRPr="00A57536">
        <w:t xml:space="preserve">he </w:t>
      </w:r>
      <w:r w:rsidR="00F92913">
        <w:t>AASB</w:t>
      </w:r>
      <w:r w:rsidR="00E8028D" w:rsidRPr="00A57536">
        <w:t xml:space="preserve"> </w:t>
      </w:r>
      <w:r w:rsidR="00A47D6A" w:rsidRPr="00A47D6A">
        <w:t xml:space="preserve">received three submissions and informal comments from another stakeholder. All respondents were supportive of the </w:t>
      </w:r>
      <w:r w:rsidR="003E35C0">
        <w:t>AASB</w:t>
      </w:r>
      <w:r w:rsidR="00A47D6A" w:rsidRPr="00A47D6A">
        <w:t xml:space="preserve"> changing the modified retrospective method to measure the GORTO liability stated in paragraph C4(c) of AASB 1059</w:t>
      </w:r>
      <w:r w:rsidR="00E8028D">
        <w:rPr>
          <w:szCs w:val="19"/>
        </w:rPr>
        <w:t xml:space="preserve">. </w:t>
      </w:r>
    </w:p>
    <w:p w14:paraId="7C438979" w14:textId="77777777" w:rsidR="005F2FA2" w:rsidRDefault="0066768B" w:rsidP="0066768B">
      <w:pPr>
        <w:pStyle w:val="NoNumPlain1"/>
        <w:rPr>
          <w:szCs w:val="19"/>
        </w:rPr>
      </w:pPr>
      <w:r w:rsidRPr="0066768B">
        <w:rPr>
          <w:szCs w:val="19"/>
        </w:rPr>
        <w:t xml:space="preserve">One stakeholder noted that the changes to AASB 1059 paragraph C4(c) proposed in the Fatal-Flaw Review version of the Standard specifically addressed only financial consideration paid by the grantor to the operator prior to the date of initial application of the Standard. The stakeholder commented that the GORTO liability and subsequent revenue would also be likely to be overstated if the grantor had provided non-financial consideration prior to the date of initial application that was not adjusted in determining the grantor’s GORTO liability. </w:t>
      </w:r>
    </w:p>
    <w:p w14:paraId="6DA91D1F" w14:textId="3A0FBBDC" w:rsidR="005040BC" w:rsidRPr="00A57536" w:rsidRDefault="005F2FA2" w:rsidP="0066768B">
      <w:pPr>
        <w:pStyle w:val="NoNumPlain1"/>
      </w:pPr>
      <w:r>
        <w:lastRenderedPageBreak/>
        <w:t xml:space="preserve">The AASB </w:t>
      </w:r>
      <w:r w:rsidRPr="00741B1B">
        <w:t xml:space="preserve">considered </w:t>
      </w:r>
      <w:r>
        <w:t xml:space="preserve">the </w:t>
      </w:r>
      <w:r w:rsidRPr="00741B1B">
        <w:t xml:space="preserve">feedback </w:t>
      </w:r>
      <w:r>
        <w:t xml:space="preserve">received </w:t>
      </w:r>
      <w:r w:rsidRPr="00741B1B">
        <w:t>and decided to amend AASB 1059 to address th</w:t>
      </w:r>
      <w:r>
        <w:t>e</w:t>
      </w:r>
      <w:r w:rsidRPr="00741B1B">
        <w:t xml:space="preserve"> issue</w:t>
      </w:r>
      <w:r>
        <w:t xml:space="preserve">s. </w:t>
      </w:r>
      <w:r w:rsidR="0066768B" w:rsidRPr="0066768B">
        <w:rPr>
          <w:szCs w:val="19"/>
        </w:rPr>
        <w:t xml:space="preserve">The </w:t>
      </w:r>
      <w:r w:rsidR="001034CC">
        <w:rPr>
          <w:szCs w:val="19"/>
        </w:rPr>
        <w:t>AASB</w:t>
      </w:r>
      <w:r w:rsidR="0066768B" w:rsidRPr="0066768B">
        <w:rPr>
          <w:szCs w:val="19"/>
        </w:rPr>
        <w:t xml:space="preserve"> decided that expanding the scope of the amendments to include non-financial consideration was appropriate, based on the principles and approach proposed in the Fatal-Flaw Review version</w:t>
      </w:r>
      <w:r w:rsidR="007A3EE4">
        <w:rPr>
          <w:szCs w:val="19"/>
        </w:rPr>
        <w:t>.</w:t>
      </w:r>
    </w:p>
    <w:p w14:paraId="6ABDCEDA" w14:textId="5DE57C52" w:rsidR="00B62F36" w:rsidRDefault="00B62F36" w:rsidP="00B62F36">
      <w:pPr>
        <w:pStyle w:val="NoNumPlain1"/>
      </w:pPr>
      <w:r w:rsidRPr="00B62F36">
        <w:t>A Regulation Impact Statement (RIS) has not been prepared in connection with the issue of AASB</w:t>
      </w:r>
      <w:r>
        <w:t> </w:t>
      </w:r>
      <w:r w:rsidR="00D60D2A">
        <w:t>2021-4</w:t>
      </w:r>
      <w:r w:rsidRPr="00B62F36">
        <w:t xml:space="preserve"> as the amendments made do not have a substantial direct or indirect impact on business or competition.</w:t>
      </w:r>
      <w:r w:rsidR="000E15F4">
        <w:t xml:space="preserve"> The amendments are relevant only to public sector entities that are grantors under service concession arrangements.</w:t>
      </w:r>
    </w:p>
    <w:p w14:paraId="446A3BE8" w14:textId="0CF06B73" w:rsidR="00A94F2A" w:rsidRPr="00CB2372" w:rsidRDefault="00A94F2A">
      <w:pPr>
        <w:spacing w:line="240" w:lineRule="auto"/>
        <w:rPr>
          <w:rFonts w:cs="Arial"/>
          <w:iCs/>
        </w:rPr>
      </w:pPr>
    </w:p>
    <w:p w14:paraId="3A8917FC" w14:textId="77777777" w:rsidR="00AD44F9" w:rsidRPr="001B1D7C" w:rsidRDefault="00CD0A54" w:rsidP="00F57B96">
      <w:pPr>
        <w:pStyle w:val="Heading2"/>
        <w:spacing w:before="1200"/>
        <w:jc w:val="center"/>
      </w:pPr>
      <w:r w:rsidRPr="001B1D7C">
        <w:t>Statement of Compatibility with Human Rights</w:t>
      </w:r>
    </w:p>
    <w:p w14:paraId="3869FD2F" w14:textId="77777777"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14:paraId="2FE1229C" w14:textId="5BED5A39" w:rsidR="009F7F59" w:rsidRDefault="00A90A3D" w:rsidP="006D4E28">
      <w:pPr>
        <w:pStyle w:val="Heading3"/>
        <w:spacing w:after="360"/>
        <w:jc w:val="center"/>
        <w:rPr>
          <w:i/>
        </w:rPr>
      </w:pPr>
      <w:r w:rsidRPr="001B1D7C">
        <w:t>Accounting Standard AASB</w:t>
      </w:r>
      <w:r w:rsidR="00F913AF">
        <w:t> </w:t>
      </w:r>
      <w:r w:rsidR="00D60D2A">
        <w:t>2021-4</w:t>
      </w:r>
      <w:r w:rsidRPr="001B1D7C">
        <w:br/>
      </w:r>
      <w:r w:rsidRPr="00127350">
        <w:rPr>
          <w:i/>
        </w:rPr>
        <w:t xml:space="preserve">Amendments to Australian Accounting Standards </w:t>
      </w:r>
      <w:r w:rsidR="00B223A3" w:rsidRPr="00127350">
        <w:rPr>
          <w:i/>
        </w:rPr>
        <w:t>–</w:t>
      </w:r>
      <w:r w:rsidRPr="00127350">
        <w:rPr>
          <w:i/>
        </w:rPr>
        <w:br/>
      </w:r>
      <w:r w:rsidR="00806275" w:rsidRPr="00806275">
        <w:rPr>
          <w:i/>
        </w:rPr>
        <w:t>Modified Retrospective Transition Approach for Service Concession Grantors</w:t>
      </w:r>
    </w:p>
    <w:p w14:paraId="7FDDC422" w14:textId="1252D014" w:rsidR="00A90A3D" w:rsidRPr="00314DC3" w:rsidRDefault="00A90A3D" w:rsidP="00A90A3D">
      <w:pPr>
        <w:pStyle w:val="Heading3"/>
      </w:pPr>
      <w:r w:rsidRPr="00314DC3">
        <w:t>Overview of the Accounting Standard</w:t>
      </w:r>
    </w:p>
    <w:p w14:paraId="7B610DFB" w14:textId="21DD040D" w:rsidR="008B351D" w:rsidRPr="00AD4AE3" w:rsidRDefault="00C722F1" w:rsidP="00F57B96">
      <w:pPr>
        <w:pStyle w:val="Heading3"/>
        <w:keepNext w:val="0"/>
        <w:spacing w:line="200" w:lineRule="exact"/>
        <w:rPr>
          <w:rFonts w:cs="Times New Roman"/>
          <w:b w:val="0"/>
          <w:bCs w:val="0"/>
          <w:iCs w:val="0"/>
          <w:sz w:val="20"/>
          <w:szCs w:val="20"/>
        </w:rPr>
      </w:pPr>
      <w:r w:rsidRPr="00C722F1">
        <w:rPr>
          <w:rFonts w:cs="Times New Roman"/>
          <w:b w:val="0"/>
          <w:bCs w:val="0"/>
          <w:iCs w:val="0"/>
          <w:sz w:val="20"/>
          <w:szCs w:val="20"/>
        </w:rPr>
        <w:t xml:space="preserve">This Standard </w:t>
      </w:r>
      <w:r w:rsidR="006225D3">
        <w:rPr>
          <w:rFonts w:cs="Times New Roman"/>
          <w:b w:val="0"/>
          <w:bCs w:val="0"/>
          <w:iCs w:val="0"/>
          <w:sz w:val="20"/>
          <w:szCs w:val="20"/>
        </w:rPr>
        <w:t xml:space="preserve">amends </w:t>
      </w:r>
      <w:r w:rsidR="006225D3" w:rsidRPr="006225D3">
        <w:rPr>
          <w:rFonts w:cs="Times New Roman"/>
          <w:b w:val="0"/>
          <w:bCs w:val="0"/>
          <w:iCs w:val="0"/>
          <w:sz w:val="20"/>
          <w:szCs w:val="20"/>
        </w:rPr>
        <w:t xml:space="preserve">AASB 1059 </w:t>
      </w:r>
      <w:r w:rsidR="006225D3" w:rsidRPr="006225D3">
        <w:rPr>
          <w:rFonts w:cs="Times New Roman"/>
          <w:b w:val="0"/>
          <w:bCs w:val="0"/>
          <w:i/>
          <w:sz w:val="20"/>
          <w:szCs w:val="20"/>
        </w:rPr>
        <w:t>Service Concession Arrangements: Grantors</w:t>
      </w:r>
      <w:r w:rsidR="006225D3" w:rsidRPr="006225D3">
        <w:rPr>
          <w:rFonts w:cs="Times New Roman"/>
          <w:b w:val="0"/>
          <w:bCs w:val="0"/>
          <w:iCs w:val="0"/>
          <w:sz w:val="20"/>
          <w:szCs w:val="20"/>
        </w:rPr>
        <w:t xml:space="preserve"> (July 2017)</w:t>
      </w:r>
      <w:r w:rsidR="006225D3">
        <w:rPr>
          <w:rFonts w:cs="Times New Roman"/>
          <w:b w:val="0"/>
          <w:bCs w:val="0"/>
          <w:iCs w:val="0"/>
          <w:sz w:val="20"/>
          <w:szCs w:val="20"/>
        </w:rPr>
        <w:t xml:space="preserve"> to</w:t>
      </w:r>
      <w:r w:rsidR="008B351D">
        <w:rPr>
          <w:rFonts w:cs="Times New Roman"/>
          <w:b w:val="0"/>
          <w:bCs w:val="0"/>
          <w:iCs w:val="0"/>
          <w:sz w:val="20"/>
          <w:szCs w:val="20"/>
        </w:rPr>
        <w:t xml:space="preserve"> </w:t>
      </w:r>
      <w:r w:rsidR="008B351D" w:rsidRPr="00186F57">
        <w:rPr>
          <w:rFonts w:cs="Times New Roman"/>
          <w:b w:val="0"/>
          <w:bCs w:val="0"/>
          <w:iCs w:val="0"/>
          <w:sz w:val="20"/>
          <w:szCs w:val="20"/>
        </w:rPr>
        <w:t>change the modified retrospective method for measuring the Grant of a Right to the Operator (GORTO) liability set out in paragraph C4(c) of AASB 1059 so that the GORTO liability is initially measured based on the fair value (current replacement cost) of the service concession asset at the date of initial application, adjusted by</w:t>
      </w:r>
      <w:r w:rsidR="008B351D" w:rsidRPr="00AD4AE3">
        <w:rPr>
          <w:rFonts w:cs="Times New Roman"/>
          <w:b w:val="0"/>
          <w:bCs w:val="0"/>
          <w:iCs w:val="0"/>
          <w:sz w:val="20"/>
          <w:szCs w:val="20"/>
        </w:rPr>
        <w:t>:</w:t>
      </w:r>
    </w:p>
    <w:p w14:paraId="55625F4D" w14:textId="77777777" w:rsidR="008B351D" w:rsidRPr="00F624BA" w:rsidRDefault="008B351D" w:rsidP="00F57B96">
      <w:pPr>
        <w:pStyle w:val="Heading3"/>
        <w:keepNext w:val="0"/>
        <w:numPr>
          <w:ilvl w:val="0"/>
          <w:numId w:val="25"/>
        </w:numPr>
        <w:spacing w:line="200" w:lineRule="exact"/>
        <w:ind w:left="510" w:hanging="510"/>
        <w:rPr>
          <w:rFonts w:cs="Times New Roman"/>
          <w:b w:val="0"/>
          <w:bCs w:val="0"/>
          <w:iCs w:val="0"/>
          <w:sz w:val="20"/>
          <w:szCs w:val="20"/>
        </w:rPr>
      </w:pPr>
      <w:r w:rsidRPr="00F624BA">
        <w:rPr>
          <w:rFonts w:cs="Times New Roman"/>
          <w:b w:val="0"/>
          <w:bCs w:val="0"/>
          <w:iCs w:val="0"/>
          <w:sz w:val="20"/>
          <w:szCs w:val="20"/>
        </w:rPr>
        <w:t xml:space="preserve">deducting the carrying amount of any consideration transferred by the grantor to the operator recognised as an asset; </w:t>
      </w:r>
    </w:p>
    <w:p w14:paraId="39EEF666" w14:textId="77777777" w:rsidR="008B351D" w:rsidRPr="00F624BA" w:rsidRDefault="008B351D" w:rsidP="00F57B96">
      <w:pPr>
        <w:pStyle w:val="Heading3"/>
        <w:keepNext w:val="0"/>
        <w:numPr>
          <w:ilvl w:val="0"/>
          <w:numId w:val="25"/>
        </w:numPr>
        <w:spacing w:line="200" w:lineRule="exact"/>
        <w:ind w:left="510" w:hanging="510"/>
        <w:rPr>
          <w:rFonts w:cs="Times New Roman"/>
          <w:b w:val="0"/>
          <w:bCs w:val="0"/>
          <w:iCs w:val="0"/>
          <w:sz w:val="20"/>
          <w:szCs w:val="20"/>
        </w:rPr>
      </w:pPr>
      <w:r w:rsidRPr="00F624BA">
        <w:rPr>
          <w:rFonts w:cs="Times New Roman"/>
          <w:b w:val="0"/>
          <w:bCs w:val="0"/>
          <w:iCs w:val="0"/>
          <w:sz w:val="20"/>
          <w:szCs w:val="20"/>
        </w:rPr>
        <w:t>adjusting the resulting amount to reflect the remaining period of the service concession arrangement relative to the total period of the arrangement; and then</w:t>
      </w:r>
    </w:p>
    <w:p w14:paraId="6A479903" w14:textId="30EE3377" w:rsidR="003C2E0F" w:rsidRPr="003C2E0F" w:rsidRDefault="008B351D" w:rsidP="00F57B96">
      <w:pPr>
        <w:pStyle w:val="Heading3"/>
        <w:keepNext w:val="0"/>
        <w:numPr>
          <w:ilvl w:val="0"/>
          <w:numId w:val="25"/>
        </w:numPr>
        <w:spacing w:line="200" w:lineRule="exact"/>
        <w:ind w:left="510" w:hanging="510"/>
        <w:rPr>
          <w:rFonts w:cs="Times New Roman"/>
          <w:b w:val="0"/>
          <w:bCs w:val="0"/>
          <w:iCs w:val="0"/>
          <w:sz w:val="20"/>
          <w:szCs w:val="20"/>
        </w:rPr>
      </w:pPr>
      <w:r w:rsidRPr="00F624BA">
        <w:rPr>
          <w:rFonts w:cs="Times New Roman"/>
          <w:b w:val="0"/>
          <w:bCs w:val="0"/>
          <w:iCs w:val="0"/>
          <w:sz w:val="20"/>
          <w:szCs w:val="20"/>
        </w:rPr>
        <w:t>deducting any outstanding related financial liabilities</w:t>
      </w:r>
      <w:r>
        <w:rPr>
          <w:rFonts w:cs="Times New Roman"/>
          <w:b w:val="0"/>
          <w:bCs w:val="0"/>
          <w:iCs w:val="0"/>
          <w:sz w:val="20"/>
          <w:szCs w:val="20"/>
        </w:rPr>
        <w:t>.</w:t>
      </w:r>
    </w:p>
    <w:p w14:paraId="06944F3C" w14:textId="35E2B399" w:rsidR="00A90A3D" w:rsidRPr="001B1D7C" w:rsidRDefault="00A90A3D" w:rsidP="00A90A3D">
      <w:pPr>
        <w:pStyle w:val="Heading3"/>
      </w:pPr>
      <w:r w:rsidRPr="001B1D7C">
        <w:t>Human Rights Implications</w:t>
      </w:r>
    </w:p>
    <w:p w14:paraId="02B05597" w14:textId="13CFD9CB" w:rsidR="00A90A3D" w:rsidRPr="001B1D7C" w:rsidRDefault="006D4E28" w:rsidP="00465EBE">
      <w:pPr>
        <w:pStyle w:val="NoNumPlain1"/>
      </w:pPr>
      <w:r>
        <w:t>This Standard is</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14:paraId="41D03C73" w14:textId="77777777" w:rsidR="00F62F5C" w:rsidRPr="001B1D7C" w:rsidRDefault="00F62F5C" w:rsidP="00F62F5C">
      <w:pPr>
        <w:pStyle w:val="Heading3"/>
      </w:pPr>
      <w:r w:rsidRPr="001B1D7C">
        <w:t>Conclusion</w:t>
      </w:r>
    </w:p>
    <w:p w14:paraId="6CABE344" w14:textId="15D04F95" w:rsidR="00CD0A54" w:rsidRPr="001B1D7C" w:rsidRDefault="006D4E28" w:rsidP="00465EBE">
      <w:pPr>
        <w:pStyle w:val="NoNumPlain1"/>
      </w:pPr>
      <w:r>
        <w:t>This</w:t>
      </w:r>
      <w:r w:rsidR="00CD0A54" w:rsidRPr="001B1D7C">
        <w:t xml:space="preserve"> Standard </w:t>
      </w:r>
      <w:r w:rsidR="00EC3B0A">
        <w:t>is</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sectPr w:rsidR="00CD0A54" w:rsidRPr="001B1D7C" w:rsidSect="00B93CE4">
      <w:headerReference w:type="even" r:id="rId13"/>
      <w:footerReference w:type="default" r:id="rId1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F2B4" w14:textId="77777777" w:rsidR="00684FE3" w:rsidRDefault="00684FE3">
      <w:r>
        <w:separator/>
      </w:r>
    </w:p>
  </w:endnote>
  <w:endnote w:type="continuationSeparator" w:id="0">
    <w:p w14:paraId="529BCE7C" w14:textId="77777777" w:rsidR="00684FE3" w:rsidRDefault="00684FE3">
      <w:r>
        <w:continuationSeparator/>
      </w:r>
    </w:p>
  </w:endnote>
  <w:endnote w:type="continuationNotice" w:id="1">
    <w:p w14:paraId="353BCB6E" w14:textId="77777777" w:rsidR="00684FE3" w:rsidRDefault="00684F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D474" w14:textId="04D6E42A" w:rsidR="00C722F1" w:rsidRDefault="00C722F1" w:rsidP="00B93CE4">
    <w:pPr>
      <w:pStyle w:val="Footer"/>
      <w:tabs>
        <w:tab w:val="clear" w:pos="3119"/>
        <w:tab w:val="clear" w:pos="6237"/>
        <w:tab w:val="center" w:pos="4820"/>
        <w:tab w:val="right" w:pos="9639"/>
      </w:tabs>
      <w:rPr>
        <w:b/>
      </w:rPr>
    </w:pPr>
    <w:r>
      <w:rPr>
        <w:b/>
      </w:rPr>
      <w:t>AASB 20</w:t>
    </w:r>
    <w:r w:rsidR="00312943">
      <w:rPr>
        <w:b/>
      </w:rPr>
      <w:t>2</w:t>
    </w:r>
    <w:r>
      <w:rPr>
        <w:b/>
      </w:rPr>
      <w:t>1-</w:t>
    </w:r>
    <w:r w:rsidR="005F7330">
      <w:rPr>
        <w:b/>
      </w:rPr>
      <w:t>4</w:t>
    </w:r>
    <w:r>
      <w:rPr>
        <w:b/>
      </w:rPr>
      <w:tab/>
    </w:r>
    <w:r>
      <w:fldChar w:fldCharType="begin"/>
    </w:r>
    <w:r>
      <w:instrText>PAGE</w:instrText>
    </w:r>
    <w:r>
      <w:fldChar w:fldCharType="separate"/>
    </w:r>
    <w:r w:rsidR="00A01C45">
      <w:rPr>
        <w:noProof/>
      </w:rPr>
      <w:t>3</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79D8" w14:textId="77777777" w:rsidR="00684FE3" w:rsidRDefault="00684FE3">
      <w:r>
        <w:separator/>
      </w:r>
    </w:p>
  </w:footnote>
  <w:footnote w:type="continuationSeparator" w:id="0">
    <w:p w14:paraId="5B829677" w14:textId="77777777" w:rsidR="00684FE3" w:rsidRDefault="00684FE3">
      <w:r>
        <w:continuationSeparator/>
      </w:r>
    </w:p>
  </w:footnote>
  <w:footnote w:type="continuationNotice" w:id="1">
    <w:p w14:paraId="3351B0B9" w14:textId="77777777" w:rsidR="00684FE3" w:rsidRDefault="00684F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A903B" w14:textId="77777777" w:rsidR="00C722F1" w:rsidRDefault="00C72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F05855"/>
    <w:multiLevelType w:val="hybridMultilevel"/>
    <w:tmpl w:val="D882810A"/>
    <w:lvl w:ilvl="0" w:tplc="566A852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F05C9F"/>
    <w:multiLevelType w:val="hybridMultilevel"/>
    <w:tmpl w:val="A00EA0EE"/>
    <w:lvl w:ilvl="0" w:tplc="DAF0C6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93A09"/>
    <w:multiLevelType w:val="hybridMultilevel"/>
    <w:tmpl w:val="ED4E8E82"/>
    <w:lvl w:ilvl="0" w:tplc="3DAA365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21FDC"/>
    <w:multiLevelType w:val="hybridMultilevel"/>
    <w:tmpl w:val="D726848A"/>
    <w:lvl w:ilvl="0" w:tplc="2D48A0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812F3"/>
    <w:multiLevelType w:val="multilevel"/>
    <w:tmpl w:val="315ABF2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4" w15:restartNumberingAfterBreak="0">
    <w:nsid w:val="57DD1224"/>
    <w:multiLevelType w:val="hybridMultilevel"/>
    <w:tmpl w:val="A00EA0EE"/>
    <w:lvl w:ilvl="0" w:tplc="DAF0C6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9137F6B"/>
    <w:multiLevelType w:val="hybridMultilevel"/>
    <w:tmpl w:val="FF6C689E"/>
    <w:lvl w:ilvl="0" w:tplc="005048D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542243"/>
    <w:multiLevelType w:val="multilevel"/>
    <w:tmpl w:val="CAC0A042"/>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021"/>
        </w:tabs>
        <w:ind w:left="1021" w:hanging="511"/>
      </w:pPr>
      <w:rPr>
        <w:rFonts w:hint="default"/>
        <w:i w:val="0"/>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7" w15:restartNumberingAfterBreak="0">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64975"/>
    <w:multiLevelType w:val="hybridMultilevel"/>
    <w:tmpl w:val="B31CEBF2"/>
    <w:lvl w:ilvl="0" w:tplc="5C1C13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212B64"/>
    <w:multiLevelType w:val="hybridMultilevel"/>
    <w:tmpl w:val="A15E43AC"/>
    <w:lvl w:ilvl="0" w:tplc="DAF0C6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D336C47"/>
    <w:multiLevelType w:val="hybridMultilevel"/>
    <w:tmpl w:val="FF6C689E"/>
    <w:lvl w:ilvl="0" w:tplc="005048D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8"/>
  </w:num>
  <w:num w:numId="3">
    <w:abstractNumId w:val="12"/>
  </w:num>
  <w:num w:numId="4">
    <w:abstractNumId w:val="0"/>
  </w:num>
  <w:num w:numId="5">
    <w:abstractNumId w:val="4"/>
  </w:num>
  <w:num w:numId="6">
    <w:abstractNumId w:val="3"/>
  </w:num>
  <w:num w:numId="7">
    <w:abstractNumId w:val="10"/>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7"/>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19"/>
  </w:num>
  <w:num w:numId="18">
    <w:abstractNumId w:val="16"/>
  </w:num>
  <w:num w:numId="19">
    <w:abstractNumId w:val="15"/>
  </w:num>
  <w:num w:numId="20">
    <w:abstractNumId w:val="11"/>
  </w:num>
  <w:num w:numId="21">
    <w:abstractNumId w:val="14"/>
  </w:num>
  <w:num w:numId="22">
    <w:abstractNumId w:val="6"/>
  </w:num>
  <w:num w:numId="23">
    <w:abstractNumId w:val="20"/>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5371"/>
    <w:rsid w:val="0001484E"/>
    <w:rsid w:val="00020ACD"/>
    <w:rsid w:val="00021DE4"/>
    <w:rsid w:val="000226E6"/>
    <w:rsid w:val="00031DBC"/>
    <w:rsid w:val="00041AE0"/>
    <w:rsid w:val="00041D03"/>
    <w:rsid w:val="0004439B"/>
    <w:rsid w:val="00053103"/>
    <w:rsid w:val="00054FC1"/>
    <w:rsid w:val="00055755"/>
    <w:rsid w:val="000623C8"/>
    <w:rsid w:val="00067953"/>
    <w:rsid w:val="00075626"/>
    <w:rsid w:val="00080331"/>
    <w:rsid w:val="0008234F"/>
    <w:rsid w:val="0008242C"/>
    <w:rsid w:val="00083737"/>
    <w:rsid w:val="00085B62"/>
    <w:rsid w:val="00090D77"/>
    <w:rsid w:val="000920D3"/>
    <w:rsid w:val="000936C7"/>
    <w:rsid w:val="00094356"/>
    <w:rsid w:val="000A2A30"/>
    <w:rsid w:val="000B739E"/>
    <w:rsid w:val="000D41A4"/>
    <w:rsid w:val="000D428B"/>
    <w:rsid w:val="000E15F4"/>
    <w:rsid w:val="000E317F"/>
    <w:rsid w:val="000E6E09"/>
    <w:rsid w:val="000E7F81"/>
    <w:rsid w:val="000F1C55"/>
    <w:rsid w:val="000F281A"/>
    <w:rsid w:val="000F2911"/>
    <w:rsid w:val="000F4C2A"/>
    <w:rsid w:val="001034CC"/>
    <w:rsid w:val="00111680"/>
    <w:rsid w:val="00113884"/>
    <w:rsid w:val="00115A16"/>
    <w:rsid w:val="001218DE"/>
    <w:rsid w:val="00121C54"/>
    <w:rsid w:val="00122EF0"/>
    <w:rsid w:val="00125962"/>
    <w:rsid w:val="0012730F"/>
    <w:rsid w:val="00127350"/>
    <w:rsid w:val="00130F7D"/>
    <w:rsid w:val="00131465"/>
    <w:rsid w:val="00131C3F"/>
    <w:rsid w:val="00144CC0"/>
    <w:rsid w:val="00147798"/>
    <w:rsid w:val="0015670A"/>
    <w:rsid w:val="001639EB"/>
    <w:rsid w:val="00186F57"/>
    <w:rsid w:val="001A3A3D"/>
    <w:rsid w:val="001B1D7C"/>
    <w:rsid w:val="001C5ABB"/>
    <w:rsid w:val="001C786F"/>
    <w:rsid w:val="001D1FFA"/>
    <w:rsid w:val="001D3B0B"/>
    <w:rsid w:val="001D65AA"/>
    <w:rsid w:val="001D7DA0"/>
    <w:rsid w:val="001E0872"/>
    <w:rsid w:val="001E0EA2"/>
    <w:rsid w:val="001E4107"/>
    <w:rsid w:val="001F0BB3"/>
    <w:rsid w:val="001F16F3"/>
    <w:rsid w:val="001F3ED4"/>
    <w:rsid w:val="001F5A41"/>
    <w:rsid w:val="00200047"/>
    <w:rsid w:val="0020218F"/>
    <w:rsid w:val="0020261B"/>
    <w:rsid w:val="00206A47"/>
    <w:rsid w:val="00225101"/>
    <w:rsid w:val="00230E6D"/>
    <w:rsid w:val="0023104C"/>
    <w:rsid w:val="00233620"/>
    <w:rsid w:val="0023642A"/>
    <w:rsid w:val="00236896"/>
    <w:rsid w:val="00243728"/>
    <w:rsid w:val="00262502"/>
    <w:rsid w:val="00262EDC"/>
    <w:rsid w:val="00267D86"/>
    <w:rsid w:val="00284D8D"/>
    <w:rsid w:val="00294D8C"/>
    <w:rsid w:val="002A0EA5"/>
    <w:rsid w:val="002B5CAF"/>
    <w:rsid w:val="002B712E"/>
    <w:rsid w:val="002B7166"/>
    <w:rsid w:val="002C720C"/>
    <w:rsid w:val="002D00E5"/>
    <w:rsid w:val="002D3C2A"/>
    <w:rsid w:val="002D6D7A"/>
    <w:rsid w:val="002E0C7D"/>
    <w:rsid w:val="002F18F0"/>
    <w:rsid w:val="002F724F"/>
    <w:rsid w:val="003038C5"/>
    <w:rsid w:val="00312740"/>
    <w:rsid w:val="00312943"/>
    <w:rsid w:val="00314DC3"/>
    <w:rsid w:val="003218A0"/>
    <w:rsid w:val="0032467B"/>
    <w:rsid w:val="00325585"/>
    <w:rsid w:val="003329B8"/>
    <w:rsid w:val="003351C6"/>
    <w:rsid w:val="00336DE6"/>
    <w:rsid w:val="00344500"/>
    <w:rsid w:val="00347521"/>
    <w:rsid w:val="00352568"/>
    <w:rsid w:val="003600E3"/>
    <w:rsid w:val="00366D54"/>
    <w:rsid w:val="00375119"/>
    <w:rsid w:val="00384832"/>
    <w:rsid w:val="00385E62"/>
    <w:rsid w:val="0039164A"/>
    <w:rsid w:val="00391DC5"/>
    <w:rsid w:val="00396BCD"/>
    <w:rsid w:val="00397B88"/>
    <w:rsid w:val="003A1CA2"/>
    <w:rsid w:val="003A5EC1"/>
    <w:rsid w:val="003A7749"/>
    <w:rsid w:val="003C1341"/>
    <w:rsid w:val="003C2E0F"/>
    <w:rsid w:val="003D034E"/>
    <w:rsid w:val="003E35C0"/>
    <w:rsid w:val="003E652D"/>
    <w:rsid w:val="0040485F"/>
    <w:rsid w:val="0041254C"/>
    <w:rsid w:val="00414BC3"/>
    <w:rsid w:val="00416FE6"/>
    <w:rsid w:val="004179BF"/>
    <w:rsid w:val="004209B2"/>
    <w:rsid w:val="00433B60"/>
    <w:rsid w:val="00442527"/>
    <w:rsid w:val="00447617"/>
    <w:rsid w:val="00450945"/>
    <w:rsid w:val="00457DCC"/>
    <w:rsid w:val="00463B8D"/>
    <w:rsid w:val="0046562B"/>
    <w:rsid w:val="00465EBE"/>
    <w:rsid w:val="00473CEE"/>
    <w:rsid w:val="0049064F"/>
    <w:rsid w:val="00493DD4"/>
    <w:rsid w:val="004A4B34"/>
    <w:rsid w:val="004A7EC7"/>
    <w:rsid w:val="004B77A1"/>
    <w:rsid w:val="004C1746"/>
    <w:rsid w:val="004C62D2"/>
    <w:rsid w:val="004D12B3"/>
    <w:rsid w:val="004D2BDB"/>
    <w:rsid w:val="004D54B2"/>
    <w:rsid w:val="004D7A84"/>
    <w:rsid w:val="004E67AE"/>
    <w:rsid w:val="004F54F4"/>
    <w:rsid w:val="004F7773"/>
    <w:rsid w:val="005040BC"/>
    <w:rsid w:val="00512F90"/>
    <w:rsid w:val="00520E9E"/>
    <w:rsid w:val="0052464D"/>
    <w:rsid w:val="00526DA0"/>
    <w:rsid w:val="00540E70"/>
    <w:rsid w:val="00545E1C"/>
    <w:rsid w:val="00554862"/>
    <w:rsid w:val="00563010"/>
    <w:rsid w:val="00565477"/>
    <w:rsid w:val="00570240"/>
    <w:rsid w:val="0057693B"/>
    <w:rsid w:val="005815F9"/>
    <w:rsid w:val="00584AD7"/>
    <w:rsid w:val="00586559"/>
    <w:rsid w:val="00592CDB"/>
    <w:rsid w:val="00596ADD"/>
    <w:rsid w:val="005A2707"/>
    <w:rsid w:val="005B238F"/>
    <w:rsid w:val="005B25E9"/>
    <w:rsid w:val="005B7BB7"/>
    <w:rsid w:val="005C025A"/>
    <w:rsid w:val="005E1723"/>
    <w:rsid w:val="005E2BBE"/>
    <w:rsid w:val="005E43B9"/>
    <w:rsid w:val="005E6F84"/>
    <w:rsid w:val="005F0581"/>
    <w:rsid w:val="005F1173"/>
    <w:rsid w:val="005F2FA2"/>
    <w:rsid w:val="005F3AA4"/>
    <w:rsid w:val="005F4451"/>
    <w:rsid w:val="005F5EFF"/>
    <w:rsid w:val="005F7330"/>
    <w:rsid w:val="00607A32"/>
    <w:rsid w:val="006104FA"/>
    <w:rsid w:val="00616B47"/>
    <w:rsid w:val="006225D3"/>
    <w:rsid w:val="006232CB"/>
    <w:rsid w:val="00626AC2"/>
    <w:rsid w:val="00627C8F"/>
    <w:rsid w:val="00631870"/>
    <w:rsid w:val="00635FA2"/>
    <w:rsid w:val="006628B2"/>
    <w:rsid w:val="00666164"/>
    <w:rsid w:val="0066768B"/>
    <w:rsid w:val="0067004E"/>
    <w:rsid w:val="0067195B"/>
    <w:rsid w:val="00672100"/>
    <w:rsid w:val="006776BD"/>
    <w:rsid w:val="00684668"/>
    <w:rsid w:val="00684FE3"/>
    <w:rsid w:val="00685B4C"/>
    <w:rsid w:val="00686B7C"/>
    <w:rsid w:val="006A01D2"/>
    <w:rsid w:val="006A0C7C"/>
    <w:rsid w:val="006A2A04"/>
    <w:rsid w:val="006A56D8"/>
    <w:rsid w:val="006A6C9F"/>
    <w:rsid w:val="006B1B4A"/>
    <w:rsid w:val="006C34F1"/>
    <w:rsid w:val="006C39D1"/>
    <w:rsid w:val="006C5EB8"/>
    <w:rsid w:val="006D4E28"/>
    <w:rsid w:val="006D5858"/>
    <w:rsid w:val="006D6B35"/>
    <w:rsid w:val="006F217C"/>
    <w:rsid w:val="006F46DE"/>
    <w:rsid w:val="00711664"/>
    <w:rsid w:val="00717627"/>
    <w:rsid w:val="00720919"/>
    <w:rsid w:val="00722937"/>
    <w:rsid w:val="007231BD"/>
    <w:rsid w:val="007241E4"/>
    <w:rsid w:val="007261ED"/>
    <w:rsid w:val="007322D6"/>
    <w:rsid w:val="007328C0"/>
    <w:rsid w:val="00741AD2"/>
    <w:rsid w:val="00752B51"/>
    <w:rsid w:val="00753AD8"/>
    <w:rsid w:val="00755B4C"/>
    <w:rsid w:val="00755D8C"/>
    <w:rsid w:val="007676C0"/>
    <w:rsid w:val="00770387"/>
    <w:rsid w:val="00776E95"/>
    <w:rsid w:val="00781C08"/>
    <w:rsid w:val="00783BEC"/>
    <w:rsid w:val="00786D2C"/>
    <w:rsid w:val="00787825"/>
    <w:rsid w:val="007903C8"/>
    <w:rsid w:val="00791279"/>
    <w:rsid w:val="00796BF0"/>
    <w:rsid w:val="007A218F"/>
    <w:rsid w:val="007A3EE4"/>
    <w:rsid w:val="007A54A4"/>
    <w:rsid w:val="007B02E3"/>
    <w:rsid w:val="007B228F"/>
    <w:rsid w:val="007B3132"/>
    <w:rsid w:val="007B323F"/>
    <w:rsid w:val="007B539D"/>
    <w:rsid w:val="007C13D0"/>
    <w:rsid w:val="007C1E39"/>
    <w:rsid w:val="007C2A76"/>
    <w:rsid w:val="007C2B04"/>
    <w:rsid w:val="007C5F2A"/>
    <w:rsid w:val="007D5786"/>
    <w:rsid w:val="007E548A"/>
    <w:rsid w:val="007F06B7"/>
    <w:rsid w:val="007F4E20"/>
    <w:rsid w:val="00802C2B"/>
    <w:rsid w:val="00806275"/>
    <w:rsid w:val="00822659"/>
    <w:rsid w:val="00824A1D"/>
    <w:rsid w:val="0082668C"/>
    <w:rsid w:val="00826FE1"/>
    <w:rsid w:val="00835AA4"/>
    <w:rsid w:val="008377FF"/>
    <w:rsid w:val="00841AFC"/>
    <w:rsid w:val="00843BF6"/>
    <w:rsid w:val="00854BCD"/>
    <w:rsid w:val="00861618"/>
    <w:rsid w:val="00863DE1"/>
    <w:rsid w:val="0088193A"/>
    <w:rsid w:val="00896AE0"/>
    <w:rsid w:val="008A2E3E"/>
    <w:rsid w:val="008B0ACD"/>
    <w:rsid w:val="008B351D"/>
    <w:rsid w:val="008B63BA"/>
    <w:rsid w:val="008B66C2"/>
    <w:rsid w:val="008C5B82"/>
    <w:rsid w:val="008D24A4"/>
    <w:rsid w:val="008D3E1A"/>
    <w:rsid w:val="008D69BC"/>
    <w:rsid w:val="008E4294"/>
    <w:rsid w:val="008E5AD8"/>
    <w:rsid w:val="008F1340"/>
    <w:rsid w:val="008F344A"/>
    <w:rsid w:val="00916B64"/>
    <w:rsid w:val="00930915"/>
    <w:rsid w:val="00936AD7"/>
    <w:rsid w:val="009375BC"/>
    <w:rsid w:val="00980C3B"/>
    <w:rsid w:val="009839D3"/>
    <w:rsid w:val="00983E04"/>
    <w:rsid w:val="00991DA5"/>
    <w:rsid w:val="00993378"/>
    <w:rsid w:val="009A537C"/>
    <w:rsid w:val="009B0328"/>
    <w:rsid w:val="009B077A"/>
    <w:rsid w:val="009B509B"/>
    <w:rsid w:val="009C16B5"/>
    <w:rsid w:val="009C4FA2"/>
    <w:rsid w:val="009C5C89"/>
    <w:rsid w:val="009D2044"/>
    <w:rsid w:val="009D5CEF"/>
    <w:rsid w:val="009D6119"/>
    <w:rsid w:val="009F3698"/>
    <w:rsid w:val="009F7F59"/>
    <w:rsid w:val="00A01C45"/>
    <w:rsid w:val="00A07B58"/>
    <w:rsid w:val="00A120EC"/>
    <w:rsid w:val="00A14C37"/>
    <w:rsid w:val="00A22AB0"/>
    <w:rsid w:val="00A33757"/>
    <w:rsid w:val="00A41EF3"/>
    <w:rsid w:val="00A46379"/>
    <w:rsid w:val="00A47D6A"/>
    <w:rsid w:val="00A57536"/>
    <w:rsid w:val="00A57577"/>
    <w:rsid w:val="00A60BDB"/>
    <w:rsid w:val="00A61CB2"/>
    <w:rsid w:val="00A638C0"/>
    <w:rsid w:val="00A6679A"/>
    <w:rsid w:val="00A8344C"/>
    <w:rsid w:val="00A870D2"/>
    <w:rsid w:val="00A90590"/>
    <w:rsid w:val="00A90A3D"/>
    <w:rsid w:val="00A92FFA"/>
    <w:rsid w:val="00A9484D"/>
    <w:rsid w:val="00A94F2A"/>
    <w:rsid w:val="00A97B77"/>
    <w:rsid w:val="00AB2137"/>
    <w:rsid w:val="00AB61AB"/>
    <w:rsid w:val="00AC2063"/>
    <w:rsid w:val="00AC2CA9"/>
    <w:rsid w:val="00AD2F0E"/>
    <w:rsid w:val="00AD44F9"/>
    <w:rsid w:val="00AD4AE3"/>
    <w:rsid w:val="00AD5E2A"/>
    <w:rsid w:val="00AE1F8A"/>
    <w:rsid w:val="00AF74D1"/>
    <w:rsid w:val="00B00C1B"/>
    <w:rsid w:val="00B05B7B"/>
    <w:rsid w:val="00B1095D"/>
    <w:rsid w:val="00B10AB1"/>
    <w:rsid w:val="00B127B5"/>
    <w:rsid w:val="00B212AA"/>
    <w:rsid w:val="00B223A3"/>
    <w:rsid w:val="00B259A2"/>
    <w:rsid w:val="00B31702"/>
    <w:rsid w:val="00B44EFA"/>
    <w:rsid w:val="00B50A3C"/>
    <w:rsid w:val="00B5196B"/>
    <w:rsid w:val="00B62F36"/>
    <w:rsid w:val="00B6306C"/>
    <w:rsid w:val="00B67434"/>
    <w:rsid w:val="00B71C28"/>
    <w:rsid w:val="00B7416F"/>
    <w:rsid w:val="00B76672"/>
    <w:rsid w:val="00B81972"/>
    <w:rsid w:val="00B85DBC"/>
    <w:rsid w:val="00B93CE4"/>
    <w:rsid w:val="00B96DFC"/>
    <w:rsid w:val="00BB22F0"/>
    <w:rsid w:val="00BB2459"/>
    <w:rsid w:val="00BC2C9D"/>
    <w:rsid w:val="00BC78E2"/>
    <w:rsid w:val="00BD0B5B"/>
    <w:rsid w:val="00BD2871"/>
    <w:rsid w:val="00BD7C61"/>
    <w:rsid w:val="00BE1E1C"/>
    <w:rsid w:val="00BE66D4"/>
    <w:rsid w:val="00BF1303"/>
    <w:rsid w:val="00C00E4B"/>
    <w:rsid w:val="00C068D8"/>
    <w:rsid w:val="00C06D14"/>
    <w:rsid w:val="00C119CC"/>
    <w:rsid w:val="00C14CCB"/>
    <w:rsid w:val="00C14F83"/>
    <w:rsid w:val="00C16665"/>
    <w:rsid w:val="00C21F45"/>
    <w:rsid w:val="00C26EAF"/>
    <w:rsid w:val="00C35A20"/>
    <w:rsid w:val="00C37450"/>
    <w:rsid w:val="00C510C2"/>
    <w:rsid w:val="00C51E65"/>
    <w:rsid w:val="00C546C0"/>
    <w:rsid w:val="00C61FC9"/>
    <w:rsid w:val="00C634BB"/>
    <w:rsid w:val="00C661A8"/>
    <w:rsid w:val="00C677B9"/>
    <w:rsid w:val="00C722F1"/>
    <w:rsid w:val="00C80CE0"/>
    <w:rsid w:val="00C82A8C"/>
    <w:rsid w:val="00C86790"/>
    <w:rsid w:val="00CA20FA"/>
    <w:rsid w:val="00CA518E"/>
    <w:rsid w:val="00CA66B4"/>
    <w:rsid w:val="00CB2372"/>
    <w:rsid w:val="00CB3E61"/>
    <w:rsid w:val="00CB74B0"/>
    <w:rsid w:val="00CC17E3"/>
    <w:rsid w:val="00CC546B"/>
    <w:rsid w:val="00CD0A54"/>
    <w:rsid w:val="00CD50A4"/>
    <w:rsid w:val="00CD6F30"/>
    <w:rsid w:val="00CE07B8"/>
    <w:rsid w:val="00CE2D7E"/>
    <w:rsid w:val="00CF1B42"/>
    <w:rsid w:val="00CF4D2F"/>
    <w:rsid w:val="00CF72F6"/>
    <w:rsid w:val="00D00C12"/>
    <w:rsid w:val="00D03547"/>
    <w:rsid w:val="00D03D0E"/>
    <w:rsid w:val="00D06D1E"/>
    <w:rsid w:val="00D24634"/>
    <w:rsid w:val="00D27E14"/>
    <w:rsid w:val="00D36B1E"/>
    <w:rsid w:val="00D40502"/>
    <w:rsid w:val="00D429C8"/>
    <w:rsid w:val="00D43163"/>
    <w:rsid w:val="00D44AAA"/>
    <w:rsid w:val="00D5323B"/>
    <w:rsid w:val="00D60D2A"/>
    <w:rsid w:val="00D67C43"/>
    <w:rsid w:val="00D71916"/>
    <w:rsid w:val="00D71B35"/>
    <w:rsid w:val="00D850DE"/>
    <w:rsid w:val="00D87FAC"/>
    <w:rsid w:val="00DA2E07"/>
    <w:rsid w:val="00DB275C"/>
    <w:rsid w:val="00DB2D0C"/>
    <w:rsid w:val="00DB52E0"/>
    <w:rsid w:val="00DB5798"/>
    <w:rsid w:val="00DD1167"/>
    <w:rsid w:val="00DD3FDF"/>
    <w:rsid w:val="00DD4E2B"/>
    <w:rsid w:val="00DE2BF2"/>
    <w:rsid w:val="00E00D64"/>
    <w:rsid w:val="00E01615"/>
    <w:rsid w:val="00E079C1"/>
    <w:rsid w:val="00E11F07"/>
    <w:rsid w:val="00E1388A"/>
    <w:rsid w:val="00E1658F"/>
    <w:rsid w:val="00E2118D"/>
    <w:rsid w:val="00E34411"/>
    <w:rsid w:val="00E41E4F"/>
    <w:rsid w:val="00E4487C"/>
    <w:rsid w:val="00E63718"/>
    <w:rsid w:val="00E72F71"/>
    <w:rsid w:val="00E73950"/>
    <w:rsid w:val="00E770E5"/>
    <w:rsid w:val="00E7777B"/>
    <w:rsid w:val="00E8028D"/>
    <w:rsid w:val="00E811F1"/>
    <w:rsid w:val="00EA0A87"/>
    <w:rsid w:val="00EA56FD"/>
    <w:rsid w:val="00EB29A3"/>
    <w:rsid w:val="00EC3B0A"/>
    <w:rsid w:val="00EC7B53"/>
    <w:rsid w:val="00ED4F33"/>
    <w:rsid w:val="00EE690C"/>
    <w:rsid w:val="00F004E1"/>
    <w:rsid w:val="00F038FC"/>
    <w:rsid w:val="00F041AA"/>
    <w:rsid w:val="00F04EBC"/>
    <w:rsid w:val="00F12DF8"/>
    <w:rsid w:val="00F23FEF"/>
    <w:rsid w:val="00F339DE"/>
    <w:rsid w:val="00F40264"/>
    <w:rsid w:val="00F4517C"/>
    <w:rsid w:val="00F472B6"/>
    <w:rsid w:val="00F57B96"/>
    <w:rsid w:val="00F624BA"/>
    <w:rsid w:val="00F62F5C"/>
    <w:rsid w:val="00F63F3B"/>
    <w:rsid w:val="00F71510"/>
    <w:rsid w:val="00F73663"/>
    <w:rsid w:val="00F81F26"/>
    <w:rsid w:val="00F8246A"/>
    <w:rsid w:val="00F913AF"/>
    <w:rsid w:val="00F92913"/>
    <w:rsid w:val="00F937C1"/>
    <w:rsid w:val="00FA2AA0"/>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silver,#eaeaea"/>
    </o:shapedefaults>
    <o:shapelayout v:ext="edit">
      <o:idmap v:ext="edit" data="1"/>
    </o:shapelayout>
  </w:shapeDefaults>
  <w:decimalSymbol w:val="."/>
  <w:listSeparator w:val=","/>
  <w14:docId w14:val="27DDECB1"/>
  <w15:docId w15:val="{9DACB061-2BAD-41FC-88FD-6F660705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uiPriority w:val="9"/>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 w:type="numbering" w:customStyle="1" w:styleId="AASBNumbers">
    <w:name w:val="AASB Numbers"/>
    <w:uiPriority w:val="99"/>
    <w:rsid w:val="0040485F"/>
    <w:pPr>
      <w:numPr>
        <w:numId w:val="15"/>
      </w:numPr>
    </w:pPr>
  </w:style>
  <w:style w:type="character" w:customStyle="1" w:styleId="Heading2Char">
    <w:name w:val="Heading 2 Char"/>
    <w:basedOn w:val="DefaultParagraphFont"/>
    <w:link w:val="Heading2"/>
    <w:uiPriority w:val="9"/>
    <w:rsid w:val="003D034E"/>
    <w:rPr>
      <w:rFonts w:cs="Arial"/>
      <w:b/>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014929">
      <w:bodyDiv w:val="1"/>
      <w:marLeft w:val="0"/>
      <w:marRight w:val="0"/>
      <w:marTop w:val="0"/>
      <w:marBottom w:val="0"/>
      <w:divBdr>
        <w:top w:val="none" w:sz="0" w:space="0" w:color="auto"/>
        <w:left w:val="none" w:sz="0" w:space="0" w:color="auto"/>
        <w:bottom w:val="none" w:sz="0" w:space="0" w:color="auto"/>
        <w:right w:val="none" w:sz="0" w:space="0" w:color="auto"/>
      </w:divBdr>
    </w:div>
    <w:div w:id="1653680919">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C46006CD627C4DAB0A5D920EA18588" ma:contentTypeVersion="6" ma:contentTypeDescription="Create a new document." ma:contentTypeScope="" ma:versionID="a5c467a797fd38bd9bf385284a2519d6">
  <xsd:schema xmlns:xsd="http://www.w3.org/2001/XMLSchema" xmlns:xs="http://www.w3.org/2001/XMLSchema" xmlns:p="http://schemas.microsoft.com/office/2006/metadata/properties" xmlns:ns3="5d3f9470-a3c7-46bb-8005-97f4844b7de8" targetNamespace="http://schemas.microsoft.com/office/2006/metadata/properties" ma:root="true" ma:fieldsID="1550d0a484ff46390040f959997f7d68" ns3:_="">
    <xsd:import namespace="5d3f9470-a3c7-46bb-8005-97f4844b7d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f9470-a3c7-46bb-8005-97f4844b7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75301-5838-4C63-A43C-F2ABB7DA2F04}">
  <ds:schemaRefs>
    <ds:schemaRef ds:uri="http://schemas.openxmlformats.org/officeDocument/2006/bibliography"/>
  </ds:schemaRefs>
</ds:datastoreItem>
</file>

<file path=customXml/itemProps2.xml><?xml version="1.0" encoding="utf-8"?>
<ds:datastoreItem xmlns:ds="http://schemas.openxmlformats.org/officeDocument/2006/customXml" ds:itemID="{F788CC78-A822-4838-A55A-DFD5CFF80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f9470-a3c7-46bb-8005-97f4844b7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4C38A-44CC-4CC5-B487-088A7FAAAB06}">
  <ds:schemaRefs>
    <ds:schemaRef ds:uri="http://schemas.microsoft.com/sharepoint/v3/contenttype/forms"/>
  </ds:schemaRefs>
</ds:datastoreItem>
</file>

<file path=customXml/itemProps4.xml><?xml version="1.0" encoding="utf-8"?>
<ds:datastoreItem xmlns:ds="http://schemas.openxmlformats.org/officeDocument/2006/customXml" ds:itemID="{99EFBBAB-6521-4055-A227-A384535EB5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Patricia Au</cp:lastModifiedBy>
  <cp:revision>4</cp:revision>
  <cp:lastPrinted>2018-08-13T04:04:00Z</cp:lastPrinted>
  <dcterms:created xsi:type="dcterms:W3CDTF">2021-06-24T04:12:00Z</dcterms:created>
  <dcterms:modified xsi:type="dcterms:W3CDTF">2021-06-24T04:18:00Z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0x010100EDC46006CD627C4DAB0A5D920EA18588</vt:lpwstr>
  </property>
</Properties>
</file>