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5500FB" w:rsidRDefault="00FA6784" w:rsidP="00FA6784">
      <w:pPr>
        <w:pStyle w:val="H3"/>
        <w:jc w:val="center"/>
        <w:rPr>
          <w:sz w:val="24"/>
          <w:szCs w:val="24"/>
        </w:rPr>
      </w:pPr>
      <w:r w:rsidRPr="005500FB">
        <w:rPr>
          <w:sz w:val="24"/>
          <w:szCs w:val="24"/>
        </w:rPr>
        <w:t>EXPLANATORY STATEMENT</w:t>
      </w:r>
    </w:p>
    <w:p w14:paraId="2412D120" w14:textId="77777777" w:rsidR="00FA6784" w:rsidRPr="005500FB" w:rsidRDefault="00FA6784" w:rsidP="00FA6784">
      <w:pPr>
        <w:jc w:val="center"/>
        <w:rPr>
          <w:sz w:val="22"/>
          <w:szCs w:val="22"/>
        </w:rPr>
      </w:pPr>
    </w:p>
    <w:p w14:paraId="2412D123" w14:textId="77777777" w:rsidR="00FA6784" w:rsidRPr="005500FB" w:rsidRDefault="00FA6784" w:rsidP="00FA6784">
      <w:pPr>
        <w:jc w:val="center"/>
        <w:rPr>
          <w:i/>
          <w:iCs/>
        </w:rPr>
      </w:pPr>
      <w:r w:rsidRPr="005500FB">
        <w:rPr>
          <w:i/>
          <w:iCs/>
        </w:rPr>
        <w:t>Health Insurance Act 1973</w:t>
      </w:r>
    </w:p>
    <w:p w14:paraId="2412D124" w14:textId="77777777" w:rsidR="00A1739A" w:rsidRPr="005500FB" w:rsidRDefault="00A1739A" w:rsidP="00A1739A">
      <w:pPr>
        <w:rPr>
          <w:szCs w:val="24"/>
          <w:u w:val="single"/>
        </w:rPr>
      </w:pPr>
    </w:p>
    <w:p w14:paraId="052E97C1" w14:textId="5D9DC751" w:rsidR="00164A69" w:rsidRPr="005500FB" w:rsidRDefault="00BF51E9" w:rsidP="00BF51E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r w:rsidRPr="005500FB">
        <w:rPr>
          <w:i/>
          <w:szCs w:val="24"/>
        </w:rPr>
        <w:t xml:space="preserve">Health Insurance (Section 3C General Medical Services – General Practice Attendance for Assessing Patient Suitability for a COVID-19 Vaccine) Amendment </w:t>
      </w:r>
      <w:r w:rsidR="000D4BDA" w:rsidRPr="005500FB">
        <w:rPr>
          <w:i/>
          <w:szCs w:val="24"/>
        </w:rPr>
        <w:t>(No.</w:t>
      </w:r>
      <w:r w:rsidR="00730A82" w:rsidRPr="005500FB">
        <w:rPr>
          <w:i/>
          <w:szCs w:val="24"/>
        </w:rPr>
        <w:t xml:space="preserve"> </w:t>
      </w:r>
      <w:r w:rsidR="00F71EE6" w:rsidRPr="005500FB">
        <w:rPr>
          <w:i/>
          <w:szCs w:val="24"/>
        </w:rPr>
        <w:t>3</w:t>
      </w:r>
      <w:r w:rsidR="000D4BDA" w:rsidRPr="005500FB">
        <w:rPr>
          <w:i/>
          <w:szCs w:val="24"/>
        </w:rPr>
        <w:t xml:space="preserve">) </w:t>
      </w:r>
      <w:r w:rsidRPr="005500FB">
        <w:rPr>
          <w:i/>
          <w:szCs w:val="24"/>
        </w:rPr>
        <w:t>Determination 2021</w:t>
      </w:r>
    </w:p>
    <w:p w14:paraId="3171799C" w14:textId="77777777" w:rsidR="00BF51E9" w:rsidRPr="005500FB" w:rsidRDefault="00BF51E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36608F98" w:rsidR="00164A69" w:rsidRPr="005500FB"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5500FB">
        <w:rPr>
          <w:color w:val="000000"/>
          <w:shd w:val="clear" w:color="auto" w:fill="FFFFFF"/>
        </w:rPr>
        <w:t xml:space="preserve">Subsection 3C(1) of the </w:t>
      </w:r>
      <w:r w:rsidRPr="005500FB">
        <w:rPr>
          <w:i/>
          <w:color w:val="000000"/>
          <w:shd w:val="clear" w:color="auto" w:fill="FFFFFF"/>
        </w:rPr>
        <w:t>Health Insurance Act 1973</w:t>
      </w:r>
      <w:r w:rsidRPr="005500FB">
        <w:rPr>
          <w:color w:val="000000"/>
          <w:shd w:val="clear" w:color="auto" w:fill="FFFFFF"/>
        </w:rPr>
        <w:t xml:space="preserve"> (the Act) </w:t>
      </w:r>
      <w:r w:rsidR="00477C74" w:rsidRPr="005500FB">
        <w:rPr>
          <w:color w:val="000000"/>
          <w:shd w:val="clear" w:color="auto" w:fill="FFFFFF"/>
        </w:rPr>
        <w:t>provide</w:t>
      </w:r>
      <w:r w:rsidR="002E5708" w:rsidRPr="005500FB">
        <w:rPr>
          <w:color w:val="000000"/>
          <w:shd w:val="clear" w:color="auto" w:fill="FFFFFF"/>
        </w:rPr>
        <w:t>s</w:t>
      </w:r>
      <w:r w:rsidR="00477C74" w:rsidRPr="005500FB">
        <w:rPr>
          <w:color w:val="000000"/>
          <w:shd w:val="clear" w:color="auto" w:fill="FFFFFF"/>
        </w:rPr>
        <w:t xml:space="preserve"> that</w:t>
      </w:r>
      <w:r w:rsidRPr="005500FB">
        <w:rPr>
          <w:color w:val="000000"/>
          <w:shd w:val="clear" w:color="auto" w:fill="FFFFFF"/>
        </w:rPr>
        <w:t xml:space="preserve"> the Minister </w:t>
      </w:r>
      <w:r w:rsidR="00477C74" w:rsidRPr="005500FB">
        <w:rPr>
          <w:color w:val="000000"/>
          <w:shd w:val="clear" w:color="auto" w:fill="FFFFFF"/>
        </w:rPr>
        <w:t>may</w:t>
      </w:r>
      <w:r w:rsidRPr="005500FB">
        <w:rPr>
          <w:color w:val="000000"/>
          <w:shd w:val="clear" w:color="auto" w:fill="FFFFFF"/>
        </w:rPr>
        <w:t xml:space="preserve">, by legislative instrument, determine that a health service not specified in an item in the </w:t>
      </w:r>
      <w:r w:rsidR="003A592E" w:rsidRPr="005500FB">
        <w:rPr>
          <w:color w:val="000000"/>
          <w:shd w:val="clear" w:color="auto" w:fill="FFFFFF"/>
        </w:rPr>
        <w:t>general medical services table</w:t>
      </w:r>
      <w:r w:rsidRPr="005500FB">
        <w:rPr>
          <w:color w:val="000000"/>
          <w:shd w:val="clear" w:color="auto" w:fill="FFFFFF"/>
        </w:rPr>
        <w:t xml:space="preserve"> </w:t>
      </w:r>
      <w:r w:rsidR="00D01D5A" w:rsidRPr="005500FB">
        <w:rPr>
          <w:color w:val="000000"/>
          <w:shd w:val="clear" w:color="auto" w:fill="FFFFFF"/>
        </w:rPr>
        <w:t xml:space="preserve">(the Table) </w:t>
      </w:r>
      <w:r w:rsidRPr="005500FB">
        <w:rPr>
          <w:color w:val="000000"/>
          <w:shd w:val="clear" w:color="auto" w:fill="FFFFFF"/>
        </w:rPr>
        <w:t xml:space="preserve">shall, in specified circumstances and for specified statutory provisions, be treated as if it were specified in the </w:t>
      </w:r>
      <w:r w:rsidR="00D01D5A" w:rsidRPr="005500FB">
        <w:rPr>
          <w:color w:val="000000"/>
          <w:shd w:val="clear" w:color="auto" w:fill="FFFFFF"/>
        </w:rPr>
        <w:t>Table.</w:t>
      </w:r>
      <w:r w:rsidR="006226B2" w:rsidRPr="005500FB">
        <w:rPr>
          <w:color w:val="000000"/>
          <w:shd w:val="clear" w:color="auto" w:fill="FFFFFF"/>
        </w:rPr>
        <w:t xml:space="preserve"> </w:t>
      </w:r>
      <w:r w:rsidR="00D01D5A" w:rsidRPr="005500FB">
        <w:rPr>
          <w:color w:val="000000"/>
          <w:shd w:val="clear" w:color="auto" w:fill="FFFFFF"/>
        </w:rPr>
        <w:t xml:space="preserve"> </w:t>
      </w:r>
      <w:r w:rsidRPr="005500FB">
        <w:rPr>
          <w:color w:val="FF0000"/>
          <w:shd w:val="clear" w:color="auto" w:fill="FFFFFF"/>
        </w:rPr>
        <w:t xml:space="preserve">  </w:t>
      </w:r>
    </w:p>
    <w:p w14:paraId="7DB18649" w14:textId="77777777" w:rsidR="00841EDA" w:rsidRPr="005500FB"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1A457EA6" w14:textId="27A7CEFC" w:rsidR="008363E3" w:rsidRPr="005500FB" w:rsidRDefault="00050623" w:rsidP="008363E3">
      <w:pPr>
        <w:rPr>
          <w:szCs w:val="24"/>
        </w:rPr>
      </w:pPr>
      <w:r w:rsidRPr="005500FB">
        <w:t xml:space="preserve">The </w:t>
      </w:r>
      <w:r w:rsidR="00D01D5A" w:rsidRPr="005500FB">
        <w:t>Table</w:t>
      </w:r>
      <w:r w:rsidRPr="005500FB">
        <w:t xml:space="preserve"> is set out in the regulations made under subsection 4</w:t>
      </w:r>
      <w:r w:rsidR="003A592E" w:rsidRPr="005500FB">
        <w:t>(1)</w:t>
      </w:r>
      <w:r w:rsidRPr="005500FB">
        <w:t xml:space="preserve"> of the Act.  The most recent version of the regulations i</w:t>
      </w:r>
      <w:r w:rsidRPr="005500FB">
        <w:rPr>
          <w:color w:val="000000" w:themeColor="text1"/>
        </w:rPr>
        <w:t xml:space="preserve">s the </w:t>
      </w:r>
      <w:r w:rsidR="00711428" w:rsidRPr="005500FB">
        <w:rPr>
          <w:i/>
          <w:color w:val="000000" w:themeColor="text1"/>
        </w:rPr>
        <w:t>Health Insurance (General Medical Services Table) Regulations (No. 2) 2020</w:t>
      </w:r>
      <w:r w:rsidR="00D01D5A" w:rsidRPr="005500FB">
        <w:rPr>
          <w:color w:val="000000" w:themeColor="text1"/>
        </w:rPr>
        <w:t>.</w:t>
      </w:r>
      <w:r w:rsidRPr="005500FB">
        <w:rPr>
          <w:color w:val="000000" w:themeColor="text1"/>
        </w:rPr>
        <w:t xml:space="preserve"> </w:t>
      </w:r>
    </w:p>
    <w:p w14:paraId="2E6FE463" w14:textId="77777777" w:rsidR="00050623" w:rsidRPr="005500FB"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5A60E5FD" w:rsidR="00050623" w:rsidRPr="005500FB"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5500FB">
        <w:t xml:space="preserve">This instrument relies on subsection 33(3) of the </w:t>
      </w:r>
      <w:r w:rsidRPr="005500FB">
        <w:rPr>
          <w:i/>
        </w:rPr>
        <w:t>Acts Interpretation Act 1901</w:t>
      </w:r>
      <w:r w:rsidRPr="005500FB">
        <w:t xml:space="preserve"> (AIA).  Subsection 33(3) of the AIA</w:t>
      </w:r>
      <w:r w:rsidRPr="005500FB">
        <w:rPr>
          <w:i/>
        </w:rPr>
        <w:t xml:space="preserve"> </w:t>
      </w:r>
      <w:r w:rsidRPr="005500F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2640143" w14:textId="285A5D7F" w:rsidR="00AC0EBC" w:rsidRPr="005500FB" w:rsidRDefault="00AC0EBC"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781BDC73" w14:textId="77777777" w:rsidR="00AC0EBC" w:rsidRPr="005500FB" w:rsidRDefault="00AC0EBC" w:rsidP="00AC0EBC">
      <w:pPr>
        <w:rPr>
          <w:iCs/>
        </w:rPr>
      </w:pPr>
      <w:r w:rsidRPr="005500FB">
        <w:rPr>
          <w:iCs/>
        </w:rPr>
        <w:t xml:space="preserve">Section 12(2) of the </w:t>
      </w:r>
      <w:r w:rsidRPr="005500FB">
        <w:rPr>
          <w:i/>
          <w:iCs/>
        </w:rPr>
        <w:t>Legislation Act 2003</w:t>
      </w:r>
      <w:r w:rsidRPr="005500FB">
        <w:rPr>
          <w:iCs/>
        </w:rPr>
        <w:t xml:space="preserve"> prohibits the Commonwealth from commencing instruments prior to registration if retrospective commencement would disadvantage a person (other than the Commonwealth) or impose a liability on a person (other than the Commonwealth).</w:t>
      </w:r>
    </w:p>
    <w:p w14:paraId="5FE5238F" w14:textId="77777777" w:rsidR="00AC0EBC" w:rsidRPr="005500FB" w:rsidRDefault="00AC0EBC" w:rsidP="00AC0EBC">
      <w:pPr>
        <w:rPr>
          <w:u w:val="single"/>
        </w:rPr>
      </w:pPr>
    </w:p>
    <w:p w14:paraId="7492017C" w14:textId="77777777" w:rsidR="00AC0EBC" w:rsidRPr="005500FB" w:rsidRDefault="00AC0EBC" w:rsidP="00AC0EBC">
      <w:pPr>
        <w:autoSpaceDE w:val="0"/>
        <w:autoSpaceDN w:val="0"/>
        <w:adjustRightInd w:val="0"/>
        <w:ind w:right="-483"/>
        <w:rPr>
          <w:szCs w:val="24"/>
        </w:rPr>
      </w:pPr>
      <w:r w:rsidRPr="005500FB">
        <w:t>Section 3</w:t>
      </w:r>
      <w:proofErr w:type="gramStart"/>
      <w:r w:rsidRPr="005500FB">
        <w:t>C(</w:t>
      </w:r>
      <w:proofErr w:type="gramEnd"/>
      <w:r w:rsidRPr="005500FB">
        <w:t xml:space="preserve">2) of the </w:t>
      </w:r>
      <w:r w:rsidRPr="005500FB">
        <w:rPr>
          <w:i/>
        </w:rPr>
        <w:t xml:space="preserve">Health Insurance Act 1973 </w:t>
      </w:r>
      <w:r w:rsidRPr="005500FB">
        <w:t xml:space="preserve">excludes section 12(2) of the </w:t>
      </w:r>
      <w:r w:rsidRPr="005500FB">
        <w:rPr>
          <w:i/>
        </w:rPr>
        <w:t>Legislation Act 2003</w:t>
      </w:r>
      <w:r w:rsidRPr="005500FB">
        <w:t xml:space="preserve"> from applying to determinations made under section 3C(1) of the </w:t>
      </w:r>
      <w:r w:rsidRPr="005500FB">
        <w:rPr>
          <w:i/>
        </w:rPr>
        <w:t>Health Insurance Act 1973.</w:t>
      </w:r>
      <w:r w:rsidRPr="005500FB">
        <w:t xml:space="preserve"> This allows the Commonwealth to make retrospective 3C determinations.</w:t>
      </w:r>
    </w:p>
    <w:p w14:paraId="2412D129" w14:textId="2D4AC742" w:rsidR="008C5F1C" w:rsidRPr="005500FB" w:rsidRDefault="008C5F1C" w:rsidP="00D33180">
      <w:pPr>
        <w:autoSpaceDE w:val="0"/>
        <w:autoSpaceDN w:val="0"/>
        <w:adjustRightInd w:val="0"/>
        <w:ind w:right="-483"/>
        <w:rPr>
          <w:szCs w:val="24"/>
        </w:rPr>
      </w:pPr>
    </w:p>
    <w:p w14:paraId="2412D12A" w14:textId="77777777" w:rsidR="00BB00BA" w:rsidRPr="005500FB" w:rsidRDefault="00A1739A" w:rsidP="00BB00BA">
      <w:pPr>
        <w:rPr>
          <w:b/>
          <w:szCs w:val="24"/>
          <w:lang w:val="en-US" w:eastAsia="en-US"/>
        </w:rPr>
      </w:pPr>
      <w:r w:rsidRPr="005500FB">
        <w:rPr>
          <w:b/>
          <w:szCs w:val="24"/>
          <w:lang w:val="en-US" w:eastAsia="en-US"/>
        </w:rPr>
        <w:t>Purpose</w:t>
      </w:r>
    </w:p>
    <w:p w14:paraId="496DD4EB" w14:textId="7311101A" w:rsidR="00BF51E9" w:rsidRPr="005500FB" w:rsidRDefault="00BF51E9" w:rsidP="008363E3">
      <w:pPr>
        <w:ind w:right="-483"/>
        <w:rPr>
          <w:color w:val="000000"/>
          <w:shd w:val="clear" w:color="auto" w:fill="FFFFFF"/>
        </w:rPr>
      </w:pPr>
      <w:r w:rsidRPr="005500FB">
        <w:rPr>
          <w:color w:val="000000"/>
          <w:shd w:val="clear" w:color="auto" w:fill="FFFFFF"/>
        </w:rPr>
        <w:t>The Australian Government is committed to offering every person in Australia access to safe and effective COVID-19 vaccines at no cost.</w:t>
      </w:r>
    </w:p>
    <w:p w14:paraId="70A3BBF0" w14:textId="50E2B928" w:rsidR="00BF51E9" w:rsidRPr="005500FB" w:rsidRDefault="00BF51E9" w:rsidP="008363E3">
      <w:pPr>
        <w:ind w:right="-483"/>
        <w:rPr>
          <w:color w:val="000000"/>
          <w:shd w:val="clear" w:color="auto" w:fill="FFFFFF"/>
        </w:rPr>
      </w:pPr>
    </w:p>
    <w:p w14:paraId="24E61889" w14:textId="59366793" w:rsidR="00BF51E9" w:rsidRPr="005500FB" w:rsidRDefault="00BF51E9" w:rsidP="008363E3">
      <w:pPr>
        <w:ind w:right="-483"/>
        <w:rPr>
          <w:color w:val="000000" w:themeColor="text1"/>
          <w:szCs w:val="24"/>
        </w:rPr>
      </w:pPr>
      <w:r w:rsidRPr="005500FB">
        <w:rPr>
          <w:color w:val="000000" w:themeColor="text1"/>
          <w:szCs w:val="24"/>
        </w:rPr>
        <w:t xml:space="preserve">On 25 February 2021, the </w:t>
      </w:r>
      <w:r w:rsidRPr="005500FB">
        <w:rPr>
          <w:i/>
          <w:color w:val="000000" w:themeColor="text1"/>
          <w:szCs w:val="24"/>
        </w:rPr>
        <w:t>Health Insurance (Section 3C General Medical Services – General Practice Attendance for Assessing Patient Suitability for a COVID-19 Vaccine) Determination 2021</w:t>
      </w:r>
      <w:r w:rsidR="005E2E24" w:rsidRPr="005500FB">
        <w:rPr>
          <w:iCs/>
          <w:color w:val="000000" w:themeColor="text1"/>
          <w:szCs w:val="24"/>
        </w:rPr>
        <w:t xml:space="preserve"> (the Principal Determination)</w:t>
      </w:r>
      <w:r w:rsidRPr="005500FB">
        <w:rPr>
          <w:i/>
          <w:color w:val="000000" w:themeColor="text1"/>
          <w:szCs w:val="24"/>
        </w:rPr>
        <w:t xml:space="preserve"> </w:t>
      </w:r>
      <w:r w:rsidRPr="005500FB">
        <w:rPr>
          <w:color w:val="000000" w:themeColor="text1"/>
          <w:szCs w:val="24"/>
        </w:rPr>
        <w:t>listed 16 new Medicare Benefits Schedule (MBS) items to support general practices to administer the COVID-19 vaccine.</w:t>
      </w:r>
    </w:p>
    <w:p w14:paraId="04A59ADE" w14:textId="77777777" w:rsidR="00BF51E9" w:rsidRPr="005500FB" w:rsidRDefault="00BF51E9" w:rsidP="008363E3">
      <w:pPr>
        <w:ind w:right="-483"/>
        <w:rPr>
          <w:color w:val="000000" w:themeColor="text1"/>
          <w:szCs w:val="24"/>
        </w:rPr>
      </w:pPr>
    </w:p>
    <w:p w14:paraId="3BD4CC1A" w14:textId="36568393" w:rsidR="009C0C76" w:rsidRPr="005500FB" w:rsidRDefault="00BF51E9" w:rsidP="00BF51E9">
      <w:pPr>
        <w:ind w:right="-483"/>
        <w:rPr>
          <w:color w:val="000000"/>
          <w:shd w:val="clear" w:color="auto" w:fill="FFFFFF"/>
        </w:rPr>
      </w:pPr>
      <w:r w:rsidRPr="005500FB">
        <w:rPr>
          <w:color w:val="000000" w:themeColor="text1"/>
          <w:szCs w:val="24"/>
        </w:rPr>
        <w:t xml:space="preserve">General practices supplied with the COVID-19 vaccine </w:t>
      </w:r>
      <w:proofErr w:type="gramStart"/>
      <w:r w:rsidRPr="005500FB">
        <w:rPr>
          <w:color w:val="000000" w:themeColor="text1"/>
          <w:szCs w:val="24"/>
        </w:rPr>
        <w:t>are able to</w:t>
      </w:r>
      <w:proofErr w:type="gramEnd"/>
      <w:r w:rsidRPr="005500FB">
        <w:rPr>
          <w:color w:val="000000" w:themeColor="text1"/>
          <w:szCs w:val="24"/>
        </w:rPr>
        <w:t xml:space="preserve"> provide a service to assess if a person is suitable to rec</w:t>
      </w:r>
      <w:r w:rsidR="00BB0260" w:rsidRPr="005500FB">
        <w:rPr>
          <w:color w:val="000000" w:themeColor="text1"/>
          <w:szCs w:val="24"/>
        </w:rPr>
        <w:t>eive the COVID-19 vaccine. The 16 MBS patient suitability assessment s</w:t>
      </w:r>
      <w:r w:rsidRPr="005500FB">
        <w:rPr>
          <w:color w:val="000000" w:themeColor="text1"/>
          <w:szCs w:val="24"/>
        </w:rPr>
        <w:t>ervice</w:t>
      </w:r>
      <w:r w:rsidR="00BB0260" w:rsidRPr="005500FB">
        <w:rPr>
          <w:color w:val="000000" w:themeColor="text1"/>
          <w:szCs w:val="24"/>
        </w:rPr>
        <w:t>s,</w:t>
      </w:r>
      <w:r w:rsidRPr="005500FB">
        <w:rPr>
          <w:color w:val="000000" w:themeColor="text1"/>
          <w:szCs w:val="24"/>
        </w:rPr>
        <w:t xml:space="preserve"> can be rendered</w:t>
      </w:r>
      <w:r w:rsidR="00FB36C6" w:rsidRPr="005500FB">
        <w:rPr>
          <w:color w:val="000000" w:themeColor="text1"/>
          <w:szCs w:val="24"/>
        </w:rPr>
        <w:t xml:space="preserve"> </w:t>
      </w:r>
      <w:r w:rsidR="00FB36C6" w:rsidRPr="005500FB">
        <w:rPr>
          <w:color w:val="000000"/>
          <w:shd w:val="clear" w:color="auto" w:fill="FFFFFF"/>
        </w:rPr>
        <w:t xml:space="preserve">to a person </w:t>
      </w:r>
      <w:r w:rsidR="00FB36C6" w:rsidRPr="005500FB">
        <w:rPr>
          <w:color w:val="000000" w:themeColor="text1"/>
          <w:szCs w:val="24"/>
        </w:rPr>
        <w:t>who is at least 18 years of age</w:t>
      </w:r>
      <w:r w:rsidRPr="005500FB">
        <w:rPr>
          <w:color w:val="000000" w:themeColor="text1"/>
          <w:szCs w:val="24"/>
        </w:rPr>
        <w:t xml:space="preserve"> by </w:t>
      </w:r>
      <w:r w:rsidRPr="005500FB">
        <w:rPr>
          <w:color w:val="000000"/>
          <w:shd w:val="clear" w:color="auto" w:fill="FFFFFF"/>
        </w:rPr>
        <w:t xml:space="preserve">general practitioners (GPs) and other medical practitioners (OMPs), or by a person on behalf of the medical practitioner (such as a registered nurse or other health professional registered under the Health Practitioner Regulation National Law) if it is provided in </w:t>
      </w:r>
      <w:r w:rsidRPr="005500FB">
        <w:rPr>
          <w:color w:val="000000"/>
          <w:shd w:val="clear" w:color="auto" w:fill="FFFFFF"/>
        </w:rPr>
        <w:lastRenderedPageBreak/>
        <w:t>accordance with acceptable clinical practice and under supervision of the medical practitioner. </w:t>
      </w:r>
    </w:p>
    <w:p w14:paraId="317FDC00" w14:textId="77777777" w:rsidR="009C0C76" w:rsidRPr="005500FB" w:rsidRDefault="009C0C76" w:rsidP="00BF51E9">
      <w:pPr>
        <w:ind w:right="-483"/>
        <w:rPr>
          <w:color w:val="000000"/>
          <w:shd w:val="clear" w:color="auto" w:fill="FFFFFF"/>
        </w:rPr>
      </w:pPr>
    </w:p>
    <w:p w14:paraId="3289F8FB" w14:textId="1BCAC0F4" w:rsidR="005E2E24" w:rsidRPr="005500FB" w:rsidRDefault="005E2E24" w:rsidP="005E2E24">
      <w:pPr>
        <w:ind w:right="-483"/>
        <w:rPr>
          <w:color w:val="000000" w:themeColor="text1"/>
          <w:szCs w:val="24"/>
        </w:rPr>
      </w:pPr>
      <w:r w:rsidRPr="005500FB">
        <w:rPr>
          <w:color w:val="000000" w:themeColor="text1"/>
          <w:szCs w:val="24"/>
        </w:rPr>
        <w:t xml:space="preserve">On 18 June 2021, two new MBS </w:t>
      </w:r>
      <w:r w:rsidR="0053228C" w:rsidRPr="005500FB">
        <w:rPr>
          <w:color w:val="000000" w:themeColor="text1"/>
          <w:szCs w:val="24"/>
        </w:rPr>
        <w:t xml:space="preserve">items </w:t>
      </w:r>
      <w:r w:rsidRPr="005500FB">
        <w:rPr>
          <w:color w:val="000000" w:themeColor="text1"/>
          <w:szCs w:val="24"/>
        </w:rPr>
        <w:t xml:space="preserve">(items 10660 and 10661) were introduced for GPs or OMPs to personally attend to the patient for more than 10 minutes, to provide in-depth clinical advice on the individual risks and benefits associated with receiving a dose of the COVID-19 vaccine to patients who are at least 50 years of age. These items were introduced through the </w:t>
      </w:r>
      <w:r w:rsidRPr="005500FB">
        <w:rPr>
          <w:i/>
          <w:color w:val="000000" w:themeColor="text1"/>
          <w:szCs w:val="24"/>
        </w:rPr>
        <w:t>Health Insurance (Section 3C General Medical Services – General Practice Attendance for Assessing Patient Suitability for a COVID-19 Vaccine) Amendment (No. 2) Determination 2021</w:t>
      </w:r>
      <w:r w:rsidRPr="005500FB">
        <w:rPr>
          <w:color w:val="000000" w:themeColor="text1"/>
          <w:szCs w:val="24"/>
        </w:rPr>
        <w:t xml:space="preserve">. </w:t>
      </w:r>
    </w:p>
    <w:p w14:paraId="7DBA609E" w14:textId="77777777" w:rsidR="005E2E24" w:rsidRPr="005500FB" w:rsidRDefault="005E2E24" w:rsidP="00BF51E9">
      <w:pPr>
        <w:ind w:right="-483"/>
        <w:rPr>
          <w:color w:val="000000" w:themeColor="text1"/>
          <w:szCs w:val="24"/>
        </w:rPr>
      </w:pPr>
    </w:p>
    <w:p w14:paraId="7B5FE79E" w14:textId="23D2C706" w:rsidR="009C0C76" w:rsidRPr="005500FB" w:rsidRDefault="00655A2E" w:rsidP="00BF51E9">
      <w:pPr>
        <w:ind w:right="-483"/>
        <w:rPr>
          <w:color w:val="000000" w:themeColor="text1"/>
          <w:szCs w:val="24"/>
        </w:rPr>
      </w:pPr>
      <w:r w:rsidRPr="005500FB">
        <w:rPr>
          <w:color w:val="000000" w:themeColor="text1"/>
          <w:szCs w:val="24"/>
        </w:rPr>
        <w:t>The</w:t>
      </w:r>
      <w:r w:rsidR="009C0C76" w:rsidRPr="005500FB">
        <w:rPr>
          <w:color w:val="000000" w:themeColor="text1"/>
          <w:szCs w:val="24"/>
        </w:rPr>
        <w:t xml:space="preserve"> purpose of the</w:t>
      </w:r>
      <w:r w:rsidRPr="005500FB">
        <w:rPr>
          <w:color w:val="000000" w:themeColor="text1"/>
          <w:szCs w:val="24"/>
        </w:rPr>
        <w:t xml:space="preserve"> </w:t>
      </w:r>
      <w:r w:rsidRPr="005500FB">
        <w:rPr>
          <w:i/>
          <w:color w:val="000000" w:themeColor="text1"/>
          <w:szCs w:val="24"/>
        </w:rPr>
        <w:t xml:space="preserve">Health Insurance (Section 3C General Medical Services – General Practice Attendance for Assessing Patient Suitability for a COVID-19 Vaccine) Amendment (No. 3) Determination 2021 </w:t>
      </w:r>
      <w:r w:rsidRPr="005500FB">
        <w:rPr>
          <w:color w:val="000000" w:themeColor="text1"/>
          <w:szCs w:val="24"/>
        </w:rPr>
        <w:t xml:space="preserve">(the Amendment Determination) </w:t>
      </w:r>
      <w:r w:rsidR="009C0C76" w:rsidRPr="005500FB">
        <w:rPr>
          <w:color w:val="000000" w:themeColor="text1"/>
          <w:szCs w:val="24"/>
        </w:rPr>
        <w:t>is to remove the age requirements for patients to access the suitability assessment items</w:t>
      </w:r>
      <w:r w:rsidR="0053228C" w:rsidRPr="005500FB">
        <w:rPr>
          <w:color w:val="000000" w:themeColor="text1"/>
          <w:szCs w:val="24"/>
        </w:rPr>
        <w:t xml:space="preserve"> including the two in-depth assessment items</w:t>
      </w:r>
      <w:r w:rsidR="009C0C76" w:rsidRPr="005500FB">
        <w:rPr>
          <w:color w:val="000000" w:themeColor="text1"/>
          <w:szCs w:val="24"/>
        </w:rPr>
        <w:t xml:space="preserve">, to </w:t>
      </w:r>
      <w:r w:rsidR="005E2E24" w:rsidRPr="005500FB">
        <w:rPr>
          <w:color w:val="000000" w:themeColor="text1"/>
          <w:szCs w:val="24"/>
        </w:rPr>
        <w:t>apply indexation to the two in-depth assessment items and to make administrative changes to the two in-depth assessment items to align with the original policy intent.</w:t>
      </w:r>
      <w:r w:rsidRPr="005500FB">
        <w:rPr>
          <w:color w:val="000000" w:themeColor="text1"/>
          <w:szCs w:val="24"/>
        </w:rPr>
        <w:t xml:space="preserve"> </w:t>
      </w:r>
    </w:p>
    <w:p w14:paraId="6F3B2F69" w14:textId="77777777" w:rsidR="009C0C76" w:rsidRPr="005500FB" w:rsidRDefault="009C0C76" w:rsidP="00BF51E9">
      <w:pPr>
        <w:ind w:right="-483"/>
        <w:rPr>
          <w:color w:val="000000" w:themeColor="text1"/>
          <w:szCs w:val="24"/>
        </w:rPr>
      </w:pPr>
    </w:p>
    <w:p w14:paraId="6668C9CE" w14:textId="7A622296" w:rsidR="00F91070" w:rsidRPr="005500FB" w:rsidRDefault="005E2E24" w:rsidP="00BF51E9">
      <w:pPr>
        <w:ind w:right="-483"/>
        <w:rPr>
          <w:color w:val="000000" w:themeColor="text1"/>
          <w:szCs w:val="24"/>
        </w:rPr>
      </w:pPr>
      <w:r w:rsidRPr="005500FB">
        <w:rPr>
          <w:color w:val="000000" w:themeColor="text1"/>
          <w:szCs w:val="24"/>
        </w:rPr>
        <w:t xml:space="preserve">Schedule 1 of the Amendment Determination retrospectively provides that a service under </w:t>
      </w:r>
      <w:r w:rsidR="0053228C" w:rsidRPr="005500FB">
        <w:rPr>
          <w:color w:val="000000" w:themeColor="text1"/>
          <w:szCs w:val="24"/>
        </w:rPr>
        <w:t xml:space="preserve">the two in-depth assessment </w:t>
      </w:r>
      <w:r w:rsidRPr="005500FB">
        <w:rPr>
          <w:color w:val="000000" w:themeColor="text1"/>
          <w:szCs w:val="24"/>
        </w:rPr>
        <w:t>item</w:t>
      </w:r>
      <w:r w:rsidR="0053228C" w:rsidRPr="005500FB">
        <w:rPr>
          <w:color w:val="000000" w:themeColor="text1"/>
          <w:szCs w:val="24"/>
        </w:rPr>
        <w:t>s</w:t>
      </w:r>
      <w:r w:rsidRPr="005500FB">
        <w:rPr>
          <w:color w:val="000000" w:themeColor="text1"/>
          <w:szCs w:val="24"/>
        </w:rPr>
        <w:t xml:space="preserve"> 10660 or 10661 can only be claimed once per patient during their lifetime.</w:t>
      </w:r>
      <w:r w:rsidR="00997C1D" w:rsidRPr="005500FB">
        <w:rPr>
          <w:color w:val="000000" w:themeColor="text1"/>
          <w:szCs w:val="24"/>
        </w:rPr>
        <w:t xml:space="preserve"> </w:t>
      </w:r>
      <w:r w:rsidR="00867E32" w:rsidRPr="005500FB">
        <w:rPr>
          <w:color w:val="000000" w:themeColor="text1"/>
          <w:szCs w:val="24"/>
        </w:rPr>
        <w:t>This change</w:t>
      </w:r>
      <w:r w:rsidR="00F91070" w:rsidRPr="005500FB">
        <w:rPr>
          <w:color w:val="000000" w:themeColor="text1"/>
          <w:szCs w:val="24"/>
        </w:rPr>
        <w:t xml:space="preserve"> will retrospectively commence on 18 June 2021 and</w:t>
      </w:r>
      <w:r w:rsidR="00997C1D" w:rsidRPr="005500FB">
        <w:rPr>
          <w:color w:val="000000" w:themeColor="text1"/>
          <w:szCs w:val="24"/>
        </w:rPr>
        <w:t xml:space="preserve"> </w:t>
      </w:r>
      <w:r w:rsidRPr="005500FB">
        <w:rPr>
          <w:color w:val="000000" w:themeColor="text1"/>
          <w:szCs w:val="24"/>
        </w:rPr>
        <w:t>is administrative in nature a</w:t>
      </w:r>
      <w:r w:rsidR="00997C1D" w:rsidRPr="005500FB">
        <w:rPr>
          <w:color w:val="000000" w:themeColor="text1"/>
          <w:szCs w:val="24"/>
        </w:rPr>
        <w:t xml:space="preserve">s it </w:t>
      </w:r>
      <w:r w:rsidRPr="005500FB">
        <w:rPr>
          <w:color w:val="000000" w:themeColor="text1"/>
          <w:szCs w:val="24"/>
        </w:rPr>
        <w:t>reflects the original policy intent of the in-depth assessment services.</w:t>
      </w:r>
      <w:r w:rsidR="003D0EB5" w:rsidRPr="005500FB">
        <w:rPr>
          <w:color w:val="000000" w:themeColor="text1"/>
          <w:szCs w:val="24"/>
        </w:rPr>
        <w:t xml:space="preserve"> </w:t>
      </w:r>
    </w:p>
    <w:p w14:paraId="3564CC1A" w14:textId="77777777" w:rsidR="00F91070" w:rsidRPr="005500FB" w:rsidRDefault="00F91070" w:rsidP="00BF51E9">
      <w:pPr>
        <w:ind w:right="-483"/>
        <w:rPr>
          <w:color w:val="000000" w:themeColor="text1"/>
          <w:szCs w:val="24"/>
        </w:rPr>
      </w:pPr>
    </w:p>
    <w:p w14:paraId="4D53210C" w14:textId="529CCAA1" w:rsidR="009C0C76" w:rsidRPr="005500FB" w:rsidRDefault="003D0EB5" w:rsidP="00BF51E9">
      <w:pPr>
        <w:ind w:right="-483"/>
        <w:rPr>
          <w:color w:val="000000" w:themeColor="text1"/>
          <w:szCs w:val="24"/>
        </w:rPr>
      </w:pPr>
      <w:r w:rsidRPr="005500FB">
        <w:rPr>
          <w:color w:val="000000" w:themeColor="text1"/>
          <w:szCs w:val="24"/>
        </w:rPr>
        <w:t xml:space="preserve">Schedule </w:t>
      </w:r>
      <w:r w:rsidR="00F91070" w:rsidRPr="005500FB">
        <w:rPr>
          <w:color w:val="000000" w:themeColor="text1"/>
          <w:szCs w:val="24"/>
        </w:rPr>
        <w:t>2</w:t>
      </w:r>
      <w:r w:rsidRPr="005500FB">
        <w:rPr>
          <w:color w:val="000000" w:themeColor="text1"/>
          <w:szCs w:val="24"/>
        </w:rPr>
        <w:t xml:space="preserve"> </w:t>
      </w:r>
      <w:r w:rsidR="00F91070" w:rsidRPr="005500FB">
        <w:rPr>
          <w:color w:val="000000" w:themeColor="text1"/>
          <w:szCs w:val="24"/>
        </w:rPr>
        <w:t xml:space="preserve">of the Amendment Determination </w:t>
      </w:r>
      <w:r w:rsidRPr="005500FB">
        <w:rPr>
          <w:color w:val="000000" w:themeColor="text1"/>
          <w:szCs w:val="24"/>
        </w:rPr>
        <w:t xml:space="preserve">removes the requirement for a patient to be at least 50 years of age in order to access the two in-depth </w:t>
      </w:r>
      <w:bookmarkStart w:id="0" w:name="_Hlk75961037"/>
      <w:r w:rsidRPr="005500FB">
        <w:rPr>
          <w:color w:val="000000" w:themeColor="text1"/>
          <w:szCs w:val="24"/>
        </w:rPr>
        <w:t>assessment items</w:t>
      </w:r>
      <w:bookmarkEnd w:id="0"/>
      <w:r w:rsidRPr="005500FB">
        <w:rPr>
          <w:color w:val="000000" w:themeColor="text1"/>
          <w:szCs w:val="24"/>
        </w:rPr>
        <w:t xml:space="preserve">. The </w:t>
      </w:r>
      <w:r w:rsidR="00A44BAF" w:rsidRPr="005500FB">
        <w:rPr>
          <w:color w:val="000000" w:themeColor="text1"/>
          <w:szCs w:val="24"/>
        </w:rPr>
        <w:t xml:space="preserve">removal of this </w:t>
      </w:r>
      <w:r w:rsidRPr="005500FB">
        <w:rPr>
          <w:color w:val="000000" w:themeColor="text1"/>
          <w:szCs w:val="24"/>
        </w:rPr>
        <w:t>age restriction for the</w:t>
      </w:r>
      <w:r w:rsidR="00A44BAF" w:rsidRPr="005500FB">
        <w:rPr>
          <w:color w:val="000000" w:themeColor="text1"/>
          <w:szCs w:val="24"/>
        </w:rPr>
        <w:t xml:space="preserve">se services </w:t>
      </w:r>
      <w:r w:rsidRPr="005500FB">
        <w:rPr>
          <w:color w:val="000000" w:themeColor="text1"/>
          <w:szCs w:val="24"/>
        </w:rPr>
        <w:t>will ensure that all Australians are able to access the in-depth assessment items, where it is clinically relevant</w:t>
      </w:r>
      <w:r w:rsidR="00867E32" w:rsidRPr="005500FB">
        <w:rPr>
          <w:color w:val="000000" w:themeColor="text1"/>
          <w:szCs w:val="24"/>
        </w:rPr>
        <w:t>.</w:t>
      </w:r>
      <w:r w:rsidR="00A44BAF" w:rsidRPr="005500FB">
        <w:rPr>
          <w:color w:val="000000" w:themeColor="text1"/>
          <w:szCs w:val="24"/>
        </w:rPr>
        <w:t xml:space="preserve"> Th</w:t>
      </w:r>
      <w:r w:rsidR="00F91070" w:rsidRPr="005500FB">
        <w:rPr>
          <w:color w:val="000000" w:themeColor="text1"/>
          <w:szCs w:val="24"/>
        </w:rPr>
        <w:t>i</w:t>
      </w:r>
      <w:r w:rsidR="00A44BAF" w:rsidRPr="005500FB">
        <w:rPr>
          <w:color w:val="000000" w:themeColor="text1"/>
          <w:szCs w:val="24"/>
        </w:rPr>
        <w:t xml:space="preserve">s change will retrospectively commence on </w:t>
      </w:r>
      <w:r w:rsidR="00F91070" w:rsidRPr="005500FB">
        <w:rPr>
          <w:color w:val="000000" w:themeColor="text1"/>
          <w:szCs w:val="24"/>
        </w:rPr>
        <w:t>2</w:t>
      </w:r>
      <w:r w:rsidR="00C807EF" w:rsidRPr="005500FB">
        <w:rPr>
          <w:color w:val="000000" w:themeColor="text1"/>
          <w:szCs w:val="24"/>
        </w:rPr>
        <w:t>9</w:t>
      </w:r>
      <w:r w:rsidR="00A44BAF" w:rsidRPr="005500FB">
        <w:rPr>
          <w:color w:val="000000" w:themeColor="text1"/>
          <w:szCs w:val="24"/>
        </w:rPr>
        <w:t xml:space="preserve"> June 2021.</w:t>
      </w:r>
    </w:p>
    <w:p w14:paraId="286A337C" w14:textId="0E8E8342" w:rsidR="005E2E24" w:rsidRPr="005500FB" w:rsidRDefault="005E2E24" w:rsidP="00BF51E9">
      <w:pPr>
        <w:ind w:right="-483"/>
        <w:rPr>
          <w:color w:val="000000" w:themeColor="text1"/>
          <w:szCs w:val="24"/>
        </w:rPr>
      </w:pPr>
    </w:p>
    <w:p w14:paraId="24C2EC06" w14:textId="113D5E95" w:rsidR="005E2E24" w:rsidRPr="005500FB" w:rsidRDefault="005E2E24" w:rsidP="00BF51E9">
      <w:pPr>
        <w:ind w:right="-483"/>
        <w:rPr>
          <w:color w:val="000000" w:themeColor="text1"/>
          <w:szCs w:val="24"/>
        </w:rPr>
      </w:pPr>
      <w:r w:rsidRPr="005500FB">
        <w:rPr>
          <w:color w:val="000000" w:themeColor="text1"/>
          <w:szCs w:val="24"/>
        </w:rPr>
        <w:t xml:space="preserve">Schedule </w:t>
      </w:r>
      <w:r w:rsidR="00F91070" w:rsidRPr="005500FB">
        <w:rPr>
          <w:color w:val="000000" w:themeColor="text1"/>
          <w:szCs w:val="24"/>
        </w:rPr>
        <w:t>3</w:t>
      </w:r>
      <w:r w:rsidRPr="005500FB">
        <w:rPr>
          <w:color w:val="000000" w:themeColor="text1"/>
          <w:szCs w:val="24"/>
        </w:rPr>
        <w:t xml:space="preserve"> of the Amendment Determination </w:t>
      </w:r>
      <w:r w:rsidR="00997C1D" w:rsidRPr="005500FB">
        <w:rPr>
          <w:color w:val="000000" w:themeColor="text1"/>
          <w:szCs w:val="24"/>
        </w:rPr>
        <w:t xml:space="preserve">retrospectively </w:t>
      </w:r>
      <w:r w:rsidRPr="005500FB">
        <w:rPr>
          <w:color w:val="000000" w:themeColor="text1"/>
          <w:szCs w:val="24"/>
        </w:rPr>
        <w:t xml:space="preserve">removes </w:t>
      </w:r>
      <w:r w:rsidR="00655A2E" w:rsidRPr="005500FB">
        <w:rPr>
          <w:color w:val="000000" w:themeColor="text1"/>
          <w:szCs w:val="24"/>
        </w:rPr>
        <w:t xml:space="preserve">the requirement for </w:t>
      </w:r>
      <w:r w:rsidR="009C0C76" w:rsidRPr="005500FB">
        <w:rPr>
          <w:color w:val="000000" w:themeColor="text1"/>
          <w:szCs w:val="24"/>
        </w:rPr>
        <w:t>the</w:t>
      </w:r>
      <w:r w:rsidR="00655A2E" w:rsidRPr="005500FB">
        <w:rPr>
          <w:color w:val="000000" w:themeColor="text1"/>
          <w:szCs w:val="24"/>
        </w:rPr>
        <w:t xml:space="preserve"> patient to be at least 18 years of age</w:t>
      </w:r>
      <w:r w:rsidRPr="005500FB">
        <w:rPr>
          <w:color w:val="000000" w:themeColor="text1"/>
          <w:szCs w:val="24"/>
        </w:rPr>
        <w:t xml:space="preserve"> in order</w:t>
      </w:r>
      <w:r w:rsidR="00655A2E" w:rsidRPr="005500FB">
        <w:rPr>
          <w:color w:val="000000" w:themeColor="text1"/>
          <w:szCs w:val="24"/>
        </w:rPr>
        <w:t xml:space="preserve"> to access the </w:t>
      </w:r>
      <w:r w:rsidR="002B3DFC" w:rsidRPr="005500FB">
        <w:rPr>
          <w:color w:val="000000" w:themeColor="text1"/>
          <w:szCs w:val="24"/>
        </w:rPr>
        <w:t xml:space="preserve">16 </w:t>
      </w:r>
      <w:r w:rsidR="00655A2E" w:rsidRPr="005500FB">
        <w:rPr>
          <w:color w:val="000000" w:themeColor="text1"/>
          <w:szCs w:val="24"/>
        </w:rPr>
        <w:t xml:space="preserve">suitability assessment </w:t>
      </w:r>
      <w:r w:rsidR="002B3DFC" w:rsidRPr="005500FB">
        <w:rPr>
          <w:color w:val="000000" w:themeColor="text1"/>
          <w:szCs w:val="24"/>
        </w:rPr>
        <w:t>items</w:t>
      </w:r>
      <w:r w:rsidRPr="005500FB">
        <w:rPr>
          <w:color w:val="000000" w:themeColor="text1"/>
          <w:szCs w:val="24"/>
        </w:rPr>
        <w:t xml:space="preserve">. The age restriction will be retrospectively removed </w:t>
      </w:r>
      <w:r w:rsidR="009055A4" w:rsidRPr="005500FB">
        <w:rPr>
          <w:color w:val="000000" w:themeColor="text1"/>
          <w:szCs w:val="24"/>
        </w:rPr>
        <w:t xml:space="preserve">from </w:t>
      </w:r>
      <w:r w:rsidR="007518B8" w:rsidRPr="005500FB">
        <w:rPr>
          <w:color w:val="000000" w:themeColor="text1"/>
          <w:szCs w:val="24"/>
        </w:rPr>
        <w:t>31 May 2021</w:t>
      </w:r>
      <w:r w:rsidRPr="005500FB">
        <w:rPr>
          <w:color w:val="000000" w:themeColor="text1"/>
          <w:szCs w:val="24"/>
        </w:rPr>
        <w:t xml:space="preserve">, and </w:t>
      </w:r>
      <w:r w:rsidR="002B3DFC" w:rsidRPr="005500FB">
        <w:rPr>
          <w:color w:val="000000" w:themeColor="text1"/>
          <w:szCs w:val="24"/>
        </w:rPr>
        <w:t xml:space="preserve">this change </w:t>
      </w:r>
      <w:r w:rsidRPr="005500FB">
        <w:rPr>
          <w:color w:val="000000" w:themeColor="text1"/>
          <w:szCs w:val="24"/>
        </w:rPr>
        <w:t xml:space="preserve">will allow all Australians to access </w:t>
      </w:r>
      <w:r w:rsidR="002B3DFC" w:rsidRPr="005500FB">
        <w:rPr>
          <w:color w:val="000000" w:themeColor="text1"/>
          <w:szCs w:val="24"/>
        </w:rPr>
        <w:t xml:space="preserve">the </w:t>
      </w:r>
      <w:r w:rsidRPr="005500FB">
        <w:rPr>
          <w:color w:val="000000" w:themeColor="text1"/>
          <w:szCs w:val="24"/>
        </w:rPr>
        <w:t>assessment services for the COVID-19 vaccine.</w:t>
      </w:r>
      <w:r w:rsidR="00997C1D" w:rsidRPr="005500FB">
        <w:rPr>
          <w:color w:val="000000" w:themeColor="text1"/>
          <w:szCs w:val="24"/>
        </w:rPr>
        <w:t xml:space="preserve"> </w:t>
      </w:r>
    </w:p>
    <w:p w14:paraId="02D04A71" w14:textId="0BC48102" w:rsidR="00655A2E" w:rsidRPr="005500FB" w:rsidRDefault="00655A2E" w:rsidP="00730A82">
      <w:pPr>
        <w:keepNext/>
        <w:keepLines/>
        <w:ind w:right="-482"/>
        <w:rPr>
          <w:color w:val="000000"/>
          <w:shd w:val="clear" w:color="auto" w:fill="FFFFFF"/>
        </w:rPr>
      </w:pPr>
      <w:bookmarkStart w:id="1" w:name="_Hlk75952575"/>
    </w:p>
    <w:p w14:paraId="0C95E6CD" w14:textId="70F45D25" w:rsidR="00655A2E" w:rsidRPr="005500FB" w:rsidRDefault="00655A2E" w:rsidP="00655A2E">
      <w:pPr>
        <w:ind w:right="-483"/>
        <w:rPr>
          <w:iCs/>
        </w:rPr>
      </w:pPr>
      <w:r w:rsidRPr="005500FB">
        <w:rPr>
          <w:iCs/>
        </w:rPr>
        <w:t xml:space="preserve">Schedule </w:t>
      </w:r>
      <w:r w:rsidR="00E14242" w:rsidRPr="005500FB">
        <w:rPr>
          <w:iCs/>
        </w:rPr>
        <w:t>4</w:t>
      </w:r>
      <w:r w:rsidRPr="005500FB">
        <w:rPr>
          <w:iCs/>
        </w:rPr>
        <w:t xml:space="preserve"> of the Amendment Determination will increase the fees </w:t>
      </w:r>
      <w:r w:rsidR="00202FA0" w:rsidRPr="005500FB">
        <w:rPr>
          <w:iCs/>
        </w:rPr>
        <w:t>for items 10660 and 10661</w:t>
      </w:r>
      <w:r w:rsidRPr="005500FB">
        <w:rPr>
          <w:iCs/>
        </w:rPr>
        <w:t xml:space="preserve"> by 0.9 per cent from 1 July 2021. This reflects the Government’s policy regarding Medicare indexation and means that patients will receive an increased Medicare benefit for these services.</w:t>
      </w:r>
    </w:p>
    <w:p w14:paraId="5972E119" w14:textId="27326F06" w:rsidR="00B67FDE" w:rsidRPr="005500FB" w:rsidRDefault="00B67FDE" w:rsidP="00655A2E">
      <w:pPr>
        <w:ind w:right="-483"/>
        <w:rPr>
          <w:iCs/>
        </w:rPr>
      </w:pPr>
    </w:p>
    <w:p w14:paraId="54DA0515" w14:textId="314179C6" w:rsidR="00B67FDE" w:rsidRPr="005500FB" w:rsidRDefault="00B67FDE" w:rsidP="00655A2E">
      <w:pPr>
        <w:ind w:right="-483"/>
        <w:rPr>
          <w:iCs/>
        </w:rPr>
      </w:pPr>
      <w:r w:rsidRPr="005500FB">
        <w:rPr>
          <w:color w:val="000000"/>
          <w:shd w:val="clear" w:color="auto" w:fill="FFFFFF"/>
        </w:rPr>
        <w:t>Although Schedules 1</w:t>
      </w:r>
      <w:r w:rsidR="00F91070" w:rsidRPr="005500FB">
        <w:rPr>
          <w:color w:val="000000"/>
          <w:shd w:val="clear" w:color="auto" w:fill="FFFFFF"/>
        </w:rPr>
        <w:t>,</w:t>
      </w:r>
      <w:r w:rsidR="007518B8" w:rsidRPr="005500FB">
        <w:rPr>
          <w:color w:val="000000"/>
          <w:shd w:val="clear" w:color="auto" w:fill="FFFFFF"/>
        </w:rPr>
        <w:t xml:space="preserve"> 2</w:t>
      </w:r>
      <w:r w:rsidR="00F91070" w:rsidRPr="005500FB">
        <w:rPr>
          <w:color w:val="000000"/>
          <w:shd w:val="clear" w:color="auto" w:fill="FFFFFF"/>
        </w:rPr>
        <w:t xml:space="preserve"> and 3</w:t>
      </w:r>
      <w:r w:rsidRPr="005500FB">
        <w:rPr>
          <w:color w:val="000000"/>
          <w:shd w:val="clear" w:color="auto" w:fill="FFFFFF"/>
        </w:rPr>
        <w:t xml:space="preserve"> apply retrospectively, they are not contrary to section 12 of the </w:t>
      </w:r>
      <w:r w:rsidRPr="005500FB">
        <w:rPr>
          <w:i/>
          <w:iCs/>
          <w:color w:val="000000"/>
          <w:shd w:val="clear" w:color="auto" w:fill="FFFFFF"/>
        </w:rPr>
        <w:t>Legislation Act 2003</w:t>
      </w:r>
      <w:r w:rsidRPr="005500FB">
        <w:rPr>
          <w:color w:val="000000"/>
          <w:shd w:val="clear" w:color="auto" w:fill="FFFFFF"/>
        </w:rPr>
        <w:t> as they do not disadvantage a person and only appl</w:t>
      </w:r>
      <w:r w:rsidR="007518B8" w:rsidRPr="005500FB">
        <w:rPr>
          <w:color w:val="000000"/>
          <w:shd w:val="clear" w:color="auto" w:fill="FFFFFF"/>
        </w:rPr>
        <w:t>y</w:t>
      </w:r>
      <w:r w:rsidRPr="005500FB">
        <w:rPr>
          <w:color w:val="000000"/>
          <w:shd w:val="clear" w:color="auto" w:fill="FFFFFF"/>
        </w:rPr>
        <w:t xml:space="preserve"> a liability on the Commonwealth for the retrospective period.</w:t>
      </w:r>
    </w:p>
    <w:bookmarkEnd w:id="1"/>
    <w:p w14:paraId="2412D131" w14:textId="7E57BDE3" w:rsidR="001865F8" w:rsidRPr="005500FB" w:rsidRDefault="00616D0A" w:rsidP="00D46EB9">
      <w:pPr>
        <w:shd w:val="clear" w:color="auto" w:fill="FFFFFF"/>
        <w:spacing w:before="100" w:beforeAutospacing="1"/>
        <w:rPr>
          <w:rFonts w:ascii="Helvetica Neue" w:hAnsi="Helvetica Neue"/>
          <w:color w:val="000000" w:themeColor="text1"/>
          <w:szCs w:val="24"/>
          <w:lang w:val="en-US"/>
        </w:rPr>
      </w:pPr>
      <w:r w:rsidRPr="005500FB">
        <w:rPr>
          <w:b/>
          <w:color w:val="000000" w:themeColor="text1"/>
        </w:rPr>
        <w:t>C</w:t>
      </w:r>
      <w:r w:rsidR="00A1739A" w:rsidRPr="005500FB">
        <w:rPr>
          <w:b/>
          <w:color w:val="000000" w:themeColor="text1"/>
        </w:rPr>
        <w:t>onsultation</w:t>
      </w:r>
    </w:p>
    <w:p w14:paraId="4689726E" w14:textId="74E92CB2" w:rsidR="009B7332" w:rsidRPr="005500FB" w:rsidRDefault="009B7332" w:rsidP="002806A1">
      <w:pPr>
        <w:shd w:val="clear" w:color="auto" w:fill="FFFFFF"/>
        <w:rPr>
          <w:color w:val="000000"/>
          <w:shd w:val="clear" w:color="auto" w:fill="FFFFFF"/>
        </w:rPr>
      </w:pPr>
      <w:r w:rsidRPr="005500FB">
        <w:rPr>
          <w:color w:val="000000"/>
          <w:shd w:val="clear" w:color="auto" w:fill="FFFFFF"/>
        </w:rPr>
        <w:t>As part of its health care package to protect all Australians from COVID-19, the Australian Government is consulting broadly with the medical sector.</w:t>
      </w:r>
    </w:p>
    <w:p w14:paraId="30648FC4" w14:textId="1CE308B7" w:rsidR="009B7332" w:rsidRPr="005500FB" w:rsidRDefault="009B7332" w:rsidP="002806A1">
      <w:pPr>
        <w:shd w:val="clear" w:color="auto" w:fill="FFFFFF"/>
        <w:rPr>
          <w:color w:val="000000"/>
          <w:shd w:val="clear" w:color="auto" w:fill="FFFFFF"/>
        </w:rPr>
      </w:pPr>
    </w:p>
    <w:p w14:paraId="1A80D9B7" w14:textId="19C513FB" w:rsidR="003856A7" w:rsidRPr="005500FB" w:rsidRDefault="003856A7" w:rsidP="002806A1">
      <w:pPr>
        <w:shd w:val="clear" w:color="auto" w:fill="FFFFFF"/>
        <w:rPr>
          <w:color w:val="000000" w:themeColor="text1"/>
          <w:szCs w:val="24"/>
        </w:rPr>
      </w:pPr>
      <w:r w:rsidRPr="005500FB">
        <w:rPr>
          <w:color w:val="000000"/>
          <w:shd w:val="clear" w:color="auto" w:fill="FFFFFF"/>
        </w:rPr>
        <w:lastRenderedPageBreak/>
        <w:t>This</w:t>
      </w:r>
      <w:r w:rsidR="009B7332" w:rsidRPr="005500FB">
        <w:rPr>
          <w:color w:val="000000"/>
          <w:shd w:val="clear" w:color="auto" w:fill="FFFFFF"/>
        </w:rPr>
        <w:t xml:space="preserve"> legislative instrument is intended to minimise disruptions to patients’ access to essential health care services by </w:t>
      </w:r>
      <w:r w:rsidR="004D648F" w:rsidRPr="005500FB">
        <w:rPr>
          <w:color w:val="000000" w:themeColor="text1"/>
          <w:szCs w:val="24"/>
        </w:rPr>
        <w:t>supporting general practices to provide</w:t>
      </w:r>
      <w:r w:rsidR="005976A3" w:rsidRPr="005500FB">
        <w:rPr>
          <w:color w:val="000000" w:themeColor="text1"/>
          <w:szCs w:val="24"/>
        </w:rPr>
        <w:t xml:space="preserve"> assessments for patient suitability to receive the COVID-19 vaccine and</w:t>
      </w:r>
      <w:r w:rsidR="004D648F" w:rsidRPr="005500FB">
        <w:rPr>
          <w:color w:val="000000" w:themeColor="text1"/>
          <w:szCs w:val="24"/>
        </w:rPr>
        <w:t xml:space="preserve"> </w:t>
      </w:r>
      <w:r w:rsidR="002D1E9A" w:rsidRPr="005500FB">
        <w:rPr>
          <w:color w:val="000000" w:themeColor="text1"/>
          <w:szCs w:val="24"/>
        </w:rPr>
        <w:t>in-depth</w:t>
      </w:r>
      <w:r w:rsidR="004D648F" w:rsidRPr="005500FB">
        <w:rPr>
          <w:color w:val="000000" w:themeColor="text1"/>
          <w:szCs w:val="24"/>
        </w:rPr>
        <w:t xml:space="preserve"> patient assessments for patients who </w:t>
      </w:r>
      <w:r w:rsidRPr="005500FB">
        <w:rPr>
          <w:color w:val="000000" w:themeColor="text1"/>
          <w:szCs w:val="24"/>
        </w:rPr>
        <w:t>have concerns with receiving</w:t>
      </w:r>
      <w:r w:rsidR="00032469" w:rsidRPr="005500FB">
        <w:rPr>
          <w:color w:val="000000" w:themeColor="text1"/>
          <w:szCs w:val="24"/>
        </w:rPr>
        <w:t xml:space="preserve"> a</w:t>
      </w:r>
      <w:r w:rsidRPr="005500FB">
        <w:rPr>
          <w:color w:val="000000" w:themeColor="text1"/>
          <w:szCs w:val="24"/>
        </w:rPr>
        <w:t xml:space="preserve"> dose of the COVID-19 vaccine</w:t>
      </w:r>
      <w:r w:rsidR="00D77510" w:rsidRPr="005500FB">
        <w:rPr>
          <w:color w:val="000000" w:themeColor="text1"/>
          <w:szCs w:val="24"/>
        </w:rPr>
        <w:t>.</w:t>
      </w:r>
    </w:p>
    <w:p w14:paraId="7BA2B16C" w14:textId="77777777" w:rsidR="003856A7" w:rsidRPr="005500FB" w:rsidRDefault="003856A7" w:rsidP="002806A1">
      <w:pPr>
        <w:shd w:val="clear" w:color="auto" w:fill="FFFFFF"/>
        <w:rPr>
          <w:color w:val="000000"/>
          <w:shd w:val="clear" w:color="auto" w:fill="FFFFFF"/>
        </w:rPr>
      </w:pPr>
    </w:p>
    <w:p w14:paraId="4CD21A63" w14:textId="71B2F923" w:rsidR="009B7332" w:rsidRPr="005500FB" w:rsidRDefault="009B7332" w:rsidP="002806A1">
      <w:pPr>
        <w:shd w:val="clear" w:color="auto" w:fill="FFFFFF"/>
        <w:rPr>
          <w:color w:val="000000"/>
          <w:shd w:val="clear" w:color="auto" w:fill="FFFFFF"/>
        </w:rPr>
      </w:pPr>
      <w:r w:rsidRPr="005500FB">
        <w:rPr>
          <w:color w:val="000000"/>
          <w:shd w:val="clear" w:color="auto" w:fill="FFFFFF"/>
        </w:rPr>
        <w:t xml:space="preserve">Considering the nature of the </w:t>
      </w:r>
      <w:r w:rsidR="004D648F" w:rsidRPr="005500FB">
        <w:rPr>
          <w:color w:val="000000"/>
          <w:shd w:val="clear" w:color="auto" w:fill="FFFFFF"/>
        </w:rPr>
        <w:t xml:space="preserve">instrument </w:t>
      </w:r>
      <w:r w:rsidR="003856A7" w:rsidRPr="005500FB">
        <w:rPr>
          <w:color w:val="000000"/>
          <w:shd w:val="clear" w:color="auto" w:fill="FFFFFF"/>
        </w:rPr>
        <w:t>and due to the short timeframe in drafting this legislative instrument</w:t>
      </w:r>
      <w:r w:rsidR="002B3DFC" w:rsidRPr="005500FB">
        <w:rPr>
          <w:color w:val="000000"/>
          <w:shd w:val="clear" w:color="auto" w:fill="FFFFFF"/>
        </w:rPr>
        <w:t>,</w:t>
      </w:r>
      <w:r w:rsidR="003856A7" w:rsidRPr="005500FB">
        <w:rPr>
          <w:color w:val="000000"/>
          <w:shd w:val="clear" w:color="auto" w:fill="FFFFFF"/>
        </w:rPr>
        <w:t xml:space="preserve"> </w:t>
      </w:r>
      <w:r w:rsidRPr="005500FB">
        <w:rPr>
          <w:color w:val="000000"/>
          <w:shd w:val="clear" w:color="auto" w:fill="FFFFFF"/>
        </w:rPr>
        <w:t>it was not reasonably practicable to undertake consultation with representatives of persons affected by the instrument.</w:t>
      </w:r>
    </w:p>
    <w:p w14:paraId="6880B2C1" w14:textId="62C2B9DA" w:rsidR="00886E79" w:rsidRPr="005500FB" w:rsidRDefault="00886E79" w:rsidP="002806A1">
      <w:pPr>
        <w:shd w:val="clear" w:color="auto" w:fill="FFFFFF"/>
        <w:rPr>
          <w:color w:val="000000"/>
          <w:shd w:val="clear" w:color="auto" w:fill="FFFFFF"/>
        </w:rPr>
      </w:pPr>
    </w:p>
    <w:p w14:paraId="2412D134" w14:textId="6C463758" w:rsidR="00967E51" w:rsidRPr="005500FB" w:rsidRDefault="00A1739A" w:rsidP="000337CB">
      <w:pPr>
        <w:rPr>
          <w:szCs w:val="24"/>
        </w:rPr>
      </w:pPr>
      <w:r w:rsidRPr="005500FB">
        <w:rPr>
          <w:szCs w:val="24"/>
        </w:rPr>
        <w:t xml:space="preserve">Details of the </w:t>
      </w:r>
      <w:r w:rsidR="009305DF" w:rsidRPr="005500FB">
        <w:rPr>
          <w:szCs w:val="24"/>
        </w:rPr>
        <w:t xml:space="preserve">Amendment </w:t>
      </w:r>
      <w:r w:rsidR="00574E71" w:rsidRPr="005500FB">
        <w:rPr>
          <w:szCs w:val="24"/>
        </w:rPr>
        <w:t>Determination</w:t>
      </w:r>
      <w:r w:rsidRPr="005500FB">
        <w:rPr>
          <w:szCs w:val="24"/>
        </w:rPr>
        <w:t xml:space="preserve"> are set out in the </w:t>
      </w:r>
      <w:r w:rsidRPr="005500FB">
        <w:rPr>
          <w:szCs w:val="24"/>
          <w:u w:val="single"/>
        </w:rPr>
        <w:t>Attachment</w:t>
      </w:r>
      <w:r w:rsidRPr="005500FB">
        <w:rPr>
          <w:szCs w:val="24"/>
        </w:rPr>
        <w:t>.</w:t>
      </w:r>
    </w:p>
    <w:p w14:paraId="2412D135" w14:textId="4F5B61AD" w:rsidR="006C138D" w:rsidRPr="005500FB" w:rsidRDefault="00202FA0" w:rsidP="00532BAC">
      <w:pPr>
        <w:tabs>
          <w:tab w:val="left" w:pos="567"/>
        </w:tabs>
        <w:spacing w:before="240"/>
        <w:rPr>
          <w:szCs w:val="24"/>
        </w:rPr>
      </w:pPr>
      <w:bookmarkStart w:id="2" w:name="_Hlk75946612"/>
      <w:r w:rsidRPr="005500FB">
        <w:rPr>
          <w:szCs w:val="24"/>
        </w:rPr>
        <w:t>Sections 1 to 4 of t</w:t>
      </w:r>
      <w:r w:rsidR="00297AD0" w:rsidRPr="005500FB">
        <w:rPr>
          <w:szCs w:val="24"/>
        </w:rPr>
        <w:t xml:space="preserve">he </w:t>
      </w:r>
      <w:r w:rsidR="009305DF" w:rsidRPr="005500FB">
        <w:rPr>
          <w:szCs w:val="24"/>
        </w:rPr>
        <w:t xml:space="preserve">Amendment </w:t>
      </w:r>
      <w:r w:rsidR="00967E51" w:rsidRPr="005500FB">
        <w:rPr>
          <w:szCs w:val="24"/>
        </w:rPr>
        <w:t>Determination</w:t>
      </w:r>
      <w:r w:rsidR="00297AD0" w:rsidRPr="005500FB">
        <w:rPr>
          <w:szCs w:val="24"/>
        </w:rPr>
        <w:t xml:space="preserve"> </w:t>
      </w:r>
      <w:r w:rsidR="007524B0" w:rsidRPr="005500FB">
        <w:rPr>
          <w:szCs w:val="24"/>
        </w:rPr>
        <w:t xml:space="preserve">commence </w:t>
      </w:r>
      <w:r w:rsidRPr="005500FB">
        <w:rPr>
          <w:szCs w:val="24"/>
        </w:rPr>
        <w:t xml:space="preserve">immediately after registration of the instrument, Schedule 1 </w:t>
      </w:r>
      <w:r w:rsidR="002B3DFC" w:rsidRPr="005500FB">
        <w:rPr>
          <w:szCs w:val="24"/>
        </w:rPr>
        <w:t xml:space="preserve">retrospectively </w:t>
      </w:r>
      <w:r w:rsidRPr="005500FB">
        <w:rPr>
          <w:szCs w:val="24"/>
        </w:rPr>
        <w:t xml:space="preserve">commences on </w:t>
      </w:r>
      <w:r w:rsidR="002B3DFC" w:rsidRPr="005500FB">
        <w:rPr>
          <w:szCs w:val="24"/>
        </w:rPr>
        <w:br/>
      </w:r>
      <w:r w:rsidRPr="005500FB">
        <w:rPr>
          <w:szCs w:val="24"/>
        </w:rPr>
        <w:t xml:space="preserve">18 June 2021, </w:t>
      </w:r>
      <w:r w:rsidR="00AA339F" w:rsidRPr="005500FB">
        <w:rPr>
          <w:szCs w:val="24"/>
        </w:rPr>
        <w:t>Schedule 2 retrospectively commences on 2</w:t>
      </w:r>
      <w:r w:rsidR="00C807EF" w:rsidRPr="005500FB">
        <w:rPr>
          <w:szCs w:val="24"/>
        </w:rPr>
        <w:t>9</w:t>
      </w:r>
      <w:r w:rsidR="00AA339F" w:rsidRPr="005500FB">
        <w:rPr>
          <w:szCs w:val="24"/>
        </w:rPr>
        <w:t xml:space="preserve"> June 2021, </w:t>
      </w:r>
      <w:r w:rsidRPr="005500FB">
        <w:rPr>
          <w:szCs w:val="24"/>
        </w:rPr>
        <w:t xml:space="preserve">Schedule </w:t>
      </w:r>
      <w:r w:rsidR="00AA339F" w:rsidRPr="005500FB">
        <w:rPr>
          <w:szCs w:val="24"/>
        </w:rPr>
        <w:t>3</w:t>
      </w:r>
      <w:r w:rsidRPr="005500FB">
        <w:rPr>
          <w:szCs w:val="24"/>
        </w:rPr>
        <w:t xml:space="preserve"> </w:t>
      </w:r>
      <w:r w:rsidR="002B3DFC" w:rsidRPr="005500FB">
        <w:rPr>
          <w:szCs w:val="24"/>
        </w:rPr>
        <w:t xml:space="preserve">retrospectively </w:t>
      </w:r>
      <w:r w:rsidRPr="005500FB">
        <w:rPr>
          <w:szCs w:val="24"/>
        </w:rPr>
        <w:t xml:space="preserve">commences on </w:t>
      </w:r>
      <w:r w:rsidR="007518B8" w:rsidRPr="005500FB">
        <w:rPr>
          <w:szCs w:val="24"/>
        </w:rPr>
        <w:t>31 May 2021 and</w:t>
      </w:r>
      <w:r w:rsidRPr="005500FB">
        <w:rPr>
          <w:szCs w:val="24"/>
        </w:rPr>
        <w:t xml:space="preserve"> Schedule </w:t>
      </w:r>
      <w:r w:rsidR="00AA339F" w:rsidRPr="005500FB">
        <w:rPr>
          <w:szCs w:val="24"/>
        </w:rPr>
        <w:t>4</w:t>
      </w:r>
      <w:r w:rsidRPr="005500FB">
        <w:rPr>
          <w:szCs w:val="24"/>
        </w:rPr>
        <w:t xml:space="preserve"> commences on 1 July 2021</w:t>
      </w:r>
      <w:r w:rsidR="00AF585C" w:rsidRPr="005500FB">
        <w:rPr>
          <w:color w:val="000000" w:themeColor="text1"/>
          <w:szCs w:val="24"/>
        </w:rPr>
        <w:t>.</w:t>
      </w:r>
      <w:bookmarkEnd w:id="2"/>
      <w:r w:rsidR="007708B3" w:rsidRPr="005500FB">
        <w:rPr>
          <w:color w:val="FF0000"/>
          <w:szCs w:val="24"/>
        </w:rPr>
        <w:t xml:space="preserve"> </w:t>
      </w:r>
    </w:p>
    <w:p w14:paraId="2412D136" w14:textId="77777777" w:rsidR="00236DF2" w:rsidRPr="005500FB" w:rsidRDefault="00236DF2" w:rsidP="00574E71">
      <w:pPr>
        <w:rPr>
          <w:szCs w:val="24"/>
        </w:rPr>
      </w:pPr>
    </w:p>
    <w:p w14:paraId="2412D138" w14:textId="2CAC9A64" w:rsidR="00574E71" w:rsidRPr="005500FB" w:rsidRDefault="0002728B" w:rsidP="00DE07E4">
      <w:pPr>
        <w:spacing w:after="200" w:line="276" w:lineRule="auto"/>
        <w:rPr>
          <w:szCs w:val="24"/>
        </w:rPr>
      </w:pPr>
      <w:r w:rsidRPr="005500FB">
        <w:rPr>
          <w:szCs w:val="24"/>
        </w:rPr>
        <w:t>T</w:t>
      </w:r>
      <w:r w:rsidR="00574E71" w:rsidRPr="005500FB">
        <w:rPr>
          <w:szCs w:val="24"/>
        </w:rPr>
        <w:t xml:space="preserve">he </w:t>
      </w:r>
      <w:r w:rsidR="009305DF" w:rsidRPr="005500FB">
        <w:rPr>
          <w:szCs w:val="24"/>
        </w:rPr>
        <w:t xml:space="preserve">Amendment </w:t>
      </w:r>
      <w:r w:rsidR="00574E71" w:rsidRPr="005500FB">
        <w:rPr>
          <w:szCs w:val="24"/>
        </w:rPr>
        <w:t xml:space="preserve">Determination is </w:t>
      </w:r>
      <w:r w:rsidR="004417A2" w:rsidRPr="005500FB">
        <w:rPr>
          <w:szCs w:val="24"/>
        </w:rPr>
        <w:t xml:space="preserve">a </w:t>
      </w:r>
      <w:r w:rsidR="00574E71" w:rsidRPr="005500FB">
        <w:rPr>
          <w:szCs w:val="24"/>
        </w:rPr>
        <w:t xml:space="preserve">legislative instrument for the purposes of the </w:t>
      </w:r>
      <w:r w:rsidR="00574E71" w:rsidRPr="005500FB">
        <w:rPr>
          <w:i/>
        </w:rPr>
        <w:t>Legislation Act 2003</w:t>
      </w:r>
      <w:r w:rsidR="00574E71" w:rsidRPr="005500FB">
        <w:rPr>
          <w:szCs w:val="24"/>
        </w:rPr>
        <w:t>.</w:t>
      </w:r>
    </w:p>
    <w:p w14:paraId="2412D139" w14:textId="77777777" w:rsidR="00A1739A" w:rsidRPr="005500FB" w:rsidRDefault="00A1739A" w:rsidP="000337CB">
      <w:pPr>
        <w:ind w:left="6663" w:hanging="3119"/>
        <w:rPr>
          <w:szCs w:val="24"/>
        </w:rPr>
      </w:pPr>
      <w:r w:rsidRPr="005500FB">
        <w:rPr>
          <w:szCs w:val="24"/>
        </w:rPr>
        <w:t xml:space="preserve">           </w:t>
      </w:r>
    </w:p>
    <w:p w14:paraId="2412D13A" w14:textId="77777777" w:rsidR="00A1739A" w:rsidRPr="005500FB" w:rsidRDefault="00A1739A" w:rsidP="000337CB">
      <w:pPr>
        <w:ind w:left="6663" w:hanging="3119"/>
        <w:rPr>
          <w:szCs w:val="24"/>
        </w:rPr>
      </w:pPr>
      <w:r w:rsidRPr="005500FB">
        <w:rPr>
          <w:szCs w:val="24"/>
          <w:u w:val="single"/>
        </w:rPr>
        <w:t>Authority</w:t>
      </w:r>
      <w:r w:rsidR="00967E51" w:rsidRPr="005500FB">
        <w:rPr>
          <w:szCs w:val="24"/>
        </w:rPr>
        <w:t xml:space="preserve">:     Subsection </w:t>
      </w:r>
      <w:r w:rsidRPr="005500FB">
        <w:rPr>
          <w:szCs w:val="24"/>
        </w:rPr>
        <w:t>3</w:t>
      </w:r>
      <w:proofErr w:type="gramStart"/>
      <w:r w:rsidR="00967E51" w:rsidRPr="005500FB">
        <w:rPr>
          <w:szCs w:val="24"/>
        </w:rPr>
        <w:t>C</w:t>
      </w:r>
      <w:r w:rsidRPr="005500FB">
        <w:rPr>
          <w:szCs w:val="24"/>
        </w:rPr>
        <w:t>(</w:t>
      </w:r>
      <w:proofErr w:type="gramEnd"/>
      <w:r w:rsidRPr="005500FB">
        <w:rPr>
          <w:szCs w:val="24"/>
        </w:rPr>
        <w:t xml:space="preserve">1) of the </w:t>
      </w:r>
    </w:p>
    <w:p w14:paraId="2412D13B" w14:textId="0596CD30" w:rsidR="00A1739A" w:rsidRPr="005500FB" w:rsidRDefault="00A1739A" w:rsidP="000337CB">
      <w:pPr>
        <w:tabs>
          <w:tab w:val="left" w:pos="4820"/>
        </w:tabs>
        <w:rPr>
          <w:szCs w:val="24"/>
        </w:rPr>
        <w:sectPr w:rsidR="00A1739A" w:rsidRPr="005500FB" w:rsidSect="00235B6C">
          <w:headerReference w:type="default" r:id="rId11"/>
          <w:pgSz w:w="11906" w:h="16838"/>
          <w:pgMar w:top="1440" w:right="1800" w:bottom="1135" w:left="1800" w:header="708" w:footer="708" w:gutter="0"/>
          <w:pgNumType w:start="1"/>
          <w:cols w:space="708"/>
          <w:docGrid w:linePitch="360"/>
        </w:sectPr>
      </w:pPr>
      <w:r w:rsidRPr="005500FB">
        <w:rPr>
          <w:i/>
          <w:szCs w:val="24"/>
        </w:rPr>
        <w:tab/>
        <w:t>Health Insurance Act 1973</w:t>
      </w:r>
    </w:p>
    <w:p w14:paraId="2412D13D" w14:textId="77777777" w:rsidR="006D5816" w:rsidRPr="005500FB" w:rsidRDefault="006D5816" w:rsidP="000337CB">
      <w:pPr>
        <w:pStyle w:val="BodyText"/>
        <w:jc w:val="right"/>
        <w:rPr>
          <w:szCs w:val="24"/>
        </w:rPr>
      </w:pPr>
      <w:r w:rsidRPr="005500FB">
        <w:rPr>
          <w:szCs w:val="24"/>
        </w:rPr>
        <w:lastRenderedPageBreak/>
        <w:t>ATTACHMENT</w:t>
      </w:r>
    </w:p>
    <w:p w14:paraId="2412D13E" w14:textId="77777777" w:rsidR="006D5816" w:rsidRPr="005500FB" w:rsidRDefault="006D5816" w:rsidP="000337CB">
      <w:pPr>
        <w:pStyle w:val="BodyText"/>
        <w:rPr>
          <w:szCs w:val="24"/>
          <w:u w:val="single"/>
        </w:rPr>
      </w:pPr>
    </w:p>
    <w:p w14:paraId="5B0C808A" w14:textId="649CAD4C" w:rsidR="00215191" w:rsidRPr="005500FB" w:rsidRDefault="00A41364" w:rsidP="00186752">
      <w:pPr>
        <w:pStyle w:val="BodyText"/>
        <w:rPr>
          <w:i/>
          <w:iCs/>
          <w:color w:val="FF0000"/>
        </w:rPr>
      </w:pPr>
      <w:r w:rsidRPr="005500FB">
        <w:rPr>
          <w:szCs w:val="24"/>
        </w:rPr>
        <w:t>Details of the</w:t>
      </w:r>
      <w:r w:rsidR="000A7DC9" w:rsidRPr="005500FB">
        <w:rPr>
          <w:szCs w:val="24"/>
        </w:rPr>
        <w:t xml:space="preserve"> </w:t>
      </w:r>
      <w:r w:rsidR="003F632B" w:rsidRPr="005500FB">
        <w:rPr>
          <w:i/>
          <w:color w:val="000000" w:themeColor="text1"/>
          <w:szCs w:val="24"/>
        </w:rPr>
        <w:t xml:space="preserve">Health Insurance (Section 3C General Medical Services – General Practice Attendance for Assessing Patient Suitability for a COVID-19 Vaccine) Amendment </w:t>
      </w:r>
      <w:r w:rsidR="000D4BDA" w:rsidRPr="005500FB">
        <w:rPr>
          <w:i/>
          <w:color w:val="000000" w:themeColor="text1"/>
          <w:szCs w:val="24"/>
        </w:rPr>
        <w:t>(No.</w:t>
      </w:r>
      <w:r w:rsidR="00730A82" w:rsidRPr="005500FB">
        <w:rPr>
          <w:i/>
          <w:color w:val="000000" w:themeColor="text1"/>
          <w:szCs w:val="24"/>
        </w:rPr>
        <w:t xml:space="preserve"> </w:t>
      </w:r>
      <w:r w:rsidR="00B803DF" w:rsidRPr="005500FB">
        <w:rPr>
          <w:i/>
          <w:color w:val="000000" w:themeColor="text1"/>
          <w:szCs w:val="24"/>
        </w:rPr>
        <w:t>3</w:t>
      </w:r>
      <w:r w:rsidR="000D4BDA" w:rsidRPr="005500FB">
        <w:rPr>
          <w:i/>
          <w:color w:val="000000" w:themeColor="text1"/>
          <w:szCs w:val="24"/>
        </w:rPr>
        <w:t xml:space="preserve">) </w:t>
      </w:r>
      <w:r w:rsidR="003F632B" w:rsidRPr="005500FB">
        <w:rPr>
          <w:i/>
          <w:color w:val="000000" w:themeColor="text1"/>
          <w:szCs w:val="24"/>
        </w:rPr>
        <w:t>Determination 2021</w:t>
      </w:r>
    </w:p>
    <w:p w14:paraId="7BBEB147" w14:textId="720F9678" w:rsidR="00E70355" w:rsidRPr="005500FB" w:rsidRDefault="00E70355" w:rsidP="000337CB">
      <w:pPr>
        <w:pStyle w:val="BodyText"/>
        <w:rPr>
          <w:b w:val="0"/>
          <w:i/>
          <w:szCs w:val="24"/>
        </w:rPr>
      </w:pPr>
    </w:p>
    <w:p w14:paraId="2412D141" w14:textId="7C34D5F4" w:rsidR="00FE02C2" w:rsidRPr="005500FB" w:rsidRDefault="001B0111" w:rsidP="000337CB">
      <w:pPr>
        <w:pStyle w:val="BodyText"/>
        <w:rPr>
          <w:b w:val="0"/>
          <w:szCs w:val="24"/>
          <w:u w:val="single"/>
        </w:rPr>
      </w:pPr>
      <w:r w:rsidRPr="005500FB">
        <w:rPr>
          <w:b w:val="0"/>
          <w:szCs w:val="24"/>
          <w:u w:val="single"/>
        </w:rPr>
        <w:t>Section 1 – Name</w:t>
      </w:r>
    </w:p>
    <w:p w14:paraId="2412D142" w14:textId="77777777" w:rsidR="00FE02C2" w:rsidRPr="005500FB" w:rsidRDefault="00FE02C2" w:rsidP="000337CB">
      <w:pPr>
        <w:pStyle w:val="BodyText"/>
        <w:rPr>
          <w:b w:val="0"/>
          <w:szCs w:val="24"/>
          <w:u w:val="single"/>
        </w:rPr>
      </w:pPr>
    </w:p>
    <w:p w14:paraId="2412D144" w14:textId="673BCD4B" w:rsidR="00F83B6F" w:rsidRPr="005500FB" w:rsidRDefault="00BC7397" w:rsidP="00C67BC7">
      <w:pPr>
        <w:pStyle w:val="BodyText"/>
        <w:rPr>
          <w:b w:val="0"/>
          <w:i/>
          <w:iCs/>
          <w:color w:val="FF0000"/>
        </w:rPr>
      </w:pPr>
      <w:r w:rsidRPr="005500FB">
        <w:rPr>
          <w:b w:val="0"/>
          <w:szCs w:val="24"/>
        </w:rPr>
        <w:t>S</w:t>
      </w:r>
      <w:r w:rsidR="00FE02C2" w:rsidRPr="005500FB">
        <w:rPr>
          <w:b w:val="0"/>
          <w:szCs w:val="24"/>
        </w:rPr>
        <w:t xml:space="preserve">ection </w:t>
      </w:r>
      <w:r w:rsidRPr="005500FB">
        <w:rPr>
          <w:b w:val="0"/>
          <w:szCs w:val="24"/>
        </w:rPr>
        <w:t xml:space="preserve">1 </w:t>
      </w:r>
      <w:r w:rsidR="00FE02C2" w:rsidRPr="005500FB">
        <w:rPr>
          <w:b w:val="0"/>
          <w:szCs w:val="24"/>
        </w:rPr>
        <w:t>provides</w:t>
      </w:r>
      <w:r w:rsidR="008B683E" w:rsidRPr="005500FB">
        <w:rPr>
          <w:b w:val="0"/>
          <w:szCs w:val="24"/>
        </w:rPr>
        <w:t xml:space="preserve"> for the </w:t>
      </w:r>
      <w:r w:rsidR="00AA339F" w:rsidRPr="005500FB">
        <w:rPr>
          <w:b w:val="0"/>
          <w:szCs w:val="24"/>
        </w:rPr>
        <w:t xml:space="preserve">Amendment </w:t>
      </w:r>
      <w:r w:rsidR="008B2094" w:rsidRPr="005500FB">
        <w:rPr>
          <w:b w:val="0"/>
          <w:szCs w:val="24"/>
        </w:rPr>
        <w:t>Determination</w:t>
      </w:r>
      <w:r w:rsidR="00FE02C2" w:rsidRPr="005500FB">
        <w:rPr>
          <w:b w:val="0"/>
          <w:szCs w:val="24"/>
        </w:rPr>
        <w:t xml:space="preserve"> to be referred to as the</w:t>
      </w:r>
      <w:r w:rsidR="000A7DC9" w:rsidRPr="005500FB">
        <w:rPr>
          <w:b w:val="0"/>
          <w:szCs w:val="24"/>
        </w:rPr>
        <w:t xml:space="preserve"> </w:t>
      </w:r>
      <w:r w:rsidR="003F632B" w:rsidRPr="005500FB">
        <w:rPr>
          <w:b w:val="0"/>
          <w:i/>
          <w:color w:val="000000" w:themeColor="text1"/>
          <w:szCs w:val="24"/>
        </w:rPr>
        <w:t xml:space="preserve">Health Insurance (Section 3C General Medical Services – General Practice Attendance for Assessing Patient Suitability for a COVID-19 Vaccine) Amendment </w:t>
      </w:r>
      <w:r w:rsidR="000D4BDA" w:rsidRPr="005500FB">
        <w:rPr>
          <w:b w:val="0"/>
          <w:i/>
          <w:color w:val="000000" w:themeColor="text1"/>
          <w:szCs w:val="24"/>
        </w:rPr>
        <w:t>(No.</w:t>
      </w:r>
      <w:r w:rsidR="00730A82" w:rsidRPr="005500FB">
        <w:rPr>
          <w:b w:val="0"/>
          <w:i/>
          <w:color w:val="000000" w:themeColor="text1"/>
          <w:szCs w:val="24"/>
        </w:rPr>
        <w:t xml:space="preserve"> </w:t>
      </w:r>
      <w:r w:rsidR="00B803DF" w:rsidRPr="005500FB">
        <w:rPr>
          <w:b w:val="0"/>
          <w:i/>
          <w:color w:val="000000" w:themeColor="text1"/>
          <w:szCs w:val="24"/>
        </w:rPr>
        <w:t>3</w:t>
      </w:r>
      <w:r w:rsidR="000D4BDA" w:rsidRPr="005500FB">
        <w:rPr>
          <w:b w:val="0"/>
          <w:i/>
          <w:color w:val="000000" w:themeColor="text1"/>
          <w:szCs w:val="24"/>
        </w:rPr>
        <w:t xml:space="preserve">) </w:t>
      </w:r>
      <w:r w:rsidR="003F632B" w:rsidRPr="005500FB">
        <w:rPr>
          <w:b w:val="0"/>
          <w:i/>
          <w:color w:val="000000" w:themeColor="text1"/>
          <w:szCs w:val="24"/>
        </w:rPr>
        <w:t>Determination 2021</w:t>
      </w:r>
      <w:r w:rsidR="000A7DC9" w:rsidRPr="005500FB">
        <w:rPr>
          <w:b w:val="0"/>
          <w:i/>
          <w:szCs w:val="24"/>
        </w:rPr>
        <w:t xml:space="preserve">. </w:t>
      </w:r>
    </w:p>
    <w:p w14:paraId="68DAA207" w14:textId="77777777" w:rsidR="00FD602D" w:rsidRPr="005500FB" w:rsidRDefault="00FD602D" w:rsidP="00FD602D"/>
    <w:p w14:paraId="2DCE2ED0" w14:textId="32B7F023" w:rsidR="007A4089" w:rsidRPr="005500FB" w:rsidRDefault="00FE02C2" w:rsidP="000337CB">
      <w:pPr>
        <w:pStyle w:val="BodyText"/>
        <w:rPr>
          <w:b w:val="0"/>
          <w:szCs w:val="24"/>
          <w:u w:val="single"/>
        </w:rPr>
      </w:pPr>
      <w:r w:rsidRPr="005500FB">
        <w:rPr>
          <w:b w:val="0"/>
          <w:szCs w:val="24"/>
          <w:u w:val="single"/>
        </w:rPr>
        <w:t xml:space="preserve">Section 2 – Commencement </w:t>
      </w:r>
    </w:p>
    <w:p w14:paraId="2412D148" w14:textId="48E3B40F" w:rsidR="00510A4F" w:rsidRPr="005500FB" w:rsidRDefault="00AA339F" w:rsidP="00B863F9">
      <w:pPr>
        <w:tabs>
          <w:tab w:val="left" w:pos="567"/>
        </w:tabs>
        <w:spacing w:before="240"/>
        <w:rPr>
          <w:szCs w:val="24"/>
        </w:rPr>
      </w:pPr>
      <w:r w:rsidRPr="005500FB">
        <w:rPr>
          <w:szCs w:val="24"/>
        </w:rPr>
        <w:t>Sections 1 to 4 of the Amendment Determination commence immediately after registration of the instrument, Schedule 1 retrospectively commences on 18 June 2021, Schedule 2 retrospectively commences on 2</w:t>
      </w:r>
      <w:r w:rsidR="00C807EF" w:rsidRPr="005500FB">
        <w:rPr>
          <w:szCs w:val="24"/>
        </w:rPr>
        <w:t>9</w:t>
      </w:r>
      <w:r w:rsidRPr="005500FB">
        <w:rPr>
          <w:szCs w:val="24"/>
        </w:rPr>
        <w:t xml:space="preserve"> June 2021, Schedule 3 retrospectively commences on 31 May 2021 and Schedule 4 commences on 1 July 2021</w:t>
      </w:r>
      <w:r w:rsidRPr="005500FB">
        <w:rPr>
          <w:color w:val="000000" w:themeColor="text1"/>
          <w:szCs w:val="24"/>
        </w:rPr>
        <w:t>.</w:t>
      </w:r>
    </w:p>
    <w:p w14:paraId="16C03200" w14:textId="77777777" w:rsidR="007E0017" w:rsidRPr="005500FB" w:rsidRDefault="007E0017" w:rsidP="000337CB">
      <w:pPr>
        <w:pStyle w:val="BodyText"/>
        <w:rPr>
          <w:b w:val="0"/>
          <w:szCs w:val="24"/>
        </w:rPr>
      </w:pPr>
    </w:p>
    <w:p w14:paraId="005D5660" w14:textId="77777777" w:rsidR="007A4089" w:rsidRPr="005500FB" w:rsidRDefault="00FE02C2" w:rsidP="000337CB">
      <w:pPr>
        <w:pStyle w:val="BodyText"/>
        <w:rPr>
          <w:b w:val="0"/>
          <w:szCs w:val="24"/>
          <w:u w:val="single"/>
        </w:rPr>
      </w:pPr>
      <w:r w:rsidRPr="005500FB">
        <w:rPr>
          <w:b w:val="0"/>
          <w:szCs w:val="24"/>
          <w:u w:val="single"/>
        </w:rPr>
        <w:t xml:space="preserve">Section 3 – </w:t>
      </w:r>
      <w:r w:rsidR="00E5798A" w:rsidRPr="005500FB">
        <w:rPr>
          <w:b w:val="0"/>
          <w:szCs w:val="24"/>
          <w:u w:val="single"/>
        </w:rPr>
        <w:t>Authority</w:t>
      </w:r>
    </w:p>
    <w:p w14:paraId="53BFA098" w14:textId="77777777" w:rsidR="007A4089" w:rsidRPr="005500FB" w:rsidRDefault="007A4089" w:rsidP="000337CB">
      <w:pPr>
        <w:pStyle w:val="BodyText"/>
        <w:rPr>
          <w:b w:val="0"/>
          <w:szCs w:val="24"/>
          <w:u w:val="single"/>
        </w:rPr>
      </w:pPr>
    </w:p>
    <w:p w14:paraId="2412D14B" w14:textId="60EB4E9C" w:rsidR="00FE02C2" w:rsidRPr="005500FB" w:rsidRDefault="00F83B6F" w:rsidP="000337CB">
      <w:pPr>
        <w:pStyle w:val="BodyText"/>
        <w:rPr>
          <w:b w:val="0"/>
        </w:rPr>
      </w:pPr>
      <w:r w:rsidRPr="005500FB">
        <w:rPr>
          <w:b w:val="0"/>
        </w:rPr>
        <w:t xml:space="preserve">Section 3 provides that the </w:t>
      </w:r>
      <w:r w:rsidR="008B2094" w:rsidRPr="005500FB">
        <w:rPr>
          <w:b w:val="0"/>
          <w:szCs w:val="24"/>
        </w:rPr>
        <w:t xml:space="preserve">Determination </w:t>
      </w:r>
      <w:r w:rsidR="00E5798A" w:rsidRPr="005500FB">
        <w:rPr>
          <w:b w:val="0"/>
        </w:rPr>
        <w:t xml:space="preserve">is made under </w:t>
      </w:r>
      <w:r w:rsidR="00367440" w:rsidRPr="005500FB">
        <w:rPr>
          <w:b w:val="0"/>
        </w:rPr>
        <w:t xml:space="preserve">subsection </w:t>
      </w:r>
      <w:r w:rsidR="00E5798A" w:rsidRPr="005500FB">
        <w:rPr>
          <w:b w:val="0"/>
        </w:rPr>
        <w:t>3</w:t>
      </w:r>
      <w:proofErr w:type="gramStart"/>
      <w:r w:rsidR="00E5798A" w:rsidRPr="005500FB">
        <w:rPr>
          <w:b w:val="0"/>
        </w:rPr>
        <w:t>C(</w:t>
      </w:r>
      <w:proofErr w:type="gramEnd"/>
      <w:r w:rsidR="00E5798A" w:rsidRPr="005500FB">
        <w:rPr>
          <w:b w:val="0"/>
        </w:rPr>
        <w:t xml:space="preserve">1) of the </w:t>
      </w:r>
      <w:r w:rsidR="00E5798A" w:rsidRPr="005500FB">
        <w:rPr>
          <w:b w:val="0"/>
          <w:i/>
        </w:rPr>
        <w:t>Health Insurance Act 1973</w:t>
      </w:r>
      <w:r w:rsidR="00E5798A" w:rsidRPr="005500FB">
        <w:rPr>
          <w:b w:val="0"/>
        </w:rPr>
        <w:t>.</w:t>
      </w:r>
    </w:p>
    <w:p w14:paraId="0DBF1241" w14:textId="77777777" w:rsidR="00E70355" w:rsidRPr="005500FB" w:rsidRDefault="00E70355" w:rsidP="000337CB">
      <w:pPr>
        <w:pStyle w:val="BodyText"/>
        <w:rPr>
          <w:b w:val="0"/>
        </w:rPr>
      </w:pPr>
    </w:p>
    <w:p w14:paraId="20CBF84A" w14:textId="77777777" w:rsidR="00C63FDC" w:rsidRPr="005500FB" w:rsidRDefault="00C63FDC" w:rsidP="00C63FDC">
      <w:pPr>
        <w:pStyle w:val="BodyText"/>
        <w:rPr>
          <w:b w:val="0"/>
          <w:szCs w:val="24"/>
          <w:u w:val="single"/>
        </w:rPr>
      </w:pPr>
      <w:r w:rsidRPr="005500FB">
        <w:rPr>
          <w:b w:val="0"/>
          <w:szCs w:val="24"/>
          <w:u w:val="single"/>
        </w:rPr>
        <w:t>Section 4 – Schedules</w:t>
      </w:r>
    </w:p>
    <w:p w14:paraId="4C010161" w14:textId="77777777" w:rsidR="00C63FDC" w:rsidRPr="005500FB" w:rsidRDefault="00C63FDC" w:rsidP="00C63FDC">
      <w:pPr>
        <w:pStyle w:val="BodyText"/>
        <w:rPr>
          <w:b w:val="0"/>
          <w:szCs w:val="24"/>
          <w:u w:val="single"/>
        </w:rPr>
      </w:pPr>
    </w:p>
    <w:p w14:paraId="5D9EBF8D" w14:textId="77777777" w:rsidR="00C63FDC" w:rsidRPr="005500FB" w:rsidRDefault="00C63FDC" w:rsidP="00C63FDC">
      <w:pPr>
        <w:pStyle w:val="BodyText"/>
        <w:rPr>
          <w:b w:val="0"/>
          <w:szCs w:val="24"/>
        </w:rPr>
      </w:pPr>
      <w:r w:rsidRPr="005500FB">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5500FB" w:rsidRDefault="007E0017" w:rsidP="00404F11">
      <w:pPr>
        <w:pStyle w:val="BodyText"/>
        <w:rPr>
          <w:b w:val="0"/>
          <w:szCs w:val="24"/>
        </w:rPr>
      </w:pPr>
    </w:p>
    <w:p w14:paraId="768D340E" w14:textId="54B5DC78" w:rsidR="00C63FDC" w:rsidRPr="005500FB" w:rsidRDefault="00C63FDC" w:rsidP="00C63FDC">
      <w:pPr>
        <w:pStyle w:val="Header"/>
        <w:tabs>
          <w:tab w:val="num" w:pos="1080"/>
        </w:tabs>
        <w:rPr>
          <w:szCs w:val="24"/>
          <w:u w:val="single"/>
        </w:rPr>
      </w:pPr>
      <w:r w:rsidRPr="005500FB">
        <w:rPr>
          <w:szCs w:val="24"/>
          <w:u w:val="single"/>
        </w:rPr>
        <w:t xml:space="preserve">Schedule 1 – </w:t>
      </w:r>
      <w:r w:rsidR="00202FA0" w:rsidRPr="005500FB">
        <w:rPr>
          <w:szCs w:val="24"/>
          <w:u w:val="single"/>
        </w:rPr>
        <w:t>Once during patient's lifetime clause</w:t>
      </w:r>
    </w:p>
    <w:p w14:paraId="49F9BAC1" w14:textId="24B912C2" w:rsidR="00C63FDC" w:rsidRPr="005500FB" w:rsidRDefault="00F45447" w:rsidP="00F45447">
      <w:pPr>
        <w:pStyle w:val="ItemHead"/>
        <w:ind w:left="0" w:firstLine="0"/>
        <w:rPr>
          <w:rFonts w:ascii="Times New Roman" w:hAnsi="Times New Roman"/>
          <w:b w:val="0"/>
          <w:iCs/>
          <w:color w:val="000000" w:themeColor="text1"/>
        </w:rPr>
      </w:pPr>
      <w:r w:rsidRPr="005500FB">
        <w:rPr>
          <w:rFonts w:ascii="Times New Roman" w:hAnsi="Times New Roman"/>
          <w:b w:val="0"/>
          <w:i/>
          <w:color w:val="000000" w:themeColor="text1"/>
          <w:lang w:eastAsia="en-US"/>
        </w:rPr>
        <w:t>Health Insurance (Section 3C General Medical Services – General Practice Attendance for Assessing Patient Suitability for a COVID-19 Vaccine) Determination</w:t>
      </w:r>
      <w:r w:rsidR="00644C26" w:rsidRPr="005500FB">
        <w:rPr>
          <w:rFonts w:ascii="Times New Roman" w:hAnsi="Times New Roman"/>
          <w:b w:val="0"/>
          <w:i/>
          <w:color w:val="000000" w:themeColor="text1"/>
          <w:lang w:eastAsia="en-US"/>
        </w:rPr>
        <w:t xml:space="preserve"> 2021</w:t>
      </w:r>
      <w:r w:rsidR="00850CFB" w:rsidRPr="005500FB">
        <w:rPr>
          <w:rFonts w:ascii="Times New Roman" w:hAnsi="Times New Roman"/>
          <w:b w:val="0"/>
          <w:i/>
          <w:color w:val="000000" w:themeColor="text1"/>
          <w:lang w:eastAsia="en-US"/>
        </w:rPr>
        <w:t xml:space="preserve"> </w:t>
      </w:r>
      <w:r w:rsidR="00850CFB" w:rsidRPr="005500FB">
        <w:rPr>
          <w:rFonts w:ascii="Times New Roman" w:hAnsi="Times New Roman"/>
          <w:b w:val="0"/>
          <w:iCs/>
          <w:color w:val="000000" w:themeColor="text1"/>
          <w:lang w:eastAsia="en-US"/>
        </w:rPr>
        <w:t>(the Principal Determination)</w:t>
      </w:r>
    </w:p>
    <w:p w14:paraId="468CD998" w14:textId="40F58843" w:rsidR="000A7DC9" w:rsidRPr="005500FB" w:rsidRDefault="000A7DC9" w:rsidP="00505F9A">
      <w:pPr>
        <w:pStyle w:val="Header"/>
        <w:tabs>
          <w:tab w:val="num" w:pos="1080"/>
        </w:tabs>
        <w:rPr>
          <w:i/>
          <w:iCs/>
          <w:color w:val="000000" w:themeColor="text1"/>
        </w:rPr>
      </w:pPr>
    </w:p>
    <w:p w14:paraId="79249798" w14:textId="4E6569A4" w:rsidR="00E84435" w:rsidRPr="005500FB" w:rsidRDefault="000D4BDA" w:rsidP="00DD3A69">
      <w:pPr>
        <w:pStyle w:val="Header"/>
        <w:tabs>
          <w:tab w:val="num" w:pos="1080"/>
        </w:tabs>
        <w:rPr>
          <w:color w:val="000000" w:themeColor="text1"/>
          <w:szCs w:val="24"/>
        </w:rPr>
      </w:pPr>
      <w:r w:rsidRPr="005500FB">
        <w:rPr>
          <w:b/>
          <w:color w:val="000000" w:themeColor="text1"/>
          <w:szCs w:val="24"/>
        </w:rPr>
        <w:t xml:space="preserve">Item </w:t>
      </w:r>
      <w:r w:rsidR="00DD3A69" w:rsidRPr="005500FB">
        <w:rPr>
          <w:b/>
          <w:color w:val="000000" w:themeColor="text1"/>
          <w:szCs w:val="24"/>
        </w:rPr>
        <w:t>1</w:t>
      </w:r>
      <w:r w:rsidR="000A5A9A" w:rsidRPr="005500FB">
        <w:rPr>
          <w:color w:val="000000" w:themeColor="text1"/>
          <w:szCs w:val="24"/>
        </w:rPr>
        <w:t xml:space="preserve"> inserts a new </w:t>
      </w:r>
      <w:r w:rsidR="00202FA0" w:rsidRPr="005500FB">
        <w:rPr>
          <w:color w:val="000000" w:themeColor="text1"/>
          <w:szCs w:val="24"/>
        </w:rPr>
        <w:t>sub</w:t>
      </w:r>
      <w:r w:rsidR="00532BAC" w:rsidRPr="005500FB">
        <w:rPr>
          <w:color w:val="000000" w:themeColor="text1"/>
          <w:szCs w:val="24"/>
        </w:rPr>
        <w:t>section</w:t>
      </w:r>
      <w:r w:rsidR="000A5A9A" w:rsidRPr="005500FB">
        <w:rPr>
          <w:color w:val="000000" w:themeColor="text1"/>
          <w:szCs w:val="24"/>
        </w:rPr>
        <w:t xml:space="preserve"> </w:t>
      </w:r>
      <w:r w:rsidR="00850CFB" w:rsidRPr="005500FB">
        <w:rPr>
          <w:color w:val="000000" w:themeColor="text1"/>
          <w:szCs w:val="24"/>
        </w:rPr>
        <w:t xml:space="preserve">4 </w:t>
      </w:r>
      <w:r w:rsidR="000A5A9A" w:rsidRPr="005500FB">
        <w:rPr>
          <w:color w:val="000000" w:themeColor="text1"/>
          <w:szCs w:val="24"/>
        </w:rPr>
        <w:t xml:space="preserve">under </w:t>
      </w:r>
      <w:r w:rsidR="00850CFB" w:rsidRPr="005500FB">
        <w:rPr>
          <w:color w:val="000000" w:themeColor="text1"/>
          <w:szCs w:val="24"/>
        </w:rPr>
        <w:t xml:space="preserve">section </w:t>
      </w:r>
      <w:r w:rsidR="000A5A9A" w:rsidRPr="005500FB">
        <w:rPr>
          <w:color w:val="000000" w:themeColor="text1"/>
          <w:szCs w:val="24"/>
        </w:rPr>
        <w:t>8</w:t>
      </w:r>
      <w:r w:rsidR="00850CFB" w:rsidRPr="005500FB">
        <w:rPr>
          <w:color w:val="000000" w:themeColor="text1"/>
          <w:szCs w:val="24"/>
        </w:rPr>
        <w:t xml:space="preserve"> of the Principal Determination</w:t>
      </w:r>
      <w:r w:rsidR="000A5A9A" w:rsidRPr="005500FB">
        <w:rPr>
          <w:color w:val="000000" w:themeColor="text1"/>
          <w:szCs w:val="24"/>
        </w:rPr>
        <w:t xml:space="preserve">, </w:t>
      </w:r>
      <w:r w:rsidR="002939D2" w:rsidRPr="005500FB">
        <w:rPr>
          <w:color w:val="000000" w:themeColor="text1"/>
          <w:szCs w:val="24"/>
        </w:rPr>
        <w:t xml:space="preserve">which is </w:t>
      </w:r>
      <w:r w:rsidR="000A5A9A" w:rsidRPr="005500FB">
        <w:rPr>
          <w:color w:val="000000" w:themeColor="text1"/>
          <w:szCs w:val="24"/>
        </w:rPr>
        <w:t xml:space="preserve">titled </w:t>
      </w:r>
      <w:r w:rsidR="00850CFB" w:rsidRPr="005500FB">
        <w:rPr>
          <w:i/>
          <w:iCs/>
          <w:color w:val="000000" w:themeColor="text1"/>
          <w:szCs w:val="24"/>
        </w:rPr>
        <w:t>Items 10660 and 10661 – claiming frequency</w:t>
      </w:r>
      <w:r w:rsidR="00850CFB" w:rsidRPr="005500FB">
        <w:rPr>
          <w:color w:val="000000" w:themeColor="text1"/>
          <w:szCs w:val="24"/>
        </w:rPr>
        <w:t xml:space="preserve">, </w:t>
      </w:r>
      <w:r w:rsidR="00DD3A69" w:rsidRPr="005500FB">
        <w:rPr>
          <w:color w:val="000000" w:themeColor="text1"/>
          <w:szCs w:val="24"/>
        </w:rPr>
        <w:t xml:space="preserve">to clarify that a service provided under items </w:t>
      </w:r>
      <w:r w:rsidR="000A5A9A" w:rsidRPr="005500FB">
        <w:rPr>
          <w:color w:val="000000" w:themeColor="text1"/>
          <w:szCs w:val="24"/>
        </w:rPr>
        <w:t xml:space="preserve">10660 and 10661 cannot be claimed more than once during a patient’s lifetime. </w:t>
      </w:r>
      <w:r w:rsidR="007D47C9" w:rsidRPr="005500FB">
        <w:rPr>
          <w:color w:val="000000" w:themeColor="text1"/>
          <w:szCs w:val="24"/>
        </w:rPr>
        <w:t xml:space="preserve">This change is administrative in nature and reflects the original policy intent of the services. </w:t>
      </w:r>
    </w:p>
    <w:p w14:paraId="2392A36E" w14:textId="39C2366F" w:rsidR="001D191E" w:rsidRPr="005500FB" w:rsidRDefault="001D191E" w:rsidP="00DD3A69">
      <w:pPr>
        <w:pStyle w:val="Header"/>
        <w:tabs>
          <w:tab w:val="num" w:pos="1080"/>
        </w:tabs>
        <w:rPr>
          <w:color w:val="000000" w:themeColor="text1"/>
          <w:szCs w:val="24"/>
        </w:rPr>
      </w:pPr>
    </w:p>
    <w:p w14:paraId="6AAF0BC6" w14:textId="3CF74BEC" w:rsidR="00AA339F" w:rsidRPr="005500FB" w:rsidRDefault="00AA339F" w:rsidP="00DD3A69">
      <w:pPr>
        <w:pStyle w:val="Header"/>
        <w:tabs>
          <w:tab w:val="num" w:pos="1080"/>
        </w:tabs>
        <w:rPr>
          <w:color w:val="000000" w:themeColor="text1"/>
          <w:szCs w:val="24"/>
          <w:u w:val="single"/>
        </w:rPr>
      </w:pPr>
      <w:r w:rsidRPr="005500FB">
        <w:rPr>
          <w:color w:val="000000" w:themeColor="text1"/>
          <w:szCs w:val="24"/>
          <w:u w:val="single"/>
        </w:rPr>
        <w:t>Schedule 2 – Amendments to remove age restriction</w:t>
      </w:r>
    </w:p>
    <w:p w14:paraId="377FB7FD" w14:textId="4ACDC636" w:rsidR="00AA339F" w:rsidRPr="005500FB" w:rsidRDefault="00AA339F" w:rsidP="00DD3A69">
      <w:pPr>
        <w:pStyle w:val="Header"/>
        <w:tabs>
          <w:tab w:val="num" w:pos="1080"/>
        </w:tabs>
        <w:rPr>
          <w:color w:val="000000" w:themeColor="text1"/>
          <w:szCs w:val="24"/>
        </w:rPr>
      </w:pPr>
    </w:p>
    <w:p w14:paraId="5339DC3C" w14:textId="6DC2C2BC" w:rsidR="00AA339F" w:rsidRPr="005500FB" w:rsidRDefault="00AA339F" w:rsidP="00DD3A69">
      <w:pPr>
        <w:pStyle w:val="Header"/>
        <w:tabs>
          <w:tab w:val="num" w:pos="1080"/>
        </w:tabs>
        <w:rPr>
          <w:color w:val="000000" w:themeColor="text1"/>
          <w:szCs w:val="24"/>
        </w:rPr>
      </w:pPr>
      <w:r w:rsidRPr="005500FB">
        <w:rPr>
          <w:i/>
          <w:color w:val="000000" w:themeColor="text1"/>
          <w:lang w:eastAsia="en-US"/>
        </w:rPr>
        <w:t xml:space="preserve">Health Insurance (Section 3C General Medical Services – General Practice Attendance for Assessing Patient Suitability for a COVID-19 Vaccine) Determination 2021 </w:t>
      </w:r>
      <w:r w:rsidRPr="005500FB">
        <w:rPr>
          <w:iCs/>
          <w:color w:val="000000" w:themeColor="text1"/>
          <w:lang w:eastAsia="en-US"/>
        </w:rPr>
        <w:t>(the Principal Determination)</w:t>
      </w:r>
    </w:p>
    <w:p w14:paraId="5CFF5787" w14:textId="77777777" w:rsidR="00AA339F" w:rsidRPr="005500FB" w:rsidRDefault="00AA339F" w:rsidP="00DD3A69">
      <w:pPr>
        <w:pStyle w:val="Header"/>
        <w:tabs>
          <w:tab w:val="num" w:pos="1080"/>
        </w:tabs>
        <w:rPr>
          <w:color w:val="000000" w:themeColor="text1"/>
          <w:szCs w:val="24"/>
        </w:rPr>
      </w:pPr>
    </w:p>
    <w:p w14:paraId="17476712" w14:textId="0876A14B" w:rsidR="001D191E" w:rsidRPr="005500FB" w:rsidRDefault="001D191E" w:rsidP="00DD3A69">
      <w:pPr>
        <w:pStyle w:val="Header"/>
        <w:tabs>
          <w:tab w:val="num" w:pos="1080"/>
        </w:tabs>
        <w:rPr>
          <w:b/>
          <w:color w:val="000000" w:themeColor="text1"/>
          <w:szCs w:val="24"/>
        </w:rPr>
      </w:pPr>
      <w:r w:rsidRPr="005500FB">
        <w:rPr>
          <w:b/>
          <w:bCs/>
          <w:color w:val="000000" w:themeColor="text1"/>
          <w:szCs w:val="24"/>
        </w:rPr>
        <w:t xml:space="preserve">Item </w:t>
      </w:r>
      <w:r w:rsidR="00AA339F" w:rsidRPr="005500FB">
        <w:rPr>
          <w:b/>
          <w:bCs/>
          <w:color w:val="000000" w:themeColor="text1"/>
          <w:szCs w:val="24"/>
        </w:rPr>
        <w:t>1</w:t>
      </w:r>
      <w:r w:rsidRPr="005500FB">
        <w:rPr>
          <w:color w:val="000000" w:themeColor="text1"/>
          <w:szCs w:val="24"/>
        </w:rPr>
        <w:t xml:space="preserve"> amends the item descriptors of the in-depth assessment items 10660 or 10661 to remove the requirement for the patient to be at least 50 years of age to access these services. These items provide services for in-depth clinical advice on the individual risks and benefits associated with receiving a dose of the COVID-19 vaccine to patients.</w:t>
      </w:r>
    </w:p>
    <w:p w14:paraId="00926417" w14:textId="77777777" w:rsidR="00E84435" w:rsidRPr="005500FB" w:rsidRDefault="00E84435" w:rsidP="002D1E9A">
      <w:pPr>
        <w:pStyle w:val="Header"/>
        <w:keepNext/>
        <w:keepLines/>
        <w:tabs>
          <w:tab w:val="num" w:pos="1080"/>
        </w:tabs>
        <w:rPr>
          <w:color w:val="000000" w:themeColor="text1"/>
          <w:szCs w:val="24"/>
        </w:rPr>
      </w:pPr>
    </w:p>
    <w:p w14:paraId="21DF9DDC" w14:textId="72C4400C" w:rsidR="00331752" w:rsidRPr="005500FB" w:rsidRDefault="00202FA0">
      <w:pPr>
        <w:spacing w:after="200" w:line="276" w:lineRule="auto"/>
        <w:rPr>
          <w:szCs w:val="24"/>
        </w:rPr>
      </w:pPr>
      <w:r w:rsidRPr="005500FB">
        <w:rPr>
          <w:szCs w:val="24"/>
          <w:u w:val="single"/>
        </w:rPr>
        <w:t xml:space="preserve">Schedule </w:t>
      </w:r>
      <w:r w:rsidR="00AA339F" w:rsidRPr="005500FB">
        <w:rPr>
          <w:szCs w:val="24"/>
          <w:u w:val="single"/>
        </w:rPr>
        <w:t>3</w:t>
      </w:r>
      <w:r w:rsidRPr="005500FB">
        <w:rPr>
          <w:szCs w:val="24"/>
          <w:u w:val="single"/>
        </w:rPr>
        <w:t xml:space="preserve"> – Amendments to remove</w:t>
      </w:r>
      <w:r w:rsidR="00850CFB" w:rsidRPr="005500FB">
        <w:rPr>
          <w:szCs w:val="24"/>
          <w:u w:val="single"/>
        </w:rPr>
        <w:t xml:space="preserve"> </w:t>
      </w:r>
      <w:r w:rsidR="001D191E" w:rsidRPr="005500FB">
        <w:rPr>
          <w:szCs w:val="24"/>
          <w:u w:val="single"/>
        </w:rPr>
        <w:t>definition of eligible for a COVID-19 vaccine</w:t>
      </w:r>
    </w:p>
    <w:p w14:paraId="6B63A26A" w14:textId="08F2F2B4" w:rsidR="009F32A8" w:rsidRPr="005500FB" w:rsidRDefault="009F32A8" w:rsidP="00532BAC">
      <w:pPr>
        <w:rPr>
          <w:iCs/>
          <w:szCs w:val="24"/>
        </w:rPr>
      </w:pPr>
      <w:r w:rsidRPr="005500FB">
        <w:rPr>
          <w:i/>
          <w:color w:val="000000" w:themeColor="text1"/>
          <w:lang w:eastAsia="en-US"/>
        </w:rPr>
        <w:t>Health Insurance (Section 3C General Medical Services – General Practice Attendance for Assessing Patient Suitability for a COVID-19 Vaccine) Determination</w:t>
      </w:r>
      <w:r w:rsidR="00644C26" w:rsidRPr="005500FB">
        <w:rPr>
          <w:i/>
          <w:color w:val="000000" w:themeColor="text1"/>
          <w:lang w:eastAsia="en-US"/>
        </w:rPr>
        <w:t xml:space="preserve"> 2021</w:t>
      </w:r>
      <w:r w:rsidR="00850CFB" w:rsidRPr="005500FB">
        <w:rPr>
          <w:i/>
          <w:color w:val="000000" w:themeColor="text1"/>
          <w:lang w:eastAsia="en-US"/>
        </w:rPr>
        <w:t xml:space="preserve"> </w:t>
      </w:r>
      <w:r w:rsidR="00850CFB" w:rsidRPr="005500FB">
        <w:rPr>
          <w:iCs/>
          <w:color w:val="000000" w:themeColor="text1"/>
          <w:lang w:eastAsia="en-US"/>
        </w:rPr>
        <w:t>(the Principal Determination)</w:t>
      </w:r>
    </w:p>
    <w:p w14:paraId="6D439236" w14:textId="77777777" w:rsidR="00850CFB" w:rsidRPr="005500FB" w:rsidRDefault="00850CFB" w:rsidP="00532BAC">
      <w:pPr>
        <w:rPr>
          <w:b/>
          <w:bCs/>
          <w:szCs w:val="24"/>
        </w:rPr>
      </w:pPr>
    </w:p>
    <w:p w14:paraId="4BF2FD69" w14:textId="78BD219F" w:rsidR="00850CFB" w:rsidRPr="005500FB" w:rsidRDefault="00202FA0" w:rsidP="00B863F9">
      <w:pPr>
        <w:rPr>
          <w:szCs w:val="24"/>
        </w:rPr>
      </w:pPr>
      <w:r w:rsidRPr="005500FB">
        <w:rPr>
          <w:b/>
          <w:bCs/>
          <w:szCs w:val="24"/>
        </w:rPr>
        <w:t>Item 1</w:t>
      </w:r>
      <w:r w:rsidRPr="005500FB">
        <w:rPr>
          <w:szCs w:val="24"/>
        </w:rPr>
        <w:t xml:space="preserve"> repeals the definition of </w:t>
      </w:r>
      <w:r w:rsidRPr="005500FB">
        <w:rPr>
          <w:b/>
          <w:bCs/>
          <w:i/>
          <w:iCs/>
          <w:szCs w:val="24"/>
        </w:rPr>
        <w:t xml:space="preserve">eligible </w:t>
      </w:r>
      <w:r w:rsidR="00423A67" w:rsidRPr="005500FB">
        <w:rPr>
          <w:b/>
          <w:bCs/>
          <w:i/>
          <w:iCs/>
          <w:szCs w:val="24"/>
        </w:rPr>
        <w:t>for a COVID-19 vaccine</w:t>
      </w:r>
      <w:r w:rsidR="00423A67" w:rsidRPr="005500FB">
        <w:rPr>
          <w:szCs w:val="24"/>
        </w:rPr>
        <w:t xml:space="preserve"> </w:t>
      </w:r>
      <w:r w:rsidR="00850CFB" w:rsidRPr="005500FB">
        <w:rPr>
          <w:szCs w:val="24"/>
        </w:rPr>
        <w:t xml:space="preserve">as the definition provides that a patient that is eligible to for a COVID-19 vaccine is at least 18 years of age. </w:t>
      </w:r>
      <w:r w:rsidR="00D45E5F" w:rsidRPr="005500FB">
        <w:rPr>
          <w:szCs w:val="24"/>
        </w:rPr>
        <w:t xml:space="preserve">This definition is no longer required, as the age restriction for these services will be remove. </w:t>
      </w:r>
    </w:p>
    <w:p w14:paraId="0ABFBD09" w14:textId="77777777" w:rsidR="00B863F9" w:rsidRPr="005500FB" w:rsidRDefault="00B863F9" w:rsidP="00B863F9">
      <w:pPr>
        <w:rPr>
          <w:szCs w:val="24"/>
        </w:rPr>
      </w:pPr>
    </w:p>
    <w:p w14:paraId="1EFA6F1A" w14:textId="1A29D56A" w:rsidR="00AB582E" w:rsidRPr="005500FB" w:rsidRDefault="00423A67" w:rsidP="00532BAC">
      <w:pPr>
        <w:rPr>
          <w:szCs w:val="24"/>
        </w:rPr>
      </w:pPr>
      <w:r w:rsidRPr="005500FB">
        <w:rPr>
          <w:b/>
          <w:bCs/>
          <w:szCs w:val="24"/>
        </w:rPr>
        <w:t>Item 2</w:t>
      </w:r>
      <w:r w:rsidRPr="005500FB">
        <w:rPr>
          <w:szCs w:val="24"/>
        </w:rPr>
        <w:t xml:space="preserve"> amends the </w:t>
      </w:r>
      <w:r w:rsidR="00D45E5F" w:rsidRPr="005500FB">
        <w:rPr>
          <w:szCs w:val="24"/>
        </w:rPr>
        <w:t xml:space="preserve">item descriptors of the suitability assessment </w:t>
      </w:r>
      <w:r w:rsidRPr="005500FB">
        <w:rPr>
          <w:szCs w:val="24"/>
        </w:rPr>
        <w:t xml:space="preserve">items in the Subgroups 1 to 4 of Group A44 to remove the requirement </w:t>
      </w:r>
      <w:r w:rsidR="00D45E5F" w:rsidRPr="005500FB">
        <w:rPr>
          <w:szCs w:val="24"/>
        </w:rPr>
        <w:t xml:space="preserve">that the patient must be eligible for a COVID-19 vaccine. This change removes the requirement that the patient must be at least 18 years of age in order to access the suitability assessment items. </w:t>
      </w:r>
    </w:p>
    <w:p w14:paraId="2DD155F6" w14:textId="77777777" w:rsidR="00D45E5F" w:rsidRPr="005500FB" w:rsidRDefault="00D45E5F" w:rsidP="00D45E5F">
      <w:pPr>
        <w:rPr>
          <w:color w:val="000000" w:themeColor="text1"/>
          <w:szCs w:val="24"/>
          <w:u w:val="single"/>
        </w:rPr>
      </w:pPr>
    </w:p>
    <w:p w14:paraId="23513F40" w14:textId="5D15F09D" w:rsidR="00AE411C" w:rsidRPr="005500FB" w:rsidRDefault="00AE411C" w:rsidP="00532BAC">
      <w:pPr>
        <w:rPr>
          <w:color w:val="000000" w:themeColor="text1"/>
          <w:szCs w:val="24"/>
        </w:rPr>
      </w:pPr>
      <w:r w:rsidRPr="005500FB">
        <w:rPr>
          <w:color w:val="000000" w:themeColor="text1"/>
          <w:szCs w:val="24"/>
          <w:u w:val="single"/>
        </w:rPr>
        <w:t xml:space="preserve">Schedule </w:t>
      </w:r>
      <w:r w:rsidR="00AA339F" w:rsidRPr="005500FB">
        <w:rPr>
          <w:color w:val="000000" w:themeColor="text1"/>
          <w:szCs w:val="24"/>
          <w:u w:val="single"/>
        </w:rPr>
        <w:t>4</w:t>
      </w:r>
      <w:r w:rsidRPr="005500FB">
        <w:rPr>
          <w:color w:val="000000" w:themeColor="text1"/>
          <w:szCs w:val="24"/>
          <w:u w:val="single"/>
        </w:rPr>
        <w:t xml:space="preserve"> – Indexation</w:t>
      </w:r>
    </w:p>
    <w:p w14:paraId="44FC0A64" w14:textId="77777777" w:rsidR="00C176AA" w:rsidRPr="005500FB" w:rsidRDefault="00C176AA" w:rsidP="00532BAC">
      <w:pPr>
        <w:rPr>
          <w:i/>
          <w:color w:val="000000" w:themeColor="text1"/>
          <w:lang w:eastAsia="en-US"/>
        </w:rPr>
      </w:pPr>
    </w:p>
    <w:p w14:paraId="6C431709" w14:textId="3A28A984" w:rsidR="009F32A8" w:rsidRPr="005500FB" w:rsidRDefault="009F32A8" w:rsidP="00532BAC">
      <w:pPr>
        <w:rPr>
          <w:iCs/>
          <w:color w:val="000000" w:themeColor="text1"/>
          <w:szCs w:val="24"/>
        </w:rPr>
      </w:pPr>
      <w:r w:rsidRPr="005500FB">
        <w:rPr>
          <w:i/>
          <w:color w:val="000000" w:themeColor="text1"/>
          <w:lang w:eastAsia="en-US"/>
        </w:rPr>
        <w:t>Health Insurance (Section 3C General Medical Services – General Practice Attendance for Assessing Patient Suitability for a COVID-19 Vaccine) Determination</w:t>
      </w:r>
      <w:r w:rsidR="00D45E5F" w:rsidRPr="005500FB">
        <w:rPr>
          <w:i/>
          <w:color w:val="000000" w:themeColor="text1"/>
          <w:lang w:eastAsia="en-US"/>
        </w:rPr>
        <w:t xml:space="preserve"> </w:t>
      </w:r>
      <w:r w:rsidR="00644C26" w:rsidRPr="005500FB">
        <w:rPr>
          <w:i/>
          <w:color w:val="000000" w:themeColor="text1"/>
          <w:lang w:eastAsia="en-US"/>
        </w:rPr>
        <w:t xml:space="preserve">2021 </w:t>
      </w:r>
      <w:r w:rsidR="00D45E5F" w:rsidRPr="005500FB">
        <w:rPr>
          <w:iCs/>
          <w:color w:val="000000" w:themeColor="text1"/>
          <w:lang w:eastAsia="en-US"/>
        </w:rPr>
        <w:t>(the Principal Determination)</w:t>
      </w:r>
    </w:p>
    <w:p w14:paraId="498B478B" w14:textId="77777777" w:rsidR="00D45E5F" w:rsidRPr="005500FB" w:rsidRDefault="00D45E5F" w:rsidP="00D45E5F">
      <w:pPr>
        <w:rPr>
          <w:b/>
          <w:bCs/>
          <w:color w:val="000000" w:themeColor="text1"/>
          <w:szCs w:val="24"/>
        </w:rPr>
      </w:pPr>
    </w:p>
    <w:p w14:paraId="4C72BE3C" w14:textId="52DB7E5B" w:rsidR="00AE411C" w:rsidRPr="005500FB" w:rsidRDefault="00AE411C" w:rsidP="00532BAC">
      <w:pPr>
        <w:rPr>
          <w:color w:val="000000" w:themeColor="text1"/>
          <w:szCs w:val="24"/>
        </w:rPr>
      </w:pPr>
      <w:r w:rsidRPr="005500FB">
        <w:rPr>
          <w:b/>
          <w:bCs/>
          <w:color w:val="000000" w:themeColor="text1"/>
          <w:szCs w:val="24"/>
        </w:rPr>
        <w:t>Item 1</w:t>
      </w:r>
      <w:r w:rsidRPr="005500FB">
        <w:rPr>
          <w:color w:val="000000" w:themeColor="text1"/>
          <w:szCs w:val="24"/>
        </w:rPr>
        <w:t xml:space="preserve"> index</w:t>
      </w:r>
      <w:r w:rsidR="00EE33B5" w:rsidRPr="005500FB">
        <w:rPr>
          <w:color w:val="000000" w:themeColor="text1"/>
          <w:szCs w:val="24"/>
        </w:rPr>
        <w:t>es</w:t>
      </w:r>
      <w:r w:rsidRPr="005500FB">
        <w:rPr>
          <w:color w:val="000000" w:themeColor="text1"/>
          <w:szCs w:val="24"/>
        </w:rPr>
        <w:t xml:space="preserve"> </w:t>
      </w:r>
      <w:r w:rsidR="00EE33B5" w:rsidRPr="005500FB">
        <w:rPr>
          <w:color w:val="000000" w:themeColor="text1"/>
          <w:szCs w:val="24"/>
        </w:rPr>
        <w:t>the schedule fee for</w:t>
      </w:r>
      <w:r w:rsidRPr="005500FB">
        <w:rPr>
          <w:color w:val="000000" w:themeColor="text1"/>
          <w:szCs w:val="24"/>
        </w:rPr>
        <w:t xml:space="preserve"> item 10660</w:t>
      </w:r>
      <w:r w:rsidR="00EE33B5" w:rsidRPr="005500FB">
        <w:rPr>
          <w:color w:val="000000" w:themeColor="text1"/>
          <w:szCs w:val="24"/>
        </w:rPr>
        <w:t xml:space="preserve"> </w:t>
      </w:r>
      <w:r w:rsidR="00EE33B5" w:rsidRPr="005500FB">
        <w:rPr>
          <w:szCs w:val="24"/>
        </w:rPr>
        <w:t>by 0.9 per cent from 1 July 2021</w:t>
      </w:r>
      <w:r w:rsidR="00EE33B5" w:rsidRPr="005500FB">
        <w:rPr>
          <w:color w:val="000000" w:themeColor="text1"/>
          <w:szCs w:val="24"/>
        </w:rPr>
        <w:t>.</w:t>
      </w:r>
    </w:p>
    <w:p w14:paraId="013786AF" w14:textId="77777777" w:rsidR="00D45E5F" w:rsidRPr="005500FB" w:rsidRDefault="00D45E5F" w:rsidP="00D45E5F">
      <w:pPr>
        <w:rPr>
          <w:b/>
          <w:bCs/>
          <w:color w:val="000000" w:themeColor="text1"/>
          <w:szCs w:val="24"/>
        </w:rPr>
      </w:pPr>
    </w:p>
    <w:p w14:paraId="6AA8E248" w14:textId="7F447B34" w:rsidR="00EE33B5" w:rsidRPr="005500FB" w:rsidRDefault="00EE33B5" w:rsidP="00532BAC">
      <w:pPr>
        <w:rPr>
          <w:szCs w:val="24"/>
        </w:rPr>
      </w:pPr>
      <w:r w:rsidRPr="005500FB">
        <w:rPr>
          <w:b/>
          <w:bCs/>
          <w:color w:val="000000" w:themeColor="text1"/>
          <w:szCs w:val="24"/>
        </w:rPr>
        <w:t>Item 2</w:t>
      </w:r>
      <w:r w:rsidRPr="005500FB">
        <w:rPr>
          <w:color w:val="000000" w:themeColor="text1"/>
          <w:szCs w:val="24"/>
        </w:rPr>
        <w:t xml:space="preserve"> indexes the schedule fee for item 10661 </w:t>
      </w:r>
      <w:r w:rsidRPr="005500FB">
        <w:rPr>
          <w:szCs w:val="24"/>
        </w:rPr>
        <w:t>by 0.9 per cent from 1 July 2021</w:t>
      </w:r>
      <w:r w:rsidRPr="005500FB">
        <w:rPr>
          <w:color w:val="000000" w:themeColor="text1"/>
          <w:szCs w:val="24"/>
        </w:rPr>
        <w:t>.</w:t>
      </w:r>
    </w:p>
    <w:p w14:paraId="09B4EFF0" w14:textId="115EDA7B" w:rsidR="00140230" w:rsidRPr="005500FB" w:rsidRDefault="00140230">
      <w:pPr>
        <w:spacing w:after="200" w:line="276" w:lineRule="auto"/>
        <w:rPr>
          <w:b/>
          <w:sz w:val="28"/>
          <w:szCs w:val="28"/>
        </w:rPr>
      </w:pPr>
      <w:r w:rsidRPr="005500FB">
        <w:rPr>
          <w:b/>
          <w:sz w:val="28"/>
          <w:szCs w:val="28"/>
        </w:rPr>
        <w:br w:type="page"/>
      </w:r>
    </w:p>
    <w:p w14:paraId="2412D14E" w14:textId="11AF35F0" w:rsidR="00A17F2C" w:rsidRPr="005500FB" w:rsidRDefault="00A17F2C" w:rsidP="008D136F">
      <w:pPr>
        <w:pStyle w:val="Header"/>
        <w:tabs>
          <w:tab w:val="num" w:pos="1080"/>
        </w:tabs>
        <w:jc w:val="center"/>
        <w:rPr>
          <w:b/>
          <w:sz w:val="28"/>
          <w:szCs w:val="28"/>
        </w:rPr>
      </w:pPr>
      <w:r w:rsidRPr="005500FB">
        <w:rPr>
          <w:b/>
          <w:sz w:val="28"/>
          <w:szCs w:val="28"/>
        </w:rPr>
        <w:lastRenderedPageBreak/>
        <w:t>Statement of Compatibility with Human Rights</w:t>
      </w:r>
    </w:p>
    <w:p w14:paraId="2412D14F" w14:textId="77777777" w:rsidR="00A17F2C" w:rsidRPr="005500FB" w:rsidRDefault="00A17F2C" w:rsidP="000337CB">
      <w:pPr>
        <w:spacing w:before="120" w:after="120"/>
        <w:jc w:val="center"/>
        <w:rPr>
          <w:szCs w:val="24"/>
        </w:rPr>
      </w:pPr>
      <w:r w:rsidRPr="005500FB">
        <w:rPr>
          <w:i/>
          <w:szCs w:val="24"/>
        </w:rPr>
        <w:t>Prepared in accordance with Part 3 of the Human Rights (Parliamentary Scrutiny) Act 2011</w:t>
      </w:r>
    </w:p>
    <w:p w14:paraId="751DE726" w14:textId="77777777" w:rsidR="002A6C77" w:rsidRPr="005500FB" w:rsidRDefault="002A6C77" w:rsidP="000337CB">
      <w:pPr>
        <w:tabs>
          <w:tab w:val="left" w:pos="1418"/>
        </w:tabs>
        <w:ind w:left="851"/>
        <w:jc w:val="center"/>
        <w:rPr>
          <w:b/>
          <w:i/>
          <w:iCs/>
        </w:rPr>
      </w:pPr>
    </w:p>
    <w:p w14:paraId="1BF56C38" w14:textId="562C2D02" w:rsidR="007708B3" w:rsidRPr="005500FB" w:rsidRDefault="00223A02" w:rsidP="000337CB">
      <w:pPr>
        <w:tabs>
          <w:tab w:val="left" w:pos="1418"/>
        </w:tabs>
        <w:ind w:left="851"/>
        <w:jc w:val="center"/>
        <w:rPr>
          <w:b/>
          <w:i/>
          <w:szCs w:val="24"/>
        </w:rPr>
      </w:pPr>
      <w:r w:rsidRPr="005500FB">
        <w:rPr>
          <w:b/>
          <w:i/>
          <w:color w:val="000000" w:themeColor="text1"/>
          <w:szCs w:val="24"/>
        </w:rPr>
        <w:t xml:space="preserve">Health Insurance (Section 3C General Medical Services – General Practice Attendance for Assessing Patient Suitability for a COVID-19 Vaccine) Amendment </w:t>
      </w:r>
      <w:r w:rsidR="00FB08E1" w:rsidRPr="005500FB">
        <w:rPr>
          <w:b/>
          <w:i/>
          <w:color w:val="000000" w:themeColor="text1"/>
          <w:szCs w:val="24"/>
        </w:rPr>
        <w:t>(No.</w:t>
      </w:r>
      <w:r w:rsidR="003856A7" w:rsidRPr="005500FB">
        <w:rPr>
          <w:b/>
          <w:i/>
          <w:color w:val="000000" w:themeColor="text1"/>
          <w:szCs w:val="24"/>
        </w:rPr>
        <w:t xml:space="preserve"> </w:t>
      </w:r>
      <w:r w:rsidR="00DD3A69" w:rsidRPr="005500FB">
        <w:rPr>
          <w:b/>
          <w:i/>
          <w:color w:val="000000" w:themeColor="text1"/>
          <w:szCs w:val="24"/>
        </w:rPr>
        <w:t>3</w:t>
      </w:r>
      <w:r w:rsidR="00FB08E1" w:rsidRPr="005500FB">
        <w:rPr>
          <w:b/>
          <w:i/>
          <w:color w:val="000000" w:themeColor="text1"/>
          <w:szCs w:val="24"/>
        </w:rPr>
        <w:t xml:space="preserve">) </w:t>
      </w:r>
      <w:r w:rsidRPr="005500FB">
        <w:rPr>
          <w:b/>
          <w:i/>
          <w:color w:val="000000" w:themeColor="text1"/>
          <w:szCs w:val="24"/>
        </w:rPr>
        <w:t>Determination 2021</w:t>
      </w:r>
    </w:p>
    <w:p w14:paraId="2412D153" w14:textId="7AFD921D" w:rsidR="00A17F2C" w:rsidRPr="005500FB" w:rsidRDefault="00A17F2C" w:rsidP="000337CB">
      <w:pPr>
        <w:jc w:val="center"/>
        <w:rPr>
          <w:szCs w:val="24"/>
        </w:rPr>
      </w:pPr>
      <w:r w:rsidRPr="005500FB">
        <w:rPr>
          <w:szCs w:val="24"/>
        </w:rPr>
        <w:t xml:space="preserve">This </w:t>
      </w:r>
      <w:r w:rsidR="0046022A" w:rsidRPr="005500FB">
        <w:rPr>
          <w:szCs w:val="24"/>
        </w:rPr>
        <w:t>instrument</w:t>
      </w:r>
      <w:r w:rsidRPr="005500FB">
        <w:rPr>
          <w:szCs w:val="24"/>
        </w:rPr>
        <w:t xml:space="preserve"> is compatible with the human rights and freedoms recognised or declared in the international instruments listed in section 3 of the </w:t>
      </w:r>
      <w:r w:rsidRPr="005500FB">
        <w:rPr>
          <w:i/>
          <w:szCs w:val="24"/>
        </w:rPr>
        <w:t>Human Rights (Parliamentary Scrutiny) Act 2011</w:t>
      </w:r>
      <w:r w:rsidRPr="005500FB">
        <w:rPr>
          <w:szCs w:val="24"/>
        </w:rPr>
        <w:t>.</w:t>
      </w:r>
    </w:p>
    <w:p w14:paraId="7EDA9098" w14:textId="306A78E1" w:rsidR="006E6BBF" w:rsidRPr="005500FB" w:rsidRDefault="006E6BBF" w:rsidP="008734F5">
      <w:pPr>
        <w:spacing w:before="120" w:after="120"/>
        <w:rPr>
          <w:b/>
          <w:szCs w:val="24"/>
        </w:rPr>
      </w:pPr>
      <w:r w:rsidRPr="005500FB">
        <w:rPr>
          <w:b/>
          <w:szCs w:val="24"/>
        </w:rPr>
        <w:t xml:space="preserve">Overview of the </w:t>
      </w:r>
      <w:r w:rsidR="00B86A9F" w:rsidRPr="005500FB">
        <w:rPr>
          <w:b/>
          <w:szCs w:val="24"/>
        </w:rPr>
        <w:t>Determination</w:t>
      </w:r>
    </w:p>
    <w:p w14:paraId="72ED07BE" w14:textId="77777777" w:rsidR="00B762B9" w:rsidRPr="005500FB" w:rsidRDefault="00B762B9" w:rsidP="00B762B9">
      <w:pPr>
        <w:ind w:right="-483"/>
        <w:rPr>
          <w:color w:val="000000"/>
          <w:shd w:val="clear" w:color="auto" w:fill="FFFFFF"/>
        </w:rPr>
      </w:pPr>
      <w:r w:rsidRPr="005500FB">
        <w:rPr>
          <w:color w:val="000000"/>
          <w:shd w:val="clear" w:color="auto" w:fill="FFFFFF"/>
        </w:rPr>
        <w:t>The Australian Government is committed to offering every person in Australia access to safe and effective COVID-19 vaccines at no cost.</w:t>
      </w:r>
    </w:p>
    <w:p w14:paraId="0A4EF70B" w14:textId="77777777" w:rsidR="00B762B9" w:rsidRPr="005500FB" w:rsidRDefault="00B762B9" w:rsidP="00B762B9">
      <w:pPr>
        <w:ind w:right="-483"/>
        <w:rPr>
          <w:color w:val="000000"/>
          <w:shd w:val="clear" w:color="auto" w:fill="FFFFFF"/>
        </w:rPr>
      </w:pPr>
    </w:p>
    <w:p w14:paraId="12680D95" w14:textId="77777777" w:rsidR="00B762B9" w:rsidRPr="005500FB" w:rsidRDefault="00B762B9" w:rsidP="00B762B9">
      <w:pPr>
        <w:ind w:right="-483"/>
        <w:rPr>
          <w:color w:val="000000" w:themeColor="text1"/>
          <w:szCs w:val="24"/>
        </w:rPr>
      </w:pPr>
      <w:r w:rsidRPr="005500FB">
        <w:rPr>
          <w:color w:val="000000" w:themeColor="text1"/>
          <w:szCs w:val="24"/>
        </w:rPr>
        <w:t xml:space="preserve">On 25 February 2021, the </w:t>
      </w:r>
      <w:r w:rsidRPr="005500FB">
        <w:rPr>
          <w:i/>
          <w:color w:val="000000" w:themeColor="text1"/>
          <w:szCs w:val="24"/>
        </w:rPr>
        <w:t>Health Insurance (Section 3C General Medical Services – General Practice Attendance for Assessing Patient Suitability for a COVID-19 Vaccine) Determination 2021</w:t>
      </w:r>
      <w:r w:rsidRPr="005500FB">
        <w:rPr>
          <w:iCs/>
          <w:color w:val="000000" w:themeColor="text1"/>
          <w:szCs w:val="24"/>
        </w:rPr>
        <w:t xml:space="preserve"> (the Principal Determination)</w:t>
      </w:r>
      <w:r w:rsidRPr="005500FB">
        <w:rPr>
          <w:i/>
          <w:color w:val="000000" w:themeColor="text1"/>
          <w:szCs w:val="24"/>
        </w:rPr>
        <w:t xml:space="preserve"> </w:t>
      </w:r>
      <w:r w:rsidRPr="005500FB">
        <w:rPr>
          <w:color w:val="000000" w:themeColor="text1"/>
          <w:szCs w:val="24"/>
        </w:rPr>
        <w:t>listed 16 new Medicare Benefits Schedule (MBS) items to support general practices to administer the COVID-19 vaccine.</w:t>
      </w:r>
    </w:p>
    <w:p w14:paraId="3CDDC387" w14:textId="77777777" w:rsidR="00B762B9" w:rsidRPr="005500FB" w:rsidRDefault="00B762B9" w:rsidP="00B762B9">
      <w:pPr>
        <w:ind w:right="-483"/>
        <w:rPr>
          <w:color w:val="000000" w:themeColor="text1"/>
          <w:szCs w:val="24"/>
        </w:rPr>
      </w:pPr>
    </w:p>
    <w:p w14:paraId="22A2E6F0" w14:textId="77777777" w:rsidR="00B762B9" w:rsidRPr="005500FB" w:rsidRDefault="00B762B9" w:rsidP="00B762B9">
      <w:pPr>
        <w:ind w:right="-483"/>
        <w:rPr>
          <w:color w:val="000000"/>
          <w:shd w:val="clear" w:color="auto" w:fill="FFFFFF"/>
        </w:rPr>
      </w:pPr>
      <w:r w:rsidRPr="005500FB">
        <w:rPr>
          <w:color w:val="000000" w:themeColor="text1"/>
          <w:szCs w:val="24"/>
        </w:rPr>
        <w:t xml:space="preserve">General practices supplied with the COVID-19 vaccine </w:t>
      </w:r>
      <w:proofErr w:type="gramStart"/>
      <w:r w:rsidRPr="005500FB">
        <w:rPr>
          <w:color w:val="000000" w:themeColor="text1"/>
          <w:szCs w:val="24"/>
        </w:rPr>
        <w:t>are able to</w:t>
      </w:r>
      <w:proofErr w:type="gramEnd"/>
      <w:r w:rsidRPr="005500FB">
        <w:rPr>
          <w:color w:val="000000" w:themeColor="text1"/>
          <w:szCs w:val="24"/>
        </w:rPr>
        <w:t xml:space="preserve"> provide a service to assess if a person is suitable to receive the COVID-19 vaccine. The 16 MBS patient suitability assessment services, can be rendered </w:t>
      </w:r>
      <w:r w:rsidRPr="005500FB">
        <w:rPr>
          <w:color w:val="000000"/>
          <w:shd w:val="clear" w:color="auto" w:fill="FFFFFF"/>
        </w:rPr>
        <w:t xml:space="preserve">to a person </w:t>
      </w:r>
      <w:r w:rsidRPr="005500FB">
        <w:rPr>
          <w:color w:val="000000" w:themeColor="text1"/>
          <w:szCs w:val="24"/>
        </w:rPr>
        <w:t xml:space="preserve">who is at least 18 years of age by </w:t>
      </w:r>
      <w:r w:rsidRPr="005500FB">
        <w:rPr>
          <w:color w:val="000000"/>
          <w:shd w:val="clear" w:color="auto" w:fill="FFFFFF"/>
        </w:rPr>
        <w:t>general practitioners (GPs) and other medical practitioners (OMPs), or by a person on behalf of the medical practitioner (such as a registered nurse or other health professional registered under the Health Practitioner Regulation National Law) if it is provided in accordance with acceptable clinical practice and under supervision of the medical practitioner. </w:t>
      </w:r>
    </w:p>
    <w:p w14:paraId="5E82574F" w14:textId="77777777" w:rsidR="00B762B9" w:rsidRPr="005500FB" w:rsidRDefault="00B762B9" w:rsidP="00B762B9">
      <w:pPr>
        <w:ind w:right="-483"/>
        <w:rPr>
          <w:color w:val="000000"/>
          <w:shd w:val="clear" w:color="auto" w:fill="FFFFFF"/>
        </w:rPr>
      </w:pPr>
    </w:p>
    <w:p w14:paraId="495C4E89" w14:textId="77777777" w:rsidR="00B762B9" w:rsidRPr="005500FB" w:rsidRDefault="00B762B9" w:rsidP="00B762B9">
      <w:pPr>
        <w:ind w:right="-483"/>
        <w:rPr>
          <w:color w:val="000000" w:themeColor="text1"/>
          <w:szCs w:val="24"/>
        </w:rPr>
      </w:pPr>
      <w:r w:rsidRPr="005500FB">
        <w:rPr>
          <w:color w:val="000000" w:themeColor="text1"/>
          <w:szCs w:val="24"/>
        </w:rPr>
        <w:t xml:space="preserve">On 18 June 2021, two new MBS items (items 10660 and 10661) were introduced for GPs or OMPs to personally attend to the patient for more than 10 minutes, to provide in-depth clinical advice on the individual risks and benefits associated with receiving a dose of the COVID-19 vaccine to patients who are at least 50 years of age. These items were introduced through the </w:t>
      </w:r>
      <w:r w:rsidRPr="005500FB">
        <w:rPr>
          <w:i/>
          <w:color w:val="000000" w:themeColor="text1"/>
          <w:szCs w:val="24"/>
        </w:rPr>
        <w:t>Health Insurance (Section 3C General Medical Services – General Practice Attendance for Assessing Patient Suitability for a COVID-19 Vaccine) Amendment (No. 2) Determination 2021</w:t>
      </w:r>
      <w:r w:rsidRPr="005500FB">
        <w:rPr>
          <w:color w:val="000000" w:themeColor="text1"/>
          <w:szCs w:val="24"/>
        </w:rPr>
        <w:t xml:space="preserve">. </w:t>
      </w:r>
    </w:p>
    <w:p w14:paraId="753DB9A1" w14:textId="77777777" w:rsidR="00B762B9" w:rsidRPr="005500FB" w:rsidRDefault="00B762B9" w:rsidP="00B762B9">
      <w:pPr>
        <w:ind w:right="-483"/>
        <w:rPr>
          <w:color w:val="000000" w:themeColor="text1"/>
          <w:szCs w:val="24"/>
        </w:rPr>
      </w:pPr>
    </w:p>
    <w:p w14:paraId="5C0749DA" w14:textId="77777777" w:rsidR="00B762B9" w:rsidRPr="005500FB" w:rsidRDefault="00B762B9" w:rsidP="00B762B9">
      <w:pPr>
        <w:ind w:right="-483"/>
        <w:rPr>
          <w:color w:val="000000" w:themeColor="text1"/>
          <w:szCs w:val="24"/>
        </w:rPr>
      </w:pPr>
      <w:r w:rsidRPr="005500FB">
        <w:rPr>
          <w:color w:val="000000" w:themeColor="text1"/>
          <w:szCs w:val="24"/>
        </w:rPr>
        <w:t xml:space="preserve">The purpose of the </w:t>
      </w:r>
      <w:r w:rsidRPr="005500FB">
        <w:rPr>
          <w:i/>
          <w:color w:val="000000" w:themeColor="text1"/>
          <w:szCs w:val="24"/>
        </w:rPr>
        <w:t xml:space="preserve">Health Insurance (Section 3C General Medical Services – General Practice Attendance for Assessing Patient Suitability for a COVID-19 Vaccine) Amendment (No. 3) Determination 2021 </w:t>
      </w:r>
      <w:r w:rsidRPr="005500FB">
        <w:rPr>
          <w:color w:val="000000" w:themeColor="text1"/>
          <w:szCs w:val="24"/>
        </w:rPr>
        <w:t xml:space="preserve">(the Amendment Determination) is to remove the age requirements for patients to access the suitability assessment items including the two in-depth assessment items, to apply indexation to the two in-depth assessment items and to make administrative changes to the two in-depth assessment items to align with the original policy intent. </w:t>
      </w:r>
    </w:p>
    <w:p w14:paraId="1EA90D7C" w14:textId="77777777" w:rsidR="00B762B9" w:rsidRPr="005500FB" w:rsidRDefault="00B762B9" w:rsidP="00B762B9">
      <w:pPr>
        <w:ind w:right="-483"/>
        <w:rPr>
          <w:color w:val="000000" w:themeColor="text1"/>
          <w:szCs w:val="24"/>
        </w:rPr>
      </w:pPr>
    </w:p>
    <w:p w14:paraId="567706FE" w14:textId="77777777" w:rsidR="00B762B9" w:rsidRPr="005500FB" w:rsidRDefault="00B762B9" w:rsidP="00B762B9">
      <w:pPr>
        <w:ind w:right="-483"/>
        <w:rPr>
          <w:color w:val="000000" w:themeColor="text1"/>
          <w:szCs w:val="24"/>
        </w:rPr>
      </w:pPr>
      <w:r w:rsidRPr="005500FB">
        <w:rPr>
          <w:color w:val="000000" w:themeColor="text1"/>
          <w:szCs w:val="24"/>
        </w:rPr>
        <w:t xml:space="preserve">Schedule 1 of the Amendment Determination retrospectively provides that a service under the two in-depth assessment items 10660 or 10661 can only be claimed once per patient during their lifetime. This change will retrospectively commence on 18 June 2021 and is administrative in nature as it reflects the original policy intent of the in-depth assessment services. </w:t>
      </w:r>
    </w:p>
    <w:p w14:paraId="2F5419E9" w14:textId="77777777" w:rsidR="00B762B9" w:rsidRPr="005500FB" w:rsidRDefault="00B762B9" w:rsidP="00B762B9">
      <w:pPr>
        <w:ind w:right="-483"/>
        <w:rPr>
          <w:color w:val="000000" w:themeColor="text1"/>
          <w:szCs w:val="24"/>
        </w:rPr>
      </w:pPr>
    </w:p>
    <w:p w14:paraId="4872DF1A" w14:textId="4F46F971" w:rsidR="00B762B9" w:rsidRPr="005500FB" w:rsidRDefault="00B762B9" w:rsidP="00B762B9">
      <w:pPr>
        <w:ind w:right="-483"/>
        <w:rPr>
          <w:color w:val="000000" w:themeColor="text1"/>
          <w:szCs w:val="24"/>
        </w:rPr>
      </w:pPr>
      <w:r w:rsidRPr="005500FB">
        <w:rPr>
          <w:color w:val="000000" w:themeColor="text1"/>
          <w:szCs w:val="24"/>
        </w:rPr>
        <w:t>Schedule 2 of the Amendment Determination removes the requirement for a patient to be at least 50 years of age in order to access the two in-depth assessment items. The removal of this age restriction for these services will ensure that all Australians are able to access the in-depth assessment items, where it is clinically relevant. This change will retrospectively commence on 2</w:t>
      </w:r>
      <w:r w:rsidR="00C807EF" w:rsidRPr="005500FB">
        <w:rPr>
          <w:color w:val="000000" w:themeColor="text1"/>
          <w:szCs w:val="24"/>
        </w:rPr>
        <w:t>9</w:t>
      </w:r>
      <w:r w:rsidRPr="005500FB">
        <w:rPr>
          <w:color w:val="000000" w:themeColor="text1"/>
          <w:szCs w:val="24"/>
        </w:rPr>
        <w:t xml:space="preserve"> June 2021.</w:t>
      </w:r>
    </w:p>
    <w:p w14:paraId="79E5D204" w14:textId="77777777" w:rsidR="00B762B9" w:rsidRPr="005500FB" w:rsidRDefault="00B762B9" w:rsidP="00B762B9">
      <w:pPr>
        <w:ind w:right="-483"/>
        <w:rPr>
          <w:color w:val="000000" w:themeColor="text1"/>
          <w:szCs w:val="24"/>
        </w:rPr>
      </w:pPr>
    </w:p>
    <w:p w14:paraId="00B6E10A" w14:textId="77777777" w:rsidR="00B762B9" w:rsidRPr="005500FB" w:rsidRDefault="00B762B9" w:rsidP="00B762B9">
      <w:pPr>
        <w:ind w:right="-483"/>
        <w:rPr>
          <w:color w:val="000000" w:themeColor="text1"/>
          <w:szCs w:val="24"/>
        </w:rPr>
      </w:pPr>
      <w:r w:rsidRPr="005500FB">
        <w:rPr>
          <w:color w:val="000000" w:themeColor="text1"/>
          <w:szCs w:val="24"/>
        </w:rPr>
        <w:lastRenderedPageBreak/>
        <w:t xml:space="preserve">Schedule 3 of the Amendment Determination retrospectively removes the requirement for the patient to be at least 18 years of age in order to access the 16 suitability assessment items. The age restriction will be retrospectively removed from 31 May 2021, and this change will allow all Australians to access the assessment services for the COVID-19 vaccine. </w:t>
      </w:r>
    </w:p>
    <w:p w14:paraId="02E3DA3C" w14:textId="77777777" w:rsidR="00B762B9" w:rsidRPr="005500FB" w:rsidRDefault="00B762B9" w:rsidP="00B762B9">
      <w:pPr>
        <w:keepNext/>
        <w:keepLines/>
        <w:ind w:right="-482"/>
        <w:rPr>
          <w:color w:val="000000"/>
          <w:shd w:val="clear" w:color="auto" w:fill="FFFFFF"/>
        </w:rPr>
      </w:pPr>
    </w:p>
    <w:p w14:paraId="7A37D99B" w14:textId="77777777" w:rsidR="00B762B9" w:rsidRPr="005500FB" w:rsidRDefault="00B762B9" w:rsidP="00B762B9">
      <w:pPr>
        <w:ind w:right="-483"/>
        <w:rPr>
          <w:iCs/>
        </w:rPr>
      </w:pPr>
      <w:r w:rsidRPr="005500FB">
        <w:rPr>
          <w:iCs/>
        </w:rPr>
        <w:t>Schedule 4 of the Amendment Determination will increase the fees for items 10660 and 10661 by 0.9 per cent from 1 July 2021. This reflects the Government’s policy regarding Medicare indexation and means that patients will receive an increased Medicare benefit for these services.</w:t>
      </w:r>
    </w:p>
    <w:p w14:paraId="4BA40249" w14:textId="77777777" w:rsidR="00B762B9" w:rsidRPr="005500FB" w:rsidRDefault="00B762B9" w:rsidP="00B762B9">
      <w:pPr>
        <w:ind w:right="-483"/>
        <w:rPr>
          <w:iCs/>
        </w:rPr>
      </w:pPr>
    </w:p>
    <w:p w14:paraId="2B33522A" w14:textId="6DF8761F" w:rsidR="00D45E5F" w:rsidRPr="005500FB" w:rsidRDefault="00B762B9" w:rsidP="00B762B9">
      <w:pPr>
        <w:ind w:right="-483"/>
        <w:rPr>
          <w:iCs/>
        </w:rPr>
      </w:pPr>
      <w:r w:rsidRPr="005500FB">
        <w:rPr>
          <w:color w:val="000000"/>
          <w:shd w:val="clear" w:color="auto" w:fill="FFFFFF"/>
        </w:rPr>
        <w:t>Although Schedules 1, 2 and 3 apply retrospectively, they are not contrary to section 12 of the </w:t>
      </w:r>
      <w:r w:rsidRPr="005500FB">
        <w:rPr>
          <w:i/>
          <w:iCs/>
          <w:color w:val="000000"/>
          <w:shd w:val="clear" w:color="auto" w:fill="FFFFFF"/>
        </w:rPr>
        <w:t>Legislation Act 2003</w:t>
      </w:r>
      <w:r w:rsidRPr="005500FB">
        <w:rPr>
          <w:color w:val="000000"/>
          <w:shd w:val="clear" w:color="auto" w:fill="FFFFFF"/>
        </w:rPr>
        <w:t> as they do not disadvantage a person and only apply a liability on the Commonwealth for the retrospective period.</w:t>
      </w:r>
    </w:p>
    <w:p w14:paraId="31515278" w14:textId="28FBF7FC" w:rsidR="007708B3" w:rsidRPr="005500FB" w:rsidRDefault="007708B3" w:rsidP="002A6C77">
      <w:pPr>
        <w:ind w:right="-482"/>
        <w:rPr>
          <w:iCs/>
        </w:rPr>
      </w:pPr>
    </w:p>
    <w:p w14:paraId="2412D15C" w14:textId="50D38E8B" w:rsidR="00A17F2C" w:rsidRPr="005500FB" w:rsidRDefault="00A17F2C" w:rsidP="002A6C77">
      <w:pPr>
        <w:ind w:right="-482"/>
        <w:rPr>
          <w:b/>
          <w:szCs w:val="24"/>
        </w:rPr>
      </w:pPr>
      <w:r w:rsidRPr="005500FB">
        <w:rPr>
          <w:b/>
          <w:szCs w:val="24"/>
        </w:rPr>
        <w:t>Human rights implications</w:t>
      </w:r>
    </w:p>
    <w:p w14:paraId="139AC6EC" w14:textId="6889092D" w:rsidR="002939D2" w:rsidRPr="005500FB" w:rsidRDefault="00806020" w:rsidP="00806020">
      <w:pPr>
        <w:spacing w:before="120" w:after="120"/>
        <w:rPr>
          <w:szCs w:val="24"/>
        </w:rPr>
      </w:pPr>
      <w:r w:rsidRPr="005500FB">
        <w:rPr>
          <w:szCs w:val="24"/>
        </w:rPr>
        <w:t xml:space="preserve">This instrument engages Articles 9 and 12 of the International Covenant on Economic Social and Cultural Rights (ICESCR), specifically the rights to health and social security. </w:t>
      </w:r>
    </w:p>
    <w:p w14:paraId="2412D15E" w14:textId="6BF49A9B" w:rsidR="00A17F2C" w:rsidRPr="005500FB" w:rsidRDefault="00A17F2C" w:rsidP="00806020">
      <w:pPr>
        <w:spacing w:before="120" w:after="120"/>
        <w:rPr>
          <w:i/>
          <w:szCs w:val="24"/>
        </w:rPr>
      </w:pPr>
      <w:r w:rsidRPr="005500FB">
        <w:rPr>
          <w:i/>
          <w:szCs w:val="24"/>
        </w:rPr>
        <w:t>The Right to Health</w:t>
      </w:r>
    </w:p>
    <w:p w14:paraId="2412D15F" w14:textId="77777777" w:rsidR="00A17F2C" w:rsidRPr="005500FB" w:rsidRDefault="00A17F2C" w:rsidP="000337CB">
      <w:pPr>
        <w:spacing w:before="120" w:after="120"/>
        <w:rPr>
          <w:szCs w:val="24"/>
        </w:rPr>
      </w:pPr>
      <w:r w:rsidRPr="005500FB">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5500FB" w:rsidRDefault="00A17F2C" w:rsidP="000337CB">
      <w:pPr>
        <w:spacing w:before="120" w:after="120"/>
        <w:rPr>
          <w:szCs w:val="24"/>
        </w:rPr>
      </w:pPr>
      <w:r w:rsidRPr="005500FB">
        <w:rPr>
          <w:szCs w:val="24"/>
        </w:rPr>
        <w:t xml:space="preserve">The Committee reports that the </w:t>
      </w:r>
      <w:r w:rsidRPr="005500FB">
        <w:rPr>
          <w:i/>
          <w:szCs w:val="24"/>
        </w:rPr>
        <w:t>‘highest attainable standard of health’</w:t>
      </w:r>
      <w:r w:rsidRPr="005500FB">
        <w:rPr>
          <w:szCs w:val="24"/>
        </w:rPr>
        <w:t xml:space="preserve"> </w:t>
      </w:r>
      <w:proofErr w:type="gramStart"/>
      <w:r w:rsidRPr="005500FB">
        <w:rPr>
          <w:szCs w:val="24"/>
        </w:rPr>
        <w:t>takes into account</w:t>
      </w:r>
      <w:proofErr w:type="gramEnd"/>
      <w:r w:rsidRPr="005500FB">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5500FB" w:rsidRDefault="00A17F2C" w:rsidP="000337CB">
      <w:pPr>
        <w:spacing w:before="120" w:after="120"/>
        <w:rPr>
          <w:i/>
          <w:szCs w:val="24"/>
        </w:rPr>
      </w:pPr>
      <w:r w:rsidRPr="005500FB">
        <w:rPr>
          <w:i/>
          <w:szCs w:val="24"/>
        </w:rPr>
        <w:t xml:space="preserve">The Right to Social Security </w:t>
      </w:r>
    </w:p>
    <w:p w14:paraId="2412D162" w14:textId="77777777" w:rsidR="00A17F2C" w:rsidRPr="005500FB" w:rsidRDefault="00A17F2C" w:rsidP="000337CB">
      <w:pPr>
        <w:spacing w:before="120" w:after="120"/>
        <w:rPr>
          <w:szCs w:val="24"/>
        </w:rPr>
      </w:pPr>
      <w:r w:rsidRPr="005500FB">
        <w:rPr>
          <w:szCs w:val="24"/>
        </w:rPr>
        <w:t>The right to social security is contained in Article 9 of the ICESCR. It requires that a country must, within its maximum available resources, ensure access to a social security scheme that</w:t>
      </w:r>
      <w:r w:rsidR="00BA69CB" w:rsidRPr="005500FB">
        <w:rPr>
          <w:szCs w:val="24"/>
        </w:rPr>
        <w:t xml:space="preserve"> </w:t>
      </w:r>
      <w:r w:rsidRPr="005500FB">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5500FB">
        <w:rPr>
          <w:szCs w:val="24"/>
        </w:rPr>
        <w:t>in an effort to</w:t>
      </w:r>
      <w:proofErr w:type="gramEnd"/>
      <w:r w:rsidRPr="005500FB">
        <w:rPr>
          <w:szCs w:val="24"/>
        </w:rPr>
        <w:t xml:space="preserve"> satisfy, as a matter of priority, this minimum obligation.</w:t>
      </w:r>
    </w:p>
    <w:p w14:paraId="2412D163" w14:textId="4143197C" w:rsidR="00735CCC" w:rsidRPr="005500FB" w:rsidRDefault="00A17F2C" w:rsidP="000337CB">
      <w:pPr>
        <w:spacing w:before="120" w:after="120"/>
        <w:rPr>
          <w:szCs w:val="24"/>
        </w:rPr>
      </w:pPr>
      <w:r w:rsidRPr="005500FB">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33FABC4" w14:textId="77777777" w:rsidR="00140230" w:rsidRPr="005500FB" w:rsidRDefault="00140230" w:rsidP="00140230">
      <w:pPr>
        <w:spacing w:before="120" w:after="120"/>
        <w:rPr>
          <w:szCs w:val="24"/>
        </w:rPr>
      </w:pPr>
      <w:r w:rsidRPr="005500FB">
        <w:rPr>
          <w:i/>
          <w:szCs w:val="24"/>
        </w:rPr>
        <w:t xml:space="preserve">The right of equality and non-discrimination </w:t>
      </w:r>
    </w:p>
    <w:p w14:paraId="638205B4" w14:textId="77777777" w:rsidR="00140230" w:rsidRPr="005500FB" w:rsidRDefault="00140230" w:rsidP="00140230">
      <w:pPr>
        <w:spacing w:before="120" w:after="120"/>
        <w:rPr>
          <w:szCs w:val="24"/>
        </w:rPr>
      </w:pPr>
      <w:r w:rsidRPr="005500FB">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0E21AE0C" w14:textId="77777777" w:rsidR="00140230" w:rsidRPr="005500FB" w:rsidRDefault="00140230" w:rsidP="00140230">
      <w:pPr>
        <w:spacing w:before="120" w:after="120"/>
        <w:rPr>
          <w:szCs w:val="24"/>
          <w:u w:val="single"/>
        </w:rPr>
      </w:pPr>
      <w:r w:rsidRPr="005500FB">
        <w:rPr>
          <w:szCs w:val="24"/>
          <w:u w:val="single"/>
        </w:rPr>
        <w:lastRenderedPageBreak/>
        <w:t xml:space="preserve">Analysis </w:t>
      </w:r>
    </w:p>
    <w:p w14:paraId="28EFEDE6" w14:textId="6DCA7C3D" w:rsidR="00644C26" w:rsidRPr="005500FB" w:rsidRDefault="00D45E5F" w:rsidP="00140230">
      <w:pPr>
        <w:rPr>
          <w:rFonts w:ascii="Helvetica Neue" w:hAnsi="Helvetica Neue"/>
          <w:color w:val="000000"/>
          <w:shd w:val="clear" w:color="auto" w:fill="FFFFFF"/>
        </w:rPr>
      </w:pPr>
      <w:r w:rsidRPr="005500FB">
        <w:rPr>
          <w:rFonts w:ascii="Helvetica Neue" w:hAnsi="Helvetica Neue"/>
          <w:color w:val="000000"/>
          <w:shd w:val="clear" w:color="auto" w:fill="FFFFFF"/>
        </w:rPr>
        <w:t>This instrument advances</w:t>
      </w:r>
      <w:r w:rsidR="00644C26" w:rsidRPr="005500FB">
        <w:rPr>
          <w:rFonts w:ascii="Helvetica Neue" w:hAnsi="Helvetica Neue"/>
          <w:color w:val="000000"/>
          <w:shd w:val="clear" w:color="auto" w:fill="FFFFFF"/>
        </w:rPr>
        <w:t xml:space="preserve"> the</w:t>
      </w:r>
      <w:r w:rsidRPr="005500FB">
        <w:rPr>
          <w:rFonts w:ascii="Helvetica Neue" w:hAnsi="Helvetica Neue"/>
          <w:color w:val="000000"/>
          <w:shd w:val="clear" w:color="auto" w:fill="FFFFFF"/>
        </w:rPr>
        <w:t xml:space="preserve"> right to health</w:t>
      </w:r>
      <w:r w:rsidR="00644C26" w:rsidRPr="005500FB">
        <w:rPr>
          <w:rFonts w:ascii="Helvetica Neue" w:hAnsi="Helvetica Neue"/>
          <w:color w:val="000000"/>
          <w:shd w:val="clear" w:color="auto" w:fill="FFFFFF"/>
        </w:rPr>
        <w:t xml:space="preserve">, the right to </w:t>
      </w:r>
      <w:r w:rsidRPr="005500FB">
        <w:rPr>
          <w:rFonts w:ascii="Helvetica Neue" w:hAnsi="Helvetica Neue"/>
          <w:color w:val="000000"/>
          <w:shd w:val="clear" w:color="auto" w:fill="FFFFFF"/>
        </w:rPr>
        <w:t xml:space="preserve">social security </w:t>
      </w:r>
      <w:r w:rsidR="00644C26" w:rsidRPr="005500FB">
        <w:rPr>
          <w:rFonts w:ascii="Helvetica Neue" w:hAnsi="Helvetica Neue"/>
          <w:color w:val="000000"/>
          <w:shd w:val="clear" w:color="auto" w:fill="FFFFFF"/>
        </w:rPr>
        <w:t xml:space="preserve">and the right of equality and non-discrimination </w:t>
      </w:r>
      <w:r w:rsidRPr="005500FB">
        <w:rPr>
          <w:rFonts w:ascii="Helvetica Neue" w:hAnsi="Helvetica Neue"/>
          <w:color w:val="000000"/>
          <w:shd w:val="clear" w:color="auto" w:fill="FFFFFF"/>
        </w:rPr>
        <w:t xml:space="preserve">by removing the age restriction for </w:t>
      </w:r>
      <w:r w:rsidR="00644C26" w:rsidRPr="005500FB">
        <w:rPr>
          <w:rFonts w:ascii="Helvetica Neue" w:hAnsi="Helvetica Neue"/>
          <w:color w:val="000000"/>
          <w:shd w:val="clear" w:color="auto" w:fill="FFFFFF"/>
        </w:rPr>
        <w:t xml:space="preserve">the </w:t>
      </w:r>
      <w:r w:rsidRPr="005500FB">
        <w:rPr>
          <w:rFonts w:ascii="Helvetica Neue" w:hAnsi="Helvetica Neue"/>
          <w:color w:val="000000"/>
          <w:shd w:val="clear" w:color="auto" w:fill="FFFFFF"/>
        </w:rPr>
        <w:t xml:space="preserve">suitability assessment </w:t>
      </w:r>
      <w:r w:rsidR="00644C26" w:rsidRPr="005500FB">
        <w:rPr>
          <w:rFonts w:ascii="Helvetica Neue" w:hAnsi="Helvetica Neue"/>
          <w:color w:val="000000"/>
          <w:shd w:val="clear" w:color="auto" w:fill="FFFFFF"/>
        </w:rPr>
        <w:t xml:space="preserve">items and the age restriction in the </w:t>
      </w:r>
      <w:r w:rsidRPr="005500FB">
        <w:rPr>
          <w:rFonts w:ascii="Helvetica Neue" w:hAnsi="Helvetica Neue"/>
          <w:color w:val="000000"/>
          <w:shd w:val="clear" w:color="auto" w:fill="FFFFFF"/>
        </w:rPr>
        <w:t xml:space="preserve">in-depth assessment </w:t>
      </w:r>
      <w:r w:rsidR="00644C26" w:rsidRPr="005500FB">
        <w:rPr>
          <w:rFonts w:ascii="Helvetica Neue" w:hAnsi="Helvetica Neue"/>
          <w:color w:val="000000"/>
          <w:shd w:val="clear" w:color="auto" w:fill="FFFFFF"/>
        </w:rPr>
        <w:t>items</w:t>
      </w:r>
      <w:r w:rsidRPr="005500FB">
        <w:rPr>
          <w:rFonts w:ascii="Helvetica Neue" w:hAnsi="Helvetica Neue"/>
          <w:color w:val="000000"/>
          <w:shd w:val="clear" w:color="auto" w:fill="FFFFFF"/>
        </w:rPr>
        <w:t xml:space="preserve">, which will enable all Australians to access </w:t>
      </w:r>
      <w:r w:rsidR="00644C26" w:rsidRPr="005500FB">
        <w:rPr>
          <w:rFonts w:ascii="Helvetica Neue" w:hAnsi="Helvetica Neue"/>
          <w:color w:val="000000"/>
          <w:shd w:val="clear" w:color="auto" w:fill="FFFFFF"/>
        </w:rPr>
        <w:t>these services. This change will support patient access and general practices in administering the COVID-19 vaccine. This instrument also furthers the right to health, the right to social security and the right of equality and non-discrimination by increasing the Medicare benefit patients will receive when accessing the in-depth assessment items. This will assist patients to continue accessing clinically relevant health services, consistent with the rights to health and social security.</w:t>
      </w:r>
    </w:p>
    <w:p w14:paraId="618B3DE0" w14:textId="77777777" w:rsidR="00140230" w:rsidRPr="005500FB" w:rsidRDefault="00140230" w:rsidP="00140230">
      <w:pPr>
        <w:rPr>
          <w:color w:val="FF0000"/>
          <w:szCs w:val="24"/>
        </w:rPr>
      </w:pPr>
    </w:p>
    <w:p w14:paraId="35D19351" w14:textId="77777777" w:rsidR="00140230" w:rsidRPr="005500FB" w:rsidRDefault="00140230" w:rsidP="00140230">
      <w:pPr>
        <w:rPr>
          <w:rFonts w:eastAsia="Calibri"/>
          <w:b/>
          <w:szCs w:val="24"/>
          <w:lang w:eastAsia="en-US"/>
        </w:rPr>
      </w:pPr>
      <w:r w:rsidRPr="005500FB">
        <w:rPr>
          <w:rFonts w:eastAsia="Calibri"/>
          <w:b/>
          <w:szCs w:val="24"/>
          <w:lang w:eastAsia="en-US"/>
        </w:rPr>
        <w:t xml:space="preserve">Conclusion </w:t>
      </w:r>
    </w:p>
    <w:p w14:paraId="440D5534" w14:textId="77777777" w:rsidR="00140230" w:rsidRPr="005500FB" w:rsidRDefault="00140230" w:rsidP="00140230">
      <w:pPr>
        <w:rPr>
          <w:color w:val="FF0000"/>
          <w:szCs w:val="24"/>
        </w:rPr>
      </w:pPr>
      <w:r w:rsidRPr="005500FB">
        <w:rPr>
          <w:szCs w:val="24"/>
        </w:rPr>
        <w:t xml:space="preserve">This instrument is compatible with human rights as it advances the right to </w:t>
      </w:r>
      <w:proofErr w:type="gramStart"/>
      <w:r w:rsidRPr="005500FB">
        <w:rPr>
          <w:szCs w:val="24"/>
        </w:rPr>
        <w:t>health;</w:t>
      </w:r>
      <w:proofErr w:type="gramEnd"/>
      <w:r w:rsidRPr="005500FB">
        <w:rPr>
          <w:szCs w:val="24"/>
        </w:rPr>
        <w:t xml:space="preserve"> the right to social security and the right to equality and non-discrimination. </w:t>
      </w:r>
    </w:p>
    <w:p w14:paraId="7864771A" w14:textId="77777777" w:rsidR="00223A02" w:rsidRPr="005500FB" w:rsidRDefault="00223A02" w:rsidP="00302F5C">
      <w:pPr>
        <w:rPr>
          <w:color w:val="000000" w:themeColor="text1"/>
          <w:szCs w:val="24"/>
        </w:rPr>
      </w:pPr>
    </w:p>
    <w:p w14:paraId="44D1F57D" w14:textId="373FA3FF" w:rsidR="00AC0EBC" w:rsidRPr="005500FB" w:rsidRDefault="00644C26" w:rsidP="00AC0EBC">
      <w:pPr>
        <w:jc w:val="center"/>
        <w:rPr>
          <w:b/>
          <w:szCs w:val="22"/>
        </w:rPr>
      </w:pPr>
      <w:r w:rsidRPr="005500FB">
        <w:rPr>
          <w:b/>
          <w:szCs w:val="22"/>
        </w:rPr>
        <w:t>Louise Morgan</w:t>
      </w:r>
    </w:p>
    <w:p w14:paraId="45C385C4" w14:textId="1F8341C9" w:rsidR="00AC0EBC" w:rsidRPr="005500FB" w:rsidRDefault="00AC0EBC" w:rsidP="00AC0EBC">
      <w:pPr>
        <w:jc w:val="center"/>
        <w:rPr>
          <w:b/>
          <w:szCs w:val="22"/>
        </w:rPr>
      </w:pPr>
      <w:r w:rsidRPr="005500FB">
        <w:rPr>
          <w:b/>
          <w:szCs w:val="22"/>
        </w:rPr>
        <w:t>Acting Assistant Secretary</w:t>
      </w:r>
    </w:p>
    <w:p w14:paraId="2A785A6F" w14:textId="258053F9" w:rsidR="00644C26" w:rsidRPr="005500FB" w:rsidRDefault="00644C26" w:rsidP="00AC0EBC">
      <w:pPr>
        <w:jc w:val="center"/>
        <w:rPr>
          <w:b/>
          <w:szCs w:val="22"/>
        </w:rPr>
      </w:pPr>
      <w:r w:rsidRPr="005500FB">
        <w:rPr>
          <w:b/>
          <w:szCs w:val="22"/>
        </w:rPr>
        <w:t>MBS Policy and Specialist Services Branch</w:t>
      </w:r>
    </w:p>
    <w:p w14:paraId="78EF9A60" w14:textId="77777777" w:rsidR="00AC0EBC" w:rsidRPr="005500FB" w:rsidRDefault="00AC0EBC" w:rsidP="00AC0EBC">
      <w:pPr>
        <w:jc w:val="center"/>
        <w:rPr>
          <w:b/>
          <w:szCs w:val="22"/>
        </w:rPr>
      </w:pPr>
      <w:r w:rsidRPr="005500FB">
        <w:rPr>
          <w:b/>
          <w:szCs w:val="22"/>
        </w:rPr>
        <w:t>Medical Benefits Division</w:t>
      </w:r>
    </w:p>
    <w:p w14:paraId="1B023D7A" w14:textId="77777777" w:rsidR="00AC0EBC" w:rsidRPr="005500FB" w:rsidRDefault="00AC0EBC" w:rsidP="00AC0EBC">
      <w:pPr>
        <w:jc w:val="center"/>
        <w:rPr>
          <w:szCs w:val="22"/>
        </w:rPr>
      </w:pPr>
      <w:r w:rsidRPr="005500FB">
        <w:rPr>
          <w:b/>
          <w:szCs w:val="22"/>
        </w:rPr>
        <w:t>Health Resourcing Group</w:t>
      </w:r>
      <w:r w:rsidRPr="005500FB">
        <w:rPr>
          <w:szCs w:val="22"/>
        </w:rPr>
        <w:t xml:space="preserve"> </w:t>
      </w:r>
    </w:p>
    <w:p w14:paraId="3FFD3AAD" w14:textId="77777777" w:rsidR="00AC0EBC" w:rsidRPr="00F67195" w:rsidRDefault="00AC0EBC" w:rsidP="00AC0EBC">
      <w:pPr>
        <w:jc w:val="center"/>
        <w:rPr>
          <w:rFonts w:eastAsia="Calibri"/>
          <w:szCs w:val="24"/>
          <w:lang w:eastAsia="en-US"/>
        </w:rPr>
      </w:pPr>
      <w:r w:rsidRPr="005500FB">
        <w:rPr>
          <w:b/>
          <w:bCs/>
        </w:rPr>
        <w:t>Department of Health</w:t>
      </w:r>
    </w:p>
    <w:p w14:paraId="71DB3C46" w14:textId="02384C40" w:rsidR="00BB0260" w:rsidRPr="0020245D" w:rsidRDefault="00BB0260" w:rsidP="00AC0EBC">
      <w:pPr>
        <w:jc w:val="center"/>
        <w:rPr>
          <w:rFonts w:eastAsia="Calibri"/>
          <w:szCs w:val="24"/>
          <w:lang w:eastAsia="en-US"/>
        </w:rPr>
      </w:pPr>
    </w:p>
    <w:sectPr w:rsidR="00BB0260" w:rsidRPr="0020245D" w:rsidSect="00CF7EA6">
      <w:headerReference w:type="even" r:id="rId12"/>
      <w:headerReference w:type="default" r:id="rId13"/>
      <w:headerReference w:type="first" r:id="rId14"/>
      <w:pgSz w:w="11906" w:h="16838"/>
      <w:pgMar w:top="1440" w:right="1133" w:bottom="993"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2E33D1AC" w:rsidR="00A1739A" w:rsidRDefault="00A1739A" w:rsidP="00BD6F5F">
    <w:pPr>
      <w:pStyle w:val="Header"/>
      <w:jc w:val="center"/>
    </w:pPr>
    <w:r>
      <w:fldChar w:fldCharType="begin"/>
    </w:r>
    <w:r>
      <w:instrText xml:space="preserve"> PAGE  \* Arabic  \* MERGEFORMAT </w:instrText>
    </w:r>
    <w:r>
      <w:fldChar w:fldCharType="separate"/>
    </w:r>
    <w:r w:rsidR="00AC0EBC">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5A59FE6" w:rsidR="00E23B6B" w:rsidRDefault="00E23B6B">
        <w:pPr>
          <w:pStyle w:val="Header"/>
          <w:jc w:val="center"/>
        </w:pPr>
        <w:r>
          <w:fldChar w:fldCharType="begin"/>
        </w:r>
        <w:r>
          <w:instrText xml:space="preserve"> PAGE   \* MERGEFORMAT </w:instrText>
        </w:r>
        <w:r>
          <w:fldChar w:fldCharType="separate"/>
        </w:r>
        <w:r w:rsidR="00AC0EBC">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248FE3F0" w:rsidR="00E23B6B" w:rsidRDefault="00E23B6B">
        <w:pPr>
          <w:pStyle w:val="Header"/>
          <w:jc w:val="center"/>
        </w:pPr>
        <w:r>
          <w:fldChar w:fldCharType="begin"/>
        </w:r>
        <w:r>
          <w:instrText xml:space="preserve"> PAGE   \* MERGEFORMAT </w:instrText>
        </w:r>
        <w:r>
          <w:fldChar w:fldCharType="separate"/>
        </w:r>
        <w:r w:rsidR="00AC0EBC">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667388"/>
    <w:multiLevelType w:val="hybridMultilevel"/>
    <w:tmpl w:val="0448A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
  </w:num>
  <w:num w:numId="4">
    <w:abstractNumId w:val="12"/>
  </w:num>
  <w:num w:numId="5">
    <w:abstractNumId w:val="18"/>
  </w:num>
  <w:num w:numId="6">
    <w:abstractNumId w:val="10"/>
  </w:num>
  <w:num w:numId="7">
    <w:abstractNumId w:val="29"/>
  </w:num>
  <w:num w:numId="8">
    <w:abstractNumId w:val="6"/>
  </w:num>
  <w:num w:numId="9">
    <w:abstractNumId w:val="5"/>
  </w:num>
  <w:num w:numId="10">
    <w:abstractNumId w:val="31"/>
  </w:num>
  <w:num w:numId="11">
    <w:abstractNumId w:val="28"/>
  </w:num>
  <w:num w:numId="12">
    <w:abstractNumId w:val="13"/>
  </w:num>
  <w:num w:numId="13">
    <w:abstractNumId w:val="15"/>
  </w:num>
  <w:num w:numId="14">
    <w:abstractNumId w:val="26"/>
  </w:num>
  <w:num w:numId="15">
    <w:abstractNumId w:val="7"/>
  </w:num>
  <w:num w:numId="16">
    <w:abstractNumId w:val="20"/>
  </w:num>
  <w:num w:numId="17">
    <w:abstractNumId w:val="23"/>
  </w:num>
  <w:num w:numId="18">
    <w:abstractNumId w:val="21"/>
  </w:num>
  <w:num w:numId="19">
    <w:abstractNumId w:val="3"/>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9"/>
  </w:num>
  <w:num w:numId="26">
    <w:abstractNumId w:val="4"/>
  </w:num>
  <w:num w:numId="27">
    <w:abstractNumId w:val="16"/>
  </w:num>
  <w:num w:numId="28">
    <w:abstractNumId w:val="30"/>
  </w:num>
  <w:num w:numId="29">
    <w:abstractNumId w:val="17"/>
  </w:num>
  <w:num w:numId="30">
    <w:abstractNumId w:val="27"/>
  </w:num>
  <w:num w:numId="31">
    <w:abstractNumId w:val="14"/>
  </w:num>
  <w:num w:numId="32">
    <w:abstractNumId w:val="25"/>
  </w:num>
  <w:num w:numId="3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313"/>
    <w:rsid w:val="00005906"/>
    <w:rsid w:val="00007B65"/>
    <w:rsid w:val="00010199"/>
    <w:rsid w:val="00012B9E"/>
    <w:rsid w:val="00014639"/>
    <w:rsid w:val="00014B38"/>
    <w:rsid w:val="00014E40"/>
    <w:rsid w:val="00016774"/>
    <w:rsid w:val="00017FA2"/>
    <w:rsid w:val="000203B4"/>
    <w:rsid w:val="00021B2C"/>
    <w:rsid w:val="00021EFA"/>
    <w:rsid w:val="00024158"/>
    <w:rsid w:val="00024A1D"/>
    <w:rsid w:val="000257BF"/>
    <w:rsid w:val="00025F64"/>
    <w:rsid w:val="0002704E"/>
    <w:rsid w:val="0002728B"/>
    <w:rsid w:val="00027830"/>
    <w:rsid w:val="000319EF"/>
    <w:rsid w:val="00032469"/>
    <w:rsid w:val="00033034"/>
    <w:rsid w:val="000337CB"/>
    <w:rsid w:val="0003591F"/>
    <w:rsid w:val="000406E1"/>
    <w:rsid w:val="00041849"/>
    <w:rsid w:val="0004426E"/>
    <w:rsid w:val="00044A2A"/>
    <w:rsid w:val="00050623"/>
    <w:rsid w:val="000509BA"/>
    <w:rsid w:val="0005224B"/>
    <w:rsid w:val="00052395"/>
    <w:rsid w:val="0005243A"/>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5A9A"/>
    <w:rsid w:val="000A6FB3"/>
    <w:rsid w:val="000A7B9B"/>
    <w:rsid w:val="000A7DC9"/>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1B6A"/>
    <w:rsid w:val="000D2300"/>
    <w:rsid w:val="000D3B79"/>
    <w:rsid w:val="000D4BDA"/>
    <w:rsid w:val="000D596C"/>
    <w:rsid w:val="000D7803"/>
    <w:rsid w:val="000E0C87"/>
    <w:rsid w:val="000E1ACD"/>
    <w:rsid w:val="000E1EB3"/>
    <w:rsid w:val="000E3444"/>
    <w:rsid w:val="000E4AFA"/>
    <w:rsid w:val="000E534F"/>
    <w:rsid w:val="000E66FA"/>
    <w:rsid w:val="000E7163"/>
    <w:rsid w:val="000F11D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0230"/>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191E"/>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4C4A"/>
    <w:rsid w:val="00200145"/>
    <w:rsid w:val="002003CA"/>
    <w:rsid w:val="002003F7"/>
    <w:rsid w:val="0020095D"/>
    <w:rsid w:val="00200971"/>
    <w:rsid w:val="0020245D"/>
    <w:rsid w:val="00202FA0"/>
    <w:rsid w:val="00203952"/>
    <w:rsid w:val="00203F23"/>
    <w:rsid w:val="00204413"/>
    <w:rsid w:val="00210EE7"/>
    <w:rsid w:val="00213177"/>
    <w:rsid w:val="00215191"/>
    <w:rsid w:val="00216C44"/>
    <w:rsid w:val="00217EBF"/>
    <w:rsid w:val="00220EE3"/>
    <w:rsid w:val="00221C4B"/>
    <w:rsid w:val="002227DF"/>
    <w:rsid w:val="0022342C"/>
    <w:rsid w:val="0022384B"/>
    <w:rsid w:val="00223A02"/>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1BA1"/>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33C1"/>
    <w:rsid w:val="002939D2"/>
    <w:rsid w:val="002944D4"/>
    <w:rsid w:val="00296763"/>
    <w:rsid w:val="0029737E"/>
    <w:rsid w:val="00297AD0"/>
    <w:rsid w:val="002A0CC8"/>
    <w:rsid w:val="002A1E2C"/>
    <w:rsid w:val="002A3243"/>
    <w:rsid w:val="002A5CDF"/>
    <w:rsid w:val="002A68B3"/>
    <w:rsid w:val="002A6C77"/>
    <w:rsid w:val="002B2AC5"/>
    <w:rsid w:val="002B2E78"/>
    <w:rsid w:val="002B3DFC"/>
    <w:rsid w:val="002B49DE"/>
    <w:rsid w:val="002B4E4D"/>
    <w:rsid w:val="002B53D3"/>
    <w:rsid w:val="002B7177"/>
    <w:rsid w:val="002C1BFE"/>
    <w:rsid w:val="002C4F5B"/>
    <w:rsid w:val="002C54A1"/>
    <w:rsid w:val="002C5DCD"/>
    <w:rsid w:val="002D03AB"/>
    <w:rsid w:val="002D1E9A"/>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2542C"/>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2836"/>
    <w:rsid w:val="003732DC"/>
    <w:rsid w:val="00375E39"/>
    <w:rsid w:val="00376051"/>
    <w:rsid w:val="003760ED"/>
    <w:rsid w:val="003764AE"/>
    <w:rsid w:val="003775D7"/>
    <w:rsid w:val="00380CBA"/>
    <w:rsid w:val="00381278"/>
    <w:rsid w:val="0038127E"/>
    <w:rsid w:val="00384080"/>
    <w:rsid w:val="003856A7"/>
    <w:rsid w:val="00386C22"/>
    <w:rsid w:val="003876E6"/>
    <w:rsid w:val="0039170C"/>
    <w:rsid w:val="00391AFA"/>
    <w:rsid w:val="003937EF"/>
    <w:rsid w:val="00393E9B"/>
    <w:rsid w:val="00397A97"/>
    <w:rsid w:val="003A280D"/>
    <w:rsid w:val="003A592E"/>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EB5"/>
    <w:rsid w:val="003D0FBD"/>
    <w:rsid w:val="003D2A6D"/>
    <w:rsid w:val="003D449F"/>
    <w:rsid w:val="003E005B"/>
    <w:rsid w:val="003E04DA"/>
    <w:rsid w:val="003E1249"/>
    <w:rsid w:val="003E3544"/>
    <w:rsid w:val="003E35A8"/>
    <w:rsid w:val="003E4F2D"/>
    <w:rsid w:val="003E57BE"/>
    <w:rsid w:val="003E77CB"/>
    <w:rsid w:val="003F47FD"/>
    <w:rsid w:val="003F4B52"/>
    <w:rsid w:val="003F632B"/>
    <w:rsid w:val="003F73BA"/>
    <w:rsid w:val="003F73F0"/>
    <w:rsid w:val="00401423"/>
    <w:rsid w:val="004029F0"/>
    <w:rsid w:val="00403105"/>
    <w:rsid w:val="00404F11"/>
    <w:rsid w:val="00405890"/>
    <w:rsid w:val="00405EF4"/>
    <w:rsid w:val="0040653B"/>
    <w:rsid w:val="00406D7A"/>
    <w:rsid w:val="00411365"/>
    <w:rsid w:val="0041237F"/>
    <w:rsid w:val="00412B6C"/>
    <w:rsid w:val="00414613"/>
    <w:rsid w:val="00415B19"/>
    <w:rsid w:val="0041767B"/>
    <w:rsid w:val="00420205"/>
    <w:rsid w:val="00421D5F"/>
    <w:rsid w:val="004225D8"/>
    <w:rsid w:val="00422831"/>
    <w:rsid w:val="00423A67"/>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4B86"/>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6D9A"/>
    <w:rsid w:val="004B7CB9"/>
    <w:rsid w:val="004C10BA"/>
    <w:rsid w:val="004C27EB"/>
    <w:rsid w:val="004C33D9"/>
    <w:rsid w:val="004C357A"/>
    <w:rsid w:val="004C405B"/>
    <w:rsid w:val="004C5B35"/>
    <w:rsid w:val="004C68D1"/>
    <w:rsid w:val="004C6AE7"/>
    <w:rsid w:val="004C72E8"/>
    <w:rsid w:val="004D04DF"/>
    <w:rsid w:val="004D1BF4"/>
    <w:rsid w:val="004D480B"/>
    <w:rsid w:val="004D648F"/>
    <w:rsid w:val="004D7821"/>
    <w:rsid w:val="004E10C5"/>
    <w:rsid w:val="004E22A7"/>
    <w:rsid w:val="004E39E6"/>
    <w:rsid w:val="004E4CF9"/>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28C"/>
    <w:rsid w:val="00532BAC"/>
    <w:rsid w:val="00532CD3"/>
    <w:rsid w:val="005345A9"/>
    <w:rsid w:val="00534D8A"/>
    <w:rsid w:val="005378EB"/>
    <w:rsid w:val="0054004F"/>
    <w:rsid w:val="00540C67"/>
    <w:rsid w:val="00542913"/>
    <w:rsid w:val="005440E4"/>
    <w:rsid w:val="005452CD"/>
    <w:rsid w:val="0054588E"/>
    <w:rsid w:val="00545929"/>
    <w:rsid w:val="00546DB4"/>
    <w:rsid w:val="005474A5"/>
    <w:rsid w:val="00547D82"/>
    <w:rsid w:val="005500FB"/>
    <w:rsid w:val="005504B4"/>
    <w:rsid w:val="00550DAB"/>
    <w:rsid w:val="00552105"/>
    <w:rsid w:val="0055354D"/>
    <w:rsid w:val="00554543"/>
    <w:rsid w:val="005555B8"/>
    <w:rsid w:val="005567CF"/>
    <w:rsid w:val="00562E61"/>
    <w:rsid w:val="005642D9"/>
    <w:rsid w:val="00564C2B"/>
    <w:rsid w:val="00564C37"/>
    <w:rsid w:val="00564D84"/>
    <w:rsid w:val="00570F2B"/>
    <w:rsid w:val="0057258C"/>
    <w:rsid w:val="00573651"/>
    <w:rsid w:val="00574E71"/>
    <w:rsid w:val="00577294"/>
    <w:rsid w:val="005811D8"/>
    <w:rsid w:val="00581904"/>
    <w:rsid w:val="00582B3F"/>
    <w:rsid w:val="00583643"/>
    <w:rsid w:val="00585309"/>
    <w:rsid w:val="005857E8"/>
    <w:rsid w:val="005858CB"/>
    <w:rsid w:val="0058699E"/>
    <w:rsid w:val="00586CE9"/>
    <w:rsid w:val="00590B04"/>
    <w:rsid w:val="00592F78"/>
    <w:rsid w:val="00594EB6"/>
    <w:rsid w:val="005976A3"/>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2E24"/>
    <w:rsid w:val="005E44A6"/>
    <w:rsid w:val="005E49E7"/>
    <w:rsid w:val="005E56FE"/>
    <w:rsid w:val="005E62D6"/>
    <w:rsid w:val="005E6A82"/>
    <w:rsid w:val="005E719E"/>
    <w:rsid w:val="005E7398"/>
    <w:rsid w:val="005F04DC"/>
    <w:rsid w:val="005F0F6C"/>
    <w:rsid w:val="005F1A7F"/>
    <w:rsid w:val="00601165"/>
    <w:rsid w:val="00603354"/>
    <w:rsid w:val="00607971"/>
    <w:rsid w:val="00610481"/>
    <w:rsid w:val="00611A4E"/>
    <w:rsid w:val="006122C0"/>
    <w:rsid w:val="0061281D"/>
    <w:rsid w:val="00613C46"/>
    <w:rsid w:val="00614085"/>
    <w:rsid w:val="00616889"/>
    <w:rsid w:val="00616D0A"/>
    <w:rsid w:val="00617F77"/>
    <w:rsid w:val="006226B2"/>
    <w:rsid w:val="00623004"/>
    <w:rsid w:val="006237CC"/>
    <w:rsid w:val="00627C91"/>
    <w:rsid w:val="006332BA"/>
    <w:rsid w:val="00635031"/>
    <w:rsid w:val="006369D4"/>
    <w:rsid w:val="00636C51"/>
    <w:rsid w:val="006407FA"/>
    <w:rsid w:val="00642537"/>
    <w:rsid w:val="006427B2"/>
    <w:rsid w:val="00642BEB"/>
    <w:rsid w:val="00644C26"/>
    <w:rsid w:val="00647426"/>
    <w:rsid w:val="00647590"/>
    <w:rsid w:val="006526F5"/>
    <w:rsid w:val="00655A2E"/>
    <w:rsid w:val="00656275"/>
    <w:rsid w:val="00657702"/>
    <w:rsid w:val="006619F5"/>
    <w:rsid w:val="006629F9"/>
    <w:rsid w:val="006639F0"/>
    <w:rsid w:val="0066562D"/>
    <w:rsid w:val="0066727B"/>
    <w:rsid w:val="00670998"/>
    <w:rsid w:val="00671D50"/>
    <w:rsid w:val="00672050"/>
    <w:rsid w:val="00673872"/>
    <w:rsid w:val="00674A34"/>
    <w:rsid w:val="00681846"/>
    <w:rsid w:val="00685515"/>
    <w:rsid w:val="0068642A"/>
    <w:rsid w:val="00693708"/>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4C76"/>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0CC2"/>
    <w:rsid w:val="00711428"/>
    <w:rsid w:val="0071184F"/>
    <w:rsid w:val="00712189"/>
    <w:rsid w:val="007134A2"/>
    <w:rsid w:val="00713FB2"/>
    <w:rsid w:val="00717B45"/>
    <w:rsid w:val="007202C4"/>
    <w:rsid w:val="0072331C"/>
    <w:rsid w:val="00726CFA"/>
    <w:rsid w:val="0072758A"/>
    <w:rsid w:val="007304D5"/>
    <w:rsid w:val="00730965"/>
    <w:rsid w:val="00730A82"/>
    <w:rsid w:val="00733599"/>
    <w:rsid w:val="00733F09"/>
    <w:rsid w:val="00735753"/>
    <w:rsid w:val="00735CCC"/>
    <w:rsid w:val="007368DC"/>
    <w:rsid w:val="00736AC9"/>
    <w:rsid w:val="00741A4E"/>
    <w:rsid w:val="00742E97"/>
    <w:rsid w:val="007452E0"/>
    <w:rsid w:val="00745BD4"/>
    <w:rsid w:val="00750378"/>
    <w:rsid w:val="007505FB"/>
    <w:rsid w:val="007518B8"/>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86260"/>
    <w:rsid w:val="00791384"/>
    <w:rsid w:val="0079191B"/>
    <w:rsid w:val="00791C27"/>
    <w:rsid w:val="0079239C"/>
    <w:rsid w:val="007934F3"/>
    <w:rsid w:val="00795A80"/>
    <w:rsid w:val="00796464"/>
    <w:rsid w:val="00796F15"/>
    <w:rsid w:val="007A0403"/>
    <w:rsid w:val="007A12F5"/>
    <w:rsid w:val="007A329D"/>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7C9"/>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5E9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63E3"/>
    <w:rsid w:val="008370E6"/>
    <w:rsid w:val="00837412"/>
    <w:rsid w:val="00840877"/>
    <w:rsid w:val="0084180A"/>
    <w:rsid w:val="0084197A"/>
    <w:rsid w:val="00841EDA"/>
    <w:rsid w:val="00843425"/>
    <w:rsid w:val="00845708"/>
    <w:rsid w:val="00846239"/>
    <w:rsid w:val="00846484"/>
    <w:rsid w:val="008478EE"/>
    <w:rsid w:val="00847F7D"/>
    <w:rsid w:val="00850CFB"/>
    <w:rsid w:val="00852FB1"/>
    <w:rsid w:val="0085475F"/>
    <w:rsid w:val="00855C39"/>
    <w:rsid w:val="00856225"/>
    <w:rsid w:val="0085681C"/>
    <w:rsid w:val="008604B1"/>
    <w:rsid w:val="008609B1"/>
    <w:rsid w:val="008645C4"/>
    <w:rsid w:val="00867884"/>
    <w:rsid w:val="00867E32"/>
    <w:rsid w:val="008734F5"/>
    <w:rsid w:val="00874DE6"/>
    <w:rsid w:val="00875104"/>
    <w:rsid w:val="008774D2"/>
    <w:rsid w:val="00880E40"/>
    <w:rsid w:val="00883771"/>
    <w:rsid w:val="00883C9D"/>
    <w:rsid w:val="00883EFE"/>
    <w:rsid w:val="008869CA"/>
    <w:rsid w:val="00886E79"/>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17"/>
    <w:rsid w:val="008D2A83"/>
    <w:rsid w:val="008D2D7B"/>
    <w:rsid w:val="008D2D98"/>
    <w:rsid w:val="008D44EB"/>
    <w:rsid w:val="008D6051"/>
    <w:rsid w:val="008E3E1A"/>
    <w:rsid w:val="008E4039"/>
    <w:rsid w:val="008F1AA9"/>
    <w:rsid w:val="008F7C5B"/>
    <w:rsid w:val="00901C4E"/>
    <w:rsid w:val="00904502"/>
    <w:rsid w:val="009049C0"/>
    <w:rsid w:val="009055A4"/>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05DF"/>
    <w:rsid w:val="00935308"/>
    <w:rsid w:val="009361FD"/>
    <w:rsid w:val="009406D2"/>
    <w:rsid w:val="00940F17"/>
    <w:rsid w:val="009414C5"/>
    <w:rsid w:val="009427F2"/>
    <w:rsid w:val="00944F64"/>
    <w:rsid w:val="00945CE1"/>
    <w:rsid w:val="009467A8"/>
    <w:rsid w:val="00950C36"/>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97C1D"/>
    <w:rsid w:val="009A222A"/>
    <w:rsid w:val="009A26CA"/>
    <w:rsid w:val="009A6FE7"/>
    <w:rsid w:val="009B1BCA"/>
    <w:rsid w:val="009B1FD2"/>
    <w:rsid w:val="009B3AEB"/>
    <w:rsid w:val="009B7332"/>
    <w:rsid w:val="009B7AE2"/>
    <w:rsid w:val="009C0C76"/>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32A8"/>
    <w:rsid w:val="009F4352"/>
    <w:rsid w:val="009F45FE"/>
    <w:rsid w:val="009F4E4E"/>
    <w:rsid w:val="009F539B"/>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4BAF"/>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39F"/>
    <w:rsid w:val="00AA3E46"/>
    <w:rsid w:val="00AA4399"/>
    <w:rsid w:val="00AA4D97"/>
    <w:rsid w:val="00AA59AF"/>
    <w:rsid w:val="00AA74B7"/>
    <w:rsid w:val="00AB05D5"/>
    <w:rsid w:val="00AB079B"/>
    <w:rsid w:val="00AB1416"/>
    <w:rsid w:val="00AB2611"/>
    <w:rsid w:val="00AB35DC"/>
    <w:rsid w:val="00AB419D"/>
    <w:rsid w:val="00AB52D0"/>
    <w:rsid w:val="00AB571D"/>
    <w:rsid w:val="00AB5798"/>
    <w:rsid w:val="00AB582E"/>
    <w:rsid w:val="00AB7A9F"/>
    <w:rsid w:val="00AC046B"/>
    <w:rsid w:val="00AC0EBC"/>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411C"/>
    <w:rsid w:val="00AE7A51"/>
    <w:rsid w:val="00AF134A"/>
    <w:rsid w:val="00AF3563"/>
    <w:rsid w:val="00AF3BCE"/>
    <w:rsid w:val="00AF421C"/>
    <w:rsid w:val="00AF585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6EE"/>
    <w:rsid w:val="00B56E4F"/>
    <w:rsid w:val="00B63345"/>
    <w:rsid w:val="00B63A7A"/>
    <w:rsid w:val="00B652B0"/>
    <w:rsid w:val="00B67FDE"/>
    <w:rsid w:val="00B70D13"/>
    <w:rsid w:val="00B7119B"/>
    <w:rsid w:val="00B71CF1"/>
    <w:rsid w:val="00B72847"/>
    <w:rsid w:val="00B73A3D"/>
    <w:rsid w:val="00B74168"/>
    <w:rsid w:val="00B746F1"/>
    <w:rsid w:val="00B7481E"/>
    <w:rsid w:val="00B748AE"/>
    <w:rsid w:val="00B75DB2"/>
    <w:rsid w:val="00B762B9"/>
    <w:rsid w:val="00B7681E"/>
    <w:rsid w:val="00B803DF"/>
    <w:rsid w:val="00B81EB1"/>
    <w:rsid w:val="00B832A3"/>
    <w:rsid w:val="00B83AFF"/>
    <w:rsid w:val="00B84886"/>
    <w:rsid w:val="00B84958"/>
    <w:rsid w:val="00B863F9"/>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0260"/>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623"/>
    <w:rsid w:val="00BE283F"/>
    <w:rsid w:val="00BE2ECA"/>
    <w:rsid w:val="00BE2EFA"/>
    <w:rsid w:val="00BE597C"/>
    <w:rsid w:val="00BE6870"/>
    <w:rsid w:val="00BE71FD"/>
    <w:rsid w:val="00BE7B19"/>
    <w:rsid w:val="00BF23A6"/>
    <w:rsid w:val="00BF3B3D"/>
    <w:rsid w:val="00BF51E9"/>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6AA"/>
    <w:rsid w:val="00C17ED8"/>
    <w:rsid w:val="00C2082B"/>
    <w:rsid w:val="00C20DBA"/>
    <w:rsid w:val="00C23920"/>
    <w:rsid w:val="00C23BB4"/>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7EF"/>
    <w:rsid w:val="00C80836"/>
    <w:rsid w:val="00C84DDE"/>
    <w:rsid w:val="00C85162"/>
    <w:rsid w:val="00C87864"/>
    <w:rsid w:val="00C90EAC"/>
    <w:rsid w:val="00C917FD"/>
    <w:rsid w:val="00C93D01"/>
    <w:rsid w:val="00C958FA"/>
    <w:rsid w:val="00C96958"/>
    <w:rsid w:val="00C96A6B"/>
    <w:rsid w:val="00CA2C01"/>
    <w:rsid w:val="00CA62C0"/>
    <w:rsid w:val="00CA73CB"/>
    <w:rsid w:val="00CA79BB"/>
    <w:rsid w:val="00CB19F4"/>
    <w:rsid w:val="00CB4161"/>
    <w:rsid w:val="00CB43A2"/>
    <w:rsid w:val="00CB6DE1"/>
    <w:rsid w:val="00CB7730"/>
    <w:rsid w:val="00CC12A0"/>
    <w:rsid w:val="00CC26A8"/>
    <w:rsid w:val="00CC4CED"/>
    <w:rsid w:val="00CC6EBB"/>
    <w:rsid w:val="00CC7B5B"/>
    <w:rsid w:val="00CD4A21"/>
    <w:rsid w:val="00CE0AEB"/>
    <w:rsid w:val="00CE3A6F"/>
    <w:rsid w:val="00CE63F9"/>
    <w:rsid w:val="00CF0A31"/>
    <w:rsid w:val="00CF1E87"/>
    <w:rsid w:val="00CF240F"/>
    <w:rsid w:val="00CF34FA"/>
    <w:rsid w:val="00CF4B5F"/>
    <w:rsid w:val="00CF4FAD"/>
    <w:rsid w:val="00CF5C15"/>
    <w:rsid w:val="00CF6201"/>
    <w:rsid w:val="00CF6B2F"/>
    <w:rsid w:val="00CF7EA6"/>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549C"/>
    <w:rsid w:val="00D45E5F"/>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77510"/>
    <w:rsid w:val="00D85008"/>
    <w:rsid w:val="00D87426"/>
    <w:rsid w:val="00D8754D"/>
    <w:rsid w:val="00D91789"/>
    <w:rsid w:val="00D92717"/>
    <w:rsid w:val="00D93E05"/>
    <w:rsid w:val="00D9515D"/>
    <w:rsid w:val="00DA3A08"/>
    <w:rsid w:val="00DA445F"/>
    <w:rsid w:val="00DA4715"/>
    <w:rsid w:val="00DA62DF"/>
    <w:rsid w:val="00DA7439"/>
    <w:rsid w:val="00DB0DA9"/>
    <w:rsid w:val="00DB108A"/>
    <w:rsid w:val="00DC1776"/>
    <w:rsid w:val="00DC33A5"/>
    <w:rsid w:val="00DC4340"/>
    <w:rsid w:val="00DC7898"/>
    <w:rsid w:val="00DD19F8"/>
    <w:rsid w:val="00DD1C70"/>
    <w:rsid w:val="00DD3239"/>
    <w:rsid w:val="00DD3A69"/>
    <w:rsid w:val="00DE07E4"/>
    <w:rsid w:val="00DE0877"/>
    <w:rsid w:val="00DE0FF8"/>
    <w:rsid w:val="00DE3EBF"/>
    <w:rsid w:val="00DE6D39"/>
    <w:rsid w:val="00DE7345"/>
    <w:rsid w:val="00DE76EB"/>
    <w:rsid w:val="00DF48A5"/>
    <w:rsid w:val="00DF51CA"/>
    <w:rsid w:val="00DF5581"/>
    <w:rsid w:val="00DF7501"/>
    <w:rsid w:val="00DF7936"/>
    <w:rsid w:val="00E004EF"/>
    <w:rsid w:val="00E04B6F"/>
    <w:rsid w:val="00E13833"/>
    <w:rsid w:val="00E14242"/>
    <w:rsid w:val="00E17001"/>
    <w:rsid w:val="00E17406"/>
    <w:rsid w:val="00E20AE5"/>
    <w:rsid w:val="00E20F00"/>
    <w:rsid w:val="00E21297"/>
    <w:rsid w:val="00E23A38"/>
    <w:rsid w:val="00E23B6B"/>
    <w:rsid w:val="00E24721"/>
    <w:rsid w:val="00E25139"/>
    <w:rsid w:val="00E265A0"/>
    <w:rsid w:val="00E266DE"/>
    <w:rsid w:val="00E311F5"/>
    <w:rsid w:val="00E33F81"/>
    <w:rsid w:val="00E34BF8"/>
    <w:rsid w:val="00E35672"/>
    <w:rsid w:val="00E35B1E"/>
    <w:rsid w:val="00E4250F"/>
    <w:rsid w:val="00E44A7E"/>
    <w:rsid w:val="00E46517"/>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35"/>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B7C96"/>
    <w:rsid w:val="00EC0273"/>
    <w:rsid w:val="00EC25BA"/>
    <w:rsid w:val="00EC4CF7"/>
    <w:rsid w:val="00ED0AD5"/>
    <w:rsid w:val="00ED1DE2"/>
    <w:rsid w:val="00ED1F31"/>
    <w:rsid w:val="00ED3630"/>
    <w:rsid w:val="00ED6D9E"/>
    <w:rsid w:val="00ED7140"/>
    <w:rsid w:val="00ED77E5"/>
    <w:rsid w:val="00EE026E"/>
    <w:rsid w:val="00EE33B5"/>
    <w:rsid w:val="00EE3C59"/>
    <w:rsid w:val="00EE5B70"/>
    <w:rsid w:val="00EE66B6"/>
    <w:rsid w:val="00EE7B48"/>
    <w:rsid w:val="00EF0AFA"/>
    <w:rsid w:val="00EF38E5"/>
    <w:rsid w:val="00EF5C33"/>
    <w:rsid w:val="00EF629C"/>
    <w:rsid w:val="00EF6508"/>
    <w:rsid w:val="00EF6AB8"/>
    <w:rsid w:val="00EF7C6E"/>
    <w:rsid w:val="00F012F4"/>
    <w:rsid w:val="00F01632"/>
    <w:rsid w:val="00F03A4E"/>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086A"/>
    <w:rsid w:val="00F317CA"/>
    <w:rsid w:val="00F319F3"/>
    <w:rsid w:val="00F31BFB"/>
    <w:rsid w:val="00F323E7"/>
    <w:rsid w:val="00F324D2"/>
    <w:rsid w:val="00F32A56"/>
    <w:rsid w:val="00F335E4"/>
    <w:rsid w:val="00F35509"/>
    <w:rsid w:val="00F358C3"/>
    <w:rsid w:val="00F413D8"/>
    <w:rsid w:val="00F42100"/>
    <w:rsid w:val="00F42A9B"/>
    <w:rsid w:val="00F45447"/>
    <w:rsid w:val="00F45470"/>
    <w:rsid w:val="00F464FE"/>
    <w:rsid w:val="00F465F9"/>
    <w:rsid w:val="00F47621"/>
    <w:rsid w:val="00F570AB"/>
    <w:rsid w:val="00F571A5"/>
    <w:rsid w:val="00F57A71"/>
    <w:rsid w:val="00F61C28"/>
    <w:rsid w:val="00F61E69"/>
    <w:rsid w:val="00F633B7"/>
    <w:rsid w:val="00F645F1"/>
    <w:rsid w:val="00F6591A"/>
    <w:rsid w:val="00F70D35"/>
    <w:rsid w:val="00F71EE6"/>
    <w:rsid w:val="00F7546C"/>
    <w:rsid w:val="00F77B00"/>
    <w:rsid w:val="00F83B6F"/>
    <w:rsid w:val="00F84470"/>
    <w:rsid w:val="00F857BC"/>
    <w:rsid w:val="00F90273"/>
    <w:rsid w:val="00F90BD0"/>
    <w:rsid w:val="00F91070"/>
    <w:rsid w:val="00F91A5F"/>
    <w:rsid w:val="00F93ACB"/>
    <w:rsid w:val="00F93C4F"/>
    <w:rsid w:val="00F95994"/>
    <w:rsid w:val="00F95A8D"/>
    <w:rsid w:val="00FA06A7"/>
    <w:rsid w:val="00FA2611"/>
    <w:rsid w:val="00FA29C9"/>
    <w:rsid w:val="00FA2D81"/>
    <w:rsid w:val="00FA3F17"/>
    <w:rsid w:val="00FA49C5"/>
    <w:rsid w:val="00FA5BD2"/>
    <w:rsid w:val="00FA6175"/>
    <w:rsid w:val="00FA6784"/>
    <w:rsid w:val="00FA7E00"/>
    <w:rsid w:val="00FB08E1"/>
    <w:rsid w:val="00FB1780"/>
    <w:rsid w:val="00FB35C6"/>
    <w:rsid w:val="00FB36C6"/>
    <w:rsid w:val="00FB4C5A"/>
    <w:rsid w:val="00FB5BFA"/>
    <w:rsid w:val="00FB6F79"/>
    <w:rsid w:val="00FC10F6"/>
    <w:rsid w:val="00FC33A2"/>
    <w:rsid w:val="00FC7C25"/>
    <w:rsid w:val="00FD0A80"/>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24871929">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A8F7B-E1A6-4EB8-B8C2-D7C01E3156B9}">
  <ds:schemaRefs>
    <ds:schemaRef ds:uri="http://schemas.openxmlformats.org/officeDocument/2006/bibliography"/>
  </ds:schemaRefs>
</ds:datastoreItem>
</file>

<file path=customXml/itemProps3.xml><?xml version="1.0" encoding="utf-8"?>
<ds:datastoreItem xmlns:ds="http://schemas.openxmlformats.org/officeDocument/2006/customXml" ds:itemID="{2B13C29E-D991-4DB9-A13E-7C1AA632889D}">
  <ds:schemaRef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4</cp:revision>
  <cp:lastPrinted>2021-06-30T06:31:00Z</cp:lastPrinted>
  <dcterms:created xsi:type="dcterms:W3CDTF">2021-07-01T06:33:00Z</dcterms:created>
  <dcterms:modified xsi:type="dcterms:W3CDTF">2021-07-01T07:20:00Z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