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5F6DAE3B" w14:textId="77777777" w:rsidR="0098741D" w:rsidRDefault="0098741D" w:rsidP="0098741D">
      <w:r>
        <w:object w:dxaOrig="2146" w:dyaOrig="1561" w14:anchorId="711576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8pt;height:79.5pt" o:ole="" fillcolor="window">
            <v:imagedata r:id="rId11" o:title=""/>
          </v:shape>
          <o:OLEObject Type="Embed" ProgID="Word.Picture.8" ShapeID="_x0000_i1025" DrawAspect="Content" ObjectID="_1751973126" r:id="rId12"/>
        </w:object>
      </w:r>
    </w:p>
    <w:p w14:paraId="0DC1FDE8" w14:textId="009469BB" w:rsidR="0098741D" w:rsidRPr="00604092" w:rsidRDefault="0098741D" w:rsidP="0098741D">
      <w:pPr>
        <w:pStyle w:val="ShortT"/>
        <w:spacing w:before="240"/>
        <w:rPr>
          <w:lang w:val="es-CL"/>
        </w:rPr>
      </w:pPr>
      <w:r>
        <w:rPr>
          <w:lang w:val="es-CL"/>
        </w:rPr>
        <w:t xml:space="preserve">Telecommunications (Carrier Licence Exemption—Use for specified Queensland rail and electricity services) </w:t>
      </w:r>
      <w:r w:rsidR="00D031F4">
        <w:rPr>
          <w:lang w:val="es-CL"/>
        </w:rPr>
        <w:t>Determination 2</w:t>
      </w:r>
      <w:r>
        <w:rPr>
          <w:lang w:val="es-CL"/>
        </w:rPr>
        <w:t xml:space="preserve">021 </w:t>
      </w:r>
    </w:p>
    <w:p w14:paraId="0ED69D04" w14:textId="7E73C77D" w:rsidR="0098741D" w:rsidRDefault="0098741D" w:rsidP="0098741D">
      <w:pPr>
        <w:pStyle w:val="MadeunderText"/>
        <w:rPr>
          <w:lang w:val="es-CL"/>
        </w:rPr>
      </w:pPr>
      <w:r>
        <w:rPr>
          <w:lang w:val="es-CL"/>
        </w:rPr>
        <w:t xml:space="preserve">made under </w:t>
      </w:r>
      <w:r w:rsidR="00D031F4">
        <w:rPr>
          <w:lang w:val="es-CL"/>
        </w:rPr>
        <w:t>paragraph 5</w:t>
      </w:r>
      <w:r>
        <w:rPr>
          <w:lang w:val="es-CL"/>
        </w:rPr>
        <w:t>1(1)(c) of the</w:t>
      </w:r>
    </w:p>
    <w:p w14:paraId="5A3A9BA7" w14:textId="5A525C12" w:rsidR="0098741D" w:rsidRPr="0098741D" w:rsidRDefault="0098741D" w:rsidP="00633E43">
      <w:pPr>
        <w:pStyle w:val="CompiledMadeUnder"/>
        <w:spacing w:before="240"/>
        <w:rPr>
          <w:lang w:val="es-CL"/>
        </w:rPr>
      </w:pPr>
      <w:r w:rsidRPr="0098741D">
        <w:rPr>
          <w:lang w:val="es-CL"/>
        </w:rPr>
        <w:t>Telecommunications Act 1997</w:t>
      </w:r>
    </w:p>
    <w:p w14:paraId="4D1CBBD1" w14:textId="0B82583C" w:rsidR="0098741D" w:rsidRPr="00376CEF" w:rsidRDefault="0098741D" w:rsidP="0098741D">
      <w:pPr>
        <w:spacing w:before="1000"/>
        <w:rPr>
          <w:rFonts w:cs="Arial"/>
          <w:b/>
          <w:sz w:val="32"/>
          <w:szCs w:val="32"/>
        </w:rPr>
      </w:pPr>
      <w:r w:rsidRPr="00604092">
        <w:rPr>
          <w:rFonts w:cs="Arial"/>
          <w:b/>
          <w:sz w:val="32"/>
          <w:szCs w:val="32"/>
          <w:lang w:val="es-CL"/>
        </w:rPr>
        <w:t xml:space="preserve">Compilation No. </w:t>
      </w:r>
      <w:r w:rsidRPr="00505FA3">
        <w:rPr>
          <w:rFonts w:cs="Arial"/>
          <w:b/>
          <w:sz w:val="32"/>
          <w:szCs w:val="32"/>
        </w:rPr>
        <w:fldChar w:fldCharType="begin"/>
      </w:r>
      <w:r w:rsidRPr="00604092">
        <w:rPr>
          <w:rFonts w:cs="Arial"/>
          <w:b/>
          <w:sz w:val="32"/>
          <w:szCs w:val="32"/>
          <w:lang w:val="es-CL"/>
        </w:rPr>
        <w:instrText xml:space="preserve"> DOCPROPERTY  CompilationNumber </w:instrText>
      </w:r>
      <w:r w:rsidRPr="00505FA3">
        <w:rPr>
          <w:rFonts w:cs="Arial"/>
          <w:b/>
          <w:sz w:val="32"/>
          <w:szCs w:val="32"/>
        </w:rPr>
        <w:fldChar w:fldCharType="separate"/>
      </w:r>
      <w:r w:rsidR="00C22D82">
        <w:rPr>
          <w:rFonts w:cs="Arial"/>
          <w:b/>
          <w:sz w:val="32"/>
          <w:szCs w:val="32"/>
          <w:lang w:val="es-CL"/>
        </w:rPr>
        <w:t>1</w:t>
      </w:r>
      <w:r w:rsidRPr="00505FA3">
        <w:rPr>
          <w:rFonts w:cs="Arial"/>
          <w:b/>
          <w:sz w:val="32"/>
          <w:szCs w:val="32"/>
        </w:rPr>
        <w:fldChar w:fldCharType="end"/>
      </w:r>
    </w:p>
    <w:p w14:paraId="625E0D33" w14:textId="2B7978D4" w:rsidR="0098741D" w:rsidRDefault="0098741D" w:rsidP="0098741D">
      <w:pPr>
        <w:tabs>
          <w:tab w:val="left" w:pos="3600"/>
        </w:tabs>
        <w:spacing w:before="480"/>
        <w:rPr>
          <w:rFonts w:cs="Arial"/>
          <w:sz w:val="24"/>
        </w:rPr>
      </w:pPr>
      <w:r w:rsidRPr="00FD265D">
        <w:rPr>
          <w:rFonts w:cs="Arial"/>
          <w:b/>
          <w:sz w:val="24"/>
        </w:rPr>
        <w:t>Compilation date:</w:t>
      </w:r>
      <w:r>
        <w:rPr>
          <w:rFonts w:cs="Arial"/>
          <w:b/>
          <w:sz w:val="24"/>
        </w:rPr>
        <w:tab/>
      </w:r>
      <w:r w:rsidRPr="00C22D82">
        <w:rPr>
          <w:rFonts w:cs="Arial"/>
          <w:sz w:val="24"/>
        </w:rPr>
        <w:fldChar w:fldCharType="begin"/>
      </w:r>
      <w:r w:rsidRPr="00C22D82">
        <w:rPr>
          <w:rFonts w:cs="Arial"/>
          <w:sz w:val="24"/>
        </w:rPr>
        <w:instrText>DOCPROPERTY StartDate \@ "d MMMM yyyy" \* MERGEFORMAT</w:instrText>
      </w:r>
      <w:r w:rsidRPr="00C22D82">
        <w:rPr>
          <w:rFonts w:cs="Arial"/>
          <w:sz w:val="24"/>
        </w:rPr>
        <w:fldChar w:fldCharType="separate"/>
      </w:r>
      <w:r w:rsidR="00C22D82" w:rsidRPr="00C22D82">
        <w:rPr>
          <w:rFonts w:cs="Arial"/>
          <w:bCs/>
          <w:sz w:val="24"/>
          <w:lang w:val="en-US"/>
        </w:rPr>
        <w:t>23 June</w:t>
      </w:r>
      <w:r w:rsidR="00C22D82" w:rsidRPr="00C22D82">
        <w:rPr>
          <w:rFonts w:cs="Arial"/>
          <w:sz w:val="24"/>
        </w:rPr>
        <w:t xml:space="preserve"> 2023</w:t>
      </w:r>
      <w:r w:rsidRPr="00C22D82">
        <w:rPr>
          <w:rFonts w:cs="Arial"/>
          <w:sz w:val="24"/>
        </w:rPr>
        <w:fldChar w:fldCharType="end"/>
      </w:r>
    </w:p>
    <w:p w14:paraId="4D2D5A48" w14:textId="6F0E00EA" w:rsidR="0098741D" w:rsidRDefault="0098741D" w:rsidP="0098741D">
      <w:pPr>
        <w:spacing w:before="240"/>
        <w:rPr>
          <w:rFonts w:cs="Arial"/>
          <w:sz w:val="24"/>
        </w:rPr>
      </w:pPr>
      <w:r w:rsidRPr="00FD265D">
        <w:rPr>
          <w:rFonts w:cs="Arial"/>
          <w:b/>
          <w:sz w:val="24"/>
        </w:rPr>
        <w:t>Includes amendments up to:</w:t>
      </w:r>
      <w:r w:rsidRPr="00FD265D">
        <w:rPr>
          <w:rFonts w:cs="Arial"/>
          <w:b/>
          <w:sz w:val="24"/>
        </w:rPr>
        <w:tab/>
      </w:r>
      <w:r w:rsidRPr="00C22D82">
        <w:rPr>
          <w:rFonts w:cs="Arial"/>
          <w:sz w:val="24"/>
        </w:rPr>
        <w:fldChar w:fldCharType="begin"/>
      </w:r>
      <w:r w:rsidRPr="00C22D82">
        <w:rPr>
          <w:rFonts w:cs="Arial"/>
          <w:sz w:val="24"/>
        </w:rPr>
        <w:instrText xml:space="preserve"> DOCPROPERTY IncludesUpTo </w:instrText>
      </w:r>
      <w:r w:rsidRPr="00C22D82">
        <w:rPr>
          <w:rFonts w:cs="Arial"/>
          <w:sz w:val="24"/>
        </w:rPr>
        <w:fldChar w:fldCharType="separate"/>
      </w:r>
      <w:r w:rsidR="00C22D82" w:rsidRPr="00C22D82">
        <w:rPr>
          <w:rFonts w:cs="Arial"/>
          <w:sz w:val="24"/>
        </w:rPr>
        <w:t>F2023L00835</w:t>
      </w:r>
      <w:r w:rsidRPr="00C22D82">
        <w:rPr>
          <w:rFonts w:cs="Arial"/>
          <w:sz w:val="24"/>
        </w:rPr>
        <w:fldChar w:fldCharType="end"/>
      </w:r>
    </w:p>
    <w:p w14:paraId="5FED668E" w14:textId="224242A9" w:rsidR="0098741D" w:rsidRPr="008D251B" w:rsidRDefault="0098741D" w:rsidP="0098741D">
      <w:pPr>
        <w:tabs>
          <w:tab w:val="left" w:pos="3600"/>
        </w:tabs>
        <w:spacing w:before="240" w:after="240"/>
        <w:rPr>
          <w:rFonts w:cs="Arial"/>
          <w:sz w:val="28"/>
          <w:szCs w:val="28"/>
        </w:rPr>
      </w:pPr>
      <w:r w:rsidRPr="00376CEF">
        <w:rPr>
          <w:rFonts w:cs="Arial"/>
          <w:b/>
          <w:sz w:val="24"/>
        </w:rPr>
        <w:t>Registered:</w:t>
      </w:r>
      <w:r>
        <w:rPr>
          <w:rFonts w:cs="Arial"/>
          <w:b/>
          <w:sz w:val="24"/>
        </w:rPr>
        <w:tab/>
      </w:r>
      <w:r w:rsidRPr="00C22D82">
        <w:rPr>
          <w:rFonts w:cs="Arial"/>
          <w:sz w:val="24"/>
        </w:rPr>
        <w:fldChar w:fldCharType="begin"/>
      </w:r>
      <w:r w:rsidRPr="00C22D82">
        <w:rPr>
          <w:rFonts w:cs="Arial"/>
          <w:sz w:val="24"/>
        </w:rPr>
        <w:instrText xml:space="preserve"> IF </w:instrText>
      </w:r>
      <w:r w:rsidRPr="00C22D82">
        <w:rPr>
          <w:rFonts w:cs="Arial"/>
          <w:sz w:val="24"/>
        </w:rPr>
        <w:fldChar w:fldCharType="begin"/>
      </w:r>
      <w:r w:rsidRPr="00C22D82">
        <w:rPr>
          <w:rFonts w:cs="Arial"/>
          <w:sz w:val="24"/>
        </w:rPr>
        <w:instrText xml:space="preserve"> DOCPROPERTY RegisteredDate </w:instrText>
      </w:r>
      <w:r w:rsidRPr="00C22D82">
        <w:rPr>
          <w:rFonts w:cs="Arial"/>
          <w:sz w:val="24"/>
        </w:rPr>
        <w:fldChar w:fldCharType="separate"/>
      </w:r>
      <w:r w:rsidR="00C22D82" w:rsidRPr="00C22D82">
        <w:rPr>
          <w:rFonts w:cs="Arial"/>
          <w:sz w:val="24"/>
        </w:rPr>
        <w:instrText>27 July 2023</w:instrText>
      </w:r>
      <w:r w:rsidRPr="00C22D82">
        <w:rPr>
          <w:rFonts w:cs="Arial"/>
          <w:sz w:val="24"/>
        </w:rPr>
        <w:fldChar w:fldCharType="end"/>
      </w:r>
      <w:r w:rsidRPr="00C22D82">
        <w:rPr>
          <w:rFonts w:cs="Arial"/>
          <w:sz w:val="24"/>
        </w:rPr>
        <w:instrText xml:space="preserve"> = #1/1/1901# "Unknown" </w:instrText>
      </w:r>
      <w:r w:rsidRPr="00C22D82">
        <w:rPr>
          <w:rFonts w:cs="Arial"/>
          <w:sz w:val="24"/>
        </w:rPr>
        <w:fldChar w:fldCharType="begin"/>
      </w:r>
      <w:r w:rsidRPr="00C22D82">
        <w:rPr>
          <w:rFonts w:cs="Arial"/>
          <w:sz w:val="24"/>
        </w:rPr>
        <w:instrText xml:space="preserve"> DOCPROPERTY RegisteredDate \@ "d MMMM yyyy" </w:instrText>
      </w:r>
      <w:r w:rsidRPr="00C22D82">
        <w:rPr>
          <w:rFonts w:cs="Arial"/>
          <w:sz w:val="24"/>
        </w:rPr>
        <w:fldChar w:fldCharType="separate"/>
      </w:r>
      <w:r w:rsidR="00C22D82" w:rsidRPr="00C22D82">
        <w:rPr>
          <w:rFonts w:cs="Arial"/>
          <w:sz w:val="24"/>
        </w:rPr>
        <w:instrText>27 July 2023</w:instrText>
      </w:r>
      <w:r w:rsidRPr="00C22D82">
        <w:rPr>
          <w:rFonts w:cs="Arial"/>
          <w:sz w:val="24"/>
        </w:rPr>
        <w:fldChar w:fldCharType="end"/>
      </w:r>
      <w:r w:rsidRPr="00C22D82">
        <w:rPr>
          <w:rFonts w:cs="Arial"/>
          <w:sz w:val="24"/>
        </w:rPr>
        <w:instrText xml:space="preserve"> \*MERGEFORMAT </w:instrText>
      </w:r>
      <w:r w:rsidRPr="00C22D82">
        <w:rPr>
          <w:rFonts w:cs="Arial"/>
          <w:sz w:val="24"/>
        </w:rPr>
        <w:fldChar w:fldCharType="separate"/>
      </w:r>
      <w:r w:rsidR="00C22D82" w:rsidRPr="00C22D82">
        <w:rPr>
          <w:rFonts w:cs="Arial"/>
          <w:bCs/>
          <w:noProof/>
          <w:sz w:val="24"/>
          <w:lang w:val="en-US"/>
        </w:rPr>
        <w:t>27 July</w:t>
      </w:r>
      <w:r w:rsidR="00C22D82" w:rsidRPr="00C22D82">
        <w:rPr>
          <w:rFonts w:cs="Arial"/>
          <w:noProof/>
          <w:sz w:val="24"/>
        </w:rPr>
        <w:t xml:space="preserve"> 2023</w:t>
      </w:r>
      <w:r w:rsidRPr="00C22D82">
        <w:rPr>
          <w:rFonts w:cs="Arial"/>
          <w:sz w:val="24"/>
        </w:rPr>
        <w:fldChar w:fldCharType="end"/>
      </w:r>
    </w:p>
    <w:p w14:paraId="4EEB096E" w14:textId="77777777" w:rsidR="0098741D" w:rsidRPr="00DA25EC" w:rsidRDefault="0098741D" w:rsidP="0098741D">
      <w:pPr>
        <w:pageBreakBefore/>
        <w:rPr>
          <w:rFonts w:cs="Arial"/>
          <w:b/>
          <w:sz w:val="32"/>
          <w:szCs w:val="32"/>
        </w:rPr>
      </w:pPr>
      <w:r w:rsidRPr="00DA25EC">
        <w:rPr>
          <w:rFonts w:cs="Arial"/>
          <w:b/>
          <w:sz w:val="32"/>
          <w:szCs w:val="32"/>
        </w:rPr>
        <w:lastRenderedPageBreak/>
        <w:t>About this compilation</w:t>
      </w:r>
    </w:p>
    <w:p w14:paraId="29D59867" w14:textId="77777777" w:rsidR="0098741D" w:rsidRPr="00DA25EC" w:rsidRDefault="0098741D" w:rsidP="0098741D">
      <w:pPr>
        <w:spacing w:before="240"/>
        <w:rPr>
          <w:rFonts w:cs="Arial"/>
        </w:rPr>
      </w:pPr>
      <w:r w:rsidRPr="00DA25EC">
        <w:rPr>
          <w:rFonts w:cs="Arial"/>
          <w:b/>
          <w:szCs w:val="22"/>
        </w:rPr>
        <w:t>This compilation</w:t>
      </w:r>
    </w:p>
    <w:p w14:paraId="02448049" w14:textId="7E80F428" w:rsidR="0098741D" w:rsidRPr="00DA25EC" w:rsidRDefault="0098741D" w:rsidP="0098741D">
      <w:pPr>
        <w:spacing w:before="120" w:after="120"/>
        <w:rPr>
          <w:rFonts w:cs="Arial"/>
          <w:szCs w:val="22"/>
        </w:rPr>
      </w:pPr>
      <w:r w:rsidRPr="00DA25EC">
        <w:rPr>
          <w:rFonts w:cs="Arial"/>
          <w:szCs w:val="22"/>
        </w:rPr>
        <w:t xml:space="preserve">This is a compilation of the </w:t>
      </w:r>
      <w:r w:rsidRPr="00DA25EC">
        <w:rPr>
          <w:rFonts w:cs="Arial"/>
          <w:i/>
          <w:szCs w:val="22"/>
        </w:rPr>
        <w:fldChar w:fldCharType="begin"/>
      </w:r>
      <w:r w:rsidRPr="00DA25EC">
        <w:rPr>
          <w:rFonts w:cs="Arial"/>
          <w:i/>
          <w:szCs w:val="22"/>
        </w:rPr>
        <w:instrText xml:space="preserve"> STYLEREF  ShortT </w:instrText>
      </w:r>
      <w:r w:rsidRPr="00DA25EC">
        <w:rPr>
          <w:rFonts w:cs="Arial"/>
          <w:i/>
          <w:szCs w:val="22"/>
        </w:rPr>
        <w:fldChar w:fldCharType="separate"/>
      </w:r>
      <w:r w:rsidR="00C22D82">
        <w:rPr>
          <w:rFonts w:cs="Arial"/>
          <w:i/>
          <w:noProof/>
          <w:szCs w:val="22"/>
        </w:rPr>
        <w:t>Telecommunications (Carrier Licence Exemption—Use for specified Queensland rail and electricity services) Determination 2021</w:t>
      </w:r>
      <w:r w:rsidRPr="00DA25EC">
        <w:rPr>
          <w:rFonts w:cs="Arial"/>
          <w:i/>
          <w:szCs w:val="22"/>
        </w:rPr>
        <w:fldChar w:fldCharType="end"/>
      </w:r>
      <w:r w:rsidRPr="00DA25EC">
        <w:rPr>
          <w:rFonts w:cs="Arial"/>
          <w:szCs w:val="22"/>
        </w:rPr>
        <w:t xml:space="preserve"> that shows the text of the law as amended and in force on </w:t>
      </w:r>
      <w:r w:rsidRPr="00C22D82">
        <w:rPr>
          <w:rFonts w:cs="Arial"/>
          <w:szCs w:val="22"/>
        </w:rPr>
        <w:fldChar w:fldCharType="begin"/>
      </w:r>
      <w:r w:rsidRPr="00C22D82">
        <w:rPr>
          <w:rFonts w:cs="Arial"/>
          <w:szCs w:val="22"/>
        </w:rPr>
        <w:instrText>DOCPROPERTY StartDate \@ "d MMMM yyyy" \* MERGEFORMAT</w:instrText>
      </w:r>
      <w:r w:rsidRPr="00C22D82">
        <w:rPr>
          <w:rFonts w:cs="Arial"/>
          <w:szCs w:val="3276"/>
        </w:rPr>
        <w:fldChar w:fldCharType="separate"/>
      </w:r>
      <w:r w:rsidR="00C22D82" w:rsidRPr="00C22D82">
        <w:rPr>
          <w:rFonts w:cs="Arial"/>
          <w:szCs w:val="22"/>
        </w:rPr>
        <w:t>23 June 2023</w:t>
      </w:r>
      <w:r w:rsidRPr="00C22D82">
        <w:rPr>
          <w:rFonts w:cs="Arial"/>
          <w:szCs w:val="22"/>
        </w:rPr>
        <w:fldChar w:fldCharType="end"/>
      </w:r>
      <w:r w:rsidRPr="00DA25EC">
        <w:rPr>
          <w:rFonts w:cs="Arial"/>
          <w:szCs w:val="22"/>
        </w:rPr>
        <w:t xml:space="preserve"> (the </w:t>
      </w:r>
      <w:r w:rsidRPr="00DA25EC">
        <w:rPr>
          <w:rFonts w:cs="Arial"/>
          <w:b/>
          <w:i/>
          <w:szCs w:val="22"/>
        </w:rPr>
        <w:t>compilation date</w:t>
      </w:r>
      <w:r w:rsidRPr="00DA25EC">
        <w:rPr>
          <w:rFonts w:cs="Arial"/>
          <w:szCs w:val="22"/>
        </w:rPr>
        <w:t>).</w:t>
      </w:r>
    </w:p>
    <w:p w14:paraId="18FA3455" w14:textId="77777777" w:rsidR="0098741D" w:rsidRPr="00DA25EC" w:rsidRDefault="0098741D" w:rsidP="0098741D">
      <w:pPr>
        <w:spacing w:after="120"/>
        <w:rPr>
          <w:rFonts w:cs="Arial"/>
          <w:szCs w:val="22"/>
        </w:rPr>
      </w:pPr>
      <w:r w:rsidRPr="00DA25EC">
        <w:rPr>
          <w:rFonts w:cs="Arial"/>
          <w:szCs w:val="22"/>
        </w:rPr>
        <w:t xml:space="preserve">The notes at the end of this compilation (the </w:t>
      </w:r>
      <w:r w:rsidRPr="00DA25EC">
        <w:rPr>
          <w:rFonts w:cs="Arial"/>
          <w:b/>
          <w:i/>
          <w:szCs w:val="22"/>
        </w:rPr>
        <w:t>endnotes</w:t>
      </w:r>
      <w:r w:rsidRPr="00DA25EC">
        <w:rPr>
          <w:rFonts w:cs="Arial"/>
          <w:szCs w:val="22"/>
        </w:rPr>
        <w:t>) include information about amending laws and the amendment history of provisions of the compiled law.</w:t>
      </w:r>
    </w:p>
    <w:p w14:paraId="51B6631E" w14:textId="77777777" w:rsidR="0098741D" w:rsidRPr="00DA25EC" w:rsidRDefault="0098741D" w:rsidP="0098741D">
      <w:pPr>
        <w:tabs>
          <w:tab w:val="left" w:pos="5640"/>
        </w:tabs>
        <w:spacing w:before="120" w:after="120"/>
        <w:rPr>
          <w:rFonts w:cs="Arial"/>
          <w:b/>
          <w:szCs w:val="22"/>
        </w:rPr>
      </w:pPr>
      <w:r w:rsidRPr="00DA25EC">
        <w:rPr>
          <w:rFonts w:cs="Arial"/>
          <w:b/>
          <w:szCs w:val="22"/>
        </w:rPr>
        <w:t>Uncommenced amendments</w:t>
      </w:r>
    </w:p>
    <w:p w14:paraId="5D055641" w14:textId="77777777" w:rsidR="0098741D" w:rsidRPr="00DA25EC" w:rsidRDefault="0098741D" w:rsidP="0098741D">
      <w:pPr>
        <w:spacing w:after="120"/>
        <w:rPr>
          <w:rFonts w:cs="Arial"/>
          <w:szCs w:val="22"/>
        </w:rPr>
      </w:pPr>
      <w:r w:rsidRPr="00DA25EC">
        <w:rPr>
          <w:rFonts w:cs="Arial"/>
          <w:szCs w:val="22"/>
        </w:rPr>
        <w:t xml:space="preserve">The effect of uncommenced amendments is not shown in the text of the compiled law. Any uncommenced amendments affecting the law are accessible on </w:t>
      </w:r>
      <w:r>
        <w:rPr>
          <w:rFonts w:cs="Arial"/>
          <w:szCs w:val="22"/>
        </w:rPr>
        <w:t>the Register</w:t>
      </w:r>
      <w:r w:rsidRPr="00DA25EC">
        <w:rPr>
          <w:rFonts w:cs="Arial"/>
          <w:szCs w:val="22"/>
        </w:rPr>
        <w:t xml:space="preserve"> (www.</w:t>
      </w:r>
      <w:r>
        <w:rPr>
          <w:rFonts w:cs="Arial"/>
          <w:szCs w:val="22"/>
        </w:rPr>
        <w:t>legislation</w:t>
      </w:r>
      <w:r w:rsidRPr="00DA25EC">
        <w:rPr>
          <w:rFonts w:cs="Arial"/>
          <w:szCs w:val="22"/>
        </w:rPr>
        <w:t xml:space="preserve">.gov.au). The details of amendments made up to, but not commenced at, the compilation date are underlined in the endnotes. For more information on any uncommenced amendments, see the </w:t>
      </w:r>
      <w:r>
        <w:rPr>
          <w:rFonts w:cs="Arial"/>
          <w:szCs w:val="22"/>
        </w:rPr>
        <w:t>Register</w:t>
      </w:r>
      <w:r w:rsidRPr="00DA25EC">
        <w:rPr>
          <w:rFonts w:cs="Arial"/>
          <w:szCs w:val="22"/>
        </w:rPr>
        <w:t xml:space="preserve"> for the compiled law.</w:t>
      </w:r>
    </w:p>
    <w:p w14:paraId="30CAEC15" w14:textId="77777777" w:rsidR="0098741D" w:rsidRPr="00DA25EC" w:rsidRDefault="0098741D" w:rsidP="0098741D">
      <w:pPr>
        <w:spacing w:before="120" w:after="120"/>
        <w:rPr>
          <w:rFonts w:cs="Arial"/>
          <w:b/>
          <w:szCs w:val="22"/>
        </w:rPr>
      </w:pPr>
      <w:r w:rsidRPr="00DA25EC">
        <w:rPr>
          <w:rFonts w:cs="Arial"/>
          <w:b/>
          <w:szCs w:val="22"/>
        </w:rPr>
        <w:t>Application, saving and transitional provisions for provisions and amendments</w:t>
      </w:r>
    </w:p>
    <w:p w14:paraId="73CFADC1" w14:textId="77777777" w:rsidR="0098741D" w:rsidRDefault="0098741D" w:rsidP="0098741D">
      <w:pPr>
        <w:spacing w:after="120"/>
        <w:rPr>
          <w:rFonts w:cs="Arial"/>
          <w:szCs w:val="22"/>
        </w:rPr>
      </w:pPr>
      <w:r w:rsidRPr="00DA25EC">
        <w:rPr>
          <w:rFonts w:cs="Arial"/>
          <w:szCs w:val="22"/>
        </w:rPr>
        <w:t>If the operation of a provision or amendment of the compiled law is affected by an application, saving or transitional provision that is not included in this compilation, details are included in the endnotes.</w:t>
      </w:r>
    </w:p>
    <w:p w14:paraId="0149B3F0" w14:textId="77777777" w:rsidR="0098741D" w:rsidRDefault="0098741D" w:rsidP="0098741D">
      <w:pPr>
        <w:spacing w:after="120"/>
        <w:rPr>
          <w:rFonts w:cs="Arial"/>
          <w:b/>
          <w:szCs w:val="22"/>
        </w:rPr>
      </w:pPr>
      <w:r w:rsidRPr="003F3B80">
        <w:rPr>
          <w:rFonts w:cs="Arial"/>
          <w:b/>
          <w:szCs w:val="22"/>
        </w:rPr>
        <w:t>Editorial changes</w:t>
      </w:r>
    </w:p>
    <w:p w14:paraId="0388A42E" w14:textId="77777777" w:rsidR="0098741D" w:rsidRPr="003F3B80" w:rsidRDefault="0098741D" w:rsidP="0098741D">
      <w:pPr>
        <w:spacing w:after="120"/>
        <w:rPr>
          <w:rFonts w:cs="Arial"/>
          <w:szCs w:val="22"/>
        </w:rPr>
      </w:pPr>
      <w:r>
        <w:rPr>
          <w:rFonts w:cs="Arial"/>
          <w:szCs w:val="22"/>
        </w:rPr>
        <w:t>For more information about any editorial changes made in this compilation, see the endnotes.</w:t>
      </w:r>
    </w:p>
    <w:p w14:paraId="2C0F2FB6" w14:textId="77777777" w:rsidR="0098741D" w:rsidRPr="00DA25EC" w:rsidRDefault="0098741D" w:rsidP="0098741D">
      <w:pPr>
        <w:spacing w:before="120" w:after="120"/>
        <w:rPr>
          <w:rFonts w:cs="Arial"/>
          <w:b/>
          <w:szCs w:val="22"/>
        </w:rPr>
      </w:pPr>
      <w:r w:rsidRPr="00DA25EC">
        <w:rPr>
          <w:rFonts w:cs="Arial"/>
          <w:b/>
          <w:szCs w:val="22"/>
        </w:rPr>
        <w:t>Modifications</w:t>
      </w:r>
    </w:p>
    <w:p w14:paraId="5DA62487" w14:textId="77777777" w:rsidR="0098741D" w:rsidRPr="00DA25EC" w:rsidRDefault="0098741D" w:rsidP="0098741D">
      <w:pPr>
        <w:spacing w:after="120"/>
        <w:rPr>
          <w:rFonts w:cs="Arial"/>
          <w:szCs w:val="22"/>
        </w:rPr>
      </w:pPr>
      <w:r w:rsidRPr="00DA25EC">
        <w:rPr>
          <w:rFonts w:cs="Arial"/>
          <w:szCs w:val="22"/>
        </w:rPr>
        <w:t xml:space="preserve">If the compiled law is modified by another law, the compiled law operates as modified but the modification does not amend the text of the law. Accordingly, this compilation does not show the text of the compiled law as modified. For more information on any modifications, see the </w:t>
      </w:r>
      <w:r>
        <w:rPr>
          <w:rFonts w:cs="Arial"/>
          <w:szCs w:val="22"/>
        </w:rPr>
        <w:t>Register</w:t>
      </w:r>
      <w:r w:rsidRPr="00DA25EC">
        <w:rPr>
          <w:rFonts w:cs="Arial"/>
          <w:szCs w:val="22"/>
        </w:rPr>
        <w:t xml:space="preserve"> for the compiled law.</w:t>
      </w:r>
    </w:p>
    <w:p w14:paraId="49D42D91" w14:textId="50A73C18" w:rsidR="0098741D" w:rsidRPr="00DA25EC" w:rsidRDefault="0098741D" w:rsidP="0098741D">
      <w:pPr>
        <w:spacing w:before="80" w:after="120"/>
        <w:rPr>
          <w:rFonts w:cs="Arial"/>
          <w:b/>
          <w:szCs w:val="22"/>
        </w:rPr>
      </w:pPr>
      <w:r w:rsidRPr="00DA25EC">
        <w:rPr>
          <w:rFonts w:cs="Arial"/>
          <w:b/>
          <w:szCs w:val="22"/>
        </w:rPr>
        <w:t>Self</w:t>
      </w:r>
      <w:r w:rsidR="00D031F4">
        <w:rPr>
          <w:rFonts w:cs="Arial"/>
          <w:b/>
          <w:szCs w:val="22"/>
        </w:rPr>
        <w:noBreakHyphen/>
      </w:r>
      <w:r w:rsidRPr="00DA25EC">
        <w:rPr>
          <w:rFonts w:cs="Arial"/>
          <w:b/>
          <w:szCs w:val="22"/>
        </w:rPr>
        <w:t>repealing provisions</w:t>
      </w:r>
    </w:p>
    <w:p w14:paraId="6BE4DFA7" w14:textId="77777777" w:rsidR="0098741D" w:rsidRPr="00B75B4D" w:rsidRDefault="0098741D" w:rsidP="0098741D">
      <w:pPr>
        <w:spacing w:after="120"/>
        <w:rPr>
          <w:rFonts w:cs="Arial"/>
          <w:szCs w:val="22"/>
        </w:rPr>
      </w:pPr>
      <w:r w:rsidRPr="00DA25EC">
        <w:rPr>
          <w:rFonts w:cs="Arial"/>
          <w:szCs w:val="22"/>
        </w:rPr>
        <w:t>If a provision of the compiled law has been repealed in accordance with a provision of the law, details are included in the endnotes.</w:t>
      </w:r>
    </w:p>
    <w:p w14:paraId="4664EA8D" w14:textId="77777777" w:rsidR="0098741D" w:rsidRPr="00ED79B6" w:rsidRDefault="0098741D" w:rsidP="0098741D">
      <w:pPr>
        <w:pStyle w:val="Header"/>
        <w:tabs>
          <w:tab w:val="clear" w:pos="4150"/>
          <w:tab w:val="clear" w:pos="8307"/>
        </w:tabs>
      </w:pPr>
      <w:r w:rsidRPr="00ED79B6">
        <w:rPr>
          <w:rStyle w:val="CharChapNo"/>
        </w:rPr>
        <w:t xml:space="preserve"> </w:t>
      </w:r>
      <w:r w:rsidRPr="00ED79B6">
        <w:rPr>
          <w:rStyle w:val="CharChapText"/>
        </w:rPr>
        <w:t xml:space="preserve"> </w:t>
      </w:r>
    </w:p>
    <w:p w14:paraId="2886F7D2" w14:textId="77777777" w:rsidR="0098741D" w:rsidRPr="00ED79B6" w:rsidRDefault="0098741D" w:rsidP="0098741D">
      <w:pPr>
        <w:pStyle w:val="Header"/>
        <w:tabs>
          <w:tab w:val="clear" w:pos="4150"/>
          <w:tab w:val="clear" w:pos="8307"/>
        </w:tabs>
      </w:pPr>
      <w:r w:rsidRPr="00ED79B6">
        <w:rPr>
          <w:rStyle w:val="CharPartNo"/>
        </w:rPr>
        <w:t xml:space="preserve"> </w:t>
      </w:r>
      <w:r w:rsidRPr="00ED79B6">
        <w:rPr>
          <w:rStyle w:val="CharPartText"/>
        </w:rPr>
        <w:t xml:space="preserve"> </w:t>
      </w:r>
    </w:p>
    <w:p w14:paraId="5CDDE989" w14:textId="77777777" w:rsidR="0098741D" w:rsidRPr="00ED79B6" w:rsidRDefault="0098741D" w:rsidP="0098741D">
      <w:pPr>
        <w:pStyle w:val="Header"/>
        <w:tabs>
          <w:tab w:val="clear" w:pos="4150"/>
          <w:tab w:val="clear" w:pos="8307"/>
        </w:tabs>
      </w:pPr>
      <w:r w:rsidRPr="00ED79B6">
        <w:rPr>
          <w:rStyle w:val="CharDivNo"/>
        </w:rPr>
        <w:t xml:space="preserve"> </w:t>
      </w:r>
      <w:r w:rsidRPr="00ED79B6">
        <w:rPr>
          <w:rStyle w:val="CharDivText"/>
        </w:rPr>
        <w:t xml:space="preserve"> </w:t>
      </w:r>
    </w:p>
    <w:p w14:paraId="48551A17" w14:textId="77777777" w:rsidR="0098741D" w:rsidRDefault="0098741D" w:rsidP="0098741D">
      <w:pPr>
        <w:sectPr w:rsidR="0098741D" w:rsidSect="000304CF">
          <w:headerReference w:type="even" r:id="rId13"/>
          <w:headerReference w:type="default" r:id="rId14"/>
          <w:footerReference w:type="even" r:id="rId15"/>
          <w:footerReference w:type="default" r:id="rId16"/>
          <w:headerReference w:type="first" r:id="rId17"/>
          <w:footerReference w:type="first" r:id="rId18"/>
          <w:pgSz w:w="11907" w:h="16839"/>
          <w:pgMar w:top="1418" w:right="2410" w:bottom="4252" w:left="2410" w:header="720" w:footer="3402" w:gutter="0"/>
          <w:cols w:space="708"/>
          <w:titlePg/>
          <w:docGrid w:linePitch="360"/>
        </w:sectPr>
      </w:pPr>
    </w:p>
    <w:p w14:paraId="50F24C8F" w14:textId="77777777" w:rsidR="007500C8" w:rsidRDefault="00715914" w:rsidP="00715914">
      <w:pPr>
        <w:outlineLvl w:val="0"/>
        <w:rPr>
          <w:sz w:val="36"/>
        </w:rPr>
      </w:pPr>
      <w:r w:rsidRPr="007A1328">
        <w:rPr>
          <w:sz w:val="36"/>
        </w:rPr>
        <w:lastRenderedPageBreak/>
        <w:t>Contents</w:t>
      </w:r>
    </w:p>
    <w:p w14:paraId="02CC47D9" w14:textId="514255A1" w:rsidR="00E5433B" w:rsidRDefault="00B418CB">
      <w:pPr>
        <w:pStyle w:val="TOC2"/>
        <w:rPr>
          <w:rFonts w:asciiTheme="minorHAnsi" w:eastAsiaTheme="minorEastAsia" w:hAnsiTheme="minorHAnsi" w:cstheme="minorBidi"/>
          <w:b w:val="0"/>
          <w:noProof/>
          <w:kern w:val="0"/>
          <w:sz w:val="22"/>
          <w:szCs w:val="22"/>
        </w:rPr>
      </w:pPr>
      <w:r w:rsidRPr="00E5433B">
        <w:rPr>
          <w:sz w:val="18"/>
        </w:rPr>
        <w:fldChar w:fldCharType="begin"/>
      </w:r>
      <w:r>
        <w:instrText xml:space="preserve"> TOC \o "1-9" </w:instrText>
      </w:r>
      <w:r w:rsidRPr="00E5433B">
        <w:rPr>
          <w:sz w:val="18"/>
        </w:rPr>
        <w:fldChar w:fldCharType="separate"/>
      </w:r>
      <w:r w:rsidR="00E5433B">
        <w:rPr>
          <w:noProof/>
        </w:rPr>
        <w:t>Part 1—Preliminary</w:t>
      </w:r>
      <w:r w:rsidR="00E5433B" w:rsidRPr="00E5433B">
        <w:rPr>
          <w:b w:val="0"/>
          <w:noProof/>
          <w:sz w:val="18"/>
        </w:rPr>
        <w:tab/>
      </w:r>
      <w:r w:rsidR="00E5433B" w:rsidRPr="00E5433B">
        <w:rPr>
          <w:b w:val="0"/>
          <w:noProof/>
          <w:sz w:val="18"/>
        </w:rPr>
        <w:fldChar w:fldCharType="begin"/>
      </w:r>
      <w:r w:rsidR="00E5433B" w:rsidRPr="00E5433B">
        <w:rPr>
          <w:b w:val="0"/>
          <w:noProof/>
          <w:sz w:val="18"/>
        </w:rPr>
        <w:instrText xml:space="preserve"> PAGEREF _Toc141356284 \h </w:instrText>
      </w:r>
      <w:r w:rsidR="00E5433B" w:rsidRPr="00E5433B">
        <w:rPr>
          <w:b w:val="0"/>
          <w:noProof/>
          <w:sz w:val="18"/>
        </w:rPr>
      </w:r>
      <w:r w:rsidR="00E5433B" w:rsidRPr="00E5433B">
        <w:rPr>
          <w:b w:val="0"/>
          <w:noProof/>
          <w:sz w:val="18"/>
        </w:rPr>
        <w:fldChar w:fldCharType="separate"/>
      </w:r>
      <w:r w:rsidR="00E5433B" w:rsidRPr="00E5433B">
        <w:rPr>
          <w:b w:val="0"/>
          <w:noProof/>
          <w:sz w:val="18"/>
        </w:rPr>
        <w:t>1</w:t>
      </w:r>
      <w:r w:rsidR="00E5433B" w:rsidRPr="00E5433B">
        <w:rPr>
          <w:b w:val="0"/>
          <w:noProof/>
          <w:sz w:val="18"/>
        </w:rPr>
        <w:fldChar w:fldCharType="end"/>
      </w:r>
    </w:p>
    <w:p w14:paraId="71ED08ED" w14:textId="6818E5B7" w:rsidR="00E5433B" w:rsidRDefault="00E5433B">
      <w:pPr>
        <w:pStyle w:val="TOC5"/>
        <w:rPr>
          <w:rFonts w:asciiTheme="minorHAnsi" w:eastAsiaTheme="minorEastAsia" w:hAnsiTheme="minorHAnsi" w:cstheme="minorBidi"/>
          <w:noProof/>
          <w:kern w:val="0"/>
          <w:sz w:val="22"/>
          <w:szCs w:val="22"/>
        </w:rPr>
      </w:pPr>
      <w:r>
        <w:rPr>
          <w:noProof/>
        </w:rPr>
        <w:t>1</w:t>
      </w:r>
      <w:r>
        <w:rPr>
          <w:noProof/>
        </w:rPr>
        <w:tab/>
        <w:t>Name</w:t>
      </w:r>
      <w:r w:rsidRPr="00E5433B">
        <w:rPr>
          <w:noProof/>
        </w:rPr>
        <w:tab/>
      </w:r>
      <w:r w:rsidRPr="00E5433B">
        <w:rPr>
          <w:noProof/>
        </w:rPr>
        <w:fldChar w:fldCharType="begin"/>
      </w:r>
      <w:r w:rsidRPr="00E5433B">
        <w:rPr>
          <w:noProof/>
        </w:rPr>
        <w:instrText xml:space="preserve"> PAGEREF _Toc141356285 \h </w:instrText>
      </w:r>
      <w:r w:rsidRPr="00E5433B">
        <w:rPr>
          <w:noProof/>
        </w:rPr>
      </w:r>
      <w:r w:rsidRPr="00E5433B">
        <w:rPr>
          <w:noProof/>
        </w:rPr>
        <w:fldChar w:fldCharType="separate"/>
      </w:r>
      <w:r w:rsidRPr="00E5433B">
        <w:rPr>
          <w:noProof/>
        </w:rPr>
        <w:t>1</w:t>
      </w:r>
      <w:r w:rsidRPr="00E5433B">
        <w:rPr>
          <w:noProof/>
        </w:rPr>
        <w:fldChar w:fldCharType="end"/>
      </w:r>
    </w:p>
    <w:p w14:paraId="2D7C55AD" w14:textId="6FAEFD6D" w:rsidR="00E5433B" w:rsidRDefault="00E5433B">
      <w:pPr>
        <w:pStyle w:val="TOC5"/>
        <w:rPr>
          <w:rFonts w:asciiTheme="minorHAnsi" w:eastAsiaTheme="minorEastAsia" w:hAnsiTheme="minorHAnsi" w:cstheme="minorBidi"/>
          <w:noProof/>
          <w:kern w:val="0"/>
          <w:sz w:val="22"/>
          <w:szCs w:val="22"/>
        </w:rPr>
      </w:pPr>
      <w:r>
        <w:rPr>
          <w:noProof/>
        </w:rPr>
        <w:t>3</w:t>
      </w:r>
      <w:r>
        <w:rPr>
          <w:noProof/>
        </w:rPr>
        <w:tab/>
        <w:t>Authority</w:t>
      </w:r>
      <w:r w:rsidRPr="00E5433B">
        <w:rPr>
          <w:noProof/>
        </w:rPr>
        <w:tab/>
      </w:r>
      <w:r w:rsidRPr="00E5433B">
        <w:rPr>
          <w:noProof/>
        </w:rPr>
        <w:fldChar w:fldCharType="begin"/>
      </w:r>
      <w:r w:rsidRPr="00E5433B">
        <w:rPr>
          <w:noProof/>
        </w:rPr>
        <w:instrText xml:space="preserve"> PAGEREF _Toc141356286 \h </w:instrText>
      </w:r>
      <w:r w:rsidRPr="00E5433B">
        <w:rPr>
          <w:noProof/>
        </w:rPr>
      </w:r>
      <w:r w:rsidRPr="00E5433B">
        <w:rPr>
          <w:noProof/>
        </w:rPr>
        <w:fldChar w:fldCharType="separate"/>
      </w:r>
      <w:r w:rsidRPr="00E5433B">
        <w:rPr>
          <w:noProof/>
        </w:rPr>
        <w:t>1</w:t>
      </w:r>
      <w:r w:rsidRPr="00E5433B">
        <w:rPr>
          <w:noProof/>
        </w:rPr>
        <w:fldChar w:fldCharType="end"/>
      </w:r>
    </w:p>
    <w:p w14:paraId="15EF95B5" w14:textId="7168C9C5" w:rsidR="00E5433B" w:rsidRDefault="00E5433B">
      <w:pPr>
        <w:pStyle w:val="TOC5"/>
        <w:rPr>
          <w:rFonts w:asciiTheme="minorHAnsi" w:eastAsiaTheme="minorEastAsia" w:hAnsiTheme="minorHAnsi" w:cstheme="minorBidi"/>
          <w:noProof/>
          <w:kern w:val="0"/>
          <w:sz w:val="22"/>
          <w:szCs w:val="22"/>
        </w:rPr>
      </w:pPr>
      <w:r>
        <w:rPr>
          <w:noProof/>
        </w:rPr>
        <w:t>4</w:t>
      </w:r>
      <w:r>
        <w:rPr>
          <w:noProof/>
        </w:rPr>
        <w:tab/>
        <w:t>Repeal of this instrument</w:t>
      </w:r>
      <w:r w:rsidRPr="00E5433B">
        <w:rPr>
          <w:noProof/>
        </w:rPr>
        <w:tab/>
      </w:r>
      <w:r w:rsidRPr="00E5433B">
        <w:rPr>
          <w:noProof/>
        </w:rPr>
        <w:fldChar w:fldCharType="begin"/>
      </w:r>
      <w:r w:rsidRPr="00E5433B">
        <w:rPr>
          <w:noProof/>
        </w:rPr>
        <w:instrText xml:space="preserve"> PAGEREF _Toc141356287 \h </w:instrText>
      </w:r>
      <w:r w:rsidRPr="00E5433B">
        <w:rPr>
          <w:noProof/>
        </w:rPr>
      </w:r>
      <w:r w:rsidRPr="00E5433B">
        <w:rPr>
          <w:noProof/>
        </w:rPr>
        <w:fldChar w:fldCharType="separate"/>
      </w:r>
      <w:r w:rsidRPr="00E5433B">
        <w:rPr>
          <w:noProof/>
        </w:rPr>
        <w:t>1</w:t>
      </w:r>
      <w:r w:rsidRPr="00E5433B">
        <w:rPr>
          <w:noProof/>
        </w:rPr>
        <w:fldChar w:fldCharType="end"/>
      </w:r>
    </w:p>
    <w:p w14:paraId="234EFBA6" w14:textId="2539B998" w:rsidR="00E5433B" w:rsidRDefault="00E5433B">
      <w:pPr>
        <w:pStyle w:val="TOC5"/>
        <w:rPr>
          <w:rFonts w:asciiTheme="minorHAnsi" w:eastAsiaTheme="minorEastAsia" w:hAnsiTheme="minorHAnsi" w:cstheme="minorBidi"/>
          <w:noProof/>
          <w:kern w:val="0"/>
          <w:sz w:val="22"/>
          <w:szCs w:val="22"/>
        </w:rPr>
      </w:pPr>
      <w:r>
        <w:rPr>
          <w:noProof/>
        </w:rPr>
        <w:t>5</w:t>
      </w:r>
      <w:r>
        <w:rPr>
          <w:noProof/>
        </w:rPr>
        <w:tab/>
        <w:t>Definitions</w:t>
      </w:r>
      <w:r w:rsidRPr="00E5433B">
        <w:rPr>
          <w:noProof/>
        </w:rPr>
        <w:tab/>
      </w:r>
      <w:r w:rsidRPr="00E5433B">
        <w:rPr>
          <w:noProof/>
        </w:rPr>
        <w:fldChar w:fldCharType="begin"/>
      </w:r>
      <w:r w:rsidRPr="00E5433B">
        <w:rPr>
          <w:noProof/>
        </w:rPr>
        <w:instrText xml:space="preserve"> PAGEREF _Toc141356288 \h </w:instrText>
      </w:r>
      <w:r w:rsidRPr="00E5433B">
        <w:rPr>
          <w:noProof/>
        </w:rPr>
      </w:r>
      <w:r w:rsidRPr="00E5433B">
        <w:rPr>
          <w:noProof/>
        </w:rPr>
        <w:fldChar w:fldCharType="separate"/>
      </w:r>
      <w:r w:rsidRPr="00E5433B">
        <w:rPr>
          <w:noProof/>
        </w:rPr>
        <w:t>1</w:t>
      </w:r>
      <w:r w:rsidRPr="00E5433B">
        <w:rPr>
          <w:noProof/>
        </w:rPr>
        <w:fldChar w:fldCharType="end"/>
      </w:r>
    </w:p>
    <w:p w14:paraId="2818E04E" w14:textId="64993DFA" w:rsidR="00E5433B" w:rsidRDefault="00E5433B">
      <w:pPr>
        <w:pStyle w:val="TOC2"/>
        <w:rPr>
          <w:rFonts w:asciiTheme="minorHAnsi" w:eastAsiaTheme="minorEastAsia" w:hAnsiTheme="minorHAnsi" w:cstheme="minorBidi"/>
          <w:b w:val="0"/>
          <w:noProof/>
          <w:kern w:val="0"/>
          <w:sz w:val="22"/>
          <w:szCs w:val="22"/>
        </w:rPr>
      </w:pPr>
      <w:r>
        <w:rPr>
          <w:noProof/>
        </w:rPr>
        <w:t>Part 2—Exemptions and conditions</w:t>
      </w:r>
      <w:r w:rsidRPr="00E5433B">
        <w:rPr>
          <w:b w:val="0"/>
          <w:noProof/>
          <w:sz w:val="18"/>
        </w:rPr>
        <w:tab/>
      </w:r>
      <w:r w:rsidRPr="00E5433B">
        <w:rPr>
          <w:b w:val="0"/>
          <w:noProof/>
          <w:sz w:val="18"/>
        </w:rPr>
        <w:fldChar w:fldCharType="begin"/>
      </w:r>
      <w:r w:rsidRPr="00E5433B">
        <w:rPr>
          <w:b w:val="0"/>
          <w:noProof/>
          <w:sz w:val="18"/>
        </w:rPr>
        <w:instrText xml:space="preserve"> PAGEREF _Toc141356289 \h </w:instrText>
      </w:r>
      <w:r w:rsidRPr="00E5433B">
        <w:rPr>
          <w:b w:val="0"/>
          <w:noProof/>
          <w:sz w:val="18"/>
        </w:rPr>
      </w:r>
      <w:r w:rsidRPr="00E5433B">
        <w:rPr>
          <w:b w:val="0"/>
          <w:noProof/>
          <w:sz w:val="18"/>
        </w:rPr>
        <w:fldChar w:fldCharType="separate"/>
      </w:r>
      <w:r w:rsidRPr="00E5433B">
        <w:rPr>
          <w:b w:val="0"/>
          <w:noProof/>
          <w:sz w:val="18"/>
        </w:rPr>
        <w:t>3</w:t>
      </w:r>
      <w:r w:rsidRPr="00E5433B">
        <w:rPr>
          <w:b w:val="0"/>
          <w:noProof/>
          <w:sz w:val="18"/>
        </w:rPr>
        <w:fldChar w:fldCharType="end"/>
      </w:r>
    </w:p>
    <w:p w14:paraId="5D61D15F" w14:textId="1AA0AABE" w:rsidR="00E5433B" w:rsidRDefault="00E5433B">
      <w:pPr>
        <w:pStyle w:val="TOC5"/>
        <w:rPr>
          <w:rFonts w:asciiTheme="minorHAnsi" w:eastAsiaTheme="minorEastAsia" w:hAnsiTheme="minorHAnsi" w:cstheme="minorBidi"/>
          <w:noProof/>
          <w:kern w:val="0"/>
          <w:sz w:val="22"/>
          <w:szCs w:val="22"/>
        </w:rPr>
      </w:pPr>
      <w:r>
        <w:rPr>
          <w:noProof/>
        </w:rPr>
        <w:t>7</w:t>
      </w:r>
      <w:r>
        <w:rPr>
          <w:noProof/>
        </w:rPr>
        <w:tab/>
        <w:t>Exemption–Designated Communications Infrastructure</w:t>
      </w:r>
      <w:r w:rsidRPr="00E5433B">
        <w:rPr>
          <w:noProof/>
        </w:rPr>
        <w:tab/>
      </w:r>
      <w:r w:rsidRPr="00E5433B">
        <w:rPr>
          <w:noProof/>
        </w:rPr>
        <w:fldChar w:fldCharType="begin"/>
      </w:r>
      <w:r w:rsidRPr="00E5433B">
        <w:rPr>
          <w:noProof/>
        </w:rPr>
        <w:instrText xml:space="preserve"> PAGEREF _Toc141356290 \h </w:instrText>
      </w:r>
      <w:r w:rsidRPr="00E5433B">
        <w:rPr>
          <w:noProof/>
        </w:rPr>
      </w:r>
      <w:r w:rsidRPr="00E5433B">
        <w:rPr>
          <w:noProof/>
        </w:rPr>
        <w:fldChar w:fldCharType="separate"/>
      </w:r>
      <w:r w:rsidRPr="00E5433B">
        <w:rPr>
          <w:noProof/>
        </w:rPr>
        <w:t>3</w:t>
      </w:r>
      <w:r w:rsidRPr="00E5433B">
        <w:rPr>
          <w:noProof/>
        </w:rPr>
        <w:fldChar w:fldCharType="end"/>
      </w:r>
    </w:p>
    <w:p w14:paraId="0CAA1CD4" w14:textId="7432B46A" w:rsidR="00E5433B" w:rsidRDefault="00E5433B">
      <w:pPr>
        <w:pStyle w:val="TOC5"/>
        <w:rPr>
          <w:rFonts w:asciiTheme="minorHAnsi" w:eastAsiaTheme="minorEastAsia" w:hAnsiTheme="minorHAnsi" w:cstheme="minorBidi"/>
          <w:noProof/>
          <w:kern w:val="0"/>
          <w:sz w:val="22"/>
          <w:szCs w:val="22"/>
        </w:rPr>
      </w:pPr>
      <w:r>
        <w:rPr>
          <w:noProof/>
        </w:rPr>
        <w:t>8</w:t>
      </w:r>
      <w:r>
        <w:rPr>
          <w:noProof/>
        </w:rPr>
        <w:tab/>
        <w:t>Exemption–Powerlink Communications Infrastructure</w:t>
      </w:r>
      <w:r w:rsidRPr="00E5433B">
        <w:rPr>
          <w:noProof/>
        </w:rPr>
        <w:tab/>
      </w:r>
      <w:r w:rsidRPr="00E5433B">
        <w:rPr>
          <w:noProof/>
        </w:rPr>
        <w:fldChar w:fldCharType="begin"/>
      </w:r>
      <w:r w:rsidRPr="00E5433B">
        <w:rPr>
          <w:noProof/>
        </w:rPr>
        <w:instrText xml:space="preserve"> PAGEREF _Toc141356291 \h </w:instrText>
      </w:r>
      <w:r w:rsidRPr="00E5433B">
        <w:rPr>
          <w:noProof/>
        </w:rPr>
      </w:r>
      <w:r w:rsidRPr="00E5433B">
        <w:rPr>
          <w:noProof/>
        </w:rPr>
        <w:fldChar w:fldCharType="separate"/>
      </w:r>
      <w:r w:rsidRPr="00E5433B">
        <w:rPr>
          <w:noProof/>
        </w:rPr>
        <w:t>3</w:t>
      </w:r>
      <w:r w:rsidRPr="00E5433B">
        <w:rPr>
          <w:noProof/>
        </w:rPr>
        <w:fldChar w:fldCharType="end"/>
      </w:r>
    </w:p>
    <w:p w14:paraId="7520B965" w14:textId="349DA92C" w:rsidR="00E5433B" w:rsidRDefault="00E5433B">
      <w:pPr>
        <w:pStyle w:val="TOC5"/>
        <w:rPr>
          <w:rFonts w:asciiTheme="minorHAnsi" w:eastAsiaTheme="minorEastAsia" w:hAnsiTheme="minorHAnsi" w:cstheme="minorBidi"/>
          <w:noProof/>
          <w:kern w:val="0"/>
          <w:sz w:val="22"/>
          <w:szCs w:val="22"/>
        </w:rPr>
      </w:pPr>
      <w:r>
        <w:rPr>
          <w:noProof/>
        </w:rPr>
        <w:t>9</w:t>
      </w:r>
      <w:r>
        <w:rPr>
          <w:noProof/>
        </w:rPr>
        <w:tab/>
        <w:t>Conditions</w:t>
      </w:r>
      <w:r w:rsidRPr="00E5433B">
        <w:rPr>
          <w:noProof/>
        </w:rPr>
        <w:tab/>
      </w:r>
      <w:r w:rsidRPr="00E5433B">
        <w:rPr>
          <w:noProof/>
        </w:rPr>
        <w:fldChar w:fldCharType="begin"/>
      </w:r>
      <w:r w:rsidRPr="00E5433B">
        <w:rPr>
          <w:noProof/>
        </w:rPr>
        <w:instrText xml:space="preserve"> PAGEREF _Toc141356292 \h </w:instrText>
      </w:r>
      <w:r w:rsidRPr="00E5433B">
        <w:rPr>
          <w:noProof/>
        </w:rPr>
      </w:r>
      <w:r w:rsidRPr="00E5433B">
        <w:rPr>
          <w:noProof/>
        </w:rPr>
        <w:fldChar w:fldCharType="separate"/>
      </w:r>
      <w:r w:rsidRPr="00E5433B">
        <w:rPr>
          <w:noProof/>
        </w:rPr>
        <w:t>3</w:t>
      </w:r>
      <w:r w:rsidRPr="00E5433B">
        <w:rPr>
          <w:noProof/>
        </w:rPr>
        <w:fldChar w:fldCharType="end"/>
      </w:r>
    </w:p>
    <w:p w14:paraId="0375435E" w14:textId="03F1B2C9" w:rsidR="00E5433B" w:rsidRDefault="00E5433B" w:rsidP="00E5433B">
      <w:pPr>
        <w:pStyle w:val="TOC2"/>
        <w:rPr>
          <w:rFonts w:asciiTheme="minorHAnsi" w:eastAsiaTheme="minorEastAsia" w:hAnsiTheme="minorHAnsi" w:cstheme="minorBidi"/>
          <w:b w:val="0"/>
          <w:noProof/>
          <w:kern w:val="0"/>
          <w:sz w:val="22"/>
          <w:szCs w:val="22"/>
        </w:rPr>
      </w:pPr>
      <w:r>
        <w:rPr>
          <w:noProof/>
        </w:rPr>
        <w:t>Endnotes</w:t>
      </w:r>
      <w:r w:rsidRPr="00E5433B">
        <w:rPr>
          <w:b w:val="0"/>
          <w:noProof/>
          <w:sz w:val="18"/>
        </w:rPr>
        <w:tab/>
      </w:r>
      <w:r w:rsidRPr="00E5433B">
        <w:rPr>
          <w:b w:val="0"/>
          <w:noProof/>
          <w:sz w:val="18"/>
        </w:rPr>
        <w:fldChar w:fldCharType="begin"/>
      </w:r>
      <w:r w:rsidRPr="00E5433B">
        <w:rPr>
          <w:b w:val="0"/>
          <w:noProof/>
          <w:sz w:val="18"/>
        </w:rPr>
        <w:instrText xml:space="preserve"> PAGEREF _Toc141356293 \h </w:instrText>
      </w:r>
      <w:r w:rsidRPr="00E5433B">
        <w:rPr>
          <w:b w:val="0"/>
          <w:noProof/>
          <w:sz w:val="18"/>
        </w:rPr>
      </w:r>
      <w:r w:rsidRPr="00E5433B">
        <w:rPr>
          <w:b w:val="0"/>
          <w:noProof/>
          <w:sz w:val="18"/>
        </w:rPr>
        <w:fldChar w:fldCharType="separate"/>
      </w:r>
      <w:r w:rsidRPr="00E5433B">
        <w:rPr>
          <w:b w:val="0"/>
          <w:noProof/>
          <w:sz w:val="18"/>
        </w:rPr>
        <w:t>5</w:t>
      </w:r>
      <w:r w:rsidRPr="00E5433B">
        <w:rPr>
          <w:b w:val="0"/>
          <w:noProof/>
          <w:sz w:val="18"/>
        </w:rPr>
        <w:fldChar w:fldCharType="end"/>
      </w:r>
    </w:p>
    <w:p w14:paraId="44A62160" w14:textId="5109E80D" w:rsidR="00E5433B" w:rsidRDefault="00E5433B">
      <w:pPr>
        <w:pStyle w:val="TOC3"/>
        <w:rPr>
          <w:rFonts w:asciiTheme="minorHAnsi" w:eastAsiaTheme="minorEastAsia" w:hAnsiTheme="minorHAnsi" w:cstheme="minorBidi"/>
          <w:b w:val="0"/>
          <w:noProof/>
          <w:kern w:val="0"/>
          <w:szCs w:val="22"/>
        </w:rPr>
      </w:pPr>
      <w:r>
        <w:rPr>
          <w:noProof/>
        </w:rPr>
        <w:t>Endnote 1—About the endnotes</w:t>
      </w:r>
      <w:r w:rsidRPr="00E5433B">
        <w:rPr>
          <w:b w:val="0"/>
          <w:noProof/>
          <w:sz w:val="18"/>
        </w:rPr>
        <w:tab/>
      </w:r>
      <w:r w:rsidRPr="00E5433B">
        <w:rPr>
          <w:b w:val="0"/>
          <w:noProof/>
          <w:sz w:val="18"/>
        </w:rPr>
        <w:fldChar w:fldCharType="begin"/>
      </w:r>
      <w:r w:rsidRPr="00E5433B">
        <w:rPr>
          <w:b w:val="0"/>
          <w:noProof/>
          <w:sz w:val="18"/>
        </w:rPr>
        <w:instrText xml:space="preserve"> PAGEREF _Toc141356294 \h </w:instrText>
      </w:r>
      <w:r w:rsidRPr="00E5433B">
        <w:rPr>
          <w:b w:val="0"/>
          <w:noProof/>
          <w:sz w:val="18"/>
        </w:rPr>
      </w:r>
      <w:r w:rsidRPr="00E5433B">
        <w:rPr>
          <w:b w:val="0"/>
          <w:noProof/>
          <w:sz w:val="18"/>
        </w:rPr>
        <w:fldChar w:fldCharType="separate"/>
      </w:r>
      <w:r w:rsidRPr="00E5433B">
        <w:rPr>
          <w:b w:val="0"/>
          <w:noProof/>
          <w:sz w:val="18"/>
        </w:rPr>
        <w:t>5</w:t>
      </w:r>
      <w:r w:rsidRPr="00E5433B">
        <w:rPr>
          <w:b w:val="0"/>
          <w:noProof/>
          <w:sz w:val="18"/>
        </w:rPr>
        <w:fldChar w:fldCharType="end"/>
      </w:r>
    </w:p>
    <w:p w14:paraId="345B2A81" w14:textId="4798AF3F" w:rsidR="00E5433B" w:rsidRDefault="00E5433B">
      <w:pPr>
        <w:pStyle w:val="TOC3"/>
        <w:rPr>
          <w:rFonts w:asciiTheme="minorHAnsi" w:eastAsiaTheme="minorEastAsia" w:hAnsiTheme="minorHAnsi" w:cstheme="minorBidi"/>
          <w:b w:val="0"/>
          <w:noProof/>
          <w:kern w:val="0"/>
          <w:szCs w:val="22"/>
        </w:rPr>
      </w:pPr>
      <w:r>
        <w:rPr>
          <w:noProof/>
        </w:rPr>
        <w:t>Endnote 2—Abbreviation key</w:t>
      </w:r>
      <w:r w:rsidRPr="00E5433B">
        <w:rPr>
          <w:b w:val="0"/>
          <w:noProof/>
          <w:sz w:val="18"/>
        </w:rPr>
        <w:tab/>
      </w:r>
      <w:r w:rsidRPr="00E5433B">
        <w:rPr>
          <w:b w:val="0"/>
          <w:noProof/>
          <w:sz w:val="18"/>
        </w:rPr>
        <w:fldChar w:fldCharType="begin"/>
      </w:r>
      <w:r w:rsidRPr="00E5433B">
        <w:rPr>
          <w:b w:val="0"/>
          <w:noProof/>
          <w:sz w:val="18"/>
        </w:rPr>
        <w:instrText xml:space="preserve"> PAGEREF _Toc141356295 \h </w:instrText>
      </w:r>
      <w:r w:rsidRPr="00E5433B">
        <w:rPr>
          <w:b w:val="0"/>
          <w:noProof/>
          <w:sz w:val="18"/>
        </w:rPr>
      </w:r>
      <w:r w:rsidRPr="00E5433B">
        <w:rPr>
          <w:b w:val="0"/>
          <w:noProof/>
          <w:sz w:val="18"/>
        </w:rPr>
        <w:fldChar w:fldCharType="separate"/>
      </w:r>
      <w:r w:rsidRPr="00E5433B">
        <w:rPr>
          <w:b w:val="0"/>
          <w:noProof/>
          <w:sz w:val="18"/>
        </w:rPr>
        <w:t>6</w:t>
      </w:r>
      <w:r w:rsidRPr="00E5433B">
        <w:rPr>
          <w:b w:val="0"/>
          <w:noProof/>
          <w:sz w:val="18"/>
        </w:rPr>
        <w:fldChar w:fldCharType="end"/>
      </w:r>
    </w:p>
    <w:p w14:paraId="287A6D68" w14:textId="7010E357" w:rsidR="00E5433B" w:rsidRDefault="00E5433B">
      <w:pPr>
        <w:pStyle w:val="TOC3"/>
        <w:rPr>
          <w:rFonts w:asciiTheme="minorHAnsi" w:eastAsiaTheme="minorEastAsia" w:hAnsiTheme="minorHAnsi" w:cstheme="minorBidi"/>
          <w:b w:val="0"/>
          <w:noProof/>
          <w:kern w:val="0"/>
          <w:szCs w:val="22"/>
        </w:rPr>
      </w:pPr>
      <w:r>
        <w:rPr>
          <w:noProof/>
        </w:rPr>
        <w:t>Endnote 3—Legislation history</w:t>
      </w:r>
      <w:r w:rsidRPr="00E5433B">
        <w:rPr>
          <w:b w:val="0"/>
          <w:noProof/>
          <w:sz w:val="18"/>
        </w:rPr>
        <w:tab/>
      </w:r>
      <w:r w:rsidRPr="00E5433B">
        <w:rPr>
          <w:b w:val="0"/>
          <w:noProof/>
          <w:sz w:val="18"/>
        </w:rPr>
        <w:fldChar w:fldCharType="begin"/>
      </w:r>
      <w:r w:rsidRPr="00E5433B">
        <w:rPr>
          <w:b w:val="0"/>
          <w:noProof/>
          <w:sz w:val="18"/>
        </w:rPr>
        <w:instrText xml:space="preserve"> PAGEREF _Toc141356296 \h </w:instrText>
      </w:r>
      <w:r w:rsidRPr="00E5433B">
        <w:rPr>
          <w:b w:val="0"/>
          <w:noProof/>
          <w:sz w:val="18"/>
        </w:rPr>
      </w:r>
      <w:r w:rsidRPr="00E5433B">
        <w:rPr>
          <w:b w:val="0"/>
          <w:noProof/>
          <w:sz w:val="18"/>
        </w:rPr>
        <w:fldChar w:fldCharType="separate"/>
      </w:r>
      <w:r w:rsidRPr="00E5433B">
        <w:rPr>
          <w:b w:val="0"/>
          <w:noProof/>
          <w:sz w:val="18"/>
        </w:rPr>
        <w:t>7</w:t>
      </w:r>
      <w:r w:rsidRPr="00E5433B">
        <w:rPr>
          <w:b w:val="0"/>
          <w:noProof/>
          <w:sz w:val="18"/>
        </w:rPr>
        <w:fldChar w:fldCharType="end"/>
      </w:r>
    </w:p>
    <w:p w14:paraId="7BC400C0" w14:textId="5D199889" w:rsidR="00E5433B" w:rsidRPr="00E5433B" w:rsidRDefault="00E5433B">
      <w:pPr>
        <w:pStyle w:val="TOC3"/>
        <w:rPr>
          <w:rFonts w:eastAsiaTheme="minorEastAsia"/>
          <w:b w:val="0"/>
          <w:noProof/>
          <w:kern w:val="0"/>
          <w:sz w:val="18"/>
          <w:szCs w:val="22"/>
        </w:rPr>
      </w:pPr>
      <w:r>
        <w:rPr>
          <w:noProof/>
        </w:rPr>
        <w:t>Endnote 4—Amendment history</w:t>
      </w:r>
      <w:r w:rsidRPr="00E5433B">
        <w:rPr>
          <w:b w:val="0"/>
          <w:noProof/>
          <w:sz w:val="18"/>
        </w:rPr>
        <w:tab/>
      </w:r>
      <w:r w:rsidRPr="00E5433B">
        <w:rPr>
          <w:b w:val="0"/>
          <w:noProof/>
          <w:sz w:val="18"/>
        </w:rPr>
        <w:fldChar w:fldCharType="begin"/>
      </w:r>
      <w:r w:rsidRPr="00E5433B">
        <w:rPr>
          <w:b w:val="0"/>
          <w:noProof/>
          <w:sz w:val="18"/>
        </w:rPr>
        <w:instrText xml:space="preserve"> PAGEREF _Toc141356297 \h </w:instrText>
      </w:r>
      <w:r w:rsidRPr="00E5433B">
        <w:rPr>
          <w:b w:val="0"/>
          <w:noProof/>
          <w:sz w:val="18"/>
        </w:rPr>
      </w:r>
      <w:r w:rsidRPr="00E5433B">
        <w:rPr>
          <w:b w:val="0"/>
          <w:noProof/>
          <w:sz w:val="18"/>
        </w:rPr>
        <w:fldChar w:fldCharType="separate"/>
      </w:r>
      <w:r w:rsidRPr="00E5433B">
        <w:rPr>
          <w:b w:val="0"/>
          <w:noProof/>
          <w:sz w:val="18"/>
        </w:rPr>
        <w:t>8</w:t>
      </w:r>
      <w:r w:rsidRPr="00E5433B">
        <w:rPr>
          <w:b w:val="0"/>
          <w:noProof/>
          <w:sz w:val="18"/>
        </w:rPr>
        <w:fldChar w:fldCharType="end"/>
      </w:r>
    </w:p>
    <w:p w14:paraId="45B4B20F" w14:textId="54314FB9" w:rsidR="00F6696E" w:rsidRPr="00A802BC" w:rsidRDefault="00B418CB" w:rsidP="00F6696E">
      <w:pPr>
        <w:outlineLvl w:val="0"/>
        <w:rPr>
          <w:sz w:val="20"/>
        </w:rPr>
      </w:pPr>
      <w:r w:rsidRPr="00E5433B">
        <w:rPr>
          <w:rFonts w:cs="Times New Roman"/>
          <w:sz w:val="18"/>
        </w:rPr>
        <w:fldChar w:fldCharType="end"/>
      </w:r>
    </w:p>
    <w:p w14:paraId="401FB487" w14:textId="77777777" w:rsidR="00F6696E" w:rsidRDefault="00F6696E" w:rsidP="00F6696E">
      <w:pPr>
        <w:sectPr w:rsidR="00F6696E" w:rsidSect="000304CF">
          <w:headerReference w:type="even" r:id="rId19"/>
          <w:headerReference w:type="default" r:id="rId20"/>
          <w:footerReference w:type="even" r:id="rId21"/>
          <w:footerReference w:type="default" r:id="rId22"/>
          <w:headerReference w:type="first" r:id="rId23"/>
          <w:pgSz w:w="11907" w:h="16839"/>
          <w:pgMar w:top="2381" w:right="1797" w:bottom="1440" w:left="1797" w:header="720" w:footer="709" w:gutter="0"/>
          <w:pgNumType w:fmt="lowerRoman" w:start="1"/>
          <w:cols w:space="708"/>
          <w:docGrid w:linePitch="360"/>
        </w:sectPr>
      </w:pPr>
    </w:p>
    <w:p w14:paraId="54605E5E" w14:textId="7209BAFC" w:rsidR="003B0D43" w:rsidRPr="003A4B1A" w:rsidRDefault="00D031F4" w:rsidP="003B0D43">
      <w:pPr>
        <w:pStyle w:val="ActHead2"/>
      </w:pPr>
      <w:bookmarkStart w:id="1" w:name="_Toc141356284"/>
      <w:r>
        <w:rPr>
          <w:rStyle w:val="CharPartNo"/>
        </w:rPr>
        <w:lastRenderedPageBreak/>
        <w:t>Part 1</w:t>
      </w:r>
      <w:r w:rsidR="003B0D43" w:rsidRPr="003A4B1A">
        <w:t>—</w:t>
      </w:r>
      <w:r w:rsidR="003B0D43" w:rsidRPr="003A4B1A">
        <w:rPr>
          <w:rStyle w:val="CharPartText"/>
        </w:rPr>
        <w:t>Preliminary</w:t>
      </w:r>
      <w:bookmarkEnd w:id="1"/>
      <w:r w:rsidR="003B0D43" w:rsidRPr="003A4B1A">
        <w:rPr>
          <w:rStyle w:val="CharDivText"/>
        </w:rPr>
        <w:t xml:space="preserve"> </w:t>
      </w:r>
    </w:p>
    <w:p w14:paraId="1B5D7909" w14:textId="541FCFDA" w:rsidR="00554826" w:rsidRPr="00554826" w:rsidRDefault="00554826" w:rsidP="00554826">
      <w:pPr>
        <w:pStyle w:val="ActHead5"/>
      </w:pPr>
      <w:bookmarkStart w:id="2" w:name="_Toc141356285"/>
      <w:r w:rsidRPr="00554826">
        <w:t>1  Name</w:t>
      </w:r>
      <w:bookmarkEnd w:id="2"/>
    </w:p>
    <w:p w14:paraId="6BF90783" w14:textId="7EA93B58" w:rsidR="00554826" w:rsidRDefault="00554826" w:rsidP="00554826">
      <w:pPr>
        <w:pStyle w:val="subsection"/>
      </w:pPr>
      <w:r w:rsidRPr="009C2562">
        <w:tab/>
      </w:r>
      <w:r w:rsidRPr="009C2562">
        <w:tab/>
        <w:t xml:space="preserve">This </w:t>
      </w:r>
      <w:r>
        <w:t xml:space="preserve">instrument </w:t>
      </w:r>
      <w:r w:rsidRPr="009C2562">
        <w:t xml:space="preserve">is the </w:t>
      </w:r>
      <w:r w:rsidR="00BB2A27" w:rsidRPr="00BB2A27">
        <w:rPr>
          <w:i/>
        </w:rPr>
        <w:t>Telecommunications (Carrier Licence Exemption—</w:t>
      </w:r>
      <w:r w:rsidR="00D66279">
        <w:rPr>
          <w:i/>
        </w:rPr>
        <w:t>U</w:t>
      </w:r>
      <w:r w:rsidR="000C1D70">
        <w:rPr>
          <w:i/>
        </w:rPr>
        <w:t xml:space="preserve">se for specified </w:t>
      </w:r>
      <w:r w:rsidR="00BB2A27" w:rsidRPr="00BB2A27">
        <w:rPr>
          <w:i/>
        </w:rPr>
        <w:t xml:space="preserve">Queensland </w:t>
      </w:r>
      <w:r w:rsidR="000C1D70">
        <w:rPr>
          <w:i/>
        </w:rPr>
        <w:t>r</w:t>
      </w:r>
      <w:r w:rsidR="00BB2A27" w:rsidRPr="00BB2A27">
        <w:rPr>
          <w:i/>
        </w:rPr>
        <w:t xml:space="preserve">ail and </w:t>
      </w:r>
      <w:r w:rsidR="000C1D70">
        <w:rPr>
          <w:i/>
        </w:rPr>
        <w:t>e</w:t>
      </w:r>
      <w:r w:rsidR="00BB2A27" w:rsidRPr="00BB2A27">
        <w:rPr>
          <w:i/>
        </w:rPr>
        <w:t xml:space="preserve">lectricity services) </w:t>
      </w:r>
      <w:r w:rsidR="00D031F4">
        <w:rPr>
          <w:i/>
        </w:rPr>
        <w:t>Determination 2</w:t>
      </w:r>
      <w:r w:rsidR="00BB2A27" w:rsidRPr="00BB2A27">
        <w:rPr>
          <w:i/>
        </w:rPr>
        <w:t>021</w:t>
      </w:r>
      <w:r w:rsidRPr="009C2562">
        <w:t>.</w:t>
      </w:r>
    </w:p>
    <w:p w14:paraId="5DCB7BD0" w14:textId="198C1BAD" w:rsidR="00554826" w:rsidRPr="00554826" w:rsidRDefault="00554826" w:rsidP="00554826">
      <w:pPr>
        <w:pStyle w:val="ActHead5"/>
      </w:pPr>
      <w:bookmarkStart w:id="3" w:name="_Toc141356286"/>
      <w:r w:rsidRPr="00554826">
        <w:t>3  Authority</w:t>
      </w:r>
      <w:bookmarkEnd w:id="3"/>
    </w:p>
    <w:p w14:paraId="6259C5EF" w14:textId="68C0B573" w:rsidR="00554826" w:rsidRPr="009C2562" w:rsidRDefault="00554826" w:rsidP="00554826">
      <w:pPr>
        <w:pStyle w:val="subsection"/>
      </w:pPr>
      <w:r w:rsidRPr="009C2562">
        <w:tab/>
      </w:r>
      <w:r w:rsidRPr="009C2562">
        <w:tab/>
        <w:t xml:space="preserve">This instrument is made </w:t>
      </w:r>
      <w:r w:rsidR="00704F79">
        <w:t xml:space="preserve">under </w:t>
      </w:r>
      <w:r w:rsidR="00D031F4">
        <w:t>paragraph 5</w:t>
      </w:r>
      <w:r w:rsidR="00704F79" w:rsidRPr="00704F79">
        <w:t xml:space="preserve">1(1)(c) of the </w:t>
      </w:r>
      <w:r w:rsidR="00704F79" w:rsidRPr="00704F79">
        <w:rPr>
          <w:i/>
        </w:rPr>
        <w:t>Telecommunications Act 1997</w:t>
      </w:r>
      <w:r w:rsidRPr="009C2562">
        <w:t>.</w:t>
      </w:r>
    </w:p>
    <w:p w14:paraId="116CB9D3" w14:textId="797475D2" w:rsidR="00526F21" w:rsidRPr="00526F21" w:rsidRDefault="00526F21" w:rsidP="00845137">
      <w:pPr>
        <w:pStyle w:val="ActHead5"/>
        <w:rPr>
          <w:b w:val="0"/>
          <w:bCs/>
          <w:color w:val="000000"/>
          <w:szCs w:val="24"/>
        </w:rPr>
      </w:pPr>
      <w:bookmarkStart w:id="4" w:name="_Toc141356287"/>
      <w:r w:rsidRPr="00845137">
        <w:t>4</w:t>
      </w:r>
      <w:r w:rsidR="0098741D" w:rsidRPr="00554826">
        <w:t xml:space="preserve">  </w:t>
      </w:r>
      <w:r w:rsidRPr="00845137">
        <w:t>Repeal of this instrument</w:t>
      </w:r>
      <w:bookmarkEnd w:id="4"/>
      <w:r w:rsidRPr="00845137">
        <w:t xml:space="preserve"> </w:t>
      </w:r>
    </w:p>
    <w:p w14:paraId="13219E0F" w14:textId="687204E1" w:rsidR="00526F21" w:rsidRPr="00526F21" w:rsidRDefault="0098741D" w:rsidP="00526F21">
      <w:pPr>
        <w:shd w:val="clear" w:color="auto" w:fill="FFFFFF"/>
        <w:spacing w:before="180" w:line="240" w:lineRule="auto"/>
        <w:ind w:left="1134" w:hanging="1134"/>
        <w:rPr>
          <w:rFonts w:eastAsia="Times New Roman" w:cs="Times New Roman"/>
          <w:color w:val="000000"/>
          <w:szCs w:val="22"/>
          <w:lang w:eastAsia="en-AU"/>
        </w:rPr>
      </w:pPr>
      <w:r w:rsidRPr="009C2562">
        <w:tab/>
      </w:r>
      <w:r w:rsidRPr="009C2562">
        <w:tab/>
      </w:r>
      <w:r w:rsidR="00526F21" w:rsidRPr="00526F21">
        <w:rPr>
          <w:rFonts w:eastAsia="Times New Roman" w:cs="Times New Roman"/>
          <w:color w:val="000000"/>
          <w:szCs w:val="22"/>
          <w:lang w:eastAsia="en-AU"/>
        </w:rPr>
        <w:t xml:space="preserve">This </w:t>
      </w:r>
      <w:r w:rsidR="00526F21">
        <w:rPr>
          <w:rFonts w:eastAsia="Times New Roman" w:cs="Times New Roman"/>
          <w:color w:val="000000"/>
          <w:szCs w:val="22"/>
          <w:lang w:eastAsia="en-AU"/>
        </w:rPr>
        <w:t xml:space="preserve">instrument </w:t>
      </w:r>
      <w:r w:rsidR="00526F21" w:rsidRPr="00526F21">
        <w:rPr>
          <w:rFonts w:eastAsia="Times New Roman" w:cs="Times New Roman"/>
          <w:color w:val="000000"/>
          <w:szCs w:val="22"/>
          <w:lang w:eastAsia="en-AU"/>
        </w:rPr>
        <w:t xml:space="preserve">is repealed on </w:t>
      </w:r>
      <w:r w:rsidR="00D031F4">
        <w:t>1 July</w:t>
      </w:r>
      <w:r w:rsidR="00086CF3" w:rsidRPr="0069483D">
        <w:t xml:space="preserve"> 2028</w:t>
      </w:r>
      <w:r w:rsidR="00526F21" w:rsidRPr="00526F21">
        <w:rPr>
          <w:rFonts w:eastAsia="Times New Roman" w:cs="Times New Roman"/>
          <w:color w:val="000000"/>
          <w:szCs w:val="22"/>
          <w:lang w:eastAsia="en-AU"/>
        </w:rPr>
        <w:t>.</w:t>
      </w:r>
    </w:p>
    <w:p w14:paraId="290B46D4" w14:textId="7CA1C99C" w:rsidR="00554826" w:rsidRPr="00554826" w:rsidRDefault="00526F21" w:rsidP="00554826">
      <w:pPr>
        <w:pStyle w:val="ActHead5"/>
      </w:pPr>
      <w:bookmarkStart w:id="5" w:name="_Toc141356288"/>
      <w:r>
        <w:t>5</w:t>
      </w:r>
      <w:r w:rsidR="0098741D" w:rsidRPr="00554826">
        <w:t xml:space="preserve">  </w:t>
      </w:r>
      <w:r w:rsidR="00554826" w:rsidRPr="00554826">
        <w:t>Definitions</w:t>
      </w:r>
      <w:bookmarkEnd w:id="5"/>
    </w:p>
    <w:p w14:paraId="30A90729" w14:textId="61243DBF" w:rsidR="00554826" w:rsidRPr="009C2562" w:rsidRDefault="00554826" w:rsidP="00554826">
      <w:pPr>
        <w:pStyle w:val="notetext"/>
      </w:pPr>
      <w:r w:rsidRPr="00BB2A27">
        <w:t>Note:</w:t>
      </w:r>
      <w:r w:rsidRPr="00BB2A27">
        <w:tab/>
        <w:t xml:space="preserve">A number of expressions used in this instrument are defined in </w:t>
      </w:r>
      <w:r w:rsidR="00D031F4">
        <w:t>section 7</w:t>
      </w:r>
      <w:r w:rsidR="00BB2A27" w:rsidRPr="00BB2A27">
        <w:t xml:space="preserve"> </w:t>
      </w:r>
      <w:r w:rsidRPr="00BB2A27">
        <w:t>of the Act, including the following:</w:t>
      </w:r>
    </w:p>
    <w:p w14:paraId="1B0EEAF5" w14:textId="3DE82CB2" w:rsidR="0072430A" w:rsidRDefault="0098741D" w:rsidP="0098741D">
      <w:pPr>
        <w:pStyle w:val="notepara"/>
        <w:ind w:left="2345" w:hanging="360"/>
      </w:pPr>
      <w:r>
        <w:t>(a)</w:t>
      </w:r>
      <w:r>
        <w:tab/>
      </w:r>
      <w:r w:rsidR="0072430A">
        <w:t>ACMA; and</w:t>
      </w:r>
    </w:p>
    <w:p w14:paraId="5F84890F" w14:textId="1C81E2D8" w:rsidR="00554826" w:rsidRPr="009C2562" w:rsidRDefault="0098741D" w:rsidP="0098741D">
      <w:pPr>
        <w:pStyle w:val="notepara"/>
        <w:ind w:left="2345" w:hanging="360"/>
      </w:pPr>
      <w:r w:rsidRPr="009C2562">
        <w:t>(b)</w:t>
      </w:r>
      <w:r w:rsidRPr="009C2562">
        <w:tab/>
      </w:r>
      <w:r w:rsidR="0095694F" w:rsidRPr="0095694F">
        <w:t xml:space="preserve">carriage service. </w:t>
      </w:r>
    </w:p>
    <w:p w14:paraId="7A8AE421" w14:textId="77777777" w:rsidR="00554826" w:rsidRPr="009C2562" w:rsidRDefault="00554826" w:rsidP="00554826">
      <w:pPr>
        <w:pStyle w:val="subsection"/>
      </w:pPr>
      <w:r w:rsidRPr="009C2562">
        <w:tab/>
      </w:r>
      <w:r w:rsidRPr="009C2562">
        <w:tab/>
        <w:t>In this instrument:</w:t>
      </w:r>
    </w:p>
    <w:p w14:paraId="3D5EC478" w14:textId="77777777" w:rsidR="00704F79" w:rsidRPr="00704F79" w:rsidRDefault="00704F79" w:rsidP="00704F79">
      <w:pPr>
        <w:pStyle w:val="Definition"/>
        <w:rPr>
          <w:b/>
          <w:i/>
        </w:rPr>
      </w:pPr>
      <w:r w:rsidRPr="00704F79">
        <w:rPr>
          <w:b/>
          <w:i/>
        </w:rPr>
        <w:t xml:space="preserve">Act </w:t>
      </w:r>
      <w:r w:rsidRPr="00DD6502">
        <w:t>means</w:t>
      </w:r>
      <w:r w:rsidRPr="00DD6502">
        <w:rPr>
          <w:b/>
        </w:rPr>
        <w:t xml:space="preserve"> </w:t>
      </w:r>
      <w:r w:rsidRPr="00DD6502">
        <w:t>the</w:t>
      </w:r>
      <w:r w:rsidRPr="00704F79">
        <w:rPr>
          <w:i/>
        </w:rPr>
        <w:t xml:space="preserve"> Telecommunications Act 1997 (Cth).</w:t>
      </w:r>
    </w:p>
    <w:p w14:paraId="3F98F415" w14:textId="645FC2EF" w:rsidR="00301C28" w:rsidRDefault="00301C28" w:rsidP="0095694F">
      <w:pPr>
        <w:pStyle w:val="Definition"/>
        <w:rPr>
          <w:b/>
          <w:i/>
        </w:rPr>
      </w:pPr>
      <w:r w:rsidRPr="00301C28">
        <w:rPr>
          <w:b/>
          <w:i/>
        </w:rPr>
        <w:t xml:space="preserve">Aurizon </w:t>
      </w:r>
      <w:r w:rsidRPr="00301C28">
        <w:t>means</w:t>
      </w:r>
      <w:r>
        <w:rPr>
          <w:b/>
        </w:rPr>
        <w:t xml:space="preserve"> </w:t>
      </w:r>
      <w:r w:rsidRPr="00301C28">
        <w:t>Aurizon Holdings Limited (ACN 14</w:t>
      </w:r>
      <w:r w:rsidR="00D031F4">
        <w:t>6 3</w:t>
      </w:r>
      <w:r w:rsidRPr="00301C28">
        <w:t>3</w:t>
      </w:r>
      <w:r w:rsidR="00D031F4">
        <w:t>5 6</w:t>
      </w:r>
      <w:r w:rsidRPr="00301C28">
        <w:t>22</w:t>
      </w:r>
      <w:r w:rsidR="00130F0C">
        <w:t xml:space="preserve">), </w:t>
      </w:r>
      <w:r w:rsidR="00130F0C" w:rsidRPr="0095694F">
        <w:t>a corporation constituted pursuant to the Corp</w:t>
      </w:r>
      <w:r w:rsidR="00130F0C">
        <w:t>orations Act.</w:t>
      </w:r>
      <w:r>
        <w:rPr>
          <w:b/>
          <w:i/>
        </w:rPr>
        <w:t xml:space="preserve"> </w:t>
      </w:r>
    </w:p>
    <w:p w14:paraId="77A3FA72" w14:textId="03CA2261" w:rsidR="0095694F" w:rsidRPr="0095694F" w:rsidRDefault="0095694F" w:rsidP="0095694F">
      <w:pPr>
        <w:pStyle w:val="Definition"/>
      </w:pPr>
      <w:r w:rsidRPr="00BB2A27">
        <w:rPr>
          <w:b/>
          <w:i/>
        </w:rPr>
        <w:t>Corp</w:t>
      </w:r>
      <w:r w:rsidR="00130F0C">
        <w:rPr>
          <w:b/>
          <w:i/>
        </w:rPr>
        <w:t>orations</w:t>
      </w:r>
      <w:r w:rsidRPr="00BB2A27">
        <w:rPr>
          <w:b/>
          <w:i/>
        </w:rPr>
        <w:t xml:space="preserve"> Act</w:t>
      </w:r>
      <w:r w:rsidRPr="0095694F">
        <w:t xml:space="preserve"> </w:t>
      </w:r>
      <w:r>
        <w:t xml:space="preserve">means the </w:t>
      </w:r>
      <w:r w:rsidRPr="0095694F">
        <w:rPr>
          <w:i/>
        </w:rPr>
        <w:t>Corporations Act 2001</w:t>
      </w:r>
      <w:r w:rsidRPr="0095694F">
        <w:t xml:space="preserve"> </w:t>
      </w:r>
      <w:r w:rsidRPr="0095694F">
        <w:rPr>
          <w:i/>
        </w:rPr>
        <w:t>(Cth)</w:t>
      </w:r>
      <w:r w:rsidRPr="0095694F">
        <w:t xml:space="preserve">. </w:t>
      </w:r>
    </w:p>
    <w:p w14:paraId="68CBD2DC" w14:textId="0061C8AA" w:rsidR="00704F79" w:rsidRPr="00704F79" w:rsidRDefault="00704F79" w:rsidP="00704F79">
      <w:pPr>
        <w:pStyle w:val="Definition"/>
      </w:pPr>
      <w:r w:rsidRPr="00704F79">
        <w:rPr>
          <w:b/>
          <w:i/>
        </w:rPr>
        <w:t xml:space="preserve">Designated Communications Infrastructure </w:t>
      </w:r>
      <w:r w:rsidRPr="00704F79">
        <w:t>means the telecommunications infrastructure situated in the State of Queensland, and owned by:</w:t>
      </w:r>
    </w:p>
    <w:p w14:paraId="6E652E0A" w14:textId="2F459C17" w:rsidR="00704F79" w:rsidRPr="00704F79" w:rsidRDefault="0098741D" w:rsidP="0098741D">
      <w:pPr>
        <w:pStyle w:val="Definition"/>
        <w:ind w:left="1854" w:hanging="360"/>
      </w:pPr>
      <w:r w:rsidRPr="00704F79">
        <w:t>(a)</w:t>
      </w:r>
      <w:r w:rsidRPr="00704F79">
        <w:tab/>
      </w:r>
      <w:r w:rsidR="00301C28">
        <w:t>Aurizon</w:t>
      </w:r>
      <w:r w:rsidR="00704F79" w:rsidRPr="00704F79">
        <w:t>; or</w:t>
      </w:r>
    </w:p>
    <w:p w14:paraId="3AA439F5" w14:textId="276D82F4" w:rsidR="00704F79" w:rsidRPr="00704F79" w:rsidRDefault="0098741D" w:rsidP="0098741D">
      <w:pPr>
        <w:pStyle w:val="Definition"/>
        <w:ind w:left="1854" w:hanging="360"/>
      </w:pPr>
      <w:r w:rsidRPr="00704F79">
        <w:t>(b)</w:t>
      </w:r>
      <w:r w:rsidRPr="00704F79">
        <w:tab/>
      </w:r>
      <w:r w:rsidR="00704F79" w:rsidRPr="00704F79">
        <w:t>QTH; or</w:t>
      </w:r>
    </w:p>
    <w:p w14:paraId="49503D73" w14:textId="6A7F0EF3" w:rsidR="00704F79" w:rsidRPr="00704F79" w:rsidRDefault="0098741D" w:rsidP="0098741D">
      <w:pPr>
        <w:pStyle w:val="Definition"/>
        <w:ind w:left="1854" w:hanging="360"/>
      </w:pPr>
      <w:r w:rsidRPr="00704F79">
        <w:t>(c)</w:t>
      </w:r>
      <w:r w:rsidRPr="00704F79">
        <w:tab/>
      </w:r>
      <w:r w:rsidR="00704F79" w:rsidRPr="00704F79">
        <w:t>Queensland Rail; or</w:t>
      </w:r>
    </w:p>
    <w:p w14:paraId="26524FA1" w14:textId="266BBC4E" w:rsidR="00704F79" w:rsidRPr="00704F79" w:rsidRDefault="0098741D" w:rsidP="0098741D">
      <w:pPr>
        <w:pStyle w:val="Definition"/>
        <w:ind w:left="1854" w:hanging="360"/>
      </w:pPr>
      <w:r w:rsidRPr="00704F79">
        <w:t>(d)</w:t>
      </w:r>
      <w:r w:rsidRPr="00704F79">
        <w:tab/>
      </w:r>
      <w:r w:rsidR="00704F79" w:rsidRPr="00704F79">
        <w:t xml:space="preserve">a related body corporate of an entity referred to in </w:t>
      </w:r>
      <w:r w:rsidR="00D031F4">
        <w:t>paragraph (</w:t>
      </w:r>
      <w:r w:rsidR="00704F79" w:rsidRPr="00704F79">
        <w:t>a), (b), or (c) above.</w:t>
      </w:r>
    </w:p>
    <w:p w14:paraId="3EC587B7" w14:textId="7347FB96" w:rsidR="00704F79" w:rsidRPr="00704F79" w:rsidRDefault="00704F79" w:rsidP="00704F79">
      <w:pPr>
        <w:pStyle w:val="Definition"/>
      </w:pPr>
      <w:r w:rsidRPr="00704F79">
        <w:rPr>
          <w:b/>
          <w:i/>
        </w:rPr>
        <w:t>Permitted Electricity</w:t>
      </w:r>
      <w:r w:rsidR="00D031F4">
        <w:rPr>
          <w:b/>
          <w:i/>
        </w:rPr>
        <w:noBreakHyphen/>
      </w:r>
      <w:r w:rsidRPr="00704F79">
        <w:rPr>
          <w:b/>
          <w:i/>
        </w:rPr>
        <w:t xml:space="preserve">related Services </w:t>
      </w:r>
      <w:r w:rsidRPr="00704F79">
        <w:t>means any carriage service that is provided to Powerlink necessary or desirable for managing the generation, transmission, distribution or supply of electricity or the charging for the supply of electricity.</w:t>
      </w:r>
    </w:p>
    <w:p w14:paraId="3AF4421C" w14:textId="2869FE72" w:rsidR="00704F79" w:rsidRPr="00704F79" w:rsidRDefault="00704F79" w:rsidP="00704F79">
      <w:pPr>
        <w:pStyle w:val="Definition"/>
      </w:pPr>
      <w:r w:rsidRPr="00704F79">
        <w:rPr>
          <w:b/>
          <w:i/>
        </w:rPr>
        <w:t>Permitted Rail</w:t>
      </w:r>
      <w:r w:rsidR="00D031F4">
        <w:rPr>
          <w:b/>
          <w:i/>
        </w:rPr>
        <w:noBreakHyphen/>
      </w:r>
      <w:r w:rsidRPr="00704F79">
        <w:rPr>
          <w:b/>
          <w:i/>
        </w:rPr>
        <w:t xml:space="preserve">related Services </w:t>
      </w:r>
      <w:r w:rsidRPr="00704F79">
        <w:t xml:space="preserve">means any carriage service that is provided to: </w:t>
      </w:r>
    </w:p>
    <w:p w14:paraId="479902B7" w14:textId="245DA8ED" w:rsidR="00704F79" w:rsidRPr="0095694F" w:rsidRDefault="00457089" w:rsidP="00457089">
      <w:pPr>
        <w:pStyle w:val="paragraph"/>
      </w:pPr>
      <w:r>
        <w:lastRenderedPageBreak/>
        <w:tab/>
      </w:r>
      <w:r w:rsidR="0098741D" w:rsidRPr="0095694F">
        <w:t>(a)</w:t>
      </w:r>
      <w:r w:rsidR="0098741D" w:rsidRPr="0095694F">
        <w:tab/>
      </w:r>
      <w:r w:rsidR="00301C28">
        <w:t>Aurizon</w:t>
      </w:r>
      <w:r w:rsidR="00704F79" w:rsidRPr="0095694F">
        <w:t>; or</w:t>
      </w:r>
    </w:p>
    <w:p w14:paraId="5409F873" w14:textId="44E3F227" w:rsidR="00704F79" w:rsidRPr="0095694F" w:rsidRDefault="00457089" w:rsidP="00457089">
      <w:pPr>
        <w:pStyle w:val="paragraph"/>
      </w:pPr>
      <w:r>
        <w:tab/>
      </w:r>
      <w:r w:rsidR="0098741D" w:rsidRPr="0095694F">
        <w:t>(b)</w:t>
      </w:r>
      <w:r w:rsidR="0098741D" w:rsidRPr="0095694F">
        <w:tab/>
      </w:r>
      <w:r w:rsidR="00704F79" w:rsidRPr="0095694F">
        <w:t>Queensland Rail; or</w:t>
      </w:r>
    </w:p>
    <w:p w14:paraId="1D8D490B" w14:textId="0CB7723C" w:rsidR="0095694F" w:rsidRDefault="00457089" w:rsidP="00457089">
      <w:pPr>
        <w:pStyle w:val="paragraph"/>
      </w:pPr>
      <w:r>
        <w:tab/>
      </w:r>
      <w:r w:rsidR="0098741D">
        <w:t>(c)</w:t>
      </w:r>
      <w:r w:rsidR="0098741D">
        <w:tab/>
      </w:r>
      <w:r w:rsidR="00704F79" w:rsidRPr="0095694F">
        <w:t xml:space="preserve">a related body corporate of an entity referred to in </w:t>
      </w:r>
      <w:r w:rsidR="00D031F4">
        <w:t>paragraph (</w:t>
      </w:r>
      <w:r w:rsidR="00704F79" w:rsidRPr="0095694F">
        <w:t>a) or (b) above;</w:t>
      </w:r>
    </w:p>
    <w:p w14:paraId="5037E8BD" w14:textId="77777777" w:rsidR="00704F79" w:rsidRPr="0095694F" w:rsidRDefault="00704F79" w:rsidP="00BB2A27">
      <w:pPr>
        <w:pStyle w:val="Definition"/>
        <w:spacing w:before="120"/>
      </w:pPr>
      <w:r w:rsidRPr="0095694F">
        <w:t>necessary or desirable for the workings of train services.</w:t>
      </w:r>
    </w:p>
    <w:p w14:paraId="6DE739E5" w14:textId="2EC6313A" w:rsidR="00704F79" w:rsidRPr="0095694F" w:rsidRDefault="00704F79" w:rsidP="00704F79">
      <w:pPr>
        <w:pStyle w:val="Definition"/>
      </w:pPr>
      <w:r w:rsidRPr="0095694F">
        <w:rPr>
          <w:b/>
          <w:i/>
        </w:rPr>
        <w:t>Powerlink</w:t>
      </w:r>
      <w:r w:rsidRPr="00704F79">
        <w:rPr>
          <w:i/>
        </w:rPr>
        <w:t xml:space="preserve"> </w:t>
      </w:r>
      <w:r w:rsidRPr="0095694F">
        <w:t>means the Queensland Electricity Transmission Corporation Limited (ACN 07</w:t>
      </w:r>
      <w:r w:rsidR="00D031F4">
        <w:t>8 8</w:t>
      </w:r>
      <w:r w:rsidRPr="0095694F">
        <w:t>4</w:t>
      </w:r>
      <w:r w:rsidR="00D031F4">
        <w:t>9 2</w:t>
      </w:r>
      <w:r w:rsidRPr="0095694F">
        <w:t xml:space="preserve">33), a corporation constituted pursuant to the Corporations Act 2001 (Cth), and declared to be a government owned corporation pursuant to the </w:t>
      </w:r>
      <w:r w:rsidRPr="0095694F">
        <w:rPr>
          <w:i/>
        </w:rPr>
        <w:t>Government Owned Corporations Act 1993</w:t>
      </w:r>
      <w:r w:rsidRPr="0095694F">
        <w:t xml:space="preserve"> (Qld), trading as Powerlink Queensland.</w:t>
      </w:r>
    </w:p>
    <w:p w14:paraId="5AA507BE" w14:textId="77777777" w:rsidR="00704F79" w:rsidRPr="0095694F" w:rsidRDefault="00704F79" w:rsidP="00704F79">
      <w:pPr>
        <w:pStyle w:val="Definition"/>
      </w:pPr>
      <w:r w:rsidRPr="00704F79">
        <w:rPr>
          <w:b/>
          <w:i/>
        </w:rPr>
        <w:t xml:space="preserve">Powerlink Communications Infrastructure </w:t>
      </w:r>
      <w:r w:rsidRPr="0095694F">
        <w:t>means the telecommunications infrastructure situated in the State of Queensland, and owned by Powerlink.</w:t>
      </w:r>
    </w:p>
    <w:p w14:paraId="56707514" w14:textId="344AE81A" w:rsidR="00704F79" w:rsidRPr="0095694F" w:rsidRDefault="00704F79" w:rsidP="00704F79">
      <w:pPr>
        <w:pStyle w:val="Definition"/>
      </w:pPr>
      <w:r w:rsidRPr="00704F79">
        <w:rPr>
          <w:b/>
          <w:i/>
        </w:rPr>
        <w:t xml:space="preserve">QTH </w:t>
      </w:r>
      <w:r w:rsidRPr="00130F0C">
        <w:t>means</w:t>
      </w:r>
      <w:r w:rsidRPr="00704F79">
        <w:rPr>
          <w:b/>
          <w:i/>
        </w:rPr>
        <w:t xml:space="preserve"> </w:t>
      </w:r>
      <w:r w:rsidRPr="0095694F">
        <w:t>Queensland Treasury Holdings Pty Ltd (ACN 01</w:t>
      </w:r>
      <w:r w:rsidR="00D031F4">
        <w:t>1 0</w:t>
      </w:r>
      <w:r w:rsidRPr="0095694F">
        <w:t>2</w:t>
      </w:r>
      <w:r w:rsidR="00D031F4">
        <w:t>7 2</w:t>
      </w:r>
      <w:r w:rsidRPr="0095694F">
        <w:t>95), a corporation constituted pursuant to the Corp</w:t>
      </w:r>
      <w:r w:rsidR="00130F0C">
        <w:t>orations</w:t>
      </w:r>
      <w:r w:rsidR="0095694F">
        <w:t xml:space="preserve"> </w:t>
      </w:r>
      <w:r w:rsidRPr="0095694F">
        <w:t xml:space="preserve">Act. </w:t>
      </w:r>
    </w:p>
    <w:p w14:paraId="3348511D" w14:textId="61BEC042" w:rsidR="00704F79" w:rsidRPr="0095694F" w:rsidRDefault="00704F79" w:rsidP="00704F79">
      <w:pPr>
        <w:pStyle w:val="Definition"/>
      </w:pPr>
      <w:r w:rsidRPr="00704F79">
        <w:rPr>
          <w:b/>
          <w:i/>
        </w:rPr>
        <w:t xml:space="preserve">Queensland Rail </w:t>
      </w:r>
      <w:r w:rsidRPr="0095694F">
        <w:t>means Queensland Rail Limited (ACN 13</w:t>
      </w:r>
      <w:r w:rsidR="00D031F4">
        <w:t>2 1</w:t>
      </w:r>
      <w:r w:rsidRPr="0095694F">
        <w:t>8</w:t>
      </w:r>
      <w:r w:rsidR="00D031F4">
        <w:t>1 0</w:t>
      </w:r>
      <w:r w:rsidRPr="0095694F">
        <w:t xml:space="preserve">90), a corporation constituted pursuant to the </w:t>
      </w:r>
      <w:r w:rsidR="0095694F">
        <w:t>Corp</w:t>
      </w:r>
      <w:r w:rsidR="00130F0C">
        <w:t>orations</w:t>
      </w:r>
      <w:r w:rsidR="0095694F">
        <w:t xml:space="preserve"> Act</w:t>
      </w:r>
      <w:r w:rsidRPr="0095694F">
        <w:t xml:space="preserve">, and declared to be a government owned corporation pursuant to the </w:t>
      </w:r>
      <w:r w:rsidRPr="0095694F">
        <w:rPr>
          <w:i/>
        </w:rPr>
        <w:t>Government Owned Corporations Act 1993</w:t>
      </w:r>
      <w:r w:rsidRPr="0095694F">
        <w:t xml:space="preserve"> (Qld).</w:t>
      </w:r>
    </w:p>
    <w:p w14:paraId="785C9EFF" w14:textId="78465097" w:rsidR="00704F79" w:rsidRDefault="00704F79" w:rsidP="00704F79">
      <w:pPr>
        <w:pStyle w:val="Definition"/>
      </w:pPr>
      <w:r w:rsidRPr="00704F79">
        <w:rPr>
          <w:b/>
          <w:i/>
        </w:rPr>
        <w:t xml:space="preserve">related body corporate </w:t>
      </w:r>
      <w:r w:rsidRPr="0095694F">
        <w:t xml:space="preserve">has the meaning given to it by the </w:t>
      </w:r>
      <w:r w:rsidR="0095694F" w:rsidRPr="0095694F">
        <w:t>Corp</w:t>
      </w:r>
      <w:r w:rsidR="00130F0C">
        <w:t>orations</w:t>
      </w:r>
      <w:r w:rsidR="0095694F" w:rsidRPr="0095694F">
        <w:t xml:space="preserve"> Act</w:t>
      </w:r>
      <w:r w:rsidRPr="0095694F">
        <w:t>.</w:t>
      </w:r>
    </w:p>
    <w:p w14:paraId="3C8EBB79" w14:textId="129367D5" w:rsidR="00E6227B" w:rsidRPr="0095694F" w:rsidRDefault="00E6227B" w:rsidP="00704F79">
      <w:pPr>
        <w:pStyle w:val="Definition"/>
      </w:pPr>
      <w:r>
        <w:rPr>
          <w:b/>
          <w:i/>
        </w:rPr>
        <w:t xml:space="preserve">report date </w:t>
      </w:r>
      <w:r w:rsidRPr="00DD6502">
        <w:t>means</w:t>
      </w:r>
      <w:r>
        <w:rPr>
          <w:b/>
          <w:i/>
        </w:rPr>
        <w:t xml:space="preserve"> </w:t>
      </w:r>
      <w:r w:rsidR="00D031F4">
        <w:t>30 May</w:t>
      </w:r>
      <w:r w:rsidR="002A3234">
        <w:t xml:space="preserve"> </w:t>
      </w:r>
      <w:r w:rsidR="00D61EBA">
        <w:t>of a calendar year</w:t>
      </w:r>
      <w:r>
        <w:t xml:space="preserve">. </w:t>
      </w:r>
    </w:p>
    <w:p w14:paraId="71536226" w14:textId="228B8DEF" w:rsidR="003B0D43" w:rsidRPr="00F426CF" w:rsidRDefault="003B0D43" w:rsidP="00F426CF">
      <w:pPr>
        <w:pStyle w:val="ActHead2"/>
        <w:pageBreakBefore/>
        <w:rPr>
          <w:rStyle w:val="CharPartNo"/>
        </w:rPr>
      </w:pPr>
      <w:bookmarkStart w:id="6" w:name="_Toc141356289"/>
      <w:r w:rsidRPr="003A4B1A">
        <w:rPr>
          <w:rStyle w:val="CharPartNo"/>
        </w:rPr>
        <w:lastRenderedPageBreak/>
        <w:t>Part </w:t>
      </w:r>
      <w:r>
        <w:rPr>
          <w:rStyle w:val="CharPartNo"/>
        </w:rPr>
        <w:t>2</w:t>
      </w:r>
      <w:r w:rsidRPr="00A17803">
        <w:rPr>
          <w:rStyle w:val="CharPartNo"/>
        </w:rPr>
        <w:t>—Exemption</w:t>
      </w:r>
      <w:r w:rsidR="003B24E3">
        <w:rPr>
          <w:rStyle w:val="CharPartNo"/>
        </w:rPr>
        <w:t>s</w:t>
      </w:r>
      <w:r w:rsidRPr="00A17803">
        <w:rPr>
          <w:rStyle w:val="CharPartNo"/>
        </w:rPr>
        <w:t xml:space="preserve"> and conditions</w:t>
      </w:r>
      <w:bookmarkEnd w:id="6"/>
    </w:p>
    <w:p w14:paraId="5824A755" w14:textId="7731F9D4" w:rsidR="00BB2A27" w:rsidRPr="00BB2A27" w:rsidRDefault="003B0D43" w:rsidP="00BB2A27">
      <w:pPr>
        <w:pStyle w:val="ActHead5"/>
      </w:pPr>
      <w:bookmarkStart w:id="7" w:name="_Toc141356290"/>
      <w:r>
        <w:t>7</w:t>
      </w:r>
      <w:r w:rsidR="00554826" w:rsidRPr="00BB2A27">
        <w:t xml:space="preserve">  </w:t>
      </w:r>
      <w:r w:rsidR="00BB2A27" w:rsidRPr="00BB2A27">
        <w:t>Exemption–</w:t>
      </w:r>
      <w:r w:rsidR="00786395" w:rsidRPr="00BB2A27">
        <w:t>Designated Communications Infrastructure</w:t>
      </w:r>
      <w:bookmarkEnd w:id="7"/>
      <w:r w:rsidR="00786395" w:rsidRPr="00BB2A27">
        <w:t xml:space="preserve"> </w:t>
      </w:r>
    </w:p>
    <w:p w14:paraId="1134411F" w14:textId="77079364" w:rsidR="00BB2A27" w:rsidRPr="00BB2A27" w:rsidRDefault="00A156E9" w:rsidP="00BB2A27">
      <w:pPr>
        <w:pStyle w:val="subsection"/>
      </w:pPr>
      <w:r>
        <w:tab/>
      </w:r>
      <w:r>
        <w:tab/>
      </w:r>
      <w:r w:rsidR="00D33EBD" w:rsidRPr="00D33EBD">
        <w:t xml:space="preserve">Subject to the conditions set out in </w:t>
      </w:r>
      <w:r w:rsidR="00D031F4">
        <w:t>subsection 9</w:t>
      </w:r>
      <w:r w:rsidR="00D61EBA">
        <w:t xml:space="preserve">(1) </w:t>
      </w:r>
      <w:r w:rsidR="00D33EBD" w:rsidRPr="00D33EBD">
        <w:t xml:space="preserve">of this instrument, </w:t>
      </w:r>
      <w:r w:rsidR="00D031F4">
        <w:t>section 4</w:t>
      </w:r>
      <w:r w:rsidR="00BB2A27" w:rsidRPr="00BB2A27">
        <w:t xml:space="preserve">2 of the Act does not apply in relation to the use of Designated Communications Infrastructure by: </w:t>
      </w:r>
    </w:p>
    <w:p w14:paraId="1CB3028D" w14:textId="68C5884D" w:rsidR="00BB2A27" w:rsidRPr="00BB2A27" w:rsidRDefault="0098741D" w:rsidP="0098741D">
      <w:pPr>
        <w:pStyle w:val="Definition"/>
        <w:ind w:left="1854" w:hanging="360"/>
      </w:pPr>
      <w:r w:rsidRPr="00BB2A27">
        <w:t>(a)</w:t>
      </w:r>
      <w:r w:rsidRPr="00BB2A27">
        <w:tab/>
      </w:r>
      <w:r w:rsidR="00130F0C">
        <w:t>Aurizon</w:t>
      </w:r>
      <w:r w:rsidR="00BB2A27" w:rsidRPr="00BB2A27">
        <w:t xml:space="preserve">; or  </w:t>
      </w:r>
    </w:p>
    <w:p w14:paraId="1A75AF38" w14:textId="325E5A93" w:rsidR="00BB2A27" w:rsidRPr="00BB2A27" w:rsidRDefault="0098741D" w:rsidP="0098741D">
      <w:pPr>
        <w:pStyle w:val="Definition"/>
        <w:ind w:left="1854" w:hanging="360"/>
      </w:pPr>
      <w:r w:rsidRPr="00BB2A27">
        <w:t>(b)</w:t>
      </w:r>
      <w:r w:rsidRPr="00BB2A27">
        <w:tab/>
      </w:r>
      <w:r w:rsidR="00BB2A27" w:rsidRPr="00BB2A27">
        <w:t xml:space="preserve">Queensland Rail; or </w:t>
      </w:r>
    </w:p>
    <w:p w14:paraId="2FCFC293" w14:textId="23D2D9B5" w:rsidR="00BB2A27" w:rsidRPr="00BB2A27" w:rsidRDefault="0098741D" w:rsidP="0098741D">
      <w:pPr>
        <w:pStyle w:val="Definition"/>
        <w:ind w:left="1854" w:hanging="360"/>
      </w:pPr>
      <w:r w:rsidRPr="00BB2A27">
        <w:t>(c)</w:t>
      </w:r>
      <w:r w:rsidRPr="00BB2A27">
        <w:tab/>
      </w:r>
      <w:r w:rsidR="00BB2A27" w:rsidRPr="00BB2A27">
        <w:t xml:space="preserve">a related body corporate of an entity referred to in </w:t>
      </w:r>
      <w:r w:rsidR="00D031F4">
        <w:t>paragraph (</w:t>
      </w:r>
      <w:r w:rsidR="00BB2A27" w:rsidRPr="00BB2A27">
        <w:t>a) or (b) above;</w:t>
      </w:r>
    </w:p>
    <w:p w14:paraId="4ADDD519" w14:textId="5F5DA7C4" w:rsidR="00786395" w:rsidRPr="00BB2A27" w:rsidRDefault="0098741D" w:rsidP="00F426CF">
      <w:pPr>
        <w:pStyle w:val="subsection"/>
        <w:spacing w:before="120"/>
      </w:pPr>
      <w:r>
        <w:tab/>
      </w:r>
      <w:r>
        <w:tab/>
      </w:r>
      <w:r w:rsidR="00BB2A27" w:rsidRPr="00BB2A27">
        <w:t>for the supply of Permitted Electricity</w:t>
      </w:r>
      <w:r w:rsidR="00D031F4">
        <w:noBreakHyphen/>
      </w:r>
      <w:r w:rsidR="00BB2A27" w:rsidRPr="00BB2A27">
        <w:t>related Services.</w:t>
      </w:r>
    </w:p>
    <w:p w14:paraId="3B44F1FB" w14:textId="35D082F8" w:rsidR="00786395" w:rsidRPr="00A156E9" w:rsidRDefault="003B0D43" w:rsidP="00BB2A27">
      <w:pPr>
        <w:pStyle w:val="ActHead5"/>
      </w:pPr>
      <w:bookmarkStart w:id="8" w:name="_Toc141356291"/>
      <w:r>
        <w:t>8</w:t>
      </w:r>
      <w:r w:rsidR="008C70D0" w:rsidRPr="00554826">
        <w:t xml:space="preserve">  </w:t>
      </w:r>
      <w:r w:rsidR="00BB2A27" w:rsidRPr="00A156E9">
        <w:t>Exemption–</w:t>
      </w:r>
      <w:r w:rsidR="00786395" w:rsidRPr="00A156E9">
        <w:t>Powerlink Communications Infrastructure</w:t>
      </w:r>
      <w:bookmarkEnd w:id="8"/>
      <w:r w:rsidR="00786395" w:rsidRPr="00A156E9">
        <w:t xml:space="preserve"> </w:t>
      </w:r>
    </w:p>
    <w:p w14:paraId="5F03F21D" w14:textId="545E3377" w:rsidR="00554826" w:rsidRPr="006A154F" w:rsidRDefault="00D33EBD" w:rsidP="00786395">
      <w:pPr>
        <w:pStyle w:val="subsection"/>
        <w:rPr>
          <w:highlight w:val="yellow"/>
        </w:rPr>
      </w:pPr>
      <w:r>
        <w:tab/>
      </w:r>
      <w:r>
        <w:tab/>
      </w:r>
      <w:r w:rsidRPr="00D33EBD">
        <w:t>Subject to the</w:t>
      </w:r>
      <w:r w:rsidR="00D61EBA">
        <w:t xml:space="preserve"> conditions set out in </w:t>
      </w:r>
      <w:r w:rsidR="00D031F4">
        <w:t>subsection 9</w:t>
      </w:r>
      <w:r w:rsidR="00D61EBA">
        <w:t>(2)</w:t>
      </w:r>
      <w:r w:rsidRPr="00D33EBD">
        <w:t xml:space="preserve"> of this instrument, </w:t>
      </w:r>
      <w:r w:rsidR="00D031F4">
        <w:t>section 4</w:t>
      </w:r>
      <w:r w:rsidR="00786395">
        <w:t>2 of the Act does not apply in relation to the use of Powerlink Communications Infrastructure by Powerlink for the supply of Permitted Rail‑related Services.</w:t>
      </w:r>
    </w:p>
    <w:p w14:paraId="37A6A9FD" w14:textId="4FE751F3" w:rsidR="0072430A" w:rsidRDefault="003B0D43" w:rsidP="0072430A">
      <w:pPr>
        <w:pStyle w:val="ActHead5"/>
      </w:pPr>
      <w:bookmarkStart w:id="9" w:name="_Toc141356292"/>
      <w:r>
        <w:t>9</w:t>
      </w:r>
      <w:r w:rsidR="0072430A" w:rsidRPr="00554826">
        <w:t xml:space="preserve">  </w:t>
      </w:r>
      <w:r w:rsidR="0072430A">
        <w:t>Conditions</w:t>
      </w:r>
      <w:bookmarkEnd w:id="9"/>
      <w:r w:rsidR="0072430A">
        <w:t xml:space="preserve"> </w:t>
      </w:r>
    </w:p>
    <w:p w14:paraId="443185EB" w14:textId="2A6B5ED0" w:rsidR="00340492" w:rsidRDefault="0098741D" w:rsidP="0098741D">
      <w:pPr>
        <w:pStyle w:val="subsection"/>
      </w:pPr>
      <w:r>
        <w:tab/>
      </w:r>
      <w:r w:rsidR="002F69CF">
        <w:t>(1</w:t>
      </w:r>
      <w:r w:rsidR="00340492">
        <w:t>)</w:t>
      </w:r>
      <w:r w:rsidR="002C458E">
        <w:tab/>
      </w:r>
      <w:r w:rsidR="00340492">
        <w:t xml:space="preserve">For the purposes of </w:t>
      </w:r>
      <w:r w:rsidR="00D031F4">
        <w:t>section 7</w:t>
      </w:r>
      <w:r w:rsidR="00340492">
        <w:t xml:space="preserve"> of this instrument, the following conditions are specified:</w:t>
      </w:r>
    </w:p>
    <w:p w14:paraId="08E567AB" w14:textId="241F0196" w:rsidR="00A156E9" w:rsidRDefault="0098741D" w:rsidP="0098741D">
      <w:pPr>
        <w:pStyle w:val="paragraph"/>
      </w:pPr>
      <w:r>
        <w:tab/>
      </w:r>
      <w:r w:rsidR="00A156E9">
        <w:t>(</w:t>
      </w:r>
      <w:r w:rsidR="00340492">
        <w:t>a</w:t>
      </w:r>
      <w:r w:rsidR="00A156E9">
        <w:t>)</w:t>
      </w:r>
      <w:r w:rsidR="002C458E">
        <w:tab/>
      </w:r>
      <w:r w:rsidR="00A156E9">
        <w:t xml:space="preserve">Aurizon must provide to the ACMA within 30 days after the end of each </w:t>
      </w:r>
      <w:r w:rsidR="00E5048B">
        <w:t xml:space="preserve">report date </w:t>
      </w:r>
      <w:r w:rsidR="00A156E9">
        <w:t>during which this instrument is in force, a written report setting out the following:</w:t>
      </w:r>
    </w:p>
    <w:p w14:paraId="35C27063" w14:textId="7957475E" w:rsidR="002C458E" w:rsidRDefault="0098741D" w:rsidP="0098741D">
      <w:pPr>
        <w:pStyle w:val="paragraphsub"/>
      </w:pPr>
      <w:r>
        <w:tab/>
      </w:r>
      <w:r w:rsidR="00A156E9">
        <w:t>(i)</w:t>
      </w:r>
      <w:r>
        <w:tab/>
      </w:r>
      <w:r w:rsidR="00A156E9">
        <w:t xml:space="preserve">the locations of </w:t>
      </w:r>
      <w:r w:rsidR="00A156E9" w:rsidRPr="00A156E9">
        <w:t xml:space="preserve">Designated Communications Infrastructure </w:t>
      </w:r>
      <w:r w:rsidR="00A156E9">
        <w:t xml:space="preserve">and technology type(s) </w:t>
      </w:r>
      <w:r w:rsidR="00845137">
        <w:t xml:space="preserve">of such infrastructure at </w:t>
      </w:r>
      <w:r w:rsidR="00A156E9">
        <w:t>each location</w:t>
      </w:r>
      <w:r w:rsidR="00D61EBA">
        <w:t xml:space="preserve"> as at the applicable report date</w:t>
      </w:r>
      <w:r w:rsidR="00A156E9">
        <w:t>;</w:t>
      </w:r>
    </w:p>
    <w:p w14:paraId="5C62300B" w14:textId="055476DA" w:rsidR="00A156E9" w:rsidRDefault="0098741D" w:rsidP="0098741D">
      <w:pPr>
        <w:pStyle w:val="paragraphsub"/>
      </w:pPr>
      <w:r>
        <w:tab/>
      </w:r>
      <w:r w:rsidR="00A156E9">
        <w:t>(ii)</w:t>
      </w:r>
      <w:r w:rsidR="00A156E9">
        <w:tab/>
        <w:t xml:space="preserve">the legal name and associated identifier (such as an ABN or ACN) of each user of </w:t>
      </w:r>
      <w:r w:rsidR="00340492">
        <w:t xml:space="preserve">the </w:t>
      </w:r>
      <w:r w:rsidR="00882365" w:rsidRPr="00A156E9">
        <w:t xml:space="preserve">Designated Communications </w:t>
      </w:r>
      <w:r w:rsidR="00A156E9">
        <w:t>Infrastructure as at the applicable report date</w:t>
      </w:r>
      <w:r w:rsidR="00882365">
        <w:t>.</w:t>
      </w:r>
    </w:p>
    <w:p w14:paraId="586A6C2F" w14:textId="5942286B" w:rsidR="002F69CF" w:rsidRDefault="0098741D" w:rsidP="0098741D">
      <w:pPr>
        <w:pStyle w:val="subsection"/>
      </w:pPr>
      <w:r>
        <w:tab/>
      </w:r>
      <w:r w:rsidR="002F69CF">
        <w:t>(2)</w:t>
      </w:r>
      <w:r>
        <w:tab/>
      </w:r>
      <w:r w:rsidR="002F69CF">
        <w:t xml:space="preserve">For the purposes of </w:t>
      </w:r>
      <w:r w:rsidR="00D031F4">
        <w:t>section 8</w:t>
      </w:r>
      <w:r w:rsidR="002F69CF">
        <w:t xml:space="preserve"> of this instrument, the following conditions are specified:</w:t>
      </w:r>
    </w:p>
    <w:p w14:paraId="05C5311A" w14:textId="6EA56B3E" w:rsidR="002F69CF" w:rsidRDefault="002C458E" w:rsidP="0098741D">
      <w:pPr>
        <w:pStyle w:val="paragraph"/>
      </w:pPr>
      <w:r>
        <w:tab/>
      </w:r>
      <w:r w:rsidR="002F69CF">
        <w:t>(a)</w:t>
      </w:r>
      <w:r w:rsidR="0098741D">
        <w:tab/>
      </w:r>
      <w:r w:rsidR="002F69CF">
        <w:t xml:space="preserve">Powerlink must provide to the ACMA within 30 days after the end of each </w:t>
      </w:r>
      <w:r w:rsidR="00E5048B">
        <w:t xml:space="preserve">report date </w:t>
      </w:r>
      <w:r w:rsidR="002F69CF">
        <w:t>during which this instrument is in force, a written report setting out the following:</w:t>
      </w:r>
    </w:p>
    <w:p w14:paraId="78F966BE" w14:textId="5BF05EC6" w:rsidR="002F69CF" w:rsidRDefault="002F69CF" w:rsidP="0098741D">
      <w:pPr>
        <w:pStyle w:val="paragraphsub"/>
      </w:pPr>
      <w:r>
        <w:tab/>
        <w:t>(i)</w:t>
      </w:r>
      <w:r>
        <w:tab/>
        <w:t xml:space="preserve">the locations of the Powerlink Communications Infrastructure and technology type(s) </w:t>
      </w:r>
      <w:r w:rsidR="00845137">
        <w:t xml:space="preserve">of such infrastructure at </w:t>
      </w:r>
      <w:r>
        <w:t>each location as at the applicable report date; and</w:t>
      </w:r>
    </w:p>
    <w:p w14:paraId="71A39FEB" w14:textId="329BD527" w:rsidR="00554826" w:rsidRDefault="0098741D" w:rsidP="00F426CF">
      <w:pPr>
        <w:pStyle w:val="paragraphsub"/>
      </w:pPr>
      <w:r>
        <w:lastRenderedPageBreak/>
        <w:tab/>
      </w:r>
      <w:r w:rsidR="002F69CF">
        <w:t>(ii)</w:t>
      </w:r>
      <w:r w:rsidR="002F69CF">
        <w:tab/>
        <w:t>the legal name and associated identifier (such as an ABN or ACN) of each user of the Powerlink Communications Infrastructure as at the applicable report date</w:t>
      </w:r>
      <w:r w:rsidR="00BE0A2E">
        <w:t>.</w:t>
      </w:r>
    </w:p>
    <w:p w14:paraId="33FA70FD" w14:textId="77777777" w:rsidR="0098741D" w:rsidRDefault="0098741D" w:rsidP="00554826">
      <w:pPr>
        <w:sectPr w:rsidR="0098741D" w:rsidSect="000304CF">
          <w:headerReference w:type="even" r:id="rId24"/>
          <w:headerReference w:type="default" r:id="rId25"/>
          <w:footerReference w:type="even" r:id="rId26"/>
          <w:footerReference w:type="default" r:id="rId27"/>
          <w:pgSz w:w="11907" w:h="16839" w:code="9"/>
          <w:pgMar w:top="2325" w:right="1797" w:bottom="1440" w:left="1797" w:header="720" w:footer="709" w:gutter="0"/>
          <w:pgNumType w:start="1"/>
          <w:cols w:space="708"/>
          <w:docGrid w:linePitch="360"/>
        </w:sectPr>
      </w:pPr>
    </w:p>
    <w:p w14:paraId="77044E12" w14:textId="77777777" w:rsidR="0098741D" w:rsidRDefault="0098741D" w:rsidP="0098741D">
      <w:pPr>
        <w:pStyle w:val="ENotesHeading1"/>
      </w:pPr>
      <w:bookmarkStart w:id="10" w:name="_Toc141356293"/>
      <w:r>
        <w:lastRenderedPageBreak/>
        <w:t>Endnotes</w:t>
      </w:r>
      <w:bookmarkEnd w:id="10"/>
    </w:p>
    <w:p w14:paraId="514D262A" w14:textId="77777777" w:rsidR="0098741D" w:rsidRPr="007A36FC" w:rsidRDefault="0098741D" w:rsidP="0098741D">
      <w:pPr>
        <w:pStyle w:val="ENotesHeading2"/>
        <w:spacing w:line="240" w:lineRule="auto"/>
        <w:outlineLvl w:val="9"/>
      </w:pPr>
      <w:bookmarkStart w:id="11" w:name="_Toc141356294"/>
      <w:r w:rsidRPr="007A36FC">
        <w:t>Endnote 1—About the endnotes</w:t>
      </w:r>
      <w:bookmarkEnd w:id="11"/>
    </w:p>
    <w:p w14:paraId="17BE011C" w14:textId="77777777" w:rsidR="0098741D" w:rsidRDefault="0098741D" w:rsidP="0098741D">
      <w:pPr>
        <w:spacing w:after="120"/>
      </w:pPr>
      <w:r w:rsidRPr="00BC57F4">
        <w:t xml:space="preserve">The endnotes provide </w:t>
      </w:r>
      <w:r>
        <w:t>information about this compilation and the compiled law.</w:t>
      </w:r>
    </w:p>
    <w:p w14:paraId="6F3D5F91" w14:textId="77777777" w:rsidR="0098741D" w:rsidRPr="00BC57F4" w:rsidRDefault="0098741D" w:rsidP="0098741D">
      <w:pPr>
        <w:spacing w:after="120"/>
      </w:pPr>
      <w:r w:rsidRPr="00BC57F4">
        <w:t>The followi</w:t>
      </w:r>
      <w:r>
        <w:t>ng endnotes are included in every</w:t>
      </w:r>
      <w:r w:rsidRPr="00BC57F4">
        <w:t xml:space="preserve"> compilation:</w:t>
      </w:r>
    </w:p>
    <w:p w14:paraId="20883A0F" w14:textId="77777777" w:rsidR="0098741D" w:rsidRPr="00BC57F4" w:rsidRDefault="0098741D" w:rsidP="0098741D">
      <w:r w:rsidRPr="00BC57F4">
        <w:t>Endnote 1—About the endnotes</w:t>
      </w:r>
    </w:p>
    <w:p w14:paraId="25281902" w14:textId="77777777" w:rsidR="0098741D" w:rsidRPr="00BC57F4" w:rsidRDefault="0098741D" w:rsidP="0098741D">
      <w:r w:rsidRPr="00BC57F4">
        <w:t>Endnote 2—Abbreviation key</w:t>
      </w:r>
    </w:p>
    <w:p w14:paraId="0E54271D" w14:textId="77777777" w:rsidR="0098741D" w:rsidRPr="00BC57F4" w:rsidRDefault="0098741D" w:rsidP="0098741D">
      <w:r w:rsidRPr="00BC57F4">
        <w:t>Endnote 3—Legislation history</w:t>
      </w:r>
    </w:p>
    <w:p w14:paraId="4D6D3EA7" w14:textId="77777777" w:rsidR="0098741D" w:rsidRDefault="0098741D" w:rsidP="0098741D">
      <w:pPr>
        <w:spacing w:after="120"/>
      </w:pPr>
      <w:r w:rsidRPr="00BC57F4">
        <w:t>Endnote 4—Amendment history</w:t>
      </w:r>
    </w:p>
    <w:p w14:paraId="73097291" w14:textId="77777777" w:rsidR="0098741D" w:rsidRPr="00BC57F4" w:rsidRDefault="0098741D" w:rsidP="0098741D">
      <w:r w:rsidRPr="00BC57F4">
        <w:rPr>
          <w:b/>
        </w:rPr>
        <w:t>Abbreviation key—</w:t>
      </w:r>
      <w:r>
        <w:rPr>
          <w:b/>
        </w:rPr>
        <w:t>E</w:t>
      </w:r>
      <w:r w:rsidRPr="00BC57F4">
        <w:rPr>
          <w:b/>
        </w:rPr>
        <w:t>ndnote 2</w:t>
      </w:r>
    </w:p>
    <w:p w14:paraId="4C7D2614" w14:textId="77777777" w:rsidR="0098741D" w:rsidRPr="00BC57F4" w:rsidRDefault="0098741D" w:rsidP="0098741D">
      <w:pPr>
        <w:spacing w:after="120"/>
      </w:pPr>
      <w:r w:rsidRPr="00BC57F4">
        <w:t xml:space="preserve">The abbreviation key sets out abbreviations </w:t>
      </w:r>
      <w:r>
        <w:t xml:space="preserve">that may be </w:t>
      </w:r>
      <w:r w:rsidRPr="00BC57F4">
        <w:t>used in the endnotes.</w:t>
      </w:r>
    </w:p>
    <w:p w14:paraId="782A9B6A" w14:textId="77777777" w:rsidR="0098741D" w:rsidRPr="00BC57F4" w:rsidRDefault="0098741D" w:rsidP="0098741D">
      <w:pPr>
        <w:rPr>
          <w:b/>
        </w:rPr>
      </w:pPr>
      <w:r w:rsidRPr="00BC57F4">
        <w:rPr>
          <w:b/>
        </w:rPr>
        <w:t>Legislation history and amendment history—</w:t>
      </w:r>
      <w:r>
        <w:rPr>
          <w:b/>
        </w:rPr>
        <w:t>E</w:t>
      </w:r>
      <w:r w:rsidRPr="00BC57F4">
        <w:rPr>
          <w:b/>
        </w:rPr>
        <w:t>ndnotes 3 and 4</w:t>
      </w:r>
    </w:p>
    <w:p w14:paraId="15991CA8" w14:textId="77777777" w:rsidR="0098741D" w:rsidRPr="00BC57F4" w:rsidRDefault="0098741D" w:rsidP="0098741D">
      <w:pPr>
        <w:spacing w:after="120"/>
      </w:pPr>
      <w:r w:rsidRPr="00BC57F4">
        <w:t>Amending laws are annotated in the legislation history and amendment history.</w:t>
      </w:r>
    </w:p>
    <w:p w14:paraId="2DED2948" w14:textId="77777777" w:rsidR="0098741D" w:rsidRPr="00BC57F4" w:rsidRDefault="0098741D" w:rsidP="0098741D">
      <w:pPr>
        <w:spacing w:after="120"/>
      </w:pPr>
      <w:r w:rsidRPr="00BC57F4">
        <w:t>The legislation history in endnote 3 provides inf</w:t>
      </w:r>
      <w:r>
        <w:t>ormation about each law that has</w:t>
      </w:r>
      <w:r w:rsidRPr="00BC57F4">
        <w:t xml:space="preserve"> amended </w:t>
      </w:r>
      <w:r>
        <w:t xml:space="preserve">(or will amend) </w:t>
      </w:r>
      <w:r w:rsidRPr="00BC57F4">
        <w:t>the compiled law</w:t>
      </w:r>
      <w:r>
        <w:t xml:space="preserve">. </w:t>
      </w:r>
      <w:r w:rsidRPr="00BC57F4">
        <w:t xml:space="preserve">The information includes commencement </w:t>
      </w:r>
      <w:r>
        <w:t>details</w:t>
      </w:r>
      <w:r w:rsidRPr="00BC57F4">
        <w:t xml:space="preserve"> for amending laws and details of </w:t>
      </w:r>
      <w:r>
        <w:t xml:space="preserve">any </w:t>
      </w:r>
      <w:r w:rsidRPr="00BC57F4">
        <w:t xml:space="preserve">application, saving </w:t>
      </w:r>
      <w:r>
        <w:t>or</w:t>
      </w:r>
      <w:r w:rsidRPr="00BC57F4">
        <w:t xml:space="preserve"> transitional provisions that are not</w:t>
      </w:r>
      <w:r>
        <w:t xml:space="preserve"> included in this compilation.</w:t>
      </w:r>
    </w:p>
    <w:p w14:paraId="7E55773C" w14:textId="77777777" w:rsidR="0098741D" w:rsidRDefault="0098741D" w:rsidP="0098741D">
      <w:pPr>
        <w:spacing w:after="120"/>
      </w:pPr>
      <w:r w:rsidRPr="00BC57F4">
        <w:t>The amendment history in endnote 4 provid</w:t>
      </w:r>
      <w:r>
        <w:t xml:space="preserve">es information about amendments </w:t>
      </w:r>
      <w:r w:rsidRPr="00BC57F4">
        <w:t xml:space="preserve">at the provision </w:t>
      </w:r>
      <w:r>
        <w:t xml:space="preserve">(generally section or equivalent) </w:t>
      </w:r>
      <w:r w:rsidRPr="00BC57F4">
        <w:t xml:space="preserve">level. It also includes </w:t>
      </w:r>
      <w:r>
        <w:t>information about any provision</w:t>
      </w:r>
      <w:r w:rsidRPr="00BC57F4">
        <w:t xml:space="preserve"> </w:t>
      </w:r>
      <w:r>
        <w:t xml:space="preserve">of the compiled law </w:t>
      </w:r>
      <w:r w:rsidRPr="00BC57F4">
        <w:t xml:space="preserve">that </w:t>
      </w:r>
      <w:r>
        <w:t xml:space="preserve">has been repealed </w:t>
      </w:r>
      <w:r w:rsidRPr="00BC57F4">
        <w:t>in accordance with a</w:t>
      </w:r>
      <w:r>
        <w:t xml:space="preserve"> provision of the law.</w:t>
      </w:r>
    </w:p>
    <w:p w14:paraId="2FCC2EF6" w14:textId="77777777" w:rsidR="0098741D" w:rsidRPr="00FB4AD4" w:rsidRDefault="0098741D" w:rsidP="0098741D">
      <w:pPr>
        <w:rPr>
          <w:b/>
        </w:rPr>
      </w:pPr>
      <w:r w:rsidRPr="00FB4AD4">
        <w:rPr>
          <w:b/>
        </w:rPr>
        <w:t>Editorial changes</w:t>
      </w:r>
    </w:p>
    <w:p w14:paraId="47325814" w14:textId="77777777" w:rsidR="0098741D" w:rsidRDefault="0098741D" w:rsidP="0098741D">
      <w:pPr>
        <w:spacing w:after="120"/>
      </w:pPr>
      <w:r>
        <w:t xml:space="preserve">The </w:t>
      </w:r>
      <w:r w:rsidRPr="00C07893">
        <w:rPr>
          <w:i/>
        </w:rPr>
        <w:t>Legislation Act 2003</w:t>
      </w:r>
      <w:r>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14:paraId="7169C065" w14:textId="77777777" w:rsidR="0098741D" w:rsidRDefault="0098741D" w:rsidP="0098741D">
      <w:pPr>
        <w:spacing w:after="120"/>
      </w:pPr>
      <w:r>
        <w:t>If the compilation includes editorial changes, the endnotes include a brief outline of the changes in general terms. Full details of any changes can be obtained from the Office of Parliamentary Counsel.</w:t>
      </w:r>
    </w:p>
    <w:p w14:paraId="0106C753" w14:textId="77777777" w:rsidR="0098741D" w:rsidRPr="00BC57F4" w:rsidRDefault="0098741D" w:rsidP="0098741D">
      <w:pPr>
        <w:keepNext/>
      </w:pPr>
      <w:r>
        <w:rPr>
          <w:b/>
        </w:rPr>
        <w:t>Misdescribed amendments</w:t>
      </w:r>
    </w:p>
    <w:p w14:paraId="7C196C87" w14:textId="03805039" w:rsidR="0098741D" w:rsidRDefault="0098741D" w:rsidP="0098741D">
      <w:pPr>
        <w:spacing w:after="120"/>
      </w:pPr>
      <w:r>
        <w:t xml:space="preserve">A misdescribed amendment is an amendment that does not accurately describe how an amendment is to be made. If, despite the misdescription, the amendment can be given effect as intended, then the misdescribed amendment can be incorporated through an editorial change made under </w:t>
      </w:r>
      <w:r w:rsidR="00D031F4">
        <w:t>section 1</w:t>
      </w:r>
      <w:r>
        <w:t xml:space="preserve">5V of the </w:t>
      </w:r>
      <w:r w:rsidRPr="001B7B32">
        <w:rPr>
          <w:i/>
        </w:rPr>
        <w:t>Legislation Act 2003</w:t>
      </w:r>
      <w:r>
        <w:t>.</w:t>
      </w:r>
    </w:p>
    <w:p w14:paraId="76656BC8" w14:textId="77777777" w:rsidR="0098741D" w:rsidRDefault="0098741D" w:rsidP="0098741D">
      <w:pPr>
        <w:spacing w:before="120" w:after="240"/>
      </w:pPr>
      <w:r>
        <w:t>If a misdescribed amendment cannot be given effect as intended, the amendment is not incorporated and “(md not incorp)” is added to the amendment history</w:t>
      </w:r>
      <w:r w:rsidRPr="00E466D8">
        <w:t>.</w:t>
      </w:r>
    </w:p>
    <w:p w14:paraId="447FB63E" w14:textId="13DE46C1" w:rsidR="0098741D" w:rsidRDefault="0098741D" w:rsidP="0098741D">
      <w:pPr>
        <w:spacing w:before="120" w:after="240"/>
      </w:pPr>
    </w:p>
    <w:p w14:paraId="10A07285" w14:textId="77777777" w:rsidR="0098741D" w:rsidRPr="001F4DF3" w:rsidRDefault="0098741D" w:rsidP="0098741D">
      <w:pPr>
        <w:pStyle w:val="ENotesHeading2"/>
        <w:pageBreakBefore/>
        <w:spacing w:after="240"/>
        <w:outlineLvl w:val="9"/>
      </w:pPr>
      <w:bookmarkStart w:id="12" w:name="_Toc141356295"/>
      <w:r w:rsidRPr="001F4DF3">
        <w:lastRenderedPageBreak/>
        <w:t>Endnote 2—Abbreviation key</w:t>
      </w:r>
      <w:bookmarkEnd w:id="12"/>
    </w:p>
    <w:tbl>
      <w:tblPr>
        <w:tblW w:w="5000" w:type="pct"/>
        <w:tblLook w:val="0000" w:firstRow="0" w:lastRow="0" w:firstColumn="0" w:lastColumn="0" w:noHBand="0" w:noVBand="0"/>
      </w:tblPr>
      <w:tblGrid>
        <w:gridCol w:w="4264"/>
        <w:gridCol w:w="4265"/>
      </w:tblGrid>
      <w:tr w:rsidR="0098741D" w:rsidRPr="00EA5132" w14:paraId="6F9CF65C" w14:textId="77777777" w:rsidTr="0098741D">
        <w:trPr>
          <w:trHeight w:hRule="exact" w:val="312"/>
        </w:trPr>
        <w:tc>
          <w:tcPr>
            <w:tcW w:w="2500" w:type="pct"/>
            <w:shd w:val="clear" w:color="auto" w:fill="auto"/>
          </w:tcPr>
          <w:p w14:paraId="7656196D" w14:textId="77777777" w:rsidR="0098741D" w:rsidRPr="00EA5132" w:rsidRDefault="0098741D" w:rsidP="0098741D">
            <w:pPr>
              <w:spacing w:before="60" w:after="120" w:line="240" w:lineRule="atLeast"/>
              <w:ind w:left="318" w:hanging="284"/>
              <w:rPr>
                <w:sz w:val="20"/>
              </w:rPr>
            </w:pPr>
            <w:r w:rsidRPr="00EA5132">
              <w:rPr>
                <w:sz w:val="20"/>
              </w:rPr>
              <w:t>ad = added or inserted</w:t>
            </w:r>
          </w:p>
        </w:tc>
        <w:tc>
          <w:tcPr>
            <w:tcW w:w="2500" w:type="pct"/>
            <w:shd w:val="clear" w:color="auto" w:fill="auto"/>
          </w:tcPr>
          <w:p w14:paraId="601A64E1" w14:textId="77777777" w:rsidR="0098741D" w:rsidRPr="00EA5132" w:rsidRDefault="0098741D" w:rsidP="0098741D">
            <w:pPr>
              <w:spacing w:before="60" w:line="240" w:lineRule="atLeast"/>
              <w:ind w:left="318" w:hanging="284"/>
              <w:rPr>
                <w:sz w:val="20"/>
              </w:rPr>
            </w:pPr>
            <w:r w:rsidRPr="00EA5132">
              <w:rPr>
                <w:sz w:val="20"/>
              </w:rPr>
              <w:t>o = order(s)</w:t>
            </w:r>
          </w:p>
        </w:tc>
      </w:tr>
      <w:tr w:rsidR="0098741D" w:rsidRPr="00EA5132" w14:paraId="236144BB" w14:textId="77777777" w:rsidTr="0098741D">
        <w:trPr>
          <w:trHeight w:hRule="exact" w:val="312"/>
        </w:trPr>
        <w:tc>
          <w:tcPr>
            <w:tcW w:w="2500" w:type="pct"/>
            <w:shd w:val="clear" w:color="auto" w:fill="auto"/>
          </w:tcPr>
          <w:p w14:paraId="73A41377" w14:textId="77777777" w:rsidR="0098741D" w:rsidRPr="00EA5132" w:rsidRDefault="0098741D" w:rsidP="0098741D">
            <w:pPr>
              <w:spacing w:before="60" w:line="240" w:lineRule="atLeast"/>
              <w:ind w:left="318" w:hanging="284"/>
              <w:rPr>
                <w:sz w:val="20"/>
              </w:rPr>
            </w:pPr>
            <w:r w:rsidRPr="00EA5132">
              <w:rPr>
                <w:sz w:val="20"/>
              </w:rPr>
              <w:t>am = amended</w:t>
            </w:r>
          </w:p>
        </w:tc>
        <w:tc>
          <w:tcPr>
            <w:tcW w:w="2500" w:type="pct"/>
            <w:shd w:val="clear" w:color="auto" w:fill="auto"/>
          </w:tcPr>
          <w:p w14:paraId="788BB9BB" w14:textId="77777777" w:rsidR="0098741D" w:rsidRPr="00EA5132" w:rsidRDefault="0098741D" w:rsidP="0098741D">
            <w:pPr>
              <w:spacing w:before="60" w:line="240" w:lineRule="atLeast"/>
              <w:ind w:left="318" w:hanging="284"/>
              <w:rPr>
                <w:sz w:val="20"/>
              </w:rPr>
            </w:pPr>
            <w:r w:rsidRPr="00EA5132">
              <w:rPr>
                <w:sz w:val="20"/>
              </w:rPr>
              <w:t>Ord = Ordinance</w:t>
            </w:r>
          </w:p>
        </w:tc>
      </w:tr>
      <w:tr w:rsidR="0098741D" w:rsidRPr="00EA5132" w14:paraId="738E3F20" w14:textId="77777777" w:rsidTr="0098741D">
        <w:trPr>
          <w:trHeight w:hRule="exact" w:val="312"/>
        </w:trPr>
        <w:tc>
          <w:tcPr>
            <w:tcW w:w="2500" w:type="pct"/>
            <w:shd w:val="clear" w:color="auto" w:fill="auto"/>
          </w:tcPr>
          <w:p w14:paraId="65966EE8" w14:textId="77777777" w:rsidR="0098741D" w:rsidRPr="00EA5132" w:rsidRDefault="0098741D" w:rsidP="0098741D">
            <w:pPr>
              <w:spacing w:before="60" w:line="240" w:lineRule="atLeast"/>
              <w:ind w:left="318" w:hanging="284"/>
              <w:rPr>
                <w:sz w:val="20"/>
              </w:rPr>
            </w:pPr>
            <w:r w:rsidRPr="00EA5132">
              <w:rPr>
                <w:sz w:val="20"/>
              </w:rPr>
              <w:t>amdt = amendment</w:t>
            </w:r>
          </w:p>
        </w:tc>
        <w:tc>
          <w:tcPr>
            <w:tcW w:w="2500" w:type="pct"/>
            <w:shd w:val="clear" w:color="auto" w:fill="auto"/>
          </w:tcPr>
          <w:p w14:paraId="5729A43B" w14:textId="77777777" w:rsidR="0098741D" w:rsidRPr="00EA5132" w:rsidRDefault="0098741D" w:rsidP="0098741D">
            <w:pPr>
              <w:spacing w:before="60" w:line="240" w:lineRule="atLeast"/>
              <w:ind w:left="318" w:hanging="284"/>
              <w:rPr>
                <w:sz w:val="20"/>
              </w:rPr>
            </w:pPr>
            <w:r w:rsidRPr="00EA5132">
              <w:rPr>
                <w:sz w:val="20"/>
              </w:rPr>
              <w:t>orig = original</w:t>
            </w:r>
          </w:p>
        </w:tc>
      </w:tr>
      <w:tr w:rsidR="0098741D" w:rsidRPr="00EA5132" w14:paraId="10539558" w14:textId="77777777" w:rsidTr="0098741D">
        <w:trPr>
          <w:trHeight w:hRule="exact" w:val="312"/>
        </w:trPr>
        <w:tc>
          <w:tcPr>
            <w:tcW w:w="2500" w:type="pct"/>
            <w:shd w:val="clear" w:color="auto" w:fill="auto"/>
          </w:tcPr>
          <w:p w14:paraId="3318AAB5" w14:textId="77777777" w:rsidR="0098741D" w:rsidRPr="00EA5132" w:rsidRDefault="0098741D" w:rsidP="0098741D">
            <w:pPr>
              <w:spacing w:before="60" w:line="240" w:lineRule="atLeast"/>
              <w:ind w:left="318" w:hanging="284"/>
              <w:rPr>
                <w:sz w:val="20"/>
              </w:rPr>
            </w:pPr>
            <w:r w:rsidRPr="00EA5132">
              <w:rPr>
                <w:sz w:val="20"/>
              </w:rPr>
              <w:t>c = clause(s)</w:t>
            </w:r>
          </w:p>
        </w:tc>
        <w:tc>
          <w:tcPr>
            <w:tcW w:w="2500" w:type="pct"/>
            <w:vMerge w:val="restart"/>
            <w:shd w:val="clear" w:color="auto" w:fill="auto"/>
          </w:tcPr>
          <w:p w14:paraId="5459B3CD" w14:textId="5C18A6E2" w:rsidR="0098741D" w:rsidRPr="00EA5132" w:rsidRDefault="0098741D" w:rsidP="0098741D">
            <w:pPr>
              <w:spacing w:before="60" w:line="240" w:lineRule="atLeast"/>
              <w:ind w:left="318" w:hanging="284"/>
              <w:rPr>
                <w:sz w:val="20"/>
              </w:rPr>
            </w:pPr>
            <w:r w:rsidRPr="00EA5132">
              <w:rPr>
                <w:sz w:val="20"/>
              </w:rPr>
              <w:t>par = paragraph(s)/subparagraph(s)</w:t>
            </w:r>
            <w:r>
              <w:rPr>
                <w:sz w:val="20"/>
              </w:rPr>
              <w:t xml:space="preserve"> </w:t>
            </w:r>
            <w:r w:rsidRPr="00EA5132">
              <w:rPr>
                <w:sz w:val="20"/>
              </w:rPr>
              <w:t>/sub</w:t>
            </w:r>
            <w:r w:rsidR="00D031F4">
              <w:rPr>
                <w:sz w:val="20"/>
              </w:rPr>
              <w:noBreakHyphen/>
            </w:r>
            <w:r w:rsidRPr="00EA5132">
              <w:rPr>
                <w:sz w:val="20"/>
              </w:rPr>
              <w:t>subparagraph(s)</w:t>
            </w:r>
          </w:p>
        </w:tc>
      </w:tr>
      <w:tr w:rsidR="0098741D" w:rsidRPr="00EA5132" w14:paraId="65B91F6A" w14:textId="77777777" w:rsidTr="0098741D">
        <w:trPr>
          <w:trHeight w:hRule="exact" w:val="312"/>
        </w:trPr>
        <w:tc>
          <w:tcPr>
            <w:tcW w:w="2500" w:type="pct"/>
            <w:shd w:val="clear" w:color="auto" w:fill="auto"/>
          </w:tcPr>
          <w:p w14:paraId="71950A96" w14:textId="77777777" w:rsidR="0098741D" w:rsidRPr="00EA5132" w:rsidRDefault="0098741D" w:rsidP="0098741D">
            <w:pPr>
              <w:spacing w:before="60" w:line="240" w:lineRule="atLeast"/>
              <w:ind w:left="318" w:hanging="284"/>
              <w:rPr>
                <w:sz w:val="20"/>
              </w:rPr>
            </w:pPr>
            <w:r w:rsidRPr="00EA5132">
              <w:rPr>
                <w:sz w:val="20"/>
              </w:rPr>
              <w:t>C[x] = Compilation No. x</w:t>
            </w:r>
          </w:p>
        </w:tc>
        <w:tc>
          <w:tcPr>
            <w:tcW w:w="2500" w:type="pct"/>
            <w:vMerge/>
            <w:shd w:val="clear" w:color="auto" w:fill="auto"/>
          </w:tcPr>
          <w:p w14:paraId="7DC4107A" w14:textId="77777777" w:rsidR="0098741D" w:rsidRPr="00EA5132" w:rsidRDefault="0098741D" w:rsidP="0098741D">
            <w:pPr>
              <w:spacing w:before="60" w:line="240" w:lineRule="atLeast"/>
              <w:ind w:left="318" w:hanging="284"/>
              <w:rPr>
                <w:sz w:val="20"/>
              </w:rPr>
            </w:pPr>
          </w:p>
        </w:tc>
      </w:tr>
      <w:tr w:rsidR="0098741D" w:rsidRPr="00EA5132" w14:paraId="0A18A2C4" w14:textId="77777777" w:rsidTr="0098741D">
        <w:trPr>
          <w:trHeight w:hRule="exact" w:val="312"/>
        </w:trPr>
        <w:tc>
          <w:tcPr>
            <w:tcW w:w="2500" w:type="pct"/>
            <w:shd w:val="clear" w:color="auto" w:fill="auto"/>
          </w:tcPr>
          <w:p w14:paraId="09F71288" w14:textId="77777777" w:rsidR="0098741D" w:rsidRPr="00EA5132" w:rsidRDefault="0098741D" w:rsidP="0098741D">
            <w:pPr>
              <w:spacing w:before="60" w:line="240" w:lineRule="atLeast"/>
              <w:ind w:left="318" w:hanging="284"/>
              <w:rPr>
                <w:sz w:val="20"/>
              </w:rPr>
            </w:pPr>
            <w:r w:rsidRPr="00EA5132">
              <w:rPr>
                <w:sz w:val="20"/>
              </w:rPr>
              <w:t>Ch = Chapter(s)</w:t>
            </w:r>
          </w:p>
        </w:tc>
        <w:tc>
          <w:tcPr>
            <w:tcW w:w="2500" w:type="pct"/>
            <w:shd w:val="clear" w:color="auto" w:fill="auto"/>
          </w:tcPr>
          <w:p w14:paraId="668EA9E5" w14:textId="77777777" w:rsidR="0098741D" w:rsidRPr="00EA5132" w:rsidRDefault="0098741D" w:rsidP="0098741D">
            <w:pPr>
              <w:spacing w:before="60" w:line="240" w:lineRule="atLeast"/>
              <w:ind w:left="318" w:hanging="284"/>
              <w:rPr>
                <w:sz w:val="20"/>
              </w:rPr>
            </w:pPr>
            <w:r w:rsidRPr="00EA5132">
              <w:rPr>
                <w:sz w:val="20"/>
              </w:rPr>
              <w:t>pres = present</w:t>
            </w:r>
          </w:p>
        </w:tc>
      </w:tr>
      <w:tr w:rsidR="0098741D" w:rsidRPr="00EA5132" w14:paraId="084C9E87" w14:textId="77777777" w:rsidTr="0098741D">
        <w:trPr>
          <w:trHeight w:hRule="exact" w:val="312"/>
        </w:trPr>
        <w:tc>
          <w:tcPr>
            <w:tcW w:w="2500" w:type="pct"/>
            <w:shd w:val="clear" w:color="auto" w:fill="auto"/>
          </w:tcPr>
          <w:p w14:paraId="6E28F43E" w14:textId="77777777" w:rsidR="0098741D" w:rsidRPr="00EA5132" w:rsidRDefault="0098741D" w:rsidP="0098741D">
            <w:pPr>
              <w:spacing w:before="60" w:line="240" w:lineRule="atLeast"/>
              <w:ind w:left="318" w:hanging="284"/>
              <w:rPr>
                <w:sz w:val="20"/>
              </w:rPr>
            </w:pPr>
            <w:r w:rsidRPr="00EA5132">
              <w:rPr>
                <w:sz w:val="20"/>
              </w:rPr>
              <w:t>def = definition(s)</w:t>
            </w:r>
          </w:p>
        </w:tc>
        <w:tc>
          <w:tcPr>
            <w:tcW w:w="2500" w:type="pct"/>
            <w:shd w:val="clear" w:color="auto" w:fill="auto"/>
          </w:tcPr>
          <w:p w14:paraId="342EF3D2" w14:textId="77777777" w:rsidR="0098741D" w:rsidRPr="00EA5132" w:rsidRDefault="0098741D" w:rsidP="0098741D">
            <w:pPr>
              <w:spacing w:before="60" w:line="240" w:lineRule="atLeast"/>
              <w:ind w:left="318" w:hanging="284"/>
              <w:rPr>
                <w:sz w:val="20"/>
              </w:rPr>
            </w:pPr>
            <w:r w:rsidRPr="00EA5132">
              <w:rPr>
                <w:sz w:val="20"/>
              </w:rPr>
              <w:t>prev = previous</w:t>
            </w:r>
          </w:p>
        </w:tc>
      </w:tr>
      <w:tr w:rsidR="0098741D" w:rsidRPr="00EA5132" w14:paraId="06F78FEC" w14:textId="77777777" w:rsidTr="0098741D">
        <w:trPr>
          <w:trHeight w:hRule="exact" w:val="312"/>
        </w:trPr>
        <w:tc>
          <w:tcPr>
            <w:tcW w:w="2500" w:type="pct"/>
            <w:shd w:val="clear" w:color="auto" w:fill="auto"/>
          </w:tcPr>
          <w:p w14:paraId="7E6A4F58" w14:textId="77777777" w:rsidR="0098741D" w:rsidRPr="00EA5132" w:rsidRDefault="0098741D" w:rsidP="0098741D">
            <w:pPr>
              <w:spacing w:before="60" w:line="240" w:lineRule="atLeast"/>
              <w:ind w:left="318" w:hanging="284"/>
              <w:rPr>
                <w:sz w:val="20"/>
              </w:rPr>
            </w:pPr>
            <w:r w:rsidRPr="00EA5132">
              <w:rPr>
                <w:sz w:val="20"/>
              </w:rPr>
              <w:t>Dict = Dictionary</w:t>
            </w:r>
          </w:p>
        </w:tc>
        <w:tc>
          <w:tcPr>
            <w:tcW w:w="2500" w:type="pct"/>
            <w:shd w:val="clear" w:color="auto" w:fill="auto"/>
          </w:tcPr>
          <w:p w14:paraId="4F72ECE9" w14:textId="77777777" w:rsidR="0098741D" w:rsidRPr="00EA5132" w:rsidRDefault="0098741D" w:rsidP="0098741D">
            <w:pPr>
              <w:spacing w:before="60" w:line="240" w:lineRule="atLeast"/>
              <w:ind w:left="318" w:hanging="284"/>
              <w:rPr>
                <w:sz w:val="20"/>
              </w:rPr>
            </w:pPr>
            <w:r w:rsidRPr="00EA5132">
              <w:rPr>
                <w:sz w:val="20"/>
              </w:rPr>
              <w:t>(prev…) = previously</w:t>
            </w:r>
          </w:p>
        </w:tc>
      </w:tr>
      <w:tr w:rsidR="0098741D" w:rsidRPr="00EA5132" w14:paraId="330027CB" w14:textId="77777777" w:rsidTr="0098741D">
        <w:trPr>
          <w:trHeight w:hRule="exact" w:val="312"/>
        </w:trPr>
        <w:tc>
          <w:tcPr>
            <w:tcW w:w="2500" w:type="pct"/>
            <w:shd w:val="clear" w:color="auto" w:fill="auto"/>
          </w:tcPr>
          <w:p w14:paraId="62590C13" w14:textId="77777777" w:rsidR="0098741D" w:rsidRPr="00EA5132" w:rsidRDefault="0098741D" w:rsidP="0098741D">
            <w:pPr>
              <w:spacing w:before="60" w:line="240" w:lineRule="atLeast"/>
              <w:ind w:left="318" w:hanging="284"/>
              <w:rPr>
                <w:sz w:val="20"/>
              </w:rPr>
            </w:pPr>
            <w:r w:rsidRPr="00EA5132">
              <w:rPr>
                <w:sz w:val="20"/>
              </w:rPr>
              <w:t>disallowed = disallowed by Parliament</w:t>
            </w:r>
          </w:p>
        </w:tc>
        <w:tc>
          <w:tcPr>
            <w:tcW w:w="2500" w:type="pct"/>
            <w:shd w:val="clear" w:color="auto" w:fill="auto"/>
          </w:tcPr>
          <w:p w14:paraId="0D312FB7" w14:textId="77777777" w:rsidR="0098741D" w:rsidRPr="00EA5132" w:rsidRDefault="0098741D" w:rsidP="0098741D">
            <w:pPr>
              <w:spacing w:before="60" w:line="240" w:lineRule="atLeast"/>
              <w:ind w:left="318" w:hanging="284"/>
              <w:rPr>
                <w:sz w:val="20"/>
              </w:rPr>
            </w:pPr>
            <w:r w:rsidRPr="00EA5132">
              <w:rPr>
                <w:sz w:val="20"/>
              </w:rPr>
              <w:t>Pt = Part(s)</w:t>
            </w:r>
          </w:p>
        </w:tc>
      </w:tr>
      <w:tr w:rsidR="0098741D" w:rsidRPr="00EA5132" w14:paraId="0D81F42D" w14:textId="77777777" w:rsidTr="0098741D">
        <w:trPr>
          <w:trHeight w:hRule="exact" w:val="312"/>
        </w:trPr>
        <w:tc>
          <w:tcPr>
            <w:tcW w:w="2500" w:type="pct"/>
            <w:shd w:val="clear" w:color="auto" w:fill="auto"/>
          </w:tcPr>
          <w:p w14:paraId="280365F2" w14:textId="77777777" w:rsidR="0098741D" w:rsidRPr="00EA5132" w:rsidRDefault="0098741D" w:rsidP="0098741D">
            <w:pPr>
              <w:spacing w:before="60" w:line="240" w:lineRule="atLeast"/>
              <w:ind w:left="318" w:hanging="284"/>
              <w:rPr>
                <w:sz w:val="20"/>
              </w:rPr>
            </w:pPr>
            <w:r w:rsidRPr="00EA5132">
              <w:rPr>
                <w:sz w:val="20"/>
              </w:rPr>
              <w:t>Div = Division(s)</w:t>
            </w:r>
          </w:p>
        </w:tc>
        <w:tc>
          <w:tcPr>
            <w:tcW w:w="2500" w:type="pct"/>
            <w:shd w:val="clear" w:color="auto" w:fill="auto"/>
          </w:tcPr>
          <w:p w14:paraId="256ACE88" w14:textId="77777777" w:rsidR="0098741D" w:rsidRPr="00EA5132" w:rsidRDefault="0098741D" w:rsidP="0098741D">
            <w:pPr>
              <w:spacing w:before="60" w:line="240" w:lineRule="atLeast"/>
              <w:ind w:left="318" w:hanging="284"/>
              <w:rPr>
                <w:sz w:val="20"/>
              </w:rPr>
            </w:pPr>
            <w:r w:rsidRPr="00EA5132">
              <w:rPr>
                <w:sz w:val="20"/>
              </w:rPr>
              <w:t>r = regulation(s)/rule(s)</w:t>
            </w:r>
          </w:p>
        </w:tc>
      </w:tr>
      <w:tr w:rsidR="0098741D" w:rsidRPr="00EA5132" w14:paraId="62743B28" w14:textId="77777777" w:rsidTr="0098741D">
        <w:trPr>
          <w:trHeight w:hRule="exact" w:val="312"/>
        </w:trPr>
        <w:tc>
          <w:tcPr>
            <w:tcW w:w="2500" w:type="pct"/>
            <w:shd w:val="clear" w:color="auto" w:fill="auto"/>
          </w:tcPr>
          <w:p w14:paraId="4D8121BD" w14:textId="77777777" w:rsidR="0098741D" w:rsidRPr="00EA5132" w:rsidRDefault="0098741D" w:rsidP="0098741D">
            <w:pPr>
              <w:spacing w:before="60" w:line="240" w:lineRule="atLeast"/>
              <w:ind w:left="318" w:hanging="284"/>
              <w:rPr>
                <w:sz w:val="20"/>
              </w:rPr>
            </w:pPr>
            <w:r>
              <w:rPr>
                <w:sz w:val="20"/>
              </w:rPr>
              <w:t>ed = editorial change</w:t>
            </w:r>
          </w:p>
        </w:tc>
        <w:tc>
          <w:tcPr>
            <w:tcW w:w="2500" w:type="pct"/>
            <w:shd w:val="clear" w:color="auto" w:fill="auto"/>
          </w:tcPr>
          <w:p w14:paraId="6DF81CC2" w14:textId="77777777" w:rsidR="0098741D" w:rsidRPr="00EA5132" w:rsidRDefault="0098741D" w:rsidP="0098741D">
            <w:pPr>
              <w:spacing w:before="60" w:line="240" w:lineRule="atLeast"/>
              <w:ind w:left="318" w:hanging="284"/>
              <w:rPr>
                <w:sz w:val="20"/>
              </w:rPr>
            </w:pPr>
            <w:r w:rsidRPr="00EA5132">
              <w:rPr>
                <w:sz w:val="20"/>
              </w:rPr>
              <w:t>reloc = relocated</w:t>
            </w:r>
          </w:p>
        </w:tc>
      </w:tr>
      <w:tr w:rsidR="0098741D" w:rsidRPr="00EA5132" w14:paraId="49D1AB78" w14:textId="77777777" w:rsidTr="0098741D">
        <w:trPr>
          <w:trHeight w:hRule="exact" w:val="312"/>
        </w:trPr>
        <w:tc>
          <w:tcPr>
            <w:tcW w:w="2500" w:type="pct"/>
            <w:vMerge w:val="restart"/>
            <w:shd w:val="clear" w:color="auto" w:fill="auto"/>
          </w:tcPr>
          <w:p w14:paraId="200E50F7" w14:textId="77777777" w:rsidR="0098741D" w:rsidRPr="00EA5132" w:rsidRDefault="0098741D" w:rsidP="0098741D">
            <w:pPr>
              <w:spacing w:before="60" w:line="240" w:lineRule="atLeast"/>
              <w:ind w:left="318" w:hanging="284"/>
              <w:rPr>
                <w:sz w:val="20"/>
              </w:rPr>
            </w:pPr>
            <w:r w:rsidRPr="00EA5132">
              <w:rPr>
                <w:sz w:val="20"/>
              </w:rPr>
              <w:t>exp = expires/expired or ceases/ceased to have</w:t>
            </w:r>
            <w:r>
              <w:rPr>
                <w:sz w:val="20"/>
              </w:rPr>
              <w:t xml:space="preserve"> </w:t>
            </w:r>
            <w:r w:rsidRPr="00EA5132">
              <w:rPr>
                <w:sz w:val="20"/>
              </w:rPr>
              <w:t>effect</w:t>
            </w:r>
          </w:p>
        </w:tc>
        <w:tc>
          <w:tcPr>
            <w:tcW w:w="2500" w:type="pct"/>
            <w:shd w:val="clear" w:color="auto" w:fill="auto"/>
          </w:tcPr>
          <w:p w14:paraId="6044C8A1" w14:textId="77777777" w:rsidR="0098741D" w:rsidRPr="00EA5132" w:rsidRDefault="0098741D" w:rsidP="0098741D">
            <w:pPr>
              <w:spacing w:before="60" w:line="240" w:lineRule="atLeast"/>
              <w:ind w:left="318" w:hanging="284"/>
              <w:rPr>
                <w:sz w:val="20"/>
              </w:rPr>
            </w:pPr>
            <w:r w:rsidRPr="00EA5132">
              <w:rPr>
                <w:sz w:val="20"/>
              </w:rPr>
              <w:t>renum = renumbered</w:t>
            </w:r>
          </w:p>
        </w:tc>
      </w:tr>
      <w:tr w:rsidR="0098741D" w:rsidRPr="00EA5132" w14:paraId="5BB13FFA" w14:textId="77777777" w:rsidTr="0098741D">
        <w:trPr>
          <w:trHeight w:hRule="exact" w:val="312"/>
        </w:trPr>
        <w:tc>
          <w:tcPr>
            <w:tcW w:w="2500" w:type="pct"/>
            <w:vMerge/>
            <w:shd w:val="clear" w:color="auto" w:fill="auto"/>
          </w:tcPr>
          <w:p w14:paraId="0BABF26A" w14:textId="77777777" w:rsidR="0098741D" w:rsidRPr="00EA5132" w:rsidRDefault="0098741D" w:rsidP="0098741D">
            <w:pPr>
              <w:spacing w:before="60" w:line="240" w:lineRule="atLeast"/>
              <w:ind w:left="318" w:hanging="284"/>
              <w:rPr>
                <w:sz w:val="20"/>
              </w:rPr>
            </w:pPr>
          </w:p>
        </w:tc>
        <w:tc>
          <w:tcPr>
            <w:tcW w:w="2500" w:type="pct"/>
            <w:shd w:val="clear" w:color="auto" w:fill="auto"/>
          </w:tcPr>
          <w:p w14:paraId="5E7F7B7C" w14:textId="77777777" w:rsidR="0098741D" w:rsidRPr="00EA5132" w:rsidRDefault="0098741D" w:rsidP="0098741D">
            <w:pPr>
              <w:spacing w:before="60" w:line="240" w:lineRule="atLeast"/>
              <w:ind w:left="318" w:hanging="284"/>
              <w:rPr>
                <w:sz w:val="20"/>
              </w:rPr>
            </w:pPr>
            <w:r w:rsidRPr="00EA5132">
              <w:rPr>
                <w:sz w:val="20"/>
              </w:rPr>
              <w:t>rep = repealed</w:t>
            </w:r>
          </w:p>
        </w:tc>
      </w:tr>
      <w:tr w:rsidR="0098741D" w:rsidRPr="00EA5132" w14:paraId="22B7B54B" w14:textId="77777777" w:rsidTr="0098741D">
        <w:trPr>
          <w:trHeight w:hRule="exact" w:val="312"/>
        </w:trPr>
        <w:tc>
          <w:tcPr>
            <w:tcW w:w="2500" w:type="pct"/>
            <w:shd w:val="clear" w:color="auto" w:fill="auto"/>
          </w:tcPr>
          <w:p w14:paraId="39F0444B" w14:textId="77777777" w:rsidR="0098741D" w:rsidRPr="00EA5132" w:rsidRDefault="0098741D" w:rsidP="0098741D">
            <w:pPr>
              <w:spacing w:before="60" w:line="240" w:lineRule="atLeast"/>
              <w:ind w:left="318" w:hanging="284"/>
              <w:rPr>
                <w:sz w:val="20"/>
              </w:rPr>
            </w:pPr>
            <w:r w:rsidRPr="00EA5132">
              <w:rPr>
                <w:sz w:val="20"/>
              </w:rPr>
              <w:t>F = Federal Register of Legislat</w:t>
            </w:r>
            <w:r>
              <w:rPr>
                <w:sz w:val="20"/>
              </w:rPr>
              <w:t>ion</w:t>
            </w:r>
          </w:p>
        </w:tc>
        <w:tc>
          <w:tcPr>
            <w:tcW w:w="2500" w:type="pct"/>
            <w:shd w:val="clear" w:color="auto" w:fill="auto"/>
          </w:tcPr>
          <w:p w14:paraId="5178CF5B" w14:textId="77777777" w:rsidR="0098741D" w:rsidRPr="00EA5132" w:rsidRDefault="0098741D" w:rsidP="0098741D">
            <w:pPr>
              <w:spacing w:before="60" w:line="240" w:lineRule="atLeast"/>
              <w:ind w:left="318" w:hanging="284"/>
              <w:rPr>
                <w:sz w:val="20"/>
              </w:rPr>
            </w:pPr>
            <w:r w:rsidRPr="00EA5132">
              <w:rPr>
                <w:sz w:val="20"/>
              </w:rPr>
              <w:t>rs = repealed and substituted</w:t>
            </w:r>
          </w:p>
        </w:tc>
      </w:tr>
      <w:tr w:rsidR="0098741D" w:rsidRPr="00EA5132" w14:paraId="3537E9C4" w14:textId="77777777" w:rsidTr="0098741D">
        <w:trPr>
          <w:trHeight w:hRule="exact" w:val="312"/>
        </w:trPr>
        <w:tc>
          <w:tcPr>
            <w:tcW w:w="2500" w:type="pct"/>
            <w:shd w:val="clear" w:color="auto" w:fill="auto"/>
          </w:tcPr>
          <w:p w14:paraId="7CB2D2E9" w14:textId="77777777" w:rsidR="0098741D" w:rsidRPr="00EA5132" w:rsidRDefault="0098741D" w:rsidP="0098741D">
            <w:pPr>
              <w:spacing w:before="60" w:line="240" w:lineRule="atLeast"/>
              <w:ind w:left="318" w:hanging="284"/>
              <w:rPr>
                <w:sz w:val="20"/>
              </w:rPr>
            </w:pPr>
            <w:r w:rsidRPr="00EA5132">
              <w:rPr>
                <w:sz w:val="20"/>
              </w:rPr>
              <w:t>gaz = gazette</w:t>
            </w:r>
          </w:p>
        </w:tc>
        <w:tc>
          <w:tcPr>
            <w:tcW w:w="2500" w:type="pct"/>
            <w:shd w:val="clear" w:color="auto" w:fill="auto"/>
          </w:tcPr>
          <w:p w14:paraId="73523E96" w14:textId="77777777" w:rsidR="0098741D" w:rsidRPr="00EA5132" w:rsidRDefault="0098741D" w:rsidP="0098741D">
            <w:pPr>
              <w:spacing w:before="60" w:line="240" w:lineRule="atLeast"/>
              <w:ind w:left="318" w:hanging="284"/>
              <w:rPr>
                <w:sz w:val="20"/>
              </w:rPr>
            </w:pPr>
            <w:r w:rsidRPr="00EA5132">
              <w:rPr>
                <w:sz w:val="20"/>
              </w:rPr>
              <w:t>s = section(s)/subsection(s)</w:t>
            </w:r>
          </w:p>
        </w:tc>
      </w:tr>
      <w:tr w:rsidR="0098741D" w:rsidRPr="00EA5132" w14:paraId="0894DAED" w14:textId="77777777" w:rsidTr="0098741D">
        <w:trPr>
          <w:trHeight w:hRule="exact" w:val="312"/>
        </w:trPr>
        <w:tc>
          <w:tcPr>
            <w:tcW w:w="2500" w:type="pct"/>
            <w:shd w:val="clear" w:color="auto" w:fill="auto"/>
          </w:tcPr>
          <w:p w14:paraId="3D0FE5FC" w14:textId="77777777" w:rsidR="0098741D" w:rsidRPr="00EA5132" w:rsidRDefault="0098741D" w:rsidP="0098741D">
            <w:pPr>
              <w:spacing w:before="60" w:line="240" w:lineRule="atLeast"/>
              <w:ind w:left="318" w:hanging="284"/>
              <w:rPr>
                <w:sz w:val="20"/>
              </w:rPr>
            </w:pPr>
            <w:r>
              <w:rPr>
                <w:sz w:val="20"/>
              </w:rPr>
              <w:t xml:space="preserve">LA = </w:t>
            </w:r>
            <w:r w:rsidRPr="00F03223">
              <w:rPr>
                <w:i/>
                <w:sz w:val="20"/>
              </w:rPr>
              <w:t>Legislation Act 2003</w:t>
            </w:r>
          </w:p>
        </w:tc>
        <w:tc>
          <w:tcPr>
            <w:tcW w:w="2500" w:type="pct"/>
            <w:shd w:val="clear" w:color="auto" w:fill="auto"/>
          </w:tcPr>
          <w:p w14:paraId="25F6CFF6" w14:textId="77777777" w:rsidR="0098741D" w:rsidRPr="00EA5132" w:rsidRDefault="0098741D" w:rsidP="0098741D">
            <w:pPr>
              <w:spacing w:before="60" w:line="240" w:lineRule="atLeast"/>
              <w:ind w:left="318" w:hanging="284"/>
              <w:rPr>
                <w:sz w:val="20"/>
              </w:rPr>
            </w:pPr>
            <w:r w:rsidRPr="00EA5132">
              <w:rPr>
                <w:sz w:val="20"/>
              </w:rPr>
              <w:t>Sch = Schedule(s)</w:t>
            </w:r>
          </w:p>
        </w:tc>
      </w:tr>
      <w:tr w:rsidR="0098741D" w:rsidRPr="00EA5132" w14:paraId="3CEE4D45" w14:textId="77777777" w:rsidTr="0098741D">
        <w:trPr>
          <w:trHeight w:hRule="exact" w:val="312"/>
        </w:trPr>
        <w:tc>
          <w:tcPr>
            <w:tcW w:w="2500" w:type="pct"/>
            <w:shd w:val="clear" w:color="auto" w:fill="auto"/>
          </w:tcPr>
          <w:p w14:paraId="519F5F4F" w14:textId="77777777" w:rsidR="0098741D" w:rsidRPr="00EA5132" w:rsidRDefault="0098741D" w:rsidP="0098741D">
            <w:pPr>
              <w:spacing w:before="60" w:line="240" w:lineRule="atLeast"/>
              <w:ind w:left="318" w:hanging="284"/>
              <w:rPr>
                <w:sz w:val="20"/>
              </w:rPr>
            </w:pPr>
            <w:r w:rsidRPr="00EA5132">
              <w:rPr>
                <w:sz w:val="20"/>
              </w:rPr>
              <w:t xml:space="preserve">LIA = </w:t>
            </w:r>
            <w:r w:rsidRPr="00F03223">
              <w:rPr>
                <w:i/>
                <w:sz w:val="20"/>
              </w:rPr>
              <w:t>Legislative Instruments Act 2003</w:t>
            </w:r>
          </w:p>
        </w:tc>
        <w:tc>
          <w:tcPr>
            <w:tcW w:w="2500" w:type="pct"/>
            <w:shd w:val="clear" w:color="auto" w:fill="auto"/>
          </w:tcPr>
          <w:p w14:paraId="6A182FCA" w14:textId="77777777" w:rsidR="0098741D" w:rsidRPr="00EA5132" w:rsidRDefault="0098741D" w:rsidP="0098741D">
            <w:pPr>
              <w:spacing w:before="60" w:line="240" w:lineRule="atLeast"/>
              <w:ind w:left="318" w:hanging="284"/>
              <w:rPr>
                <w:sz w:val="20"/>
              </w:rPr>
            </w:pPr>
            <w:r w:rsidRPr="00EA5132">
              <w:rPr>
                <w:sz w:val="20"/>
              </w:rPr>
              <w:t>Sdiv = Subdivision(s)</w:t>
            </w:r>
          </w:p>
        </w:tc>
      </w:tr>
      <w:tr w:rsidR="0098741D" w:rsidRPr="00EA5132" w14:paraId="55A8D7E9" w14:textId="77777777" w:rsidTr="0098741D">
        <w:trPr>
          <w:trHeight w:hRule="exact" w:val="312"/>
        </w:trPr>
        <w:tc>
          <w:tcPr>
            <w:tcW w:w="2500" w:type="pct"/>
            <w:vMerge w:val="restart"/>
            <w:shd w:val="clear" w:color="auto" w:fill="auto"/>
          </w:tcPr>
          <w:p w14:paraId="1D1737B2" w14:textId="77777777" w:rsidR="0098741D" w:rsidRPr="00EA5132" w:rsidRDefault="0098741D" w:rsidP="0098741D">
            <w:pPr>
              <w:spacing w:before="60" w:line="240" w:lineRule="atLeast"/>
              <w:ind w:left="318" w:hanging="284"/>
              <w:rPr>
                <w:sz w:val="20"/>
              </w:rPr>
            </w:pPr>
            <w:r w:rsidRPr="00EA5132">
              <w:rPr>
                <w:sz w:val="20"/>
              </w:rPr>
              <w:t>(md) = misdescribed amendment can be given</w:t>
            </w:r>
            <w:r>
              <w:rPr>
                <w:sz w:val="20"/>
              </w:rPr>
              <w:t xml:space="preserve"> </w:t>
            </w:r>
            <w:r w:rsidRPr="00EA5132">
              <w:rPr>
                <w:sz w:val="20"/>
              </w:rPr>
              <w:t>effect</w:t>
            </w:r>
          </w:p>
        </w:tc>
        <w:tc>
          <w:tcPr>
            <w:tcW w:w="2500" w:type="pct"/>
            <w:shd w:val="clear" w:color="auto" w:fill="auto"/>
          </w:tcPr>
          <w:p w14:paraId="1EC06329" w14:textId="77777777" w:rsidR="0098741D" w:rsidRPr="00EA5132" w:rsidRDefault="0098741D" w:rsidP="0098741D">
            <w:pPr>
              <w:spacing w:before="60" w:line="240" w:lineRule="atLeast"/>
              <w:ind w:left="318" w:hanging="284"/>
              <w:rPr>
                <w:sz w:val="20"/>
              </w:rPr>
            </w:pPr>
            <w:r w:rsidRPr="00EA5132">
              <w:rPr>
                <w:sz w:val="20"/>
              </w:rPr>
              <w:t>SLI = Select Legislative Instrument</w:t>
            </w:r>
          </w:p>
        </w:tc>
      </w:tr>
      <w:tr w:rsidR="0098741D" w:rsidRPr="00EA5132" w14:paraId="3BC43792" w14:textId="77777777" w:rsidTr="0098741D">
        <w:trPr>
          <w:trHeight w:hRule="exact" w:val="312"/>
        </w:trPr>
        <w:tc>
          <w:tcPr>
            <w:tcW w:w="2500" w:type="pct"/>
            <w:vMerge/>
            <w:shd w:val="clear" w:color="auto" w:fill="auto"/>
          </w:tcPr>
          <w:p w14:paraId="496FF271" w14:textId="77777777" w:rsidR="0098741D" w:rsidRPr="00EA5132" w:rsidRDefault="0098741D" w:rsidP="0098741D">
            <w:pPr>
              <w:spacing w:before="60" w:line="240" w:lineRule="atLeast"/>
              <w:ind w:left="318" w:hanging="284"/>
              <w:rPr>
                <w:sz w:val="20"/>
              </w:rPr>
            </w:pPr>
          </w:p>
        </w:tc>
        <w:tc>
          <w:tcPr>
            <w:tcW w:w="2500" w:type="pct"/>
            <w:shd w:val="clear" w:color="auto" w:fill="auto"/>
          </w:tcPr>
          <w:p w14:paraId="66B4A8FF" w14:textId="77777777" w:rsidR="0098741D" w:rsidRPr="00EA5132" w:rsidRDefault="0098741D" w:rsidP="0098741D">
            <w:pPr>
              <w:spacing w:before="60" w:line="240" w:lineRule="atLeast"/>
              <w:ind w:left="318" w:hanging="284"/>
              <w:rPr>
                <w:sz w:val="20"/>
              </w:rPr>
            </w:pPr>
            <w:r w:rsidRPr="00EA5132">
              <w:rPr>
                <w:sz w:val="20"/>
              </w:rPr>
              <w:t>SR = Statutory Rules</w:t>
            </w:r>
          </w:p>
        </w:tc>
      </w:tr>
      <w:tr w:rsidR="0098741D" w:rsidRPr="00EA5132" w14:paraId="71650A21" w14:textId="77777777" w:rsidTr="0098741D">
        <w:trPr>
          <w:trHeight w:hRule="exact" w:val="312"/>
        </w:trPr>
        <w:tc>
          <w:tcPr>
            <w:tcW w:w="2500" w:type="pct"/>
            <w:vMerge w:val="restart"/>
            <w:shd w:val="clear" w:color="auto" w:fill="auto"/>
          </w:tcPr>
          <w:p w14:paraId="7194BC52" w14:textId="77777777" w:rsidR="0098741D" w:rsidRPr="00EA5132" w:rsidRDefault="0098741D" w:rsidP="0098741D">
            <w:pPr>
              <w:spacing w:before="60" w:line="240" w:lineRule="atLeast"/>
              <w:ind w:left="318" w:hanging="284"/>
              <w:rPr>
                <w:sz w:val="20"/>
              </w:rPr>
            </w:pPr>
            <w:r w:rsidRPr="00EA5132">
              <w:rPr>
                <w:sz w:val="20"/>
              </w:rPr>
              <w:t>(md not incorp) = misdescribed amendment</w:t>
            </w:r>
            <w:r>
              <w:rPr>
                <w:sz w:val="20"/>
              </w:rPr>
              <w:t xml:space="preserve"> </w:t>
            </w:r>
            <w:r w:rsidRPr="00EA5132">
              <w:rPr>
                <w:sz w:val="20"/>
              </w:rPr>
              <w:t>cannot be given effect</w:t>
            </w:r>
          </w:p>
        </w:tc>
        <w:tc>
          <w:tcPr>
            <w:tcW w:w="2500" w:type="pct"/>
            <w:shd w:val="clear" w:color="auto" w:fill="auto"/>
          </w:tcPr>
          <w:p w14:paraId="72097F49" w14:textId="376DD2BA" w:rsidR="0098741D" w:rsidRPr="00EA5132" w:rsidRDefault="0098741D" w:rsidP="0098741D">
            <w:pPr>
              <w:spacing w:before="60" w:line="240" w:lineRule="atLeast"/>
              <w:ind w:left="318" w:hanging="284"/>
              <w:rPr>
                <w:sz w:val="20"/>
              </w:rPr>
            </w:pPr>
            <w:r w:rsidRPr="00EA5132">
              <w:rPr>
                <w:sz w:val="20"/>
              </w:rPr>
              <w:t>Sub</w:t>
            </w:r>
            <w:r w:rsidR="00D031F4">
              <w:rPr>
                <w:sz w:val="20"/>
              </w:rPr>
              <w:noBreakHyphen/>
            </w:r>
            <w:r w:rsidRPr="00EA5132">
              <w:rPr>
                <w:sz w:val="20"/>
              </w:rPr>
              <w:t>Ch = Sub</w:t>
            </w:r>
            <w:r w:rsidR="00D031F4">
              <w:rPr>
                <w:sz w:val="20"/>
              </w:rPr>
              <w:noBreakHyphen/>
            </w:r>
            <w:r w:rsidRPr="00EA5132">
              <w:rPr>
                <w:sz w:val="20"/>
              </w:rPr>
              <w:t>Chapter(s)</w:t>
            </w:r>
          </w:p>
        </w:tc>
      </w:tr>
      <w:tr w:rsidR="0098741D" w:rsidRPr="00EA5132" w14:paraId="3A2B5605" w14:textId="77777777" w:rsidTr="0098741D">
        <w:trPr>
          <w:trHeight w:hRule="exact" w:val="312"/>
        </w:trPr>
        <w:tc>
          <w:tcPr>
            <w:tcW w:w="2500" w:type="pct"/>
            <w:vMerge/>
            <w:shd w:val="clear" w:color="auto" w:fill="auto"/>
          </w:tcPr>
          <w:p w14:paraId="4C428282" w14:textId="77777777" w:rsidR="0098741D" w:rsidRPr="00EA5132" w:rsidRDefault="0098741D" w:rsidP="0098741D">
            <w:pPr>
              <w:spacing w:before="60" w:line="240" w:lineRule="atLeast"/>
              <w:ind w:left="318" w:hanging="284"/>
              <w:rPr>
                <w:sz w:val="20"/>
              </w:rPr>
            </w:pPr>
          </w:p>
        </w:tc>
        <w:tc>
          <w:tcPr>
            <w:tcW w:w="2500" w:type="pct"/>
            <w:shd w:val="clear" w:color="auto" w:fill="auto"/>
          </w:tcPr>
          <w:p w14:paraId="2E958C12" w14:textId="77777777" w:rsidR="0098741D" w:rsidRPr="00EA5132" w:rsidRDefault="0098741D" w:rsidP="0098741D">
            <w:pPr>
              <w:spacing w:before="60" w:line="240" w:lineRule="atLeast"/>
              <w:ind w:left="318" w:hanging="284"/>
              <w:rPr>
                <w:sz w:val="20"/>
              </w:rPr>
            </w:pPr>
            <w:r w:rsidRPr="00EA5132">
              <w:rPr>
                <w:sz w:val="20"/>
              </w:rPr>
              <w:t>SubPt = Subpart(s)</w:t>
            </w:r>
          </w:p>
        </w:tc>
      </w:tr>
      <w:tr w:rsidR="0098741D" w:rsidRPr="00EA5132" w14:paraId="4E7C4BD1" w14:textId="77777777" w:rsidTr="0098741D">
        <w:trPr>
          <w:trHeight w:hRule="exact" w:val="312"/>
        </w:trPr>
        <w:tc>
          <w:tcPr>
            <w:tcW w:w="2500" w:type="pct"/>
            <w:shd w:val="clear" w:color="auto" w:fill="auto"/>
          </w:tcPr>
          <w:p w14:paraId="2B8FE299" w14:textId="77777777" w:rsidR="0098741D" w:rsidRPr="00EA5132" w:rsidRDefault="0098741D" w:rsidP="0098741D">
            <w:pPr>
              <w:spacing w:before="60" w:line="240" w:lineRule="atLeast"/>
              <w:ind w:left="318" w:hanging="284"/>
              <w:rPr>
                <w:sz w:val="20"/>
              </w:rPr>
            </w:pPr>
            <w:r w:rsidRPr="00EA5132">
              <w:rPr>
                <w:sz w:val="20"/>
              </w:rPr>
              <w:t>mod = modified/modification</w:t>
            </w:r>
          </w:p>
        </w:tc>
        <w:tc>
          <w:tcPr>
            <w:tcW w:w="2500" w:type="pct"/>
            <w:vMerge w:val="restart"/>
            <w:shd w:val="clear" w:color="auto" w:fill="auto"/>
          </w:tcPr>
          <w:p w14:paraId="49F4C6D2" w14:textId="77777777" w:rsidR="0098741D" w:rsidRPr="00EA5132" w:rsidRDefault="0098741D" w:rsidP="0098741D">
            <w:pPr>
              <w:spacing w:before="60" w:line="240" w:lineRule="atLeast"/>
              <w:ind w:left="318" w:hanging="284"/>
              <w:rPr>
                <w:sz w:val="20"/>
              </w:rPr>
            </w:pPr>
            <w:r w:rsidRPr="00F03223">
              <w:rPr>
                <w:sz w:val="20"/>
                <w:u w:val="single"/>
              </w:rPr>
              <w:t>underlining</w:t>
            </w:r>
            <w:r w:rsidRPr="00EA5132">
              <w:rPr>
                <w:sz w:val="20"/>
              </w:rPr>
              <w:t xml:space="preserve"> = whole or part not</w:t>
            </w:r>
            <w:r>
              <w:rPr>
                <w:sz w:val="20"/>
              </w:rPr>
              <w:t xml:space="preserve"> </w:t>
            </w:r>
            <w:r w:rsidRPr="00EA5132">
              <w:rPr>
                <w:sz w:val="20"/>
              </w:rPr>
              <w:t>commenced or to be commenced</w:t>
            </w:r>
          </w:p>
        </w:tc>
      </w:tr>
      <w:tr w:rsidR="0098741D" w:rsidRPr="00EA5132" w14:paraId="5A6823E0" w14:textId="77777777" w:rsidTr="0098741D">
        <w:trPr>
          <w:trHeight w:hRule="exact" w:val="312"/>
        </w:trPr>
        <w:tc>
          <w:tcPr>
            <w:tcW w:w="2500" w:type="pct"/>
            <w:shd w:val="clear" w:color="auto" w:fill="auto"/>
          </w:tcPr>
          <w:p w14:paraId="11756F7D" w14:textId="77777777" w:rsidR="0098741D" w:rsidRPr="00EA5132" w:rsidRDefault="0098741D" w:rsidP="0098741D">
            <w:pPr>
              <w:spacing w:before="60" w:line="240" w:lineRule="atLeast"/>
              <w:ind w:left="318" w:hanging="284"/>
              <w:rPr>
                <w:sz w:val="20"/>
              </w:rPr>
            </w:pPr>
            <w:r w:rsidRPr="00EA5132">
              <w:rPr>
                <w:sz w:val="20"/>
              </w:rPr>
              <w:t>No. = Number(s)</w:t>
            </w:r>
          </w:p>
        </w:tc>
        <w:tc>
          <w:tcPr>
            <w:tcW w:w="2500" w:type="pct"/>
            <w:vMerge/>
            <w:shd w:val="clear" w:color="auto" w:fill="auto"/>
          </w:tcPr>
          <w:p w14:paraId="6142CABA" w14:textId="77777777" w:rsidR="0098741D" w:rsidRPr="00EA5132" w:rsidRDefault="0098741D" w:rsidP="0098741D">
            <w:pPr>
              <w:ind w:left="34" w:firstLine="249"/>
              <w:rPr>
                <w:sz w:val="20"/>
              </w:rPr>
            </w:pPr>
          </w:p>
        </w:tc>
      </w:tr>
    </w:tbl>
    <w:p w14:paraId="68352E33" w14:textId="77777777" w:rsidR="0098741D" w:rsidRDefault="0098741D" w:rsidP="0098741D"/>
    <w:p w14:paraId="1F79BE9C" w14:textId="30C85638" w:rsidR="0098741D" w:rsidRDefault="0098741D" w:rsidP="0098741D"/>
    <w:p w14:paraId="71CBD18F" w14:textId="77777777" w:rsidR="0098741D" w:rsidRDefault="0098741D" w:rsidP="0098741D">
      <w:pPr>
        <w:pStyle w:val="ENotesHeading2"/>
        <w:pageBreakBefore/>
      </w:pPr>
      <w:bookmarkStart w:id="13" w:name="_Toc141356296"/>
      <w:r>
        <w:lastRenderedPageBreak/>
        <w:t>Endnote 3—Legislation history</w:t>
      </w:r>
      <w:bookmarkEnd w:id="13"/>
    </w:p>
    <w:p w14:paraId="333354DC" w14:textId="77777777" w:rsidR="0098741D" w:rsidRDefault="0098741D" w:rsidP="0098741D">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133"/>
        <w:gridCol w:w="2132"/>
        <w:gridCol w:w="2132"/>
        <w:gridCol w:w="2132"/>
      </w:tblGrid>
      <w:tr w:rsidR="0098741D" w:rsidRPr="0098546F" w14:paraId="1B6CDF57" w14:textId="77777777" w:rsidTr="0098741D">
        <w:trPr>
          <w:cantSplit/>
          <w:tblHeader/>
        </w:trPr>
        <w:tc>
          <w:tcPr>
            <w:tcW w:w="1250" w:type="pct"/>
            <w:tcBorders>
              <w:top w:val="single" w:sz="12" w:space="0" w:color="auto"/>
              <w:bottom w:val="single" w:sz="12" w:space="0" w:color="auto"/>
            </w:tcBorders>
            <w:shd w:val="clear" w:color="auto" w:fill="auto"/>
          </w:tcPr>
          <w:p w14:paraId="534B43C7" w14:textId="77777777" w:rsidR="0098741D" w:rsidRPr="00E117A3" w:rsidRDefault="0098741D" w:rsidP="0098741D">
            <w:pPr>
              <w:pStyle w:val="ENoteTableHeading"/>
            </w:pPr>
            <w:r>
              <w:t>Name</w:t>
            </w:r>
          </w:p>
        </w:tc>
        <w:tc>
          <w:tcPr>
            <w:tcW w:w="1250" w:type="pct"/>
            <w:tcBorders>
              <w:top w:val="single" w:sz="12" w:space="0" w:color="auto"/>
              <w:bottom w:val="single" w:sz="12" w:space="0" w:color="auto"/>
            </w:tcBorders>
            <w:shd w:val="clear" w:color="auto" w:fill="auto"/>
          </w:tcPr>
          <w:p w14:paraId="09740A8E" w14:textId="77777777" w:rsidR="0098741D" w:rsidRPr="00E117A3" w:rsidRDefault="0098741D" w:rsidP="0098741D">
            <w:pPr>
              <w:pStyle w:val="ENoteTableHeading"/>
            </w:pPr>
            <w:r>
              <w:t>R</w:t>
            </w:r>
            <w:r w:rsidRPr="00E117A3">
              <w:t>egistration</w:t>
            </w:r>
          </w:p>
        </w:tc>
        <w:tc>
          <w:tcPr>
            <w:tcW w:w="1250" w:type="pct"/>
            <w:tcBorders>
              <w:top w:val="single" w:sz="12" w:space="0" w:color="auto"/>
              <w:bottom w:val="single" w:sz="12" w:space="0" w:color="auto"/>
            </w:tcBorders>
            <w:shd w:val="clear" w:color="auto" w:fill="auto"/>
          </w:tcPr>
          <w:p w14:paraId="43C59438" w14:textId="77777777" w:rsidR="0098741D" w:rsidRPr="00E117A3" w:rsidRDefault="0098741D" w:rsidP="0098741D">
            <w:pPr>
              <w:pStyle w:val="ENoteTableHeading"/>
            </w:pPr>
            <w:r>
              <w:t>Commencement</w:t>
            </w:r>
          </w:p>
        </w:tc>
        <w:tc>
          <w:tcPr>
            <w:tcW w:w="1250" w:type="pct"/>
            <w:tcBorders>
              <w:top w:val="single" w:sz="12" w:space="0" w:color="auto"/>
              <w:bottom w:val="single" w:sz="12" w:space="0" w:color="auto"/>
            </w:tcBorders>
            <w:shd w:val="clear" w:color="auto" w:fill="auto"/>
          </w:tcPr>
          <w:p w14:paraId="0DD40FC0" w14:textId="77777777" w:rsidR="0098741D" w:rsidRPr="00E117A3" w:rsidRDefault="0098741D" w:rsidP="0098741D">
            <w:pPr>
              <w:pStyle w:val="ENoteTableHeading"/>
            </w:pPr>
            <w:r w:rsidRPr="00E117A3">
              <w:t>Application, saving and transitional provisions</w:t>
            </w:r>
          </w:p>
        </w:tc>
      </w:tr>
      <w:tr w:rsidR="0098741D" w:rsidRPr="00E117A3" w14:paraId="63644ACA" w14:textId="77777777" w:rsidTr="0098741D">
        <w:trPr>
          <w:cantSplit/>
        </w:trPr>
        <w:tc>
          <w:tcPr>
            <w:tcW w:w="1250" w:type="pct"/>
            <w:tcBorders>
              <w:top w:val="single" w:sz="12" w:space="0" w:color="auto"/>
              <w:bottom w:val="single" w:sz="4" w:space="0" w:color="auto"/>
            </w:tcBorders>
            <w:shd w:val="clear" w:color="auto" w:fill="auto"/>
          </w:tcPr>
          <w:p w14:paraId="3AC0D4FD" w14:textId="3FE8A3F0" w:rsidR="0098741D" w:rsidRPr="00E117A3" w:rsidRDefault="004D638E" w:rsidP="0098741D">
            <w:pPr>
              <w:pStyle w:val="ENoteTableText"/>
            </w:pPr>
            <w:r w:rsidRPr="004D638E">
              <w:t xml:space="preserve">Telecommunications (Carrier Licence Exemption—Use for specified Queensland rail and electricity services) </w:t>
            </w:r>
            <w:r w:rsidR="00D031F4">
              <w:t>Determination 2</w:t>
            </w:r>
            <w:r w:rsidRPr="004D638E">
              <w:t>021</w:t>
            </w:r>
          </w:p>
        </w:tc>
        <w:tc>
          <w:tcPr>
            <w:tcW w:w="1250" w:type="pct"/>
            <w:tcBorders>
              <w:top w:val="single" w:sz="12" w:space="0" w:color="auto"/>
              <w:bottom w:val="single" w:sz="4" w:space="0" w:color="auto"/>
            </w:tcBorders>
            <w:shd w:val="clear" w:color="auto" w:fill="auto"/>
          </w:tcPr>
          <w:p w14:paraId="12B7B339" w14:textId="5D195728" w:rsidR="0098741D" w:rsidRPr="00E117A3" w:rsidRDefault="00D031F4" w:rsidP="0098741D">
            <w:pPr>
              <w:pStyle w:val="ENoteTableText"/>
            </w:pPr>
            <w:r>
              <w:t>30 June</w:t>
            </w:r>
            <w:r w:rsidR="004D638E">
              <w:t xml:space="preserve"> 2021 (F2021L00915)</w:t>
            </w:r>
          </w:p>
        </w:tc>
        <w:tc>
          <w:tcPr>
            <w:tcW w:w="1250" w:type="pct"/>
            <w:tcBorders>
              <w:top w:val="single" w:sz="12" w:space="0" w:color="auto"/>
              <w:bottom w:val="single" w:sz="4" w:space="0" w:color="auto"/>
            </w:tcBorders>
            <w:shd w:val="clear" w:color="auto" w:fill="auto"/>
          </w:tcPr>
          <w:p w14:paraId="4477AE6C" w14:textId="78C9DFA4" w:rsidR="0098741D" w:rsidRDefault="00D031F4" w:rsidP="0098741D">
            <w:pPr>
              <w:pStyle w:val="ENoteTableText"/>
            </w:pPr>
            <w:r>
              <w:t>30 June</w:t>
            </w:r>
            <w:r w:rsidR="008C70D0">
              <w:t xml:space="preserve"> 2021 (s 2)</w:t>
            </w:r>
          </w:p>
          <w:p w14:paraId="2C6345DC" w14:textId="64F92119" w:rsidR="008C70D0" w:rsidRPr="00E117A3" w:rsidRDefault="008C70D0" w:rsidP="0098741D">
            <w:pPr>
              <w:pStyle w:val="ENoteTableText"/>
            </w:pPr>
          </w:p>
        </w:tc>
        <w:tc>
          <w:tcPr>
            <w:tcW w:w="1250" w:type="pct"/>
            <w:tcBorders>
              <w:top w:val="single" w:sz="12" w:space="0" w:color="auto"/>
              <w:bottom w:val="single" w:sz="4" w:space="0" w:color="auto"/>
            </w:tcBorders>
            <w:shd w:val="clear" w:color="auto" w:fill="auto"/>
          </w:tcPr>
          <w:p w14:paraId="777BCC94" w14:textId="77777777" w:rsidR="0098741D" w:rsidRPr="00E117A3" w:rsidRDefault="0098741D" w:rsidP="0098741D">
            <w:pPr>
              <w:pStyle w:val="ENoteTableText"/>
            </w:pPr>
          </w:p>
        </w:tc>
      </w:tr>
      <w:tr w:rsidR="00086CF3" w14:paraId="6FBD1E4E" w14:textId="77777777" w:rsidTr="0098741D">
        <w:trPr>
          <w:cantSplit/>
        </w:trPr>
        <w:tc>
          <w:tcPr>
            <w:tcW w:w="1250" w:type="pct"/>
            <w:tcBorders>
              <w:bottom w:val="single" w:sz="12" w:space="0" w:color="auto"/>
            </w:tcBorders>
            <w:shd w:val="clear" w:color="auto" w:fill="auto"/>
          </w:tcPr>
          <w:p w14:paraId="19961F7F" w14:textId="45086F23" w:rsidR="00086CF3" w:rsidRPr="00E117A3" w:rsidRDefault="00086CF3" w:rsidP="00086CF3">
            <w:pPr>
              <w:pStyle w:val="ENoteTableText"/>
            </w:pPr>
            <w:r w:rsidRPr="00086CF3">
              <w:t xml:space="preserve">Telecommunications (Carrier Licence Exemption) (Queensland rail and electricity services) Amendment </w:t>
            </w:r>
            <w:r w:rsidR="00D031F4">
              <w:t>Determination 2</w:t>
            </w:r>
            <w:r w:rsidRPr="00086CF3">
              <w:t>023</w:t>
            </w:r>
          </w:p>
        </w:tc>
        <w:tc>
          <w:tcPr>
            <w:tcW w:w="1250" w:type="pct"/>
            <w:tcBorders>
              <w:bottom w:val="single" w:sz="12" w:space="0" w:color="auto"/>
            </w:tcBorders>
            <w:shd w:val="clear" w:color="auto" w:fill="auto"/>
          </w:tcPr>
          <w:p w14:paraId="2F430522" w14:textId="49FD687A" w:rsidR="00086CF3" w:rsidRPr="00E117A3" w:rsidRDefault="00D031F4" w:rsidP="00086CF3">
            <w:pPr>
              <w:pStyle w:val="ENoteTableText"/>
            </w:pPr>
            <w:r>
              <w:t>22 June</w:t>
            </w:r>
            <w:r w:rsidR="00086CF3">
              <w:t xml:space="preserve"> 2023 (F2023L00835)</w:t>
            </w:r>
          </w:p>
        </w:tc>
        <w:tc>
          <w:tcPr>
            <w:tcW w:w="1250" w:type="pct"/>
            <w:tcBorders>
              <w:bottom w:val="single" w:sz="12" w:space="0" w:color="auto"/>
            </w:tcBorders>
            <w:shd w:val="clear" w:color="auto" w:fill="auto"/>
          </w:tcPr>
          <w:p w14:paraId="3928B375" w14:textId="042740A0" w:rsidR="00086CF3" w:rsidRPr="00E117A3" w:rsidRDefault="00D031F4" w:rsidP="00086CF3">
            <w:pPr>
              <w:pStyle w:val="ENoteTableText"/>
            </w:pPr>
            <w:r>
              <w:t>23 June</w:t>
            </w:r>
            <w:r w:rsidR="00086CF3">
              <w:t xml:space="preserve"> 2023 (s 2)</w:t>
            </w:r>
          </w:p>
        </w:tc>
        <w:tc>
          <w:tcPr>
            <w:tcW w:w="1250" w:type="pct"/>
            <w:tcBorders>
              <w:bottom w:val="single" w:sz="12" w:space="0" w:color="auto"/>
            </w:tcBorders>
            <w:shd w:val="clear" w:color="auto" w:fill="auto"/>
          </w:tcPr>
          <w:p w14:paraId="69795BA1" w14:textId="1A6A2173" w:rsidR="00086CF3" w:rsidRPr="00E117A3" w:rsidRDefault="00086CF3" w:rsidP="00086CF3">
            <w:pPr>
              <w:pStyle w:val="ENoteTableText"/>
            </w:pPr>
            <w:r w:rsidRPr="00255AA8">
              <w:t>—</w:t>
            </w:r>
          </w:p>
        </w:tc>
      </w:tr>
    </w:tbl>
    <w:p w14:paraId="415B2653" w14:textId="77777777" w:rsidR="0098741D" w:rsidRDefault="0098741D" w:rsidP="0098741D">
      <w:pPr>
        <w:pStyle w:val="ENotesHeading2"/>
        <w:pageBreakBefore/>
      </w:pPr>
      <w:bookmarkStart w:id="14" w:name="_Toc141356297"/>
      <w:r>
        <w:lastRenderedPageBreak/>
        <w:t>Endnote 4—Amendment history</w:t>
      </w:r>
      <w:bookmarkEnd w:id="14"/>
    </w:p>
    <w:p w14:paraId="60DA1E49" w14:textId="77777777" w:rsidR="0098741D" w:rsidRDefault="0098741D" w:rsidP="0098741D">
      <w:pPr>
        <w:pStyle w:val="Tabletext"/>
      </w:pPr>
    </w:p>
    <w:tbl>
      <w:tblPr>
        <w:tblW w:w="5000" w:type="pct"/>
        <w:tblLook w:val="0000" w:firstRow="0" w:lastRow="0" w:firstColumn="0" w:lastColumn="0" w:noHBand="0" w:noVBand="0"/>
      </w:tblPr>
      <w:tblGrid>
        <w:gridCol w:w="2576"/>
        <w:gridCol w:w="5953"/>
      </w:tblGrid>
      <w:tr w:rsidR="0098741D" w:rsidRPr="0098546F" w14:paraId="60927497" w14:textId="77777777" w:rsidTr="0098741D">
        <w:trPr>
          <w:cantSplit/>
          <w:tblHeader/>
        </w:trPr>
        <w:tc>
          <w:tcPr>
            <w:tcW w:w="1510" w:type="pct"/>
            <w:tcBorders>
              <w:top w:val="single" w:sz="12" w:space="0" w:color="auto"/>
              <w:bottom w:val="single" w:sz="12" w:space="0" w:color="auto"/>
            </w:tcBorders>
            <w:shd w:val="clear" w:color="auto" w:fill="auto"/>
          </w:tcPr>
          <w:p w14:paraId="2AC8B215" w14:textId="77777777" w:rsidR="0098741D" w:rsidRPr="00E117A3" w:rsidRDefault="0098741D" w:rsidP="0098741D">
            <w:pPr>
              <w:pStyle w:val="ENoteTableHeading"/>
              <w:tabs>
                <w:tab w:val="center" w:leader="dot" w:pos="2268"/>
              </w:tabs>
            </w:pPr>
            <w:r w:rsidRPr="00E117A3">
              <w:t>Provision affected</w:t>
            </w:r>
          </w:p>
        </w:tc>
        <w:tc>
          <w:tcPr>
            <w:tcW w:w="3490" w:type="pct"/>
            <w:tcBorders>
              <w:top w:val="single" w:sz="12" w:space="0" w:color="auto"/>
              <w:bottom w:val="single" w:sz="12" w:space="0" w:color="auto"/>
            </w:tcBorders>
            <w:shd w:val="clear" w:color="auto" w:fill="auto"/>
          </w:tcPr>
          <w:p w14:paraId="7064A81E" w14:textId="77777777" w:rsidR="0098741D" w:rsidRPr="00E117A3" w:rsidRDefault="0098741D" w:rsidP="0098741D">
            <w:pPr>
              <w:pStyle w:val="ENoteTableHeading"/>
              <w:tabs>
                <w:tab w:val="center" w:leader="dot" w:pos="2268"/>
              </w:tabs>
            </w:pPr>
            <w:r w:rsidRPr="00E117A3">
              <w:t>How affected</w:t>
            </w:r>
          </w:p>
        </w:tc>
      </w:tr>
      <w:tr w:rsidR="0098741D" w:rsidRPr="00E117A3" w14:paraId="1662CD2D" w14:textId="77777777" w:rsidTr="0098741D">
        <w:trPr>
          <w:cantSplit/>
        </w:trPr>
        <w:tc>
          <w:tcPr>
            <w:tcW w:w="1510" w:type="pct"/>
            <w:tcBorders>
              <w:top w:val="single" w:sz="12" w:space="0" w:color="auto"/>
            </w:tcBorders>
            <w:shd w:val="clear" w:color="auto" w:fill="auto"/>
          </w:tcPr>
          <w:p w14:paraId="6D8FC20F" w14:textId="669A497F" w:rsidR="0098741D" w:rsidRPr="00086CF3" w:rsidRDefault="00D031F4" w:rsidP="0098741D">
            <w:pPr>
              <w:pStyle w:val="ENoteTableText"/>
              <w:tabs>
                <w:tab w:val="center" w:leader="dot" w:pos="2268"/>
              </w:tabs>
              <w:rPr>
                <w:b/>
              </w:rPr>
            </w:pPr>
            <w:r>
              <w:rPr>
                <w:b/>
              </w:rPr>
              <w:t>Part 1</w:t>
            </w:r>
          </w:p>
        </w:tc>
        <w:tc>
          <w:tcPr>
            <w:tcW w:w="3490" w:type="pct"/>
            <w:tcBorders>
              <w:top w:val="single" w:sz="12" w:space="0" w:color="auto"/>
            </w:tcBorders>
            <w:shd w:val="clear" w:color="auto" w:fill="auto"/>
          </w:tcPr>
          <w:p w14:paraId="3F14A74B" w14:textId="77777777" w:rsidR="0098741D" w:rsidRPr="00E117A3" w:rsidRDefault="0098741D" w:rsidP="0098741D">
            <w:pPr>
              <w:pStyle w:val="ENoteTableText"/>
              <w:tabs>
                <w:tab w:val="center" w:leader="dot" w:pos="2268"/>
              </w:tabs>
            </w:pPr>
          </w:p>
        </w:tc>
      </w:tr>
      <w:tr w:rsidR="00086CF3" w:rsidRPr="00342A63" w14:paraId="51A9EA58" w14:textId="77777777" w:rsidTr="00D031F4">
        <w:trPr>
          <w:cantSplit/>
        </w:trPr>
        <w:tc>
          <w:tcPr>
            <w:tcW w:w="1510" w:type="pct"/>
            <w:shd w:val="clear" w:color="auto" w:fill="auto"/>
          </w:tcPr>
          <w:p w14:paraId="594ED590" w14:textId="77777777" w:rsidR="00086CF3" w:rsidRPr="00342A63" w:rsidRDefault="00086CF3" w:rsidP="00D031F4">
            <w:pPr>
              <w:pStyle w:val="ENoteTableText"/>
              <w:tabs>
                <w:tab w:val="center" w:leader="dot" w:pos="2268"/>
              </w:tabs>
            </w:pPr>
            <w:r w:rsidRPr="00342A63">
              <w:t>s 2</w:t>
            </w:r>
            <w:r w:rsidRPr="00342A63">
              <w:tab/>
            </w:r>
          </w:p>
        </w:tc>
        <w:tc>
          <w:tcPr>
            <w:tcW w:w="3490" w:type="pct"/>
            <w:shd w:val="clear" w:color="auto" w:fill="auto"/>
          </w:tcPr>
          <w:p w14:paraId="4063D9DE" w14:textId="77777777" w:rsidR="00086CF3" w:rsidRPr="00342A63" w:rsidRDefault="00086CF3" w:rsidP="00D031F4">
            <w:pPr>
              <w:pStyle w:val="ENoteTableText"/>
              <w:tabs>
                <w:tab w:val="center" w:leader="dot" w:pos="2268"/>
              </w:tabs>
            </w:pPr>
            <w:r w:rsidRPr="00342A63">
              <w:t>rep LA s 48D</w:t>
            </w:r>
          </w:p>
        </w:tc>
      </w:tr>
      <w:tr w:rsidR="00086CF3" w:rsidRPr="00342A63" w14:paraId="1A4788CD" w14:textId="77777777" w:rsidTr="00D031F4">
        <w:trPr>
          <w:cantSplit/>
        </w:trPr>
        <w:tc>
          <w:tcPr>
            <w:tcW w:w="1510" w:type="pct"/>
            <w:shd w:val="clear" w:color="auto" w:fill="auto"/>
          </w:tcPr>
          <w:p w14:paraId="0B38847B" w14:textId="2F6B0570" w:rsidR="00086CF3" w:rsidRPr="00342A63" w:rsidRDefault="00086CF3" w:rsidP="00D031F4">
            <w:pPr>
              <w:pStyle w:val="ENoteTableText"/>
              <w:tabs>
                <w:tab w:val="center" w:leader="dot" w:pos="2268"/>
              </w:tabs>
            </w:pPr>
            <w:r>
              <w:t>s 4</w:t>
            </w:r>
            <w:r>
              <w:tab/>
            </w:r>
          </w:p>
        </w:tc>
        <w:tc>
          <w:tcPr>
            <w:tcW w:w="3490" w:type="pct"/>
            <w:shd w:val="clear" w:color="auto" w:fill="auto"/>
          </w:tcPr>
          <w:p w14:paraId="123F1CFB" w14:textId="06B1A53B" w:rsidR="00086CF3" w:rsidRPr="00342A63" w:rsidRDefault="00086CF3" w:rsidP="00D031F4">
            <w:pPr>
              <w:pStyle w:val="ENoteTableText"/>
              <w:tabs>
                <w:tab w:val="center" w:leader="dot" w:pos="2268"/>
              </w:tabs>
            </w:pPr>
            <w:r>
              <w:t xml:space="preserve">am </w:t>
            </w:r>
            <w:r w:rsidRPr="00086CF3">
              <w:t>F2023L00835</w:t>
            </w:r>
          </w:p>
        </w:tc>
      </w:tr>
      <w:tr w:rsidR="00086CF3" w:rsidRPr="00342A63" w14:paraId="6821ED70" w14:textId="77777777" w:rsidTr="00086CF3">
        <w:trPr>
          <w:cantSplit/>
        </w:trPr>
        <w:tc>
          <w:tcPr>
            <w:tcW w:w="1510" w:type="pct"/>
            <w:shd w:val="clear" w:color="auto" w:fill="auto"/>
          </w:tcPr>
          <w:p w14:paraId="37D272C0" w14:textId="65964148" w:rsidR="00086CF3" w:rsidRPr="00342A63" w:rsidRDefault="00086CF3" w:rsidP="00D031F4">
            <w:pPr>
              <w:pStyle w:val="ENoteTableText"/>
              <w:tabs>
                <w:tab w:val="center" w:leader="dot" w:pos="2268"/>
              </w:tabs>
            </w:pPr>
            <w:r w:rsidRPr="00342A63">
              <w:t xml:space="preserve">s </w:t>
            </w:r>
            <w:r>
              <w:t>6</w:t>
            </w:r>
            <w:r w:rsidRPr="00342A63">
              <w:tab/>
            </w:r>
          </w:p>
        </w:tc>
        <w:tc>
          <w:tcPr>
            <w:tcW w:w="3490" w:type="pct"/>
            <w:shd w:val="clear" w:color="auto" w:fill="auto"/>
          </w:tcPr>
          <w:p w14:paraId="1F890F70" w14:textId="13DB6A8C" w:rsidR="00086CF3" w:rsidRPr="00342A63" w:rsidRDefault="00086CF3" w:rsidP="00D031F4">
            <w:pPr>
              <w:pStyle w:val="ENoteTableText"/>
              <w:tabs>
                <w:tab w:val="center" w:leader="dot" w:pos="2268"/>
              </w:tabs>
            </w:pPr>
            <w:r w:rsidRPr="00342A63">
              <w:t>rep LA s 48</w:t>
            </w:r>
            <w:r>
              <w:t>C</w:t>
            </w:r>
          </w:p>
        </w:tc>
      </w:tr>
      <w:tr w:rsidR="0098741D" w14:paraId="55FC940A" w14:textId="77777777" w:rsidTr="00086CF3">
        <w:trPr>
          <w:cantSplit/>
        </w:trPr>
        <w:tc>
          <w:tcPr>
            <w:tcW w:w="1510" w:type="pct"/>
            <w:tcBorders>
              <w:bottom w:val="single" w:sz="12" w:space="0" w:color="auto"/>
            </w:tcBorders>
            <w:shd w:val="clear" w:color="auto" w:fill="auto"/>
          </w:tcPr>
          <w:p w14:paraId="67660486" w14:textId="24DB3571" w:rsidR="0098741D" w:rsidRPr="00E117A3" w:rsidRDefault="00D031F4" w:rsidP="0098741D">
            <w:pPr>
              <w:pStyle w:val="ENoteTableText"/>
              <w:tabs>
                <w:tab w:val="center" w:leader="dot" w:pos="2268"/>
              </w:tabs>
            </w:pPr>
            <w:r>
              <w:t>Schedule 1</w:t>
            </w:r>
            <w:r w:rsidR="00086CF3">
              <w:tab/>
            </w:r>
          </w:p>
        </w:tc>
        <w:tc>
          <w:tcPr>
            <w:tcW w:w="3490" w:type="pct"/>
            <w:tcBorders>
              <w:bottom w:val="single" w:sz="12" w:space="0" w:color="auto"/>
            </w:tcBorders>
            <w:shd w:val="clear" w:color="auto" w:fill="auto"/>
          </w:tcPr>
          <w:p w14:paraId="4FC865F7" w14:textId="32723636" w:rsidR="0098741D" w:rsidRPr="00E117A3" w:rsidRDefault="00086CF3" w:rsidP="0098741D">
            <w:pPr>
              <w:pStyle w:val="ENoteTableText"/>
              <w:tabs>
                <w:tab w:val="center" w:leader="dot" w:pos="2268"/>
              </w:tabs>
            </w:pPr>
            <w:r w:rsidRPr="00342A63">
              <w:t>rep LA s 48</w:t>
            </w:r>
            <w:r>
              <w:t>C</w:t>
            </w:r>
          </w:p>
        </w:tc>
      </w:tr>
    </w:tbl>
    <w:p w14:paraId="1FFEDBE8" w14:textId="77777777" w:rsidR="0098741D" w:rsidRDefault="0098741D" w:rsidP="0098741D">
      <w:pPr>
        <w:pStyle w:val="Tabletext"/>
      </w:pPr>
    </w:p>
    <w:p w14:paraId="7B33F568" w14:textId="3090E2D7" w:rsidR="0098741D" w:rsidRDefault="0098741D" w:rsidP="0098741D">
      <w:pPr>
        <w:sectPr w:rsidR="0098741D" w:rsidSect="000304CF">
          <w:headerReference w:type="even" r:id="rId28"/>
          <w:headerReference w:type="default" r:id="rId29"/>
          <w:footerReference w:type="even" r:id="rId30"/>
          <w:footerReference w:type="default" r:id="rId31"/>
          <w:headerReference w:type="first" r:id="rId32"/>
          <w:footerReference w:type="first" r:id="rId33"/>
          <w:pgSz w:w="11907" w:h="16839" w:code="9"/>
          <w:pgMar w:top="2325" w:right="1797" w:bottom="1440" w:left="1797" w:header="720" w:footer="709" w:gutter="0"/>
          <w:cols w:space="708"/>
          <w:docGrid w:linePitch="360"/>
        </w:sectPr>
      </w:pPr>
    </w:p>
    <w:p w14:paraId="30973C7D" w14:textId="487CCE54" w:rsidR="0098741D" w:rsidRPr="00554826" w:rsidRDefault="0098741D" w:rsidP="0098741D"/>
    <w:sectPr w:rsidR="0098741D" w:rsidRPr="00554826" w:rsidSect="000304CF">
      <w:type w:val="continuous"/>
      <w:pgSz w:w="11907" w:h="16839" w:code="9"/>
      <w:pgMar w:top="232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C5C302" w14:textId="77777777" w:rsidR="00D031F4" w:rsidRDefault="00D031F4" w:rsidP="00715914">
      <w:pPr>
        <w:spacing w:line="240" w:lineRule="auto"/>
      </w:pPr>
      <w:r>
        <w:separator/>
      </w:r>
    </w:p>
  </w:endnote>
  <w:endnote w:type="continuationSeparator" w:id="0">
    <w:p w14:paraId="130112E5" w14:textId="77777777" w:rsidR="00D031F4" w:rsidRDefault="00D031F4"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8BCDE" w14:textId="77777777" w:rsidR="00D031F4" w:rsidRDefault="00D031F4">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36EB7" w14:textId="77777777" w:rsidR="00D031F4" w:rsidRDefault="00D031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C4F65" w14:textId="77777777" w:rsidR="00D031F4" w:rsidRDefault="00D031F4" w:rsidP="0098741D">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D3297" w14:textId="77777777" w:rsidR="00D031F4" w:rsidRPr="00ED79B6" w:rsidRDefault="00D031F4" w:rsidP="0098741D">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07A64" w14:textId="77777777" w:rsidR="00D031F4" w:rsidRPr="007B3B51" w:rsidRDefault="00D031F4" w:rsidP="0098741D">
    <w:pPr>
      <w:pBdr>
        <w:top w:val="single" w:sz="6" w:space="1" w:color="auto"/>
      </w:pBdr>
      <w:spacing w:before="120"/>
      <w:rPr>
        <w:sz w:val="16"/>
        <w:szCs w:val="16"/>
      </w:rPr>
    </w:pPr>
  </w:p>
  <w:tbl>
    <w:tblPr>
      <w:tblW w:w="7303" w:type="dxa"/>
      <w:tblLayout w:type="fixed"/>
      <w:tblLook w:val="04A0" w:firstRow="1" w:lastRow="0" w:firstColumn="1" w:lastColumn="0" w:noHBand="0" w:noVBand="1"/>
    </w:tblPr>
    <w:tblGrid>
      <w:gridCol w:w="1247"/>
      <w:gridCol w:w="943"/>
      <w:gridCol w:w="2920"/>
      <w:gridCol w:w="1524"/>
      <w:gridCol w:w="669"/>
    </w:tblGrid>
    <w:tr w:rsidR="00D031F4" w:rsidRPr="007B3B51" w14:paraId="63BE49BF" w14:textId="77777777" w:rsidTr="0098741D">
      <w:tc>
        <w:tcPr>
          <w:tcW w:w="1247" w:type="dxa"/>
        </w:tcPr>
        <w:p w14:paraId="6174156F" w14:textId="77777777" w:rsidR="00D031F4" w:rsidRPr="007B3B51" w:rsidRDefault="00D031F4" w:rsidP="0098741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w:t>
          </w:r>
          <w:r w:rsidRPr="007B3B51">
            <w:rPr>
              <w:i/>
              <w:sz w:val="16"/>
              <w:szCs w:val="16"/>
            </w:rPr>
            <w:fldChar w:fldCharType="end"/>
          </w:r>
        </w:p>
      </w:tc>
      <w:tc>
        <w:tcPr>
          <w:tcW w:w="5387" w:type="dxa"/>
          <w:gridSpan w:val="3"/>
        </w:tcPr>
        <w:p w14:paraId="3D672BA0" w14:textId="6C709A33" w:rsidR="00D031F4" w:rsidRPr="007B3B51" w:rsidRDefault="00D031F4" w:rsidP="0098741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22D82">
            <w:rPr>
              <w:i/>
              <w:noProof/>
              <w:sz w:val="16"/>
              <w:szCs w:val="16"/>
            </w:rPr>
            <w:t>Telecommunications (Carrier Licence Exemption—Use for specified Queensland rail and electricity services) Determination 2021</w:t>
          </w:r>
          <w:r w:rsidRPr="007B3B51">
            <w:rPr>
              <w:i/>
              <w:sz w:val="16"/>
              <w:szCs w:val="16"/>
            </w:rPr>
            <w:fldChar w:fldCharType="end"/>
          </w:r>
        </w:p>
      </w:tc>
      <w:tc>
        <w:tcPr>
          <w:tcW w:w="669" w:type="dxa"/>
        </w:tcPr>
        <w:p w14:paraId="3A016CF8" w14:textId="77777777" w:rsidR="00D031F4" w:rsidRPr="007B3B51" w:rsidRDefault="00D031F4" w:rsidP="0098741D">
          <w:pPr>
            <w:jc w:val="right"/>
            <w:rPr>
              <w:sz w:val="16"/>
              <w:szCs w:val="16"/>
            </w:rPr>
          </w:pPr>
        </w:p>
      </w:tc>
    </w:tr>
    <w:tr w:rsidR="00D031F4" w:rsidRPr="0055472E" w14:paraId="5C0DDF28" w14:textId="77777777" w:rsidTr="0098741D">
      <w:tc>
        <w:tcPr>
          <w:tcW w:w="2190" w:type="dxa"/>
          <w:gridSpan w:val="2"/>
        </w:tcPr>
        <w:p w14:paraId="1620148F" w14:textId="2BD98FC0" w:rsidR="00D031F4" w:rsidRPr="0055472E" w:rsidRDefault="00D031F4" w:rsidP="0098741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C22D82">
            <w:rPr>
              <w:sz w:val="16"/>
              <w:szCs w:val="16"/>
            </w:rPr>
            <w:t>1</w:t>
          </w:r>
          <w:r w:rsidRPr="0055472E">
            <w:rPr>
              <w:sz w:val="16"/>
              <w:szCs w:val="16"/>
            </w:rPr>
            <w:fldChar w:fldCharType="end"/>
          </w:r>
        </w:p>
      </w:tc>
      <w:tc>
        <w:tcPr>
          <w:tcW w:w="2920" w:type="dxa"/>
        </w:tcPr>
        <w:p w14:paraId="67C16233" w14:textId="0792FA84" w:rsidR="00D031F4" w:rsidRPr="0055472E" w:rsidRDefault="00D031F4" w:rsidP="0098741D">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C22D82">
            <w:rPr>
              <w:sz w:val="16"/>
              <w:szCs w:val="16"/>
            </w:rPr>
            <w:t>23/06/2023</w:t>
          </w:r>
          <w:r w:rsidRPr="0055472E">
            <w:rPr>
              <w:sz w:val="16"/>
              <w:szCs w:val="16"/>
            </w:rPr>
            <w:fldChar w:fldCharType="end"/>
          </w:r>
        </w:p>
      </w:tc>
      <w:tc>
        <w:tcPr>
          <w:tcW w:w="2193" w:type="dxa"/>
          <w:gridSpan w:val="2"/>
        </w:tcPr>
        <w:p w14:paraId="00E13DD6" w14:textId="29BD173A" w:rsidR="00D031F4" w:rsidRPr="0055472E" w:rsidRDefault="00D031F4" w:rsidP="0098741D">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C22D82">
            <w:rPr>
              <w:sz w:val="16"/>
              <w:szCs w:val="16"/>
            </w:rPr>
            <w:instrText>27 July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C22D82">
            <w:rPr>
              <w:sz w:val="16"/>
              <w:szCs w:val="16"/>
            </w:rPr>
            <w:instrText>27/07/2023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C22D82">
            <w:rPr>
              <w:noProof/>
              <w:sz w:val="16"/>
              <w:szCs w:val="16"/>
            </w:rPr>
            <w:t>27/07/2023</w:t>
          </w:r>
          <w:r w:rsidRPr="0055472E">
            <w:rPr>
              <w:sz w:val="16"/>
              <w:szCs w:val="16"/>
            </w:rPr>
            <w:fldChar w:fldCharType="end"/>
          </w:r>
        </w:p>
      </w:tc>
    </w:tr>
  </w:tbl>
  <w:p w14:paraId="67837626" w14:textId="77777777" w:rsidR="00D031F4" w:rsidRDefault="00D031F4" w:rsidP="0098741D"/>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2E8F4" w14:textId="77777777" w:rsidR="00D031F4" w:rsidRPr="007B3B51" w:rsidRDefault="00D031F4" w:rsidP="0098741D">
    <w:pPr>
      <w:pBdr>
        <w:top w:val="single" w:sz="6" w:space="1" w:color="auto"/>
      </w:pBdr>
      <w:spacing w:before="120"/>
      <w:rPr>
        <w:sz w:val="16"/>
        <w:szCs w:val="16"/>
      </w:rPr>
    </w:pPr>
  </w:p>
  <w:tbl>
    <w:tblPr>
      <w:tblW w:w="8472" w:type="dxa"/>
      <w:tblLayout w:type="fixed"/>
      <w:tblLook w:val="04A0" w:firstRow="1" w:lastRow="0" w:firstColumn="1" w:lastColumn="0" w:noHBand="0" w:noVBand="1"/>
    </w:tblPr>
    <w:tblGrid>
      <w:gridCol w:w="959"/>
      <w:gridCol w:w="1231"/>
      <w:gridCol w:w="3588"/>
      <w:gridCol w:w="1560"/>
      <w:gridCol w:w="1134"/>
    </w:tblGrid>
    <w:tr w:rsidR="00D031F4" w:rsidRPr="007B3B51" w14:paraId="5B4E54B8" w14:textId="77777777" w:rsidTr="00633E43">
      <w:tc>
        <w:tcPr>
          <w:tcW w:w="959" w:type="dxa"/>
        </w:tcPr>
        <w:p w14:paraId="3E4F84EC" w14:textId="77777777" w:rsidR="00D031F4" w:rsidRPr="007B3B51" w:rsidRDefault="00D031F4" w:rsidP="0098741D">
          <w:pPr>
            <w:rPr>
              <w:i/>
              <w:sz w:val="16"/>
              <w:szCs w:val="16"/>
            </w:rPr>
          </w:pPr>
        </w:p>
      </w:tc>
      <w:tc>
        <w:tcPr>
          <w:tcW w:w="6379" w:type="dxa"/>
          <w:gridSpan w:val="3"/>
        </w:tcPr>
        <w:p w14:paraId="0BAB38FD" w14:textId="3691FBB5" w:rsidR="00D031F4" w:rsidRPr="007B3B51" w:rsidRDefault="00D031F4" w:rsidP="0098741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304CF">
            <w:rPr>
              <w:i/>
              <w:noProof/>
              <w:sz w:val="16"/>
              <w:szCs w:val="16"/>
            </w:rPr>
            <w:t>Telecommunications (Carrier Licence Exemption—Use for specified Queensland rail and electricity services) Determination 2021</w:t>
          </w:r>
          <w:r w:rsidRPr="007B3B51">
            <w:rPr>
              <w:i/>
              <w:sz w:val="16"/>
              <w:szCs w:val="16"/>
            </w:rPr>
            <w:fldChar w:fldCharType="end"/>
          </w:r>
        </w:p>
      </w:tc>
      <w:tc>
        <w:tcPr>
          <w:tcW w:w="1134" w:type="dxa"/>
        </w:tcPr>
        <w:p w14:paraId="42B600ED" w14:textId="77777777" w:rsidR="00D031F4" w:rsidRPr="007B3B51" w:rsidRDefault="00D031F4" w:rsidP="0098741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w:t>
          </w:r>
          <w:r w:rsidRPr="007B3B51">
            <w:rPr>
              <w:i/>
              <w:sz w:val="16"/>
              <w:szCs w:val="16"/>
            </w:rPr>
            <w:fldChar w:fldCharType="end"/>
          </w:r>
        </w:p>
      </w:tc>
    </w:tr>
    <w:tr w:rsidR="00D031F4" w:rsidRPr="00130F37" w14:paraId="39D31540" w14:textId="77777777" w:rsidTr="00633E43">
      <w:tc>
        <w:tcPr>
          <w:tcW w:w="2190" w:type="dxa"/>
          <w:gridSpan w:val="2"/>
        </w:tcPr>
        <w:p w14:paraId="671501C4" w14:textId="177FB436" w:rsidR="00D031F4" w:rsidRPr="00130F37" w:rsidRDefault="00D031F4" w:rsidP="00E5433B">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C22D82">
            <w:rPr>
              <w:sz w:val="16"/>
              <w:szCs w:val="16"/>
            </w:rPr>
            <w:t>1</w:t>
          </w:r>
          <w:r w:rsidRPr="00130F37">
            <w:rPr>
              <w:sz w:val="16"/>
              <w:szCs w:val="16"/>
            </w:rPr>
            <w:fldChar w:fldCharType="end"/>
          </w:r>
        </w:p>
      </w:tc>
      <w:tc>
        <w:tcPr>
          <w:tcW w:w="3588" w:type="dxa"/>
        </w:tcPr>
        <w:p w14:paraId="2BF19DC3" w14:textId="5A816EE2" w:rsidR="00D031F4" w:rsidRPr="00130F37" w:rsidRDefault="00D031F4" w:rsidP="0098741D">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C22D82">
            <w:rPr>
              <w:sz w:val="16"/>
              <w:szCs w:val="16"/>
            </w:rPr>
            <w:t>23/06/2023</w:t>
          </w:r>
          <w:r w:rsidRPr="00130F37">
            <w:rPr>
              <w:sz w:val="16"/>
              <w:szCs w:val="16"/>
            </w:rPr>
            <w:fldChar w:fldCharType="end"/>
          </w:r>
        </w:p>
      </w:tc>
      <w:tc>
        <w:tcPr>
          <w:tcW w:w="2694" w:type="dxa"/>
          <w:gridSpan w:val="2"/>
        </w:tcPr>
        <w:p w14:paraId="6F3E0858" w14:textId="55BC8F2E" w:rsidR="00D031F4" w:rsidRPr="00130F37" w:rsidRDefault="00D031F4" w:rsidP="0098741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C22D82">
            <w:rPr>
              <w:sz w:val="16"/>
              <w:szCs w:val="16"/>
            </w:rPr>
            <w:instrText>27 July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C22D82">
            <w:rPr>
              <w:sz w:val="16"/>
              <w:szCs w:val="16"/>
            </w:rPr>
            <w:instrText>27/07/2023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C22D82">
            <w:rPr>
              <w:noProof/>
              <w:sz w:val="16"/>
              <w:szCs w:val="16"/>
            </w:rPr>
            <w:t>27/07/2023</w:t>
          </w:r>
          <w:r w:rsidRPr="00130F37">
            <w:rPr>
              <w:sz w:val="16"/>
              <w:szCs w:val="16"/>
            </w:rPr>
            <w:fldChar w:fldCharType="end"/>
          </w:r>
        </w:p>
      </w:tc>
    </w:tr>
  </w:tbl>
  <w:p w14:paraId="5DD2DCB3" w14:textId="77777777" w:rsidR="00D031F4" w:rsidRDefault="00D031F4" w:rsidP="0098741D"/>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0CC8D" w14:textId="77777777" w:rsidR="00D031F4" w:rsidRPr="007B3B51" w:rsidRDefault="00D031F4" w:rsidP="0098741D">
    <w:pPr>
      <w:pBdr>
        <w:top w:val="single" w:sz="6" w:space="1" w:color="auto"/>
      </w:pBdr>
      <w:spacing w:before="120"/>
      <w:rPr>
        <w:sz w:val="16"/>
        <w:szCs w:val="16"/>
      </w:rPr>
    </w:pPr>
  </w:p>
  <w:tbl>
    <w:tblPr>
      <w:tblW w:w="8472" w:type="dxa"/>
      <w:tblLayout w:type="fixed"/>
      <w:tblLook w:val="04A0" w:firstRow="1" w:lastRow="0" w:firstColumn="1" w:lastColumn="0" w:noHBand="0" w:noVBand="1"/>
    </w:tblPr>
    <w:tblGrid>
      <w:gridCol w:w="1101"/>
      <w:gridCol w:w="1089"/>
      <w:gridCol w:w="3163"/>
      <w:gridCol w:w="2126"/>
      <w:gridCol w:w="993"/>
    </w:tblGrid>
    <w:tr w:rsidR="00D031F4" w:rsidRPr="007B3B51" w14:paraId="16F81B73" w14:textId="77777777" w:rsidTr="00A57DF4">
      <w:tc>
        <w:tcPr>
          <w:tcW w:w="1101" w:type="dxa"/>
        </w:tcPr>
        <w:p w14:paraId="4EA40FDE" w14:textId="77777777" w:rsidR="00D031F4" w:rsidRPr="007B3B51" w:rsidRDefault="00D031F4" w:rsidP="0098741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w:t>
          </w:r>
          <w:r w:rsidRPr="007B3B51">
            <w:rPr>
              <w:i/>
              <w:sz w:val="16"/>
              <w:szCs w:val="16"/>
            </w:rPr>
            <w:fldChar w:fldCharType="end"/>
          </w:r>
        </w:p>
      </w:tc>
      <w:tc>
        <w:tcPr>
          <w:tcW w:w="6378" w:type="dxa"/>
          <w:gridSpan w:val="3"/>
        </w:tcPr>
        <w:p w14:paraId="07019EE7" w14:textId="283393E6" w:rsidR="00D031F4" w:rsidRPr="007B3B51" w:rsidRDefault="00D031F4" w:rsidP="0098741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304CF">
            <w:rPr>
              <w:i/>
              <w:noProof/>
              <w:sz w:val="16"/>
              <w:szCs w:val="16"/>
            </w:rPr>
            <w:t>Telecommunications (Carrier Licence Exemption—Use for specified Queensland rail and electricity services) Determination 2021</w:t>
          </w:r>
          <w:r w:rsidRPr="007B3B51">
            <w:rPr>
              <w:i/>
              <w:sz w:val="16"/>
              <w:szCs w:val="16"/>
            </w:rPr>
            <w:fldChar w:fldCharType="end"/>
          </w:r>
        </w:p>
      </w:tc>
      <w:tc>
        <w:tcPr>
          <w:tcW w:w="993" w:type="dxa"/>
        </w:tcPr>
        <w:p w14:paraId="6439C2EE" w14:textId="77777777" w:rsidR="00D031F4" w:rsidRPr="007B3B51" w:rsidRDefault="00D031F4" w:rsidP="0098741D">
          <w:pPr>
            <w:jc w:val="right"/>
            <w:rPr>
              <w:sz w:val="16"/>
              <w:szCs w:val="16"/>
            </w:rPr>
          </w:pPr>
        </w:p>
      </w:tc>
    </w:tr>
    <w:tr w:rsidR="00D031F4" w:rsidRPr="0055472E" w14:paraId="62A32919" w14:textId="77777777" w:rsidTr="00633E43">
      <w:tc>
        <w:tcPr>
          <w:tcW w:w="2190" w:type="dxa"/>
          <w:gridSpan w:val="2"/>
        </w:tcPr>
        <w:p w14:paraId="4741CF56" w14:textId="66E68722" w:rsidR="00D031F4" w:rsidRPr="0055472E" w:rsidRDefault="00D031F4" w:rsidP="00E5433B">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C22D82">
            <w:rPr>
              <w:sz w:val="16"/>
              <w:szCs w:val="16"/>
            </w:rPr>
            <w:t>1</w:t>
          </w:r>
          <w:r w:rsidRPr="0055472E">
            <w:rPr>
              <w:sz w:val="16"/>
              <w:szCs w:val="16"/>
            </w:rPr>
            <w:fldChar w:fldCharType="end"/>
          </w:r>
        </w:p>
      </w:tc>
      <w:tc>
        <w:tcPr>
          <w:tcW w:w="3163" w:type="dxa"/>
        </w:tcPr>
        <w:p w14:paraId="42BBF7CD" w14:textId="1E5B93E3" w:rsidR="00D031F4" w:rsidRPr="0055472E" w:rsidRDefault="00D031F4" w:rsidP="0098741D">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C22D82">
            <w:rPr>
              <w:sz w:val="16"/>
              <w:szCs w:val="16"/>
            </w:rPr>
            <w:t>23/06/2023</w:t>
          </w:r>
          <w:r w:rsidRPr="0055472E">
            <w:rPr>
              <w:sz w:val="16"/>
              <w:szCs w:val="16"/>
            </w:rPr>
            <w:fldChar w:fldCharType="end"/>
          </w:r>
        </w:p>
      </w:tc>
      <w:tc>
        <w:tcPr>
          <w:tcW w:w="3119" w:type="dxa"/>
          <w:gridSpan w:val="2"/>
        </w:tcPr>
        <w:p w14:paraId="401E39FB" w14:textId="435A4D34" w:rsidR="00D031F4" w:rsidRPr="0055472E" w:rsidRDefault="00D031F4" w:rsidP="0098741D">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C22D82">
            <w:rPr>
              <w:sz w:val="16"/>
              <w:szCs w:val="16"/>
            </w:rPr>
            <w:instrText>27 July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C22D82">
            <w:rPr>
              <w:sz w:val="16"/>
              <w:szCs w:val="16"/>
            </w:rPr>
            <w:instrText>27/07/2023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C22D82">
            <w:rPr>
              <w:noProof/>
              <w:sz w:val="16"/>
              <w:szCs w:val="16"/>
            </w:rPr>
            <w:t>27/07/2023</w:t>
          </w:r>
          <w:r w:rsidRPr="0055472E">
            <w:rPr>
              <w:sz w:val="16"/>
              <w:szCs w:val="16"/>
            </w:rPr>
            <w:fldChar w:fldCharType="end"/>
          </w:r>
        </w:p>
      </w:tc>
    </w:tr>
  </w:tbl>
  <w:p w14:paraId="4E138FCF" w14:textId="77777777" w:rsidR="00D031F4" w:rsidRDefault="00D031F4" w:rsidP="0098741D"/>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FEB4A" w14:textId="77777777" w:rsidR="00D031F4" w:rsidRPr="007B3B51" w:rsidRDefault="00D031F4" w:rsidP="0098741D">
    <w:pPr>
      <w:pBdr>
        <w:top w:val="single" w:sz="6" w:space="1" w:color="auto"/>
      </w:pBdr>
      <w:spacing w:before="120"/>
      <w:rPr>
        <w:sz w:val="16"/>
        <w:szCs w:val="16"/>
      </w:rPr>
    </w:pPr>
  </w:p>
  <w:tbl>
    <w:tblPr>
      <w:tblW w:w="8472" w:type="dxa"/>
      <w:tblLayout w:type="fixed"/>
      <w:tblLook w:val="04A0" w:firstRow="1" w:lastRow="0" w:firstColumn="1" w:lastColumn="0" w:noHBand="0" w:noVBand="1"/>
    </w:tblPr>
    <w:tblGrid>
      <w:gridCol w:w="959"/>
      <w:gridCol w:w="1134"/>
      <w:gridCol w:w="3260"/>
      <w:gridCol w:w="1985"/>
      <w:gridCol w:w="1134"/>
    </w:tblGrid>
    <w:tr w:rsidR="00D031F4" w:rsidRPr="007B3B51" w14:paraId="64EB5C05" w14:textId="77777777" w:rsidTr="00633E43">
      <w:tc>
        <w:tcPr>
          <w:tcW w:w="959" w:type="dxa"/>
        </w:tcPr>
        <w:p w14:paraId="40225352" w14:textId="77777777" w:rsidR="00D031F4" w:rsidRPr="007B3B51" w:rsidRDefault="00D031F4" w:rsidP="0098741D">
          <w:pPr>
            <w:rPr>
              <w:i/>
              <w:sz w:val="16"/>
              <w:szCs w:val="16"/>
            </w:rPr>
          </w:pPr>
        </w:p>
      </w:tc>
      <w:tc>
        <w:tcPr>
          <w:tcW w:w="6379" w:type="dxa"/>
          <w:gridSpan w:val="3"/>
        </w:tcPr>
        <w:p w14:paraId="7FE337AB" w14:textId="5932A1DD" w:rsidR="00D031F4" w:rsidRPr="007B3B51" w:rsidRDefault="00D031F4" w:rsidP="0098741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304CF">
            <w:rPr>
              <w:i/>
              <w:noProof/>
              <w:sz w:val="16"/>
              <w:szCs w:val="16"/>
            </w:rPr>
            <w:t>Telecommunications (Carrier Licence Exemption—Use for specified Queensland rail and electricity services) Determination 2021</w:t>
          </w:r>
          <w:r w:rsidRPr="007B3B51">
            <w:rPr>
              <w:i/>
              <w:sz w:val="16"/>
              <w:szCs w:val="16"/>
            </w:rPr>
            <w:fldChar w:fldCharType="end"/>
          </w:r>
        </w:p>
      </w:tc>
      <w:tc>
        <w:tcPr>
          <w:tcW w:w="1134" w:type="dxa"/>
        </w:tcPr>
        <w:p w14:paraId="4ADB94E1" w14:textId="77777777" w:rsidR="00D031F4" w:rsidRPr="007B3B51" w:rsidRDefault="00D031F4" w:rsidP="0098741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w:t>
          </w:r>
          <w:r w:rsidRPr="007B3B51">
            <w:rPr>
              <w:i/>
              <w:sz w:val="16"/>
              <w:szCs w:val="16"/>
            </w:rPr>
            <w:fldChar w:fldCharType="end"/>
          </w:r>
        </w:p>
      </w:tc>
    </w:tr>
    <w:tr w:rsidR="00D031F4" w:rsidRPr="00130F37" w14:paraId="4A6C1242" w14:textId="77777777" w:rsidTr="00E5433B">
      <w:tc>
        <w:tcPr>
          <w:tcW w:w="2093" w:type="dxa"/>
          <w:gridSpan w:val="2"/>
        </w:tcPr>
        <w:p w14:paraId="34361551" w14:textId="017F4D8E" w:rsidR="00D031F4" w:rsidRPr="00130F37" w:rsidRDefault="00D031F4" w:rsidP="00E5433B">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C22D82">
            <w:rPr>
              <w:sz w:val="16"/>
              <w:szCs w:val="16"/>
            </w:rPr>
            <w:t>1</w:t>
          </w:r>
          <w:r w:rsidRPr="00130F37">
            <w:rPr>
              <w:sz w:val="16"/>
              <w:szCs w:val="16"/>
            </w:rPr>
            <w:fldChar w:fldCharType="end"/>
          </w:r>
        </w:p>
      </w:tc>
      <w:tc>
        <w:tcPr>
          <w:tcW w:w="3260" w:type="dxa"/>
        </w:tcPr>
        <w:p w14:paraId="19DC94AD" w14:textId="753A8F7B" w:rsidR="00D031F4" w:rsidRPr="00130F37" w:rsidRDefault="00D031F4" w:rsidP="0098741D">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C22D82">
            <w:rPr>
              <w:sz w:val="16"/>
              <w:szCs w:val="16"/>
            </w:rPr>
            <w:t>23/06/2023</w:t>
          </w:r>
          <w:r w:rsidRPr="00130F37">
            <w:rPr>
              <w:sz w:val="16"/>
              <w:szCs w:val="16"/>
            </w:rPr>
            <w:fldChar w:fldCharType="end"/>
          </w:r>
        </w:p>
      </w:tc>
      <w:tc>
        <w:tcPr>
          <w:tcW w:w="3119" w:type="dxa"/>
          <w:gridSpan w:val="2"/>
        </w:tcPr>
        <w:p w14:paraId="3E4078EE" w14:textId="732FECA6" w:rsidR="00D031F4" w:rsidRPr="00130F37" w:rsidRDefault="00D031F4" w:rsidP="0098741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C22D82">
            <w:rPr>
              <w:sz w:val="16"/>
              <w:szCs w:val="16"/>
            </w:rPr>
            <w:instrText>27 July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C22D82">
            <w:rPr>
              <w:sz w:val="16"/>
              <w:szCs w:val="16"/>
            </w:rPr>
            <w:instrText>27/07/2023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C22D82">
            <w:rPr>
              <w:noProof/>
              <w:sz w:val="16"/>
              <w:szCs w:val="16"/>
            </w:rPr>
            <w:t>27/07/2023</w:t>
          </w:r>
          <w:r w:rsidRPr="00130F37">
            <w:rPr>
              <w:sz w:val="16"/>
              <w:szCs w:val="16"/>
            </w:rPr>
            <w:fldChar w:fldCharType="end"/>
          </w:r>
        </w:p>
      </w:tc>
    </w:tr>
  </w:tbl>
  <w:p w14:paraId="75EAF5EE" w14:textId="77777777" w:rsidR="00D031F4" w:rsidRDefault="00D031F4" w:rsidP="0098741D"/>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82221" w14:textId="77777777" w:rsidR="00D031F4" w:rsidRPr="007B3B51" w:rsidRDefault="00D031F4" w:rsidP="0098741D">
    <w:pPr>
      <w:pBdr>
        <w:top w:val="single" w:sz="6" w:space="1" w:color="auto"/>
      </w:pBdr>
      <w:spacing w:before="120"/>
      <w:rPr>
        <w:sz w:val="16"/>
        <w:szCs w:val="16"/>
      </w:rPr>
    </w:pPr>
  </w:p>
  <w:tbl>
    <w:tblPr>
      <w:tblW w:w="8330" w:type="dxa"/>
      <w:tblLayout w:type="fixed"/>
      <w:tblLook w:val="04A0" w:firstRow="1" w:lastRow="0" w:firstColumn="1" w:lastColumn="0" w:noHBand="0" w:noVBand="1"/>
    </w:tblPr>
    <w:tblGrid>
      <w:gridCol w:w="1101"/>
      <w:gridCol w:w="1089"/>
      <w:gridCol w:w="3163"/>
      <w:gridCol w:w="2126"/>
      <w:gridCol w:w="851"/>
    </w:tblGrid>
    <w:tr w:rsidR="00D031F4" w:rsidRPr="007B3B51" w14:paraId="581AF411" w14:textId="77777777" w:rsidTr="00633E43">
      <w:tc>
        <w:tcPr>
          <w:tcW w:w="1101" w:type="dxa"/>
        </w:tcPr>
        <w:p w14:paraId="08F22C46" w14:textId="77777777" w:rsidR="00D031F4" w:rsidRPr="007B3B51" w:rsidRDefault="00D031F4" w:rsidP="0098741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w:t>
          </w:r>
          <w:r w:rsidRPr="007B3B51">
            <w:rPr>
              <w:i/>
              <w:sz w:val="16"/>
              <w:szCs w:val="16"/>
            </w:rPr>
            <w:fldChar w:fldCharType="end"/>
          </w:r>
        </w:p>
      </w:tc>
      <w:tc>
        <w:tcPr>
          <w:tcW w:w="6378" w:type="dxa"/>
          <w:gridSpan w:val="3"/>
        </w:tcPr>
        <w:p w14:paraId="4D993CA4" w14:textId="548FB6F1" w:rsidR="00D031F4" w:rsidRPr="007B3B51" w:rsidRDefault="00D031F4" w:rsidP="0098741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304CF">
            <w:rPr>
              <w:i/>
              <w:noProof/>
              <w:sz w:val="16"/>
              <w:szCs w:val="16"/>
            </w:rPr>
            <w:t>Telecommunications (Carrier Licence Exemption—Use for specified Queensland rail and electricity services) Determination 2021</w:t>
          </w:r>
          <w:r w:rsidRPr="007B3B51">
            <w:rPr>
              <w:i/>
              <w:sz w:val="16"/>
              <w:szCs w:val="16"/>
            </w:rPr>
            <w:fldChar w:fldCharType="end"/>
          </w:r>
        </w:p>
      </w:tc>
      <w:tc>
        <w:tcPr>
          <w:tcW w:w="851" w:type="dxa"/>
        </w:tcPr>
        <w:p w14:paraId="0AB836CC" w14:textId="77777777" w:rsidR="00D031F4" w:rsidRPr="007B3B51" w:rsidRDefault="00D031F4" w:rsidP="0098741D">
          <w:pPr>
            <w:jc w:val="right"/>
            <w:rPr>
              <w:sz w:val="16"/>
              <w:szCs w:val="16"/>
            </w:rPr>
          </w:pPr>
        </w:p>
      </w:tc>
    </w:tr>
    <w:tr w:rsidR="00D031F4" w:rsidRPr="0055472E" w14:paraId="5FD28B56" w14:textId="77777777" w:rsidTr="00633E43">
      <w:tc>
        <w:tcPr>
          <w:tcW w:w="2190" w:type="dxa"/>
          <w:gridSpan w:val="2"/>
        </w:tcPr>
        <w:p w14:paraId="1D1226B7" w14:textId="6006B48C" w:rsidR="00D031F4" w:rsidRPr="0055472E" w:rsidRDefault="00D031F4" w:rsidP="00E5433B">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C22D82">
            <w:rPr>
              <w:sz w:val="16"/>
              <w:szCs w:val="16"/>
            </w:rPr>
            <w:t>1</w:t>
          </w:r>
          <w:r w:rsidRPr="0055472E">
            <w:rPr>
              <w:sz w:val="16"/>
              <w:szCs w:val="16"/>
            </w:rPr>
            <w:fldChar w:fldCharType="end"/>
          </w:r>
        </w:p>
      </w:tc>
      <w:tc>
        <w:tcPr>
          <w:tcW w:w="3163" w:type="dxa"/>
        </w:tcPr>
        <w:p w14:paraId="5C63FB97" w14:textId="6043C92D" w:rsidR="00D031F4" w:rsidRPr="0055472E" w:rsidRDefault="00D031F4" w:rsidP="0098741D">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C22D82">
            <w:rPr>
              <w:sz w:val="16"/>
              <w:szCs w:val="16"/>
            </w:rPr>
            <w:t>23/06/2023</w:t>
          </w:r>
          <w:r w:rsidRPr="0055472E">
            <w:rPr>
              <w:sz w:val="16"/>
              <w:szCs w:val="16"/>
            </w:rPr>
            <w:fldChar w:fldCharType="end"/>
          </w:r>
        </w:p>
      </w:tc>
      <w:tc>
        <w:tcPr>
          <w:tcW w:w="2977" w:type="dxa"/>
          <w:gridSpan w:val="2"/>
        </w:tcPr>
        <w:p w14:paraId="02B7CA24" w14:textId="7E39FF71" w:rsidR="00D031F4" w:rsidRPr="0055472E" w:rsidRDefault="00D031F4" w:rsidP="0098741D">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C22D82">
            <w:rPr>
              <w:sz w:val="16"/>
              <w:szCs w:val="16"/>
            </w:rPr>
            <w:instrText>27 July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C22D82">
            <w:rPr>
              <w:sz w:val="16"/>
              <w:szCs w:val="16"/>
            </w:rPr>
            <w:instrText>27/07/2023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C22D82">
            <w:rPr>
              <w:noProof/>
              <w:sz w:val="16"/>
              <w:szCs w:val="16"/>
            </w:rPr>
            <w:t>27/07/2023</w:t>
          </w:r>
          <w:r w:rsidRPr="0055472E">
            <w:rPr>
              <w:sz w:val="16"/>
              <w:szCs w:val="16"/>
            </w:rPr>
            <w:fldChar w:fldCharType="end"/>
          </w:r>
        </w:p>
      </w:tc>
    </w:tr>
  </w:tbl>
  <w:p w14:paraId="364B3617" w14:textId="77777777" w:rsidR="00D031F4" w:rsidRDefault="00D031F4" w:rsidP="0098741D"/>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5F5AF" w14:textId="77777777" w:rsidR="00D031F4" w:rsidRPr="007B3B51" w:rsidRDefault="00D031F4" w:rsidP="0098741D">
    <w:pPr>
      <w:pBdr>
        <w:top w:val="single" w:sz="6" w:space="1" w:color="auto"/>
      </w:pBdr>
      <w:spacing w:before="120"/>
      <w:rPr>
        <w:sz w:val="16"/>
        <w:szCs w:val="16"/>
      </w:rPr>
    </w:pPr>
  </w:p>
  <w:tbl>
    <w:tblPr>
      <w:tblW w:w="8472" w:type="dxa"/>
      <w:tblLayout w:type="fixed"/>
      <w:tblLook w:val="04A0" w:firstRow="1" w:lastRow="0" w:firstColumn="1" w:lastColumn="0" w:noHBand="0" w:noVBand="1"/>
    </w:tblPr>
    <w:tblGrid>
      <w:gridCol w:w="1247"/>
      <w:gridCol w:w="943"/>
      <w:gridCol w:w="3163"/>
      <w:gridCol w:w="2126"/>
      <w:gridCol w:w="993"/>
    </w:tblGrid>
    <w:tr w:rsidR="00D031F4" w:rsidRPr="007B3B51" w14:paraId="33754D8B" w14:textId="77777777" w:rsidTr="00633E43">
      <w:tc>
        <w:tcPr>
          <w:tcW w:w="1247" w:type="dxa"/>
        </w:tcPr>
        <w:p w14:paraId="599F098C" w14:textId="77777777" w:rsidR="00D031F4" w:rsidRPr="007B3B51" w:rsidRDefault="00D031F4" w:rsidP="0098741D">
          <w:pPr>
            <w:rPr>
              <w:i/>
              <w:sz w:val="16"/>
              <w:szCs w:val="16"/>
            </w:rPr>
          </w:pPr>
        </w:p>
      </w:tc>
      <w:tc>
        <w:tcPr>
          <w:tcW w:w="6232" w:type="dxa"/>
          <w:gridSpan w:val="3"/>
        </w:tcPr>
        <w:p w14:paraId="453E3665" w14:textId="547D7945" w:rsidR="00D031F4" w:rsidRPr="007B3B51" w:rsidRDefault="00D031F4" w:rsidP="0098741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304CF">
            <w:rPr>
              <w:i/>
              <w:noProof/>
              <w:sz w:val="16"/>
              <w:szCs w:val="16"/>
            </w:rPr>
            <w:t>Telecommunications (Carrier Licence Exemption—Use for specified Queensland rail and electricity services) Determination 2021</w:t>
          </w:r>
          <w:r w:rsidRPr="007B3B51">
            <w:rPr>
              <w:i/>
              <w:sz w:val="16"/>
              <w:szCs w:val="16"/>
            </w:rPr>
            <w:fldChar w:fldCharType="end"/>
          </w:r>
        </w:p>
      </w:tc>
      <w:tc>
        <w:tcPr>
          <w:tcW w:w="993" w:type="dxa"/>
        </w:tcPr>
        <w:p w14:paraId="7EB9A82A" w14:textId="77777777" w:rsidR="00D031F4" w:rsidRPr="007B3B51" w:rsidRDefault="00D031F4" w:rsidP="0098741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w:t>
          </w:r>
          <w:r w:rsidRPr="007B3B51">
            <w:rPr>
              <w:i/>
              <w:sz w:val="16"/>
              <w:szCs w:val="16"/>
            </w:rPr>
            <w:fldChar w:fldCharType="end"/>
          </w:r>
        </w:p>
      </w:tc>
    </w:tr>
    <w:tr w:rsidR="00D031F4" w:rsidRPr="00130F37" w14:paraId="05CF75E3" w14:textId="77777777" w:rsidTr="00633E43">
      <w:tc>
        <w:tcPr>
          <w:tcW w:w="2190" w:type="dxa"/>
          <w:gridSpan w:val="2"/>
        </w:tcPr>
        <w:p w14:paraId="362C91C2" w14:textId="154ABB6D" w:rsidR="00D031F4" w:rsidRPr="00130F37" w:rsidRDefault="00D031F4" w:rsidP="00E5433B">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C22D82">
            <w:rPr>
              <w:sz w:val="16"/>
              <w:szCs w:val="16"/>
            </w:rPr>
            <w:t>1</w:t>
          </w:r>
          <w:r w:rsidRPr="00130F37">
            <w:rPr>
              <w:sz w:val="16"/>
              <w:szCs w:val="16"/>
            </w:rPr>
            <w:fldChar w:fldCharType="end"/>
          </w:r>
        </w:p>
      </w:tc>
      <w:tc>
        <w:tcPr>
          <w:tcW w:w="3163" w:type="dxa"/>
        </w:tcPr>
        <w:p w14:paraId="66E08528" w14:textId="470C5C28" w:rsidR="00D031F4" w:rsidRPr="00130F37" w:rsidRDefault="00D031F4" w:rsidP="0098741D">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C22D82">
            <w:rPr>
              <w:sz w:val="16"/>
              <w:szCs w:val="16"/>
            </w:rPr>
            <w:t>23/06/2023</w:t>
          </w:r>
          <w:r w:rsidRPr="00130F37">
            <w:rPr>
              <w:sz w:val="16"/>
              <w:szCs w:val="16"/>
            </w:rPr>
            <w:fldChar w:fldCharType="end"/>
          </w:r>
        </w:p>
      </w:tc>
      <w:tc>
        <w:tcPr>
          <w:tcW w:w="3119" w:type="dxa"/>
          <w:gridSpan w:val="2"/>
        </w:tcPr>
        <w:p w14:paraId="4E614CE3" w14:textId="27AF0F77" w:rsidR="00D031F4" w:rsidRPr="00130F37" w:rsidRDefault="00D031F4" w:rsidP="0098741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C22D82">
            <w:rPr>
              <w:sz w:val="16"/>
              <w:szCs w:val="16"/>
            </w:rPr>
            <w:instrText>27 July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C22D82">
            <w:rPr>
              <w:sz w:val="16"/>
              <w:szCs w:val="16"/>
            </w:rPr>
            <w:instrText>27/07/2023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C22D82">
            <w:rPr>
              <w:noProof/>
              <w:sz w:val="16"/>
              <w:szCs w:val="16"/>
            </w:rPr>
            <w:t>27/07/2023</w:t>
          </w:r>
          <w:r w:rsidRPr="00130F37">
            <w:rPr>
              <w:sz w:val="16"/>
              <w:szCs w:val="16"/>
            </w:rPr>
            <w:fldChar w:fldCharType="end"/>
          </w:r>
        </w:p>
      </w:tc>
    </w:tr>
  </w:tbl>
  <w:p w14:paraId="3E7B132A" w14:textId="77777777" w:rsidR="00D031F4" w:rsidRDefault="00D031F4" w:rsidP="009874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EA7396" w14:textId="77777777" w:rsidR="00D031F4" w:rsidRDefault="00D031F4" w:rsidP="00715914">
      <w:pPr>
        <w:spacing w:line="240" w:lineRule="auto"/>
      </w:pPr>
      <w:r>
        <w:separator/>
      </w:r>
    </w:p>
  </w:footnote>
  <w:footnote w:type="continuationSeparator" w:id="0">
    <w:p w14:paraId="6EDE237F" w14:textId="77777777" w:rsidR="00D031F4" w:rsidRDefault="00D031F4"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E95A4" w14:textId="77777777" w:rsidR="00D031F4" w:rsidRDefault="00D031F4" w:rsidP="0098741D">
    <w:pPr>
      <w:pStyle w:val="Header"/>
      <w:pBdr>
        <w:bottom w:val="single" w:sz="6" w:space="1" w:color="auto"/>
      </w:pBdr>
    </w:pPr>
  </w:p>
  <w:p w14:paraId="0BDF7C37" w14:textId="77777777" w:rsidR="00D031F4" w:rsidRDefault="00D031F4" w:rsidP="0098741D">
    <w:pPr>
      <w:pStyle w:val="Header"/>
      <w:pBdr>
        <w:bottom w:val="single" w:sz="6" w:space="1" w:color="auto"/>
      </w:pBdr>
    </w:pPr>
  </w:p>
  <w:p w14:paraId="17ACEFF9" w14:textId="77777777" w:rsidR="00D031F4" w:rsidRPr="001E77D2" w:rsidRDefault="00D031F4" w:rsidP="0098741D">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76928" w14:textId="77777777" w:rsidR="00D031F4" w:rsidRPr="00C4473E" w:rsidRDefault="00D031F4" w:rsidP="0098741D">
    <w:pPr>
      <w:jc w:val="right"/>
      <w:rPr>
        <w:sz w:val="26"/>
        <w:szCs w:val="26"/>
      </w:rPr>
    </w:pPr>
  </w:p>
  <w:p w14:paraId="3849E997" w14:textId="77777777" w:rsidR="00D031F4" w:rsidRPr="00965EE7" w:rsidRDefault="00D031F4" w:rsidP="0098741D">
    <w:pPr>
      <w:jc w:val="right"/>
      <w:rPr>
        <w:b/>
        <w:sz w:val="20"/>
      </w:rPr>
    </w:pPr>
    <w:r w:rsidRPr="00965EE7">
      <w:rPr>
        <w:b/>
        <w:sz w:val="20"/>
      </w:rPr>
      <w:t>Endnotes</w:t>
    </w:r>
  </w:p>
  <w:p w14:paraId="06931954" w14:textId="77777777" w:rsidR="00D031F4" w:rsidRPr="007A1328" w:rsidRDefault="00D031F4" w:rsidP="0098741D">
    <w:pPr>
      <w:jc w:val="right"/>
      <w:rPr>
        <w:sz w:val="20"/>
      </w:rPr>
    </w:pPr>
  </w:p>
  <w:p w14:paraId="543F6C54" w14:textId="77777777" w:rsidR="00D031F4" w:rsidRPr="007A1328" w:rsidRDefault="00D031F4" w:rsidP="0098741D">
    <w:pPr>
      <w:jc w:val="right"/>
      <w:rPr>
        <w:b/>
        <w:sz w:val="24"/>
      </w:rPr>
    </w:pPr>
  </w:p>
  <w:p w14:paraId="202BB0ED" w14:textId="59F2B19D" w:rsidR="00D031F4" w:rsidRPr="00C4473E" w:rsidRDefault="00D031F4" w:rsidP="0098741D">
    <w:pPr>
      <w:pBdr>
        <w:bottom w:val="single" w:sz="6" w:space="1" w:color="auto"/>
      </w:pBdr>
      <w:jc w:val="right"/>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0304CF">
      <w:rPr>
        <w:noProof/>
        <w:szCs w:val="22"/>
      </w:rPr>
      <w:t>Endnote 1—About the endnotes</w:t>
    </w:r>
    <w:r w:rsidRPr="00C4473E">
      <w:rPr>
        <w:szCs w:val="22"/>
      </w:rPr>
      <w:fldChar w:fldCharType="end"/>
    </w:r>
  </w:p>
  <w:p w14:paraId="472F48D7" w14:textId="77777777" w:rsidR="00D031F4" w:rsidRPr="000B5E62" w:rsidRDefault="00D031F4">
    <w:pPr>
      <w:rPr>
        <w:sz w:val="24"/>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84638" w14:textId="77777777" w:rsidR="00D031F4" w:rsidRPr="000B5E62" w:rsidRDefault="00D031F4">
    <w:pPr>
      <w:pStyle w:val="Heade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F7A6A" w14:textId="77777777" w:rsidR="00D031F4" w:rsidRDefault="00D031F4" w:rsidP="0098741D">
    <w:pPr>
      <w:pStyle w:val="Header"/>
      <w:pBdr>
        <w:bottom w:val="single" w:sz="4" w:space="1" w:color="auto"/>
      </w:pBdr>
    </w:pPr>
  </w:p>
  <w:p w14:paraId="04583264" w14:textId="77777777" w:rsidR="00D031F4" w:rsidRDefault="00D031F4" w:rsidP="0098741D">
    <w:pPr>
      <w:pStyle w:val="Header"/>
      <w:pBdr>
        <w:bottom w:val="single" w:sz="4" w:space="1" w:color="auto"/>
      </w:pBdr>
    </w:pPr>
  </w:p>
  <w:p w14:paraId="4691DFCC" w14:textId="77777777" w:rsidR="00D031F4" w:rsidRPr="001E77D2" w:rsidRDefault="00D031F4" w:rsidP="0098741D">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AB9DE" w14:textId="77777777" w:rsidR="00D031F4" w:rsidRPr="005F1388" w:rsidRDefault="00D031F4" w:rsidP="0098741D">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B3E80" w14:textId="77777777" w:rsidR="00D031F4" w:rsidRPr="00ED79B6" w:rsidRDefault="00D031F4" w:rsidP="0098741D">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CFA04" w14:textId="77777777" w:rsidR="00D031F4" w:rsidRPr="00ED79B6" w:rsidRDefault="00D031F4" w:rsidP="0098741D">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CA94F" w14:textId="77777777" w:rsidR="00D031F4" w:rsidRPr="00ED79B6" w:rsidRDefault="00D031F4"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6D836" w14:textId="77777777" w:rsidR="00D031F4" w:rsidRDefault="00D031F4" w:rsidP="00715914">
    <w:pPr>
      <w:rPr>
        <w:sz w:val="20"/>
      </w:rPr>
    </w:pPr>
  </w:p>
  <w:p w14:paraId="38417A04" w14:textId="77777777" w:rsidR="00D031F4" w:rsidRDefault="00D031F4" w:rsidP="00715914">
    <w:pPr>
      <w:rPr>
        <w:sz w:val="20"/>
      </w:rPr>
    </w:pPr>
  </w:p>
  <w:p w14:paraId="42F2C298" w14:textId="77777777" w:rsidR="00D031F4" w:rsidRPr="007A1328" w:rsidRDefault="00D031F4" w:rsidP="00715914">
    <w:pPr>
      <w:rPr>
        <w:sz w:val="20"/>
      </w:rPr>
    </w:pPr>
  </w:p>
  <w:p w14:paraId="76202492" w14:textId="77777777" w:rsidR="00D031F4" w:rsidRPr="007A1328" w:rsidRDefault="00D031F4" w:rsidP="00715914">
    <w:pPr>
      <w:rPr>
        <w:b/>
        <w:sz w:val="24"/>
      </w:rPr>
    </w:pPr>
  </w:p>
  <w:p w14:paraId="4A27EFB2" w14:textId="77777777" w:rsidR="00D031F4" w:rsidRPr="007A1328" w:rsidRDefault="00D031F4" w:rsidP="00D6537E">
    <w:pPr>
      <w:pBdr>
        <w:bottom w:val="single" w:sz="6" w:space="1" w:color="auto"/>
      </w:pBdr>
      <w:spacing w:after="120"/>
      <w:rPr>
        <w:sz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EB0B3" w14:textId="77777777" w:rsidR="00D031F4" w:rsidRPr="007A1328" w:rsidRDefault="00D031F4" w:rsidP="00715914">
    <w:pPr>
      <w:jc w:val="right"/>
      <w:rPr>
        <w:sz w:val="20"/>
      </w:rPr>
    </w:pPr>
  </w:p>
  <w:p w14:paraId="6E2D8736" w14:textId="77777777" w:rsidR="00D031F4" w:rsidRPr="007A1328" w:rsidRDefault="00D031F4" w:rsidP="00715914">
    <w:pPr>
      <w:jc w:val="right"/>
      <w:rPr>
        <w:sz w:val="20"/>
      </w:rPr>
    </w:pPr>
  </w:p>
  <w:p w14:paraId="669912DA" w14:textId="77777777" w:rsidR="00D031F4" w:rsidRPr="007A1328" w:rsidRDefault="00D031F4" w:rsidP="00D6537E">
    <w:pPr>
      <w:pBdr>
        <w:bottom w:val="single" w:sz="6" w:space="1" w:color="auto"/>
      </w:pBdr>
      <w:spacing w:after="120"/>
      <w:jc w:val="right"/>
      <w:rPr>
        <w:sz w:val="24"/>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A9424" w14:textId="77777777" w:rsidR="00D031F4" w:rsidRPr="00C4473E" w:rsidRDefault="00D031F4" w:rsidP="0098741D">
    <w:pPr>
      <w:rPr>
        <w:sz w:val="26"/>
        <w:szCs w:val="26"/>
      </w:rPr>
    </w:pPr>
  </w:p>
  <w:p w14:paraId="14F1D836" w14:textId="77777777" w:rsidR="00D031F4" w:rsidRPr="00965EE7" w:rsidRDefault="00D031F4" w:rsidP="0098741D">
    <w:pPr>
      <w:rPr>
        <w:b/>
        <w:sz w:val="20"/>
      </w:rPr>
    </w:pPr>
    <w:r w:rsidRPr="00965EE7">
      <w:rPr>
        <w:b/>
        <w:sz w:val="20"/>
      </w:rPr>
      <w:t>Endnotes</w:t>
    </w:r>
  </w:p>
  <w:p w14:paraId="1D004CC3" w14:textId="77777777" w:rsidR="00D031F4" w:rsidRPr="007A1328" w:rsidRDefault="00D031F4" w:rsidP="0098741D">
    <w:pPr>
      <w:rPr>
        <w:sz w:val="20"/>
      </w:rPr>
    </w:pPr>
  </w:p>
  <w:p w14:paraId="2F8D90B5" w14:textId="77777777" w:rsidR="00D031F4" w:rsidRPr="007A1328" w:rsidRDefault="00D031F4" w:rsidP="0098741D">
    <w:pPr>
      <w:rPr>
        <w:b/>
        <w:sz w:val="24"/>
      </w:rPr>
    </w:pPr>
  </w:p>
  <w:p w14:paraId="64F54E9C" w14:textId="7E5DB27D" w:rsidR="00D031F4" w:rsidRDefault="00D031F4" w:rsidP="0098741D">
    <w:pPr>
      <w:pBdr>
        <w:bottom w:val="single" w:sz="4" w:space="1" w:color="auto"/>
      </w:pBdr>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0304CF">
      <w:rPr>
        <w:noProof/>
        <w:szCs w:val="22"/>
      </w:rPr>
      <w:t>Endnote 1—About the endnotes</w:t>
    </w:r>
    <w:r w:rsidRPr="00C4473E">
      <w:rPr>
        <w:szCs w:val="22"/>
      </w:rPr>
      <w:fldChar w:fldCharType="end"/>
    </w:r>
  </w:p>
  <w:p w14:paraId="31D5B53A" w14:textId="77777777" w:rsidR="00D031F4" w:rsidRPr="000B5E62" w:rsidRDefault="00D031F4" w:rsidP="0098741D">
    <w:pPr>
      <w:rPr>
        <w:sz w:val="24"/>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10C43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C7A73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18A05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E6660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CE3A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8CE1B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76E0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2E9E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48CFE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A2AD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C67465"/>
    <w:multiLevelType w:val="hybridMultilevel"/>
    <w:tmpl w:val="7C20772E"/>
    <w:lvl w:ilvl="0" w:tplc="2C38E562">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2" w15:restartNumberingAfterBreak="0">
    <w:nsid w:val="25EB5D13"/>
    <w:multiLevelType w:val="hybridMultilevel"/>
    <w:tmpl w:val="7BC83F7C"/>
    <w:lvl w:ilvl="0" w:tplc="E402D762">
      <w:start w:val="1"/>
      <w:numFmt w:val="lowerLetter"/>
      <w:lvlText w:val="(%1)"/>
      <w:lvlJc w:val="left"/>
      <w:pPr>
        <w:ind w:left="1854" w:hanging="360"/>
      </w:pPr>
      <w:rPr>
        <w:rFonts w:ascii="Times New Roman" w:eastAsia="Times New Roman" w:hAnsi="Times New Roman" w:cs="Times New Roman"/>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13"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4" w15:restartNumberingAfterBreak="0">
    <w:nsid w:val="3E405575"/>
    <w:multiLevelType w:val="multilevel"/>
    <w:tmpl w:val="6F7076B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0057326"/>
    <w:multiLevelType w:val="hybridMultilevel"/>
    <w:tmpl w:val="7BC83F7C"/>
    <w:lvl w:ilvl="0" w:tplc="E402D762">
      <w:start w:val="1"/>
      <w:numFmt w:val="lowerLetter"/>
      <w:lvlText w:val="(%1)"/>
      <w:lvlJc w:val="left"/>
      <w:pPr>
        <w:ind w:left="1854" w:hanging="360"/>
      </w:pPr>
      <w:rPr>
        <w:rFonts w:ascii="Times New Roman" w:eastAsia="Times New Roman" w:hAnsi="Times New Roman" w:cs="Times New Roman"/>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17" w15:restartNumberingAfterBreak="0">
    <w:nsid w:val="6C0D0930"/>
    <w:multiLevelType w:val="hybridMultilevel"/>
    <w:tmpl w:val="0F1295D2"/>
    <w:lvl w:ilvl="0" w:tplc="FB5EF600">
      <w:start w:val="1"/>
      <w:numFmt w:val="lowerLetter"/>
      <w:lvlText w:val="(%1)"/>
      <w:lvlJc w:val="left"/>
      <w:pPr>
        <w:ind w:left="2345" w:hanging="360"/>
      </w:pPr>
      <w:rPr>
        <w:rFonts w:hint="default"/>
      </w:rPr>
    </w:lvl>
    <w:lvl w:ilvl="1" w:tplc="0C090019" w:tentative="1">
      <w:start w:val="1"/>
      <w:numFmt w:val="lowerLetter"/>
      <w:lvlText w:val="%2."/>
      <w:lvlJc w:val="left"/>
      <w:pPr>
        <w:ind w:left="3065" w:hanging="360"/>
      </w:pPr>
    </w:lvl>
    <w:lvl w:ilvl="2" w:tplc="0C09001B" w:tentative="1">
      <w:start w:val="1"/>
      <w:numFmt w:val="lowerRoman"/>
      <w:lvlText w:val="%3."/>
      <w:lvlJc w:val="right"/>
      <w:pPr>
        <w:ind w:left="3785" w:hanging="180"/>
      </w:pPr>
    </w:lvl>
    <w:lvl w:ilvl="3" w:tplc="0C09000F" w:tentative="1">
      <w:start w:val="1"/>
      <w:numFmt w:val="decimal"/>
      <w:lvlText w:val="%4."/>
      <w:lvlJc w:val="left"/>
      <w:pPr>
        <w:ind w:left="4505" w:hanging="360"/>
      </w:pPr>
    </w:lvl>
    <w:lvl w:ilvl="4" w:tplc="0C090019" w:tentative="1">
      <w:start w:val="1"/>
      <w:numFmt w:val="lowerLetter"/>
      <w:lvlText w:val="%5."/>
      <w:lvlJc w:val="left"/>
      <w:pPr>
        <w:ind w:left="5225" w:hanging="360"/>
      </w:pPr>
    </w:lvl>
    <w:lvl w:ilvl="5" w:tplc="0C09001B" w:tentative="1">
      <w:start w:val="1"/>
      <w:numFmt w:val="lowerRoman"/>
      <w:lvlText w:val="%6."/>
      <w:lvlJc w:val="right"/>
      <w:pPr>
        <w:ind w:left="5945" w:hanging="180"/>
      </w:pPr>
    </w:lvl>
    <w:lvl w:ilvl="6" w:tplc="0C09000F" w:tentative="1">
      <w:start w:val="1"/>
      <w:numFmt w:val="decimal"/>
      <w:lvlText w:val="%7."/>
      <w:lvlJc w:val="left"/>
      <w:pPr>
        <w:ind w:left="6665" w:hanging="360"/>
      </w:pPr>
    </w:lvl>
    <w:lvl w:ilvl="7" w:tplc="0C090019" w:tentative="1">
      <w:start w:val="1"/>
      <w:numFmt w:val="lowerLetter"/>
      <w:lvlText w:val="%8."/>
      <w:lvlJc w:val="left"/>
      <w:pPr>
        <w:ind w:left="7385" w:hanging="360"/>
      </w:pPr>
    </w:lvl>
    <w:lvl w:ilvl="8" w:tplc="0C09001B" w:tentative="1">
      <w:start w:val="1"/>
      <w:numFmt w:val="lowerRoman"/>
      <w:lvlText w:val="%9."/>
      <w:lvlJc w:val="right"/>
      <w:pPr>
        <w:ind w:left="8105" w:hanging="180"/>
      </w:pPr>
    </w:lvl>
  </w:abstractNum>
  <w:abstractNum w:abstractNumId="18" w15:restartNumberingAfterBreak="0">
    <w:nsid w:val="79A467E5"/>
    <w:multiLevelType w:val="hybridMultilevel"/>
    <w:tmpl w:val="7BC83F7C"/>
    <w:lvl w:ilvl="0" w:tplc="E402D762">
      <w:start w:val="1"/>
      <w:numFmt w:val="lowerLetter"/>
      <w:lvlText w:val="(%1)"/>
      <w:lvlJc w:val="left"/>
      <w:pPr>
        <w:ind w:left="1854" w:hanging="360"/>
      </w:pPr>
      <w:rPr>
        <w:rFonts w:ascii="Times New Roman" w:eastAsia="Times New Roman" w:hAnsi="Times New Roman" w:cs="Times New Roman"/>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num>
  <w:num w:numId="13">
    <w:abstractNumId w:val="14"/>
  </w:num>
  <w:num w:numId="14">
    <w:abstractNumId w:val="12"/>
  </w:num>
  <w:num w:numId="15">
    <w:abstractNumId w:val="11"/>
  </w:num>
  <w:num w:numId="16">
    <w:abstractNumId w:val="16"/>
  </w:num>
  <w:num w:numId="17">
    <w:abstractNumId w:val="18"/>
  </w:num>
  <w:num w:numId="18">
    <w:abstractNumId w:val="17"/>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428"/>
    <w:rsid w:val="00004174"/>
    <w:rsid w:val="00004470"/>
    <w:rsid w:val="00005621"/>
    <w:rsid w:val="000136AF"/>
    <w:rsid w:val="000258B1"/>
    <w:rsid w:val="000304CF"/>
    <w:rsid w:val="00040A89"/>
    <w:rsid w:val="000437C1"/>
    <w:rsid w:val="0004455A"/>
    <w:rsid w:val="0005365D"/>
    <w:rsid w:val="000614BF"/>
    <w:rsid w:val="0006709C"/>
    <w:rsid w:val="00074376"/>
    <w:rsid w:val="00086CF3"/>
    <w:rsid w:val="000978F5"/>
    <w:rsid w:val="000B15CD"/>
    <w:rsid w:val="000B35EB"/>
    <w:rsid w:val="000B55C7"/>
    <w:rsid w:val="000C1D70"/>
    <w:rsid w:val="000D05EF"/>
    <w:rsid w:val="000E2261"/>
    <w:rsid w:val="000E78B7"/>
    <w:rsid w:val="000F21C1"/>
    <w:rsid w:val="0010745C"/>
    <w:rsid w:val="00130F0C"/>
    <w:rsid w:val="00132CEB"/>
    <w:rsid w:val="001339B0"/>
    <w:rsid w:val="00142B62"/>
    <w:rsid w:val="001441B7"/>
    <w:rsid w:val="00145AFD"/>
    <w:rsid w:val="001516CB"/>
    <w:rsid w:val="00152336"/>
    <w:rsid w:val="00156C88"/>
    <w:rsid w:val="00157B8B"/>
    <w:rsid w:val="00166C2F"/>
    <w:rsid w:val="001809D7"/>
    <w:rsid w:val="001939E1"/>
    <w:rsid w:val="00194C3E"/>
    <w:rsid w:val="00195382"/>
    <w:rsid w:val="001B2CB6"/>
    <w:rsid w:val="001C61C5"/>
    <w:rsid w:val="001C69C4"/>
    <w:rsid w:val="001D37EF"/>
    <w:rsid w:val="001D641F"/>
    <w:rsid w:val="001E3590"/>
    <w:rsid w:val="001E46CA"/>
    <w:rsid w:val="001E7407"/>
    <w:rsid w:val="001F5D5E"/>
    <w:rsid w:val="001F6219"/>
    <w:rsid w:val="001F6CD4"/>
    <w:rsid w:val="00206C4D"/>
    <w:rsid w:val="00215AF1"/>
    <w:rsid w:val="002321E8"/>
    <w:rsid w:val="00232984"/>
    <w:rsid w:val="0024010F"/>
    <w:rsid w:val="00240749"/>
    <w:rsid w:val="00243018"/>
    <w:rsid w:val="0025114D"/>
    <w:rsid w:val="002564A4"/>
    <w:rsid w:val="0026736C"/>
    <w:rsid w:val="00281308"/>
    <w:rsid w:val="00284719"/>
    <w:rsid w:val="00297ECB"/>
    <w:rsid w:val="002A3234"/>
    <w:rsid w:val="002A7BCF"/>
    <w:rsid w:val="002C3FD1"/>
    <w:rsid w:val="002C458E"/>
    <w:rsid w:val="002D043A"/>
    <w:rsid w:val="002D266B"/>
    <w:rsid w:val="002D6224"/>
    <w:rsid w:val="002F69CF"/>
    <w:rsid w:val="00301C28"/>
    <w:rsid w:val="00304F8B"/>
    <w:rsid w:val="00335BC6"/>
    <w:rsid w:val="00340492"/>
    <w:rsid w:val="003415D3"/>
    <w:rsid w:val="00344338"/>
    <w:rsid w:val="00344701"/>
    <w:rsid w:val="00347E4F"/>
    <w:rsid w:val="00352B0F"/>
    <w:rsid w:val="00360459"/>
    <w:rsid w:val="003767E2"/>
    <w:rsid w:val="0038049F"/>
    <w:rsid w:val="003B0D43"/>
    <w:rsid w:val="003B24E3"/>
    <w:rsid w:val="003C6231"/>
    <w:rsid w:val="003D0BFE"/>
    <w:rsid w:val="003D1C00"/>
    <w:rsid w:val="003D5700"/>
    <w:rsid w:val="003E341B"/>
    <w:rsid w:val="003E4D00"/>
    <w:rsid w:val="004116CD"/>
    <w:rsid w:val="00417EB9"/>
    <w:rsid w:val="00424CA9"/>
    <w:rsid w:val="004276DF"/>
    <w:rsid w:val="00431E9B"/>
    <w:rsid w:val="004379E3"/>
    <w:rsid w:val="0044015E"/>
    <w:rsid w:val="0044291A"/>
    <w:rsid w:val="00457089"/>
    <w:rsid w:val="00467661"/>
    <w:rsid w:val="00472DBE"/>
    <w:rsid w:val="00474A19"/>
    <w:rsid w:val="00477830"/>
    <w:rsid w:val="00487764"/>
    <w:rsid w:val="00496F97"/>
    <w:rsid w:val="004B6C48"/>
    <w:rsid w:val="004C4E59"/>
    <w:rsid w:val="004C6809"/>
    <w:rsid w:val="004D638E"/>
    <w:rsid w:val="004E063A"/>
    <w:rsid w:val="004E1307"/>
    <w:rsid w:val="004E7BEC"/>
    <w:rsid w:val="00505D3D"/>
    <w:rsid w:val="00506AF6"/>
    <w:rsid w:val="00516B8D"/>
    <w:rsid w:val="00526F21"/>
    <w:rsid w:val="005303C8"/>
    <w:rsid w:val="00537FBC"/>
    <w:rsid w:val="00550364"/>
    <w:rsid w:val="00554826"/>
    <w:rsid w:val="00562877"/>
    <w:rsid w:val="00584811"/>
    <w:rsid w:val="00585784"/>
    <w:rsid w:val="00593AA6"/>
    <w:rsid w:val="00594161"/>
    <w:rsid w:val="00594749"/>
    <w:rsid w:val="005A65D5"/>
    <w:rsid w:val="005B4067"/>
    <w:rsid w:val="005C3F41"/>
    <w:rsid w:val="005D1D92"/>
    <w:rsid w:val="005D2D09"/>
    <w:rsid w:val="005F7B9D"/>
    <w:rsid w:val="00600219"/>
    <w:rsid w:val="00604F2A"/>
    <w:rsid w:val="00620076"/>
    <w:rsid w:val="00627E0A"/>
    <w:rsid w:val="0063330F"/>
    <w:rsid w:val="00633E43"/>
    <w:rsid w:val="006345FD"/>
    <w:rsid w:val="0065488B"/>
    <w:rsid w:val="00670EA1"/>
    <w:rsid w:val="00677CC2"/>
    <w:rsid w:val="00680636"/>
    <w:rsid w:val="0068744B"/>
    <w:rsid w:val="006905DE"/>
    <w:rsid w:val="0069207B"/>
    <w:rsid w:val="006A154F"/>
    <w:rsid w:val="006A437B"/>
    <w:rsid w:val="006B5789"/>
    <w:rsid w:val="006C30C5"/>
    <w:rsid w:val="006C7F8C"/>
    <w:rsid w:val="006E2E1C"/>
    <w:rsid w:val="006E6246"/>
    <w:rsid w:val="006E69C2"/>
    <w:rsid w:val="006E6DCC"/>
    <w:rsid w:val="006F318F"/>
    <w:rsid w:val="0070017E"/>
    <w:rsid w:val="00700B2C"/>
    <w:rsid w:val="00704CDD"/>
    <w:rsid w:val="00704F79"/>
    <w:rsid w:val="007050A2"/>
    <w:rsid w:val="00713084"/>
    <w:rsid w:val="00714F20"/>
    <w:rsid w:val="0071590F"/>
    <w:rsid w:val="00715914"/>
    <w:rsid w:val="0072147A"/>
    <w:rsid w:val="00723791"/>
    <w:rsid w:val="0072430A"/>
    <w:rsid w:val="00731E00"/>
    <w:rsid w:val="007440B7"/>
    <w:rsid w:val="007500C8"/>
    <w:rsid w:val="00756272"/>
    <w:rsid w:val="00762D38"/>
    <w:rsid w:val="007715C9"/>
    <w:rsid w:val="00771613"/>
    <w:rsid w:val="00774EDD"/>
    <w:rsid w:val="007757EC"/>
    <w:rsid w:val="00783E89"/>
    <w:rsid w:val="00786395"/>
    <w:rsid w:val="00793915"/>
    <w:rsid w:val="007C2253"/>
    <w:rsid w:val="007D7911"/>
    <w:rsid w:val="007E163D"/>
    <w:rsid w:val="007E667A"/>
    <w:rsid w:val="007F28C9"/>
    <w:rsid w:val="007F51B2"/>
    <w:rsid w:val="008040DD"/>
    <w:rsid w:val="008117E9"/>
    <w:rsid w:val="00816E49"/>
    <w:rsid w:val="00824498"/>
    <w:rsid w:val="00826BD1"/>
    <w:rsid w:val="00845137"/>
    <w:rsid w:val="00854D0B"/>
    <w:rsid w:val="00856A31"/>
    <w:rsid w:val="00860B4E"/>
    <w:rsid w:val="00867B37"/>
    <w:rsid w:val="008754D0"/>
    <w:rsid w:val="00875D13"/>
    <w:rsid w:val="00882365"/>
    <w:rsid w:val="008855C9"/>
    <w:rsid w:val="00886456"/>
    <w:rsid w:val="00896176"/>
    <w:rsid w:val="008A46E1"/>
    <w:rsid w:val="008A4F43"/>
    <w:rsid w:val="008B2706"/>
    <w:rsid w:val="008C2EAC"/>
    <w:rsid w:val="008C70D0"/>
    <w:rsid w:val="008D0EE0"/>
    <w:rsid w:val="008D3CA3"/>
    <w:rsid w:val="008E0027"/>
    <w:rsid w:val="008E4D59"/>
    <w:rsid w:val="008E6067"/>
    <w:rsid w:val="008F54E7"/>
    <w:rsid w:val="00903422"/>
    <w:rsid w:val="00913C14"/>
    <w:rsid w:val="009254C3"/>
    <w:rsid w:val="00932377"/>
    <w:rsid w:val="00941236"/>
    <w:rsid w:val="0094355E"/>
    <w:rsid w:val="00943FD5"/>
    <w:rsid w:val="00947D5A"/>
    <w:rsid w:val="009532A5"/>
    <w:rsid w:val="009545BD"/>
    <w:rsid w:val="0095694F"/>
    <w:rsid w:val="00964CF0"/>
    <w:rsid w:val="00972E86"/>
    <w:rsid w:val="00977806"/>
    <w:rsid w:val="00982242"/>
    <w:rsid w:val="009868E9"/>
    <w:rsid w:val="0098741D"/>
    <w:rsid w:val="009900A3"/>
    <w:rsid w:val="00997968"/>
    <w:rsid w:val="009B0569"/>
    <w:rsid w:val="009C3413"/>
    <w:rsid w:val="009D7428"/>
    <w:rsid w:val="009F1BE4"/>
    <w:rsid w:val="00A0441E"/>
    <w:rsid w:val="00A11B6D"/>
    <w:rsid w:val="00A12128"/>
    <w:rsid w:val="00A156E9"/>
    <w:rsid w:val="00A22C98"/>
    <w:rsid w:val="00A231E2"/>
    <w:rsid w:val="00A369E3"/>
    <w:rsid w:val="00A57600"/>
    <w:rsid w:val="00A57DF4"/>
    <w:rsid w:val="00A64912"/>
    <w:rsid w:val="00A70A74"/>
    <w:rsid w:val="00A75FE9"/>
    <w:rsid w:val="00AA391A"/>
    <w:rsid w:val="00AD53CC"/>
    <w:rsid w:val="00AD5641"/>
    <w:rsid w:val="00AE1603"/>
    <w:rsid w:val="00AF06CF"/>
    <w:rsid w:val="00B07CDB"/>
    <w:rsid w:val="00B16A31"/>
    <w:rsid w:val="00B17DFD"/>
    <w:rsid w:val="00B25306"/>
    <w:rsid w:val="00B27831"/>
    <w:rsid w:val="00B308FE"/>
    <w:rsid w:val="00B33709"/>
    <w:rsid w:val="00B33B3C"/>
    <w:rsid w:val="00B36392"/>
    <w:rsid w:val="00B418CB"/>
    <w:rsid w:val="00B47444"/>
    <w:rsid w:val="00B50ADC"/>
    <w:rsid w:val="00B566B1"/>
    <w:rsid w:val="00B63834"/>
    <w:rsid w:val="00B80199"/>
    <w:rsid w:val="00B83204"/>
    <w:rsid w:val="00B856E7"/>
    <w:rsid w:val="00B96B22"/>
    <w:rsid w:val="00BA220B"/>
    <w:rsid w:val="00BA3A57"/>
    <w:rsid w:val="00BB1533"/>
    <w:rsid w:val="00BB2A27"/>
    <w:rsid w:val="00BB4E1A"/>
    <w:rsid w:val="00BC015E"/>
    <w:rsid w:val="00BC76AC"/>
    <w:rsid w:val="00BD0ECB"/>
    <w:rsid w:val="00BE0A2E"/>
    <w:rsid w:val="00BE2155"/>
    <w:rsid w:val="00BE719A"/>
    <w:rsid w:val="00BE720A"/>
    <w:rsid w:val="00BF0D73"/>
    <w:rsid w:val="00BF2465"/>
    <w:rsid w:val="00C16619"/>
    <w:rsid w:val="00C22D82"/>
    <w:rsid w:val="00C25E7F"/>
    <w:rsid w:val="00C2746F"/>
    <w:rsid w:val="00C323D6"/>
    <w:rsid w:val="00C324A0"/>
    <w:rsid w:val="00C42BF8"/>
    <w:rsid w:val="00C50043"/>
    <w:rsid w:val="00C7573B"/>
    <w:rsid w:val="00C91B04"/>
    <w:rsid w:val="00C97A54"/>
    <w:rsid w:val="00CA5B23"/>
    <w:rsid w:val="00CB602E"/>
    <w:rsid w:val="00CB7E90"/>
    <w:rsid w:val="00CE051D"/>
    <w:rsid w:val="00CE1335"/>
    <w:rsid w:val="00CE493D"/>
    <w:rsid w:val="00CF07FA"/>
    <w:rsid w:val="00CF0BB2"/>
    <w:rsid w:val="00CF3EE8"/>
    <w:rsid w:val="00D031F4"/>
    <w:rsid w:val="00D13441"/>
    <w:rsid w:val="00D150E7"/>
    <w:rsid w:val="00D33EBD"/>
    <w:rsid w:val="00D52DC2"/>
    <w:rsid w:val="00D53BCC"/>
    <w:rsid w:val="00D54C9E"/>
    <w:rsid w:val="00D61EBA"/>
    <w:rsid w:val="00D6537E"/>
    <w:rsid w:val="00D66279"/>
    <w:rsid w:val="00D70DFB"/>
    <w:rsid w:val="00D73987"/>
    <w:rsid w:val="00D755AD"/>
    <w:rsid w:val="00D766DF"/>
    <w:rsid w:val="00D8206C"/>
    <w:rsid w:val="00D91F10"/>
    <w:rsid w:val="00DA186E"/>
    <w:rsid w:val="00DA4116"/>
    <w:rsid w:val="00DB251C"/>
    <w:rsid w:val="00DB4630"/>
    <w:rsid w:val="00DB553D"/>
    <w:rsid w:val="00DC4F88"/>
    <w:rsid w:val="00DD6502"/>
    <w:rsid w:val="00DE107C"/>
    <w:rsid w:val="00DF2388"/>
    <w:rsid w:val="00DF4B05"/>
    <w:rsid w:val="00E05704"/>
    <w:rsid w:val="00E12602"/>
    <w:rsid w:val="00E338EF"/>
    <w:rsid w:val="00E5048B"/>
    <w:rsid w:val="00E5433B"/>
    <w:rsid w:val="00E544BB"/>
    <w:rsid w:val="00E6227B"/>
    <w:rsid w:val="00E65E76"/>
    <w:rsid w:val="00E67120"/>
    <w:rsid w:val="00E74DC7"/>
    <w:rsid w:val="00E805FF"/>
    <w:rsid w:val="00E8075A"/>
    <w:rsid w:val="00E940D8"/>
    <w:rsid w:val="00E94D5E"/>
    <w:rsid w:val="00EA5924"/>
    <w:rsid w:val="00EA7100"/>
    <w:rsid w:val="00EA7F9F"/>
    <w:rsid w:val="00EB1274"/>
    <w:rsid w:val="00ED2BB6"/>
    <w:rsid w:val="00ED34E1"/>
    <w:rsid w:val="00ED3B8D"/>
    <w:rsid w:val="00EE5E36"/>
    <w:rsid w:val="00EF2E3A"/>
    <w:rsid w:val="00EF5A5D"/>
    <w:rsid w:val="00F02C7C"/>
    <w:rsid w:val="00F03223"/>
    <w:rsid w:val="00F072A7"/>
    <w:rsid w:val="00F078DC"/>
    <w:rsid w:val="00F211F8"/>
    <w:rsid w:val="00F22E20"/>
    <w:rsid w:val="00F32BA8"/>
    <w:rsid w:val="00F32EE0"/>
    <w:rsid w:val="00F349F1"/>
    <w:rsid w:val="00F426CF"/>
    <w:rsid w:val="00F4350D"/>
    <w:rsid w:val="00F479C4"/>
    <w:rsid w:val="00F567F7"/>
    <w:rsid w:val="00F6696E"/>
    <w:rsid w:val="00F73BD6"/>
    <w:rsid w:val="00F83989"/>
    <w:rsid w:val="00F85099"/>
    <w:rsid w:val="00F9165B"/>
    <w:rsid w:val="00F9379C"/>
    <w:rsid w:val="00F9632C"/>
    <w:rsid w:val="00FA1E52"/>
    <w:rsid w:val="00FB5A08"/>
    <w:rsid w:val="00FC6A80"/>
    <w:rsid w:val="00FE4688"/>
    <w:rsid w:val="00FF57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E3C8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5433B"/>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character" w:customStyle="1" w:styleId="OPCCharBase">
    <w:name w:val="OPCCharBase"/>
    <w:uiPriority w:val="1"/>
    <w:qFormat/>
    <w:rsid w:val="00E5433B"/>
  </w:style>
  <w:style w:type="paragraph" w:customStyle="1" w:styleId="OPCParaBase">
    <w:name w:val="OPCParaBase"/>
    <w:qFormat/>
    <w:rsid w:val="00E5433B"/>
    <w:pPr>
      <w:spacing w:line="260" w:lineRule="atLeast"/>
    </w:pPr>
    <w:rPr>
      <w:rFonts w:eastAsia="Times New Roman" w:cs="Times New Roman"/>
      <w:sz w:val="22"/>
      <w:lang w:eastAsia="en-AU"/>
    </w:rPr>
  </w:style>
  <w:style w:type="paragraph" w:customStyle="1" w:styleId="ShortT">
    <w:name w:val="ShortT"/>
    <w:basedOn w:val="OPCParaBase"/>
    <w:next w:val="Normal"/>
    <w:qFormat/>
    <w:rsid w:val="00E5433B"/>
    <w:pPr>
      <w:spacing w:line="240" w:lineRule="auto"/>
    </w:pPr>
    <w:rPr>
      <w:b/>
      <w:sz w:val="40"/>
    </w:rPr>
  </w:style>
  <w:style w:type="paragraph" w:customStyle="1" w:styleId="ActHead1">
    <w:name w:val="ActHead 1"/>
    <w:aliases w:val="c"/>
    <w:basedOn w:val="OPCParaBase"/>
    <w:next w:val="Normal"/>
    <w:qFormat/>
    <w:rsid w:val="00E5433B"/>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5433B"/>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5433B"/>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5433B"/>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E5433B"/>
    <w:pPr>
      <w:keepNext/>
      <w:keepLines/>
      <w:spacing w:before="280" w:line="240" w:lineRule="auto"/>
      <w:ind w:left="1134" w:hanging="1134"/>
      <w:outlineLvl w:val="4"/>
    </w:pPr>
    <w:rPr>
      <w:b/>
      <w:kern w:val="28"/>
      <w:sz w:val="24"/>
    </w:rPr>
  </w:style>
  <w:style w:type="paragraph" w:customStyle="1" w:styleId="subsection">
    <w:name w:val="subsection"/>
    <w:aliases w:val="ss"/>
    <w:basedOn w:val="OPCParaBase"/>
    <w:link w:val="subsectionChar"/>
    <w:rsid w:val="00E5433B"/>
    <w:pPr>
      <w:tabs>
        <w:tab w:val="right" w:pos="1021"/>
      </w:tabs>
      <w:spacing w:before="180" w:line="240" w:lineRule="auto"/>
      <w:ind w:left="1134" w:hanging="1134"/>
    </w:p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paragraph" w:customStyle="1" w:styleId="ActHead6">
    <w:name w:val="ActHead 6"/>
    <w:aliases w:val="as"/>
    <w:basedOn w:val="OPCParaBase"/>
    <w:next w:val="ActHead7"/>
    <w:qFormat/>
    <w:rsid w:val="00E5433B"/>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5433B"/>
    <w:pPr>
      <w:keepNext/>
      <w:keepLines/>
      <w:spacing w:before="280" w:line="240" w:lineRule="auto"/>
      <w:ind w:left="1134" w:hanging="1134"/>
      <w:outlineLvl w:val="6"/>
    </w:pPr>
    <w:rPr>
      <w:rFonts w:ascii="Arial" w:hAnsi="Arial"/>
      <w:b/>
      <w:kern w:val="28"/>
      <w:sz w:val="28"/>
    </w:rPr>
  </w:style>
  <w:style w:type="paragraph" w:customStyle="1" w:styleId="ItemHead">
    <w:name w:val="ItemHead"/>
    <w:aliases w:val="ih"/>
    <w:basedOn w:val="OPCParaBase"/>
    <w:next w:val="Item"/>
    <w:rsid w:val="00E5433B"/>
    <w:pPr>
      <w:keepNext/>
      <w:keepLines/>
      <w:spacing w:before="220" w:line="240" w:lineRule="auto"/>
      <w:ind w:left="709" w:hanging="709"/>
    </w:pPr>
    <w:rPr>
      <w:rFonts w:ascii="Arial" w:hAnsi="Arial"/>
      <w:b/>
      <w:kern w:val="28"/>
      <w:sz w:val="24"/>
    </w:rPr>
  </w:style>
  <w:style w:type="paragraph" w:customStyle="1" w:styleId="Item">
    <w:name w:val="Item"/>
    <w:aliases w:val="i"/>
    <w:basedOn w:val="OPCParaBase"/>
    <w:next w:val="ItemHead"/>
    <w:rsid w:val="00E5433B"/>
    <w:pPr>
      <w:keepLines/>
      <w:spacing w:before="80" w:line="240" w:lineRule="auto"/>
      <w:ind w:left="709"/>
    </w:pPr>
  </w:style>
  <w:style w:type="paragraph" w:customStyle="1" w:styleId="ActHead8">
    <w:name w:val="ActHead 8"/>
    <w:aliases w:val="ad"/>
    <w:basedOn w:val="OPCParaBase"/>
    <w:next w:val="ItemHead"/>
    <w:qFormat/>
    <w:rsid w:val="00E5433B"/>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5433B"/>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E5433B"/>
  </w:style>
  <w:style w:type="paragraph" w:customStyle="1" w:styleId="Blocks">
    <w:name w:val="Blocks"/>
    <w:aliases w:val="bb"/>
    <w:basedOn w:val="OPCParaBase"/>
    <w:qFormat/>
    <w:rsid w:val="00E5433B"/>
    <w:pPr>
      <w:spacing w:line="240" w:lineRule="auto"/>
    </w:pPr>
    <w:rPr>
      <w:sz w:val="24"/>
    </w:rPr>
  </w:style>
  <w:style w:type="paragraph" w:customStyle="1" w:styleId="BoxText">
    <w:name w:val="BoxText"/>
    <w:aliases w:val="bt"/>
    <w:basedOn w:val="OPCParaBase"/>
    <w:qFormat/>
    <w:rsid w:val="00E5433B"/>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5433B"/>
    <w:rPr>
      <w:b/>
    </w:rPr>
  </w:style>
  <w:style w:type="paragraph" w:customStyle="1" w:styleId="BoxHeadItalic">
    <w:name w:val="BoxHeadItalic"/>
    <w:aliases w:val="bhi"/>
    <w:basedOn w:val="BoxText"/>
    <w:next w:val="BoxStep"/>
    <w:qFormat/>
    <w:rsid w:val="00E5433B"/>
    <w:rPr>
      <w:i/>
    </w:rPr>
  </w:style>
  <w:style w:type="paragraph" w:customStyle="1" w:styleId="BoxStep">
    <w:name w:val="BoxStep"/>
    <w:aliases w:val="bs"/>
    <w:basedOn w:val="BoxText"/>
    <w:qFormat/>
    <w:rsid w:val="00E5433B"/>
    <w:pPr>
      <w:ind w:left="1985" w:hanging="851"/>
    </w:pPr>
  </w:style>
  <w:style w:type="paragraph" w:customStyle="1" w:styleId="BoxList">
    <w:name w:val="BoxList"/>
    <w:aliases w:val="bl"/>
    <w:basedOn w:val="BoxText"/>
    <w:qFormat/>
    <w:rsid w:val="00E5433B"/>
    <w:pPr>
      <w:ind w:left="1559" w:hanging="425"/>
    </w:pPr>
  </w:style>
  <w:style w:type="paragraph" w:customStyle="1" w:styleId="BoxNote">
    <w:name w:val="BoxNote"/>
    <w:aliases w:val="bn"/>
    <w:basedOn w:val="BoxText"/>
    <w:qFormat/>
    <w:rsid w:val="00E5433B"/>
    <w:pPr>
      <w:tabs>
        <w:tab w:val="left" w:pos="1985"/>
      </w:tabs>
      <w:spacing w:before="122" w:line="198" w:lineRule="exact"/>
      <w:ind w:left="2948" w:hanging="1814"/>
    </w:pPr>
    <w:rPr>
      <w:sz w:val="18"/>
    </w:rPr>
  </w:style>
  <w:style w:type="paragraph" w:customStyle="1" w:styleId="BoxPara">
    <w:name w:val="BoxPara"/>
    <w:aliases w:val="bp"/>
    <w:basedOn w:val="BoxText"/>
    <w:qFormat/>
    <w:rsid w:val="00E5433B"/>
    <w:pPr>
      <w:tabs>
        <w:tab w:val="right" w:pos="2268"/>
      </w:tabs>
      <w:ind w:left="2552" w:hanging="1418"/>
    </w:pPr>
  </w:style>
  <w:style w:type="character" w:customStyle="1" w:styleId="CharAmPartNo">
    <w:name w:val="CharAmPartNo"/>
    <w:basedOn w:val="OPCCharBase"/>
    <w:uiPriority w:val="1"/>
    <w:qFormat/>
    <w:rsid w:val="00E5433B"/>
  </w:style>
  <w:style w:type="character" w:customStyle="1" w:styleId="CharAmPartText">
    <w:name w:val="CharAmPartText"/>
    <w:basedOn w:val="OPCCharBase"/>
    <w:uiPriority w:val="1"/>
    <w:qFormat/>
    <w:rsid w:val="00E5433B"/>
  </w:style>
  <w:style w:type="character" w:customStyle="1" w:styleId="CharAmSchNo">
    <w:name w:val="CharAmSchNo"/>
    <w:basedOn w:val="OPCCharBase"/>
    <w:uiPriority w:val="1"/>
    <w:qFormat/>
    <w:rsid w:val="00E5433B"/>
  </w:style>
  <w:style w:type="character" w:customStyle="1" w:styleId="CharAmSchText">
    <w:name w:val="CharAmSchText"/>
    <w:basedOn w:val="OPCCharBase"/>
    <w:uiPriority w:val="1"/>
    <w:qFormat/>
    <w:rsid w:val="00E5433B"/>
  </w:style>
  <w:style w:type="character" w:customStyle="1" w:styleId="CharBoldItalic">
    <w:name w:val="CharBoldItalic"/>
    <w:basedOn w:val="OPCCharBase"/>
    <w:uiPriority w:val="1"/>
    <w:qFormat/>
    <w:rsid w:val="00E5433B"/>
    <w:rPr>
      <w:b/>
      <w:i/>
    </w:rPr>
  </w:style>
  <w:style w:type="character" w:customStyle="1" w:styleId="CharChapNo">
    <w:name w:val="CharChapNo"/>
    <w:basedOn w:val="OPCCharBase"/>
    <w:qFormat/>
    <w:rsid w:val="00E5433B"/>
  </w:style>
  <w:style w:type="character" w:customStyle="1" w:styleId="CharChapText">
    <w:name w:val="CharChapText"/>
    <w:basedOn w:val="OPCCharBase"/>
    <w:qFormat/>
    <w:rsid w:val="00E5433B"/>
  </w:style>
  <w:style w:type="character" w:customStyle="1" w:styleId="CharDivNo">
    <w:name w:val="CharDivNo"/>
    <w:basedOn w:val="OPCCharBase"/>
    <w:qFormat/>
    <w:rsid w:val="00E5433B"/>
  </w:style>
  <w:style w:type="character" w:customStyle="1" w:styleId="CharDivText">
    <w:name w:val="CharDivText"/>
    <w:basedOn w:val="OPCCharBase"/>
    <w:qFormat/>
    <w:rsid w:val="00E5433B"/>
  </w:style>
  <w:style w:type="character" w:customStyle="1" w:styleId="CharItalic">
    <w:name w:val="CharItalic"/>
    <w:basedOn w:val="OPCCharBase"/>
    <w:uiPriority w:val="1"/>
    <w:qFormat/>
    <w:rsid w:val="00E5433B"/>
    <w:rPr>
      <w:i/>
    </w:rPr>
  </w:style>
  <w:style w:type="character" w:customStyle="1" w:styleId="CharPartNo">
    <w:name w:val="CharPartNo"/>
    <w:basedOn w:val="OPCCharBase"/>
    <w:qFormat/>
    <w:rsid w:val="00E5433B"/>
  </w:style>
  <w:style w:type="character" w:customStyle="1" w:styleId="CharPartText">
    <w:name w:val="CharPartText"/>
    <w:basedOn w:val="OPCCharBase"/>
    <w:qFormat/>
    <w:rsid w:val="00E5433B"/>
  </w:style>
  <w:style w:type="character" w:customStyle="1" w:styleId="CharSectno">
    <w:name w:val="CharSectno"/>
    <w:basedOn w:val="OPCCharBase"/>
    <w:qFormat/>
    <w:rsid w:val="00E5433B"/>
  </w:style>
  <w:style w:type="character" w:customStyle="1" w:styleId="CharSubdNo">
    <w:name w:val="CharSubdNo"/>
    <w:basedOn w:val="OPCCharBase"/>
    <w:uiPriority w:val="1"/>
    <w:qFormat/>
    <w:rsid w:val="00E5433B"/>
  </w:style>
  <w:style w:type="character" w:customStyle="1" w:styleId="CharSubdText">
    <w:name w:val="CharSubdText"/>
    <w:basedOn w:val="OPCCharBase"/>
    <w:uiPriority w:val="1"/>
    <w:qFormat/>
    <w:rsid w:val="00E5433B"/>
  </w:style>
  <w:style w:type="paragraph" w:customStyle="1" w:styleId="CTA--">
    <w:name w:val="CTA --"/>
    <w:basedOn w:val="OPCParaBase"/>
    <w:next w:val="Normal"/>
    <w:rsid w:val="00E5433B"/>
    <w:pPr>
      <w:spacing w:before="60" w:line="240" w:lineRule="atLeast"/>
      <w:ind w:left="142" w:hanging="142"/>
    </w:pPr>
    <w:rPr>
      <w:sz w:val="20"/>
    </w:rPr>
  </w:style>
  <w:style w:type="paragraph" w:customStyle="1" w:styleId="CTA-">
    <w:name w:val="CTA -"/>
    <w:basedOn w:val="OPCParaBase"/>
    <w:rsid w:val="00E5433B"/>
    <w:pPr>
      <w:spacing w:before="60" w:line="240" w:lineRule="atLeast"/>
      <w:ind w:left="85" w:hanging="85"/>
    </w:pPr>
    <w:rPr>
      <w:sz w:val="20"/>
    </w:rPr>
  </w:style>
  <w:style w:type="paragraph" w:customStyle="1" w:styleId="CTA---">
    <w:name w:val="CTA ---"/>
    <w:basedOn w:val="OPCParaBase"/>
    <w:next w:val="Normal"/>
    <w:rsid w:val="00E5433B"/>
    <w:pPr>
      <w:spacing w:before="60" w:line="240" w:lineRule="atLeast"/>
      <w:ind w:left="198" w:hanging="198"/>
    </w:pPr>
    <w:rPr>
      <w:sz w:val="20"/>
    </w:rPr>
  </w:style>
  <w:style w:type="paragraph" w:customStyle="1" w:styleId="CTA----">
    <w:name w:val="CTA ----"/>
    <w:basedOn w:val="OPCParaBase"/>
    <w:next w:val="Normal"/>
    <w:rsid w:val="00E5433B"/>
    <w:pPr>
      <w:spacing w:before="60" w:line="240" w:lineRule="atLeast"/>
      <w:ind w:left="255" w:hanging="255"/>
    </w:pPr>
    <w:rPr>
      <w:sz w:val="20"/>
    </w:rPr>
  </w:style>
  <w:style w:type="paragraph" w:customStyle="1" w:styleId="CTA1a">
    <w:name w:val="CTA 1(a)"/>
    <w:basedOn w:val="OPCParaBase"/>
    <w:rsid w:val="00E5433B"/>
    <w:pPr>
      <w:tabs>
        <w:tab w:val="right" w:pos="414"/>
      </w:tabs>
      <w:spacing w:before="40" w:line="240" w:lineRule="atLeast"/>
      <w:ind w:left="675" w:hanging="675"/>
    </w:pPr>
    <w:rPr>
      <w:sz w:val="20"/>
    </w:rPr>
  </w:style>
  <w:style w:type="paragraph" w:customStyle="1" w:styleId="CTA1ai">
    <w:name w:val="CTA 1(a)(i)"/>
    <w:basedOn w:val="OPCParaBase"/>
    <w:rsid w:val="00E5433B"/>
    <w:pPr>
      <w:tabs>
        <w:tab w:val="right" w:pos="1004"/>
      </w:tabs>
      <w:spacing w:before="40" w:line="240" w:lineRule="atLeast"/>
      <w:ind w:left="1253" w:hanging="1253"/>
    </w:pPr>
    <w:rPr>
      <w:sz w:val="20"/>
    </w:rPr>
  </w:style>
  <w:style w:type="paragraph" w:customStyle="1" w:styleId="CTA2a">
    <w:name w:val="CTA 2(a)"/>
    <w:basedOn w:val="OPCParaBase"/>
    <w:rsid w:val="00E5433B"/>
    <w:pPr>
      <w:tabs>
        <w:tab w:val="right" w:pos="482"/>
      </w:tabs>
      <w:spacing w:before="40" w:line="240" w:lineRule="atLeast"/>
      <w:ind w:left="748" w:hanging="748"/>
    </w:pPr>
    <w:rPr>
      <w:sz w:val="20"/>
    </w:rPr>
  </w:style>
  <w:style w:type="paragraph" w:customStyle="1" w:styleId="CTA2ai">
    <w:name w:val="CTA 2(a)(i)"/>
    <w:basedOn w:val="OPCParaBase"/>
    <w:rsid w:val="00E5433B"/>
    <w:pPr>
      <w:tabs>
        <w:tab w:val="right" w:pos="1089"/>
      </w:tabs>
      <w:spacing w:before="40" w:line="240" w:lineRule="atLeast"/>
      <w:ind w:left="1327" w:hanging="1327"/>
    </w:pPr>
    <w:rPr>
      <w:sz w:val="20"/>
    </w:rPr>
  </w:style>
  <w:style w:type="paragraph" w:customStyle="1" w:styleId="CTA3a">
    <w:name w:val="CTA 3(a)"/>
    <w:basedOn w:val="OPCParaBase"/>
    <w:rsid w:val="00E5433B"/>
    <w:pPr>
      <w:tabs>
        <w:tab w:val="right" w:pos="556"/>
      </w:tabs>
      <w:spacing w:before="40" w:line="240" w:lineRule="atLeast"/>
      <w:ind w:left="805" w:hanging="805"/>
    </w:pPr>
    <w:rPr>
      <w:sz w:val="20"/>
    </w:rPr>
  </w:style>
  <w:style w:type="paragraph" w:customStyle="1" w:styleId="CTA3ai">
    <w:name w:val="CTA 3(a)(i)"/>
    <w:basedOn w:val="OPCParaBase"/>
    <w:rsid w:val="00E5433B"/>
    <w:pPr>
      <w:tabs>
        <w:tab w:val="right" w:pos="1140"/>
      </w:tabs>
      <w:spacing w:before="40" w:line="240" w:lineRule="atLeast"/>
      <w:ind w:left="1361" w:hanging="1361"/>
    </w:pPr>
    <w:rPr>
      <w:sz w:val="20"/>
    </w:rPr>
  </w:style>
  <w:style w:type="paragraph" w:customStyle="1" w:styleId="CTA4a">
    <w:name w:val="CTA 4(a)"/>
    <w:basedOn w:val="OPCParaBase"/>
    <w:rsid w:val="00E5433B"/>
    <w:pPr>
      <w:tabs>
        <w:tab w:val="right" w:pos="624"/>
      </w:tabs>
      <w:spacing w:before="40" w:line="240" w:lineRule="atLeast"/>
      <w:ind w:left="873" w:hanging="873"/>
    </w:pPr>
    <w:rPr>
      <w:sz w:val="20"/>
    </w:rPr>
  </w:style>
  <w:style w:type="paragraph" w:customStyle="1" w:styleId="CTA4ai">
    <w:name w:val="CTA 4(a)(i)"/>
    <w:basedOn w:val="OPCParaBase"/>
    <w:rsid w:val="00E5433B"/>
    <w:pPr>
      <w:tabs>
        <w:tab w:val="right" w:pos="1213"/>
      </w:tabs>
      <w:spacing w:before="40" w:line="240" w:lineRule="atLeast"/>
      <w:ind w:left="1452" w:hanging="1452"/>
    </w:pPr>
    <w:rPr>
      <w:sz w:val="20"/>
    </w:rPr>
  </w:style>
  <w:style w:type="paragraph" w:customStyle="1" w:styleId="CTACAPS">
    <w:name w:val="CTA CAPS"/>
    <w:basedOn w:val="OPCParaBase"/>
    <w:rsid w:val="00E5433B"/>
    <w:pPr>
      <w:spacing w:before="60" w:line="240" w:lineRule="atLeast"/>
    </w:pPr>
    <w:rPr>
      <w:sz w:val="20"/>
    </w:rPr>
  </w:style>
  <w:style w:type="paragraph" w:customStyle="1" w:styleId="CTAright">
    <w:name w:val="CTA right"/>
    <w:basedOn w:val="OPCParaBase"/>
    <w:rsid w:val="00E5433B"/>
    <w:pPr>
      <w:spacing w:before="60" w:line="240" w:lineRule="auto"/>
      <w:jc w:val="right"/>
    </w:pPr>
    <w:rPr>
      <w:sz w:val="20"/>
    </w:rPr>
  </w:style>
  <w:style w:type="paragraph" w:customStyle="1" w:styleId="Definition">
    <w:name w:val="Definition"/>
    <w:aliases w:val="dd"/>
    <w:basedOn w:val="OPCParaBase"/>
    <w:rsid w:val="00E5433B"/>
    <w:pPr>
      <w:spacing w:before="180" w:line="240" w:lineRule="auto"/>
      <w:ind w:left="1134"/>
    </w:pPr>
  </w:style>
  <w:style w:type="paragraph" w:customStyle="1" w:styleId="EndNotespara">
    <w:name w:val="EndNotes(para)"/>
    <w:aliases w:val="eta"/>
    <w:basedOn w:val="OPCParaBase"/>
    <w:next w:val="EndNotessubpara"/>
    <w:rsid w:val="00E5433B"/>
    <w:pPr>
      <w:tabs>
        <w:tab w:val="right" w:pos="1985"/>
      </w:tabs>
      <w:spacing w:before="40" w:line="240" w:lineRule="auto"/>
      <w:ind w:left="828" w:hanging="828"/>
    </w:pPr>
    <w:rPr>
      <w:sz w:val="20"/>
    </w:rPr>
  </w:style>
  <w:style w:type="paragraph" w:customStyle="1" w:styleId="EndNotessubpara">
    <w:name w:val="EndNotes(subpara)"/>
    <w:aliases w:val="Enaa"/>
    <w:basedOn w:val="OPCParaBase"/>
    <w:next w:val="EndNotessubsubpara"/>
    <w:rsid w:val="00E5433B"/>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5433B"/>
    <w:pPr>
      <w:tabs>
        <w:tab w:val="right" w:pos="1412"/>
      </w:tabs>
      <w:spacing w:before="60" w:line="240" w:lineRule="auto"/>
      <w:ind w:left="1525" w:hanging="1525"/>
    </w:pPr>
    <w:rPr>
      <w:sz w:val="20"/>
    </w:rPr>
  </w:style>
  <w:style w:type="paragraph" w:customStyle="1" w:styleId="EndNotessubitem">
    <w:name w:val="EndNotes(subitem)"/>
    <w:aliases w:val="ens"/>
    <w:basedOn w:val="OPCParaBase"/>
    <w:rsid w:val="00E5433B"/>
    <w:pPr>
      <w:tabs>
        <w:tab w:val="right" w:pos="340"/>
      </w:tabs>
      <w:spacing w:before="60" w:line="240" w:lineRule="auto"/>
      <w:ind w:left="454" w:hanging="454"/>
    </w:pPr>
    <w:rPr>
      <w:sz w:val="20"/>
    </w:rPr>
  </w:style>
  <w:style w:type="paragraph" w:customStyle="1" w:styleId="Formula">
    <w:name w:val="Formula"/>
    <w:basedOn w:val="OPCParaBase"/>
    <w:rsid w:val="00E5433B"/>
    <w:pPr>
      <w:spacing w:line="240" w:lineRule="auto"/>
      <w:ind w:left="1134"/>
    </w:pPr>
    <w:rPr>
      <w:sz w:val="20"/>
    </w:rPr>
  </w:style>
  <w:style w:type="paragraph" w:styleId="Header">
    <w:name w:val="header"/>
    <w:basedOn w:val="OPCParaBase"/>
    <w:link w:val="HeaderChar"/>
    <w:unhideWhenUsed/>
    <w:rsid w:val="00E5433B"/>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5433B"/>
    <w:rPr>
      <w:rFonts w:eastAsia="Times New Roman" w:cs="Times New Roman"/>
      <w:sz w:val="16"/>
      <w:lang w:eastAsia="en-AU"/>
    </w:rPr>
  </w:style>
  <w:style w:type="paragraph" w:customStyle="1" w:styleId="House">
    <w:name w:val="House"/>
    <w:basedOn w:val="OPCParaBase"/>
    <w:rsid w:val="00E5433B"/>
    <w:pPr>
      <w:spacing w:line="240" w:lineRule="auto"/>
    </w:pPr>
    <w:rPr>
      <w:sz w:val="28"/>
    </w:rPr>
  </w:style>
  <w:style w:type="paragraph" w:customStyle="1" w:styleId="LongT">
    <w:name w:val="LongT"/>
    <w:basedOn w:val="OPCParaBase"/>
    <w:rsid w:val="00E5433B"/>
    <w:pPr>
      <w:spacing w:line="240" w:lineRule="auto"/>
    </w:pPr>
    <w:rPr>
      <w:b/>
      <w:sz w:val="32"/>
    </w:rPr>
  </w:style>
  <w:style w:type="paragraph" w:customStyle="1" w:styleId="notedraft">
    <w:name w:val="note(draft)"/>
    <w:aliases w:val="nd"/>
    <w:basedOn w:val="OPCParaBase"/>
    <w:rsid w:val="00E5433B"/>
    <w:pPr>
      <w:spacing w:before="240" w:line="240" w:lineRule="auto"/>
      <w:ind w:left="284" w:hanging="284"/>
    </w:pPr>
    <w:rPr>
      <w:i/>
      <w:sz w:val="24"/>
    </w:rPr>
  </w:style>
  <w:style w:type="paragraph" w:customStyle="1" w:styleId="notemargin">
    <w:name w:val="note(margin)"/>
    <w:aliases w:val="nm"/>
    <w:basedOn w:val="OPCParaBase"/>
    <w:rsid w:val="00E5433B"/>
    <w:pPr>
      <w:tabs>
        <w:tab w:val="left" w:pos="709"/>
      </w:tabs>
      <w:spacing w:before="122" w:line="198" w:lineRule="exact"/>
      <w:ind w:left="709" w:hanging="709"/>
    </w:pPr>
    <w:rPr>
      <w:sz w:val="18"/>
    </w:rPr>
  </w:style>
  <w:style w:type="paragraph" w:customStyle="1" w:styleId="noteToPara">
    <w:name w:val="noteToPara"/>
    <w:aliases w:val="ntp"/>
    <w:basedOn w:val="OPCParaBase"/>
    <w:rsid w:val="00E5433B"/>
    <w:pPr>
      <w:spacing w:before="122" w:line="198" w:lineRule="exact"/>
      <w:ind w:left="2353" w:hanging="709"/>
    </w:pPr>
    <w:rPr>
      <w:sz w:val="18"/>
    </w:rPr>
  </w:style>
  <w:style w:type="paragraph" w:customStyle="1" w:styleId="noteParlAmend">
    <w:name w:val="note(ParlAmend)"/>
    <w:aliases w:val="npp"/>
    <w:basedOn w:val="OPCParaBase"/>
    <w:next w:val="ParlAmend"/>
    <w:rsid w:val="00E5433B"/>
    <w:pPr>
      <w:spacing w:line="240" w:lineRule="auto"/>
      <w:jc w:val="right"/>
    </w:pPr>
    <w:rPr>
      <w:rFonts w:ascii="Arial" w:hAnsi="Arial"/>
      <w:b/>
      <w:i/>
    </w:rPr>
  </w:style>
  <w:style w:type="paragraph" w:customStyle="1" w:styleId="ParlAmend">
    <w:name w:val="ParlAmend"/>
    <w:aliases w:val="pp"/>
    <w:basedOn w:val="OPCParaBase"/>
    <w:rsid w:val="00E5433B"/>
    <w:pPr>
      <w:spacing w:before="240" w:line="240" w:lineRule="atLeast"/>
      <w:ind w:hanging="567"/>
    </w:pPr>
    <w:rPr>
      <w:sz w:val="24"/>
    </w:rPr>
  </w:style>
  <w:style w:type="paragraph" w:customStyle="1" w:styleId="notetext">
    <w:name w:val="note(text)"/>
    <w:aliases w:val="n"/>
    <w:basedOn w:val="OPCParaBase"/>
    <w:link w:val="notetextChar"/>
    <w:rsid w:val="00E5433B"/>
    <w:pPr>
      <w:spacing w:before="122" w:line="240" w:lineRule="auto"/>
      <w:ind w:left="1985" w:hanging="851"/>
    </w:pPr>
    <w:rPr>
      <w:sz w:val="18"/>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Page1">
    <w:name w:val="Page1"/>
    <w:basedOn w:val="OPCParaBase"/>
    <w:rsid w:val="00E5433B"/>
    <w:pPr>
      <w:spacing w:before="5600" w:line="240" w:lineRule="auto"/>
    </w:pPr>
    <w:rPr>
      <w:b/>
      <w:sz w:val="32"/>
    </w:rPr>
  </w:style>
  <w:style w:type="paragraph" w:customStyle="1" w:styleId="PageBreak">
    <w:name w:val="PageBreak"/>
    <w:aliases w:val="pb"/>
    <w:basedOn w:val="OPCParaBase"/>
    <w:rsid w:val="00E5433B"/>
    <w:pPr>
      <w:spacing w:line="240" w:lineRule="auto"/>
    </w:pPr>
    <w:rPr>
      <w:sz w:val="20"/>
    </w:rPr>
  </w:style>
  <w:style w:type="paragraph" w:customStyle="1" w:styleId="paragraphsub">
    <w:name w:val="paragraph(sub)"/>
    <w:aliases w:val="aa"/>
    <w:basedOn w:val="OPCParaBase"/>
    <w:rsid w:val="00E5433B"/>
    <w:pPr>
      <w:tabs>
        <w:tab w:val="right" w:pos="1985"/>
      </w:tabs>
      <w:spacing w:before="40" w:line="240" w:lineRule="auto"/>
      <w:ind w:left="2098" w:hanging="2098"/>
    </w:pPr>
  </w:style>
  <w:style w:type="paragraph" w:customStyle="1" w:styleId="paragraphsub-sub">
    <w:name w:val="paragraph(sub-sub)"/>
    <w:aliases w:val="aaa"/>
    <w:basedOn w:val="OPCParaBase"/>
    <w:rsid w:val="00E5433B"/>
    <w:pPr>
      <w:tabs>
        <w:tab w:val="right" w:pos="2722"/>
      </w:tabs>
      <w:spacing w:before="40" w:line="240" w:lineRule="auto"/>
      <w:ind w:left="2835" w:hanging="2835"/>
    </w:pPr>
  </w:style>
  <w:style w:type="paragraph" w:customStyle="1" w:styleId="paragraph">
    <w:name w:val="paragraph"/>
    <w:aliases w:val="a"/>
    <w:basedOn w:val="OPCParaBase"/>
    <w:rsid w:val="00E5433B"/>
    <w:pPr>
      <w:tabs>
        <w:tab w:val="right" w:pos="1531"/>
      </w:tabs>
      <w:spacing w:before="40" w:line="240" w:lineRule="auto"/>
      <w:ind w:left="1644" w:hanging="1644"/>
    </w:pPr>
  </w:style>
  <w:style w:type="paragraph" w:customStyle="1" w:styleId="Penalty">
    <w:name w:val="Penalty"/>
    <w:basedOn w:val="OPCParaBase"/>
    <w:rsid w:val="00E5433B"/>
    <w:pPr>
      <w:tabs>
        <w:tab w:val="left" w:pos="2977"/>
      </w:tabs>
      <w:spacing w:before="180" w:line="240" w:lineRule="auto"/>
      <w:ind w:left="1985" w:hanging="851"/>
    </w:pPr>
  </w:style>
  <w:style w:type="paragraph" w:customStyle="1" w:styleId="Portfolio">
    <w:name w:val="Portfolio"/>
    <w:basedOn w:val="OPCParaBase"/>
    <w:rsid w:val="00E5433B"/>
    <w:pPr>
      <w:spacing w:line="240" w:lineRule="auto"/>
    </w:pPr>
    <w:rPr>
      <w:i/>
      <w:sz w:val="20"/>
    </w:rPr>
  </w:style>
  <w:style w:type="paragraph" w:customStyle="1" w:styleId="Preamble">
    <w:name w:val="Preamble"/>
    <w:basedOn w:val="OPCParaBase"/>
    <w:next w:val="Normal"/>
    <w:rsid w:val="00E5433B"/>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5433B"/>
    <w:pPr>
      <w:spacing w:line="240" w:lineRule="auto"/>
    </w:pPr>
    <w:rPr>
      <w:i/>
      <w:sz w:val="20"/>
    </w:rPr>
  </w:style>
  <w:style w:type="paragraph" w:customStyle="1" w:styleId="Session">
    <w:name w:val="Session"/>
    <w:basedOn w:val="OPCParaBase"/>
    <w:rsid w:val="00E5433B"/>
    <w:pPr>
      <w:spacing w:line="240" w:lineRule="auto"/>
    </w:pPr>
    <w:rPr>
      <w:sz w:val="28"/>
    </w:rPr>
  </w:style>
  <w:style w:type="paragraph" w:customStyle="1" w:styleId="Sponsor">
    <w:name w:val="Sponsor"/>
    <w:basedOn w:val="OPCParaBase"/>
    <w:rsid w:val="00E5433B"/>
    <w:pPr>
      <w:spacing w:line="240" w:lineRule="auto"/>
    </w:pPr>
    <w:rPr>
      <w:i/>
    </w:rPr>
  </w:style>
  <w:style w:type="paragraph" w:customStyle="1" w:styleId="Subitem">
    <w:name w:val="Subitem"/>
    <w:aliases w:val="iss"/>
    <w:basedOn w:val="OPCParaBase"/>
    <w:rsid w:val="00E5433B"/>
    <w:pPr>
      <w:spacing w:before="180" w:line="240" w:lineRule="auto"/>
      <w:ind w:left="709" w:hanging="709"/>
    </w:pPr>
  </w:style>
  <w:style w:type="paragraph" w:customStyle="1" w:styleId="SubitemHead">
    <w:name w:val="SubitemHead"/>
    <w:aliases w:val="issh"/>
    <w:basedOn w:val="OPCParaBase"/>
    <w:rsid w:val="00E5433B"/>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5433B"/>
    <w:pPr>
      <w:spacing w:before="40" w:line="240" w:lineRule="auto"/>
      <w:ind w:left="1134"/>
    </w:pPr>
  </w:style>
  <w:style w:type="paragraph" w:customStyle="1" w:styleId="SubsectionHead">
    <w:name w:val="SubsectionHead"/>
    <w:aliases w:val="ssh"/>
    <w:basedOn w:val="OPCParaBase"/>
    <w:next w:val="subsection"/>
    <w:rsid w:val="00E5433B"/>
    <w:pPr>
      <w:keepNext/>
      <w:keepLines/>
      <w:spacing w:before="240" w:line="240" w:lineRule="auto"/>
      <w:ind w:left="1134"/>
    </w:pPr>
    <w:rPr>
      <w:i/>
    </w:rPr>
  </w:style>
  <w:style w:type="paragraph" w:customStyle="1" w:styleId="Tablea">
    <w:name w:val="Table(a)"/>
    <w:aliases w:val="ta"/>
    <w:basedOn w:val="OPCParaBase"/>
    <w:rsid w:val="00E5433B"/>
    <w:pPr>
      <w:spacing w:before="60" w:line="240" w:lineRule="auto"/>
      <w:ind w:left="284" w:hanging="284"/>
    </w:pPr>
    <w:rPr>
      <w:sz w:val="20"/>
    </w:rPr>
  </w:style>
  <w:style w:type="paragraph" w:customStyle="1" w:styleId="TableAA">
    <w:name w:val="Table(AA)"/>
    <w:aliases w:val="taaa"/>
    <w:basedOn w:val="OPCParaBase"/>
    <w:rsid w:val="00E5433B"/>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5433B"/>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5433B"/>
    <w:pPr>
      <w:spacing w:before="60" w:line="240" w:lineRule="atLeast"/>
    </w:pPr>
    <w:rPr>
      <w:sz w:val="20"/>
    </w:rPr>
  </w:style>
  <w:style w:type="paragraph" w:customStyle="1" w:styleId="TLPBoxTextnote">
    <w:name w:val="TLPBoxText(note"/>
    <w:aliases w:val="right)"/>
    <w:basedOn w:val="OPCParaBase"/>
    <w:rsid w:val="00E5433B"/>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5433B"/>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5433B"/>
    <w:pPr>
      <w:spacing w:before="122" w:line="198" w:lineRule="exact"/>
      <w:ind w:left="1985" w:hanging="851"/>
      <w:jc w:val="right"/>
    </w:pPr>
    <w:rPr>
      <w:sz w:val="18"/>
    </w:rPr>
  </w:style>
  <w:style w:type="paragraph" w:customStyle="1" w:styleId="TLPTableBullet">
    <w:name w:val="TLPTableBullet"/>
    <w:aliases w:val="ttb"/>
    <w:basedOn w:val="OPCParaBase"/>
    <w:rsid w:val="00E5433B"/>
    <w:pPr>
      <w:spacing w:line="240" w:lineRule="exact"/>
      <w:ind w:left="284" w:hanging="284"/>
    </w:pPr>
    <w:rPr>
      <w:sz w:val="20"/>
    </w:rPr>
  </w:style>
  <w:style w:type="paragraph" w:styleId="TOC1">
    <w:name w:val="toc 1"/>
    <w:basedOn w:val="OPCParaBase"/>
    <w:next w:val="Normal"/>
    <w:uiPriority w:val="39"/>
    <w:unhideWhenUsed/>
    <w:rsid w:val="00E5433B"/>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E5433B"/>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E5433B"/>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E5433B"/>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E5433B"/>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E5433B"/>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E5433B"/>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E5433B"/>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E5433B"/>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E5433B"/>
    <w:pPr>
      <w:keepLines/>
      <w:spacing w:before="240" w:after="120" w:line="240" w:lineRule="auto"/>
      <w:ind w:left="794"/>
    </w:pPr>
    <w:rPr>
      <w:b/>
      <w:kern w:val="28"/>
      <w:sz w:val="20"/>
    </w:rPr>
  </w:style>
  <w:style w:type="paragraph" w:customStyle="1" w:styleId="TofSectsSection">
    <w:name w:val="TofSects(Section)"/>
    <w:basedOn w:val="OPCParaBase"/>
    <w:rsid w:val="00E5433B"/>
    <w:pPr>
      <w:keepLines/>
      <w:spacing w:before="40" w:line="240" w:lineRule="auto"/>
      <w:ind w:left="1588" w:hanging="794"/>
    </w:pPr>
    <w:rPr>
      <w:kern w:val="28"/>
      <w:sz w:val="18"/>
    </w:rPr>
  </w:style>
  <w:style w:type="paragraph" w:customStyle="1" w:styleId="TofSectsHeading">
    <w:name w:val="TofSects(Heading)"/>
    <w:basedOn w:val="OPCParaBase"/>
    <w:rsid w:val="00E5433B"/>
    <w:pPr>
      <w:spacing w:before="240" w:after="120" w:line="240" w:lineRule="auto"/>
    </w:pPr>
    <w:rPr>
      <w:b/>
      <w:sz w:val="24"/>
    </w:rPr>
  </w:style>
  <w:style w:type="paragraph" w:customStyle="1" w:styleId="TofSectsSubdiv">
    <w:name w:val="TofSects(Subdiv)"/>
    <w:basedOn w:val="OPCParaBase"/>
    <w:rsid w:val="00E5433B"/>
    <w:pPr>
      <w:keepLines/>
      <w:spacing w:before="80" w:line="240" w:lineRule="auto"/>
      <w:ind w:left="1588" w:hanging="794"/>
    </w:pPr>
    <w:rPr>
      <w:kern w:val="28"/>
    </w:rPr>
  </w:style>
  <w:style w:type="paragraph" w:customStyle="1" w:styleId="WRStyle">
    <w:name w:val="WR Style"/>
    <w:aliases w:val="WR"/>
    <w:basedOn w:val="OPCParaBase"/>
    <w:rsid w:val="00E5433B"/>
    <w:pPr>
      <w:spacing w:before="240" w:line="240" w:lineRule="auto"/>
      <w:ind w:left="284" w:hanging="284"/>
    </w:pPr>
    <w:rPr>
      <w:b/>
      <w:i/>
      <w:kern w:val="28"/>
      <w:sz w:val="24"/>
    </w:rPr>
  </w:style>
  <w:style w:type="paragraph" w:customStyle="1" w:styleId="notepara">
    <w:name w:val="note(para)"/>
    <w:aliases w:val="na"/>
    <w:basedOn w:val="OPCParaBase"/>
    <w:rsid w:val="00E5433B"/>
    <w:pPr>
      <w:spacing w:before="40" w:line="198" w:lineRule="exact"/>
      <w:ind w:left="2354" w:hanging="369"/>
    </w:pPr>
    <w:rPr>
      <w:sz w:val="18"/>
    </w:rPr>
  </w:style>
  <w:style w:type="paragraph" w:styleId="Footer">
    <w:name w:val="footer"/>
    <w:link w:val="FooterChar"/>
    <w:rsid w:val="00E5433B"/>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5433B"/>
    <w:rPr>
      <w:rFonts w:eastAsia="Times New Roman" w:cs="Times New Roman"/>
      <w:sz w:val="22"/>
      <w:szCs w:val="24"/>
      <w:lang w:eastAsia="en-AU"/>
    </w:rPr>
  </w:style>
  <w:style w:type="character" w:styleId="LineNumber">
    <w:name w:val="line number"/>
    <w:basedOn w:val="OPCCharBase"/>
    <w:uiPriority w:val="99"/>
    <w:semiHidden/>
    <w:unhideWhenUsed/>
    <w:rsid w:val="00E5433B"/>
    <w:rPr>
      <w:sz w:val="16"/>
    </w:rPr>
  </w:style>
  <w:style w:type="table" w:customStyle="1" w:styleId="CFlag">
    <w:name w:val="CFlag"/>
    <w:basedOn w:val="TableNormal"/>
    <w:uiPriority w:val="99"/>
    <w:rsid w:val="00E5433B"/>
    <w:rPr>
      <w:rFonts w:eastAsia="Times New Roman" w:cs="Times New Roman"/>
      <w:lang w:eastAsia="en-AU"/>
    </w:rPr>
    <w:tblPr/>
  </w:style>
  <w:style w:type="paragraph" w:styleId="BalloonText">
    <w:name w:val="Balloon Text"/>
    <w:basedOn w:val="Normal"/>
    <w:link w:val="BalloonTextChar"/>
    <w:uiPriority w:val="99"/>
    <w:semiHidden/>
    <w:unhideWhenUsed/>
    <w:rsid w:val="00E5433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33B"/>
    <w:rPr>
      <w:rFonts w:ascii="Tahoma" w:hAnsi="Tahoma" w:cs="Tahoma"/>
      <w:sz w:val="16"/>
      <w:szCs w:val="16"/>
    </w:rPr>
  </w:style>
  <w:style w:type="table" w:styleId="TableGrid">
    <w:name w:val="Table Grid"/>
    <w:basedOn w:val="TableNormal"/>
    <w:uiPriority w:val="59"/>
    <w:rsid w:val="00E543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E5433B"/>
    <w:rPr>
      <w:b/>
      <w:sz w:val="28"/>
      <w:szCs w:val="32"/>
    </w:rPr>
  </w:style>
  <w:style w:type="paragraph" w:customStyle="1" w:styleId="LegislationMadeUnder">
    <w:name w:val="LegislationMadeUnder"/>
    <w:basedOn w:val="OPCParaBase"/>
    <w:next w:val="Normal"/>
    <w:rsid w:val="00E5433B"/>
    <w:rPr>
      <w:i/>
      <w:sz w:val="32"/>
      <w:szCs w:val="32"/>
    </w:rPr>
  </w:style>
  <w:style w:type="paragraph" w:customStyle="1" w:styleId="SignCoverPageEnd">
    <w:name w:val="SignCoverPageEnd"/>
    <w:basedOn w:val="OPCParaBase"/>
    <w:next w:val="Normal"/>
    <w:rsid w:val="00E5433B"/>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5433B"/>
    <w:pPr>
      <w:pBdr>
        <w:top w:val="single" w:sz="4" w:space="1" w:color="auto"/>
      </w:pBdr>
      <w:spacing w:before="360"/>
      <w:ind w:right="397"/>
      <w:jc w:val="both"/>
    </w:pPr>
  </w:style>
  <w:style w:type="paragraph" w:customStyle="1" w:styleId="NotesHeading1">
    <w:name w:val="NotesHeading 1"/>
    <w:basedOn w:val="OPCParaBase"/>
    <w:next w:val="Normal"/>
    <w:rsid w:val="00E5433B"/>
    <w:pPr>
      <w:outlineLvl w:val="0"/>
    </w:pPr>
    <w:rPr>
      <w:b/>
      <w:sz w:val="28"/>
      <w:szCs w:val="28"/>
    </w:rPr>
  </w:style>
  <w:style w:type="paragraph" w:customStyle="1" w:styleId="NotesHeading2">
    <w:name w:val="NotesHeading 2"/>
    <w:basedOn w:val="OPCParaBase"/>
    <w:next w:val="Normal"/>
    <w:rsid w:val="00E5433B"/>
    <w:rPr>
      <w:b/>
      <w:sz w:val="28"/>
      <w:szCs w:val="28"/>
    </w:rPr>
  </w:style>
  <w:style w:type="paragraph" w:customStyle="1" w:styleId="CompiledActNo">
    <w:name w:val="CompiledActNo"/>
    <w:basedOn w:val="OPCParaBase"/>
    <w:next w:val="Normal"/>
    <w:rsid w:val="00E5433B"/>
    <w:rPr>
      <w:b/>
      <w:sz w:val="24"/>
      <w:szCs w:val="24"/>
    </w:rPr>
  </w:style>
  <w:style w:type="paragraph" w:customStyle="1" w:styleId="ENotesText">
    <w:name w:val="ENotesText"/>
    <w:aliases w:val="Ent"/>
    <w:basedOn w:val="OPCParaBase"/>
    <w:next w:val="Normal"/>
    <w:rsid w:val="00E5433B"/>
    <w:pPr>
      <w:spacing w:before="120"/>
    </w:pPr>
  </w:style>
  <w:style w:type="paragraph" w:customStyle="1" w:styleId="CompiledMadeUnder">
    <w:name w:val="CompiledMadeUnder"/>
    <w:basedOn w:val="OPCParaBase"/>
    <w:next w:val="Normal"/>
    <w:rsid w:val="00E5433B"/>
    <w:rPr>
      <w:i/>
      <w:sz w:val="24"/>
      <w:szCs w:val="24"/>
    </w:rPr>
  </w:style>
  <w:style w:type="paragraph" w:customStyle="1" w:styleId="Paragraphsub-sub-sub">
    <w:name w:val="Paragraph(sub-sub-sub)"/>
    <w:aliases w:val="aaaa"/>
    <w:basedOn w:val="OPCParaBase"/>
    <w:rsid w:val="00E5433B"/>
    <w:pPr>
      <w:tabs>
        <w:tab w:val="right" w:pos="3402"/>
      </w:tabs>
      <w:spacing w:before="40" w:line="240" w:lineRule="auto"/>
      <w:ind w:left="3402" w:hanging="3402"/>
    </w:pPr>
  </w:style>
  <w:style w:type="paragraph" w:customStyle="1" w:styleId="TableTextEndNotes">
    <w:name w:val="TableTextEndNotes"/>
    <w:aliases w:val="Tten"/>
    <w:basedOn w:val="Normal"/>
    <w:rsid w:val="00E5433B"/>
    <w:pPr>
      <w:spacing w:before="60" w:line="240" w:lineRule="auto"/>
    </w:pPr>
    <w:rPr>
      <w:rFonts w:cs="Arial"/>
      <w:sz w:val="20"/>
      <w:szCs w:val="22"/>
    </w:rPr>
  </w:style>
  <w:style w:type="paragraph" w:customStyle="1" w:styleId="NoteToSubpara">
    <w:name w:val="NoteToSubpara"/>
    <w:aliases w:val="nts"/>
    <w:basedOn w:val="OPCParaBase"/>
    <w:rsid w:val="00E5433B"/>
    <w:pPr>
      <w:spacing w:before="40" w:line="198" w:lineRule="exact"/>
      <w:ind w:left="2835" w:hanging="709"/>
    </w:pPr>
    <w:rPr>
      <w:sz w:val="18"/>
    </w:rPr>
  </w:style>
  <w:style w:type="paragraph" w:customStyle="1" w:styleId="ENoteTableHeading">
    <w:name w:val="ENoteTableHeading"/>
    <w:aliases w:val="enth"/>
    <w:basedOn w:val="OPCParaBase"/>
    <w:rsid w:val="00E5433B"/>
    <w:pPr>
      <w:keepNext/>
      <w:spacing w:before="60" w:line="240" w:lineRule="atLeast"/>
    </w:pPr>
    <w:rPr>
      <w:rFonts w:ascii="Arial" w:hAnsi="Arial"/>
      <w:b/>
      <w:sz w:val="16"/>
    </w:rPr>
  </w:style>
  <w:style w:type="paragraph" w:customStyle="1" w:styleId="ENoteTTi">
    <w:name w:val="ENoteTTi"/>
    <w:aliases w:val="entti"/>
    <w:basedOn w:val="OPCParaBase"/>
    <w:rsid w:val="00E5433B"/>
    <w:pPr>
      <w:keepNext/>
      <w:spacing w:before="60" w:line="240" w:lineRule="atLeast"/>
      <w:ind w:left="170"/>
    </w:pPr>
    <w:rPr>
      <w:sz w:val="16"/>
    </w:rPr>
  </w:style>
  <w:style w:type="paragraph" w:customStyle="1" w:styleId="ENotesHeading1">
    <w:name w:val="ENotesHeading 1"/>
    <w:aliases w:val="Enh1,ENh1"/>
    <w:basedOn w:val="OPCParaBase"/>
    <w:next w:val="Normal"/>
    <w:rsid w:val="00E5433B"/>
    <w:pPr>
      <w:spacing w:before="120"/>
      <w:outlineLvl w:val="1"/>
    </w:pPr>
    <w:rPr>
      <w:b/>
      <w:sz w:val="28"/>
      <w:szCs w:val="28"/>
    </w:rPr>
  </w:style>
  <w:style w:type="paragraph" w:customStyle="1" w:styleId="ENotesHeading2">
    <w:name w:val="ENotesHeading 2"/>
    <w:aliases w:val="Enh2"/>
    <w:basedOn w:val="OPCParaBase"/>
    <w:next w:val="Normal"/>
    <w:rsid w:val="00E5433B"/>
    <w:pPr>
      <w:spacing w:before="120" w:after="120"/>
      <w:outlineLvl w:val="2"/>
    </w:pPr>
    <w:rPr>
      <w:b/>
      <w:sz w:val="24"/>
      <w:szCs w:val="28"/>
    </w:rPr>
  </w:style>
  <w:style w:type="paragraph" w:customStyle="1" w:styleId="ENoteTTIndentHeading">
    <w:name w:val="ENoteTTIndentHeading"/>
    <w:aliases w:val="enTTHi"/>
    <w:basedOn w:val="OPCParaBase"/>
    <w:rsid w:val="00E5433B"/>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5433B"/>
    <w:pPr>
      <w:spacing w:before="60" w:line="240" w:lineRule="atLeast"/>
    </w:pPr>
    <w:rPr>
      <w:sz w:val="16"/>
    </w:rPr>
  </w:style>
  <w:style w:type="paragraph" w:customStyle="1" w:styleId="MadeunderText">
    <w:name w:val="MadeunderText"/>
    <w:basedOn w:val="OPCParaBase"/>
    <w:next w:val="CompiledMadeUnder"/>
    <w:rsid w:val="00E5433B"/>
    <w:pPr>
      <w:spacing w:before="240"/>
    </w:pPr>
    <w:rPr>
      <w:sz w:val="24"/>
      <w:szCs w:val="24"/>
    </w:rPr>
  </w:style>
  <w:style w:type="paragraph" w:customStyle="1" w:styleId="ENotesHeading3">
    <w:name w:val="ENotesHeading 3"/>
    <w:aliases w:val="Enh3"/>
    <w:basedOn w:val="OPCParaBase"/>
    <w:next w:val="Normal"/>
    <w:rsid w:val="00E5433B"/>
    <w:pPr>
      <w:keepNext/>
      <w:spacing w:before="120" w:line="240" w:lineRule="auto"/>
      <w:outlineLvl w:val="4"/>
    </w:pPr>
    <w:rPr>
      <w:b/>
      <w:szCs w:val="24"/>
    </w:rPr>
  </w:style>
  <w:style w:type="paragraph" w:customStyle="1" w:styleId="SubPartCASA">
    <w:name w:val="SubPart(CASA)"/>
    <w:aliases w:val="csp"/>
    <w:basedOn w:val="OPCParaBase"/>
    <w:next w:val="ActHead3"/>
    <w:rsid w:val="00E5433B"/>
    <w:pPr>
      <w:keepNext/>
      <w:keepLines/>
      <w:spacing w:before="280"/>
      <w:outlineLvl w:val="1"/>
    </w:pPr>
    <w:rPr>
      <w:b/>
      <w:kern w:val="28"/>
      <w:sz w:val="32"/>
    </w:rPr>
  </w:style>
  <w:style w:type="character" w:customStyle="1" w:styleId="CharSubPartTextCASA">
    <w:name w:val="CharSubPartText(CASA)"/>
    <w:basedOn w:val="OPCCharBase"/>
    <w:uiPriority w:val="1"/>
    <w:rsid w:val="00E5433B"/>
  </w:style>
  <w:style w:type="character" w:customStyle="1" w:styleId="CharSubPartNoCASA">
    <w:name w:val="CharSubPartNo(CASA)"/>
    <w:basedOn w:val="OPCCharBase"/>
    <w:uiPriority w:val="1"/>
    <w:rsid w:val="00E5433B"/>
  </w:style>
  <w:style w:type="paragraph" w:customStyle="1" w:styleId="ENoteTTIndentHeadingSub">
    <w:name w:val="ENoteTTIndentHeadingSub"/>
    <w:aliases w:val="enTTHis"/>
    <w:basedOn w:val="OPCParaBase"/>
    <w:rsid w:val="00E5433B"/>
    <w:pPr>
      <w:keepNext/>
      <w:spacing w:before="60" w:line="240" w:lineRule="atLeast"/>
      <w:ind w:left="340"/>
    </w:pPr>
    <w:rPr>
      <w:b/>
      <w:sz w:val="16"/>
    </w:rPr>
  </w:style>
  <w:style w:type="paragraph" w:customStyle="1" w:styleId="ENoteTTiSub">
    <w:name w:val="ENoteTTiSub"/>
    <w:aliases w:val="enttis"/>
    <w:basedOn w:val="OPCParaBase"/>
    <w:rsid w:val="00E5433B"/>
    <w:pPr>
      <w:keepNext/>
      <w:spacing w:before="60" w:line="240" w:lineRule="atLeast"/>
      <w:ind w:left="340"/>
    </w:pPr>
    <w:rPr>
      <w:sz w:val="16"/>
    </w:rPr>
  </w:style>
  <w:style w:type="paragraph" w:customStyle="1" w:styleId="SubDivisionMigration">
    <w:name w:val="SubDivisionMigration"/>
    <w:aliases w:val="sdm"/>
    <w:basedOn w:val="OPCParaBase"/>
    <w:rsid w:val="00E5433B"/>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5433B"/>
    <w:pPr>
      <w:keepNext/>
      <w:keepLines/>
      <w:spacing w:before="240" w:line="240" w:lineRule="auto"/>
      <w:ind w:left="1134" w:hanging="1134"/>
    </w:pPr>
    <w:rPr>
      <w:b/>
      <w:sz w:val="28"/>
    </w:rPr>
  </w:style>
  <w:style w:type="paragraph" w:customStyle="1" w:styleId="FreeForm">
    <w:name w:val="FreeForm"/>
    <w:rsid w:val="00E5433B"/>
    <w:rPr>
      <w:rFonts w:ascii="Arial" w:hAnsi="Arial"/>
      <w:sz w:val="22"/>
    </w:rPr>
  </w:style>
  <w:style w:type="paragraph" w:customStyle="1" w:styleId="SOText">
    <w:name w:val="SO Text"/>
    <w:aliases w:val="sot"/>
    <w:link w:val="SOTextChar"/>
    <w:rsid w:val="00E5433B"/>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E5433B"/>
    <w:rPr>
      <w:sz w:val="22"/>
    </w:rPr>
  </w:style>
  <w:style w:type="paragraph" w:customStyle="1" w:styleId="SOTextNote">
    <w:name w:val="SO TextNote"/>
    <w:aliases w:val="sont"/>
    <w:basedOn w:val="SOText"/>
    <w:qFormat/>
    <w:rsid w:val="00E5433B"/>
    <w:pPr>
      <w:spacing w:before="122" w:line="198" w:lineRule="exact"/>
      <w:ind w:left="1843" w:hanging="709"/>
    </w:pPr>
    <w:rPr>
      <w:sz w:val="18"/>
    </w:rPr>
  </w:style>
  <w:style w:type="paragraph" w:customStyle="1" w:styleId="SOPara">
    <w:name w:val="SO Para"/>
    <w:aliases w:val="soa"/>
    <w:basedOn w:val="SOText"/>
    <w:link w:val="SOParaChar"/>
    <w:qFormat/>
    <w:rsid w:val="00E5433B"/>
    <w:pPr>
      <w:tabs>
        <w:tab w:val="right" w:pos="1786"/>
      </w:tabs>
      <w:spacing w:before="40"/>
      <w:ind w:left="2070" w:hanging="936"/>
    </w:pPr>
  </w:style>
  <w:style w:type="character" w:customStyle="1" w:styleId="SOParaChar">
    <w:name w:val="SO Para Char"/>
    <w:aliases w:val="soa Char"/>
    <w:basedOn w:val="DefaultParagraphFont"/>
    <w:link w:val="SOPara"/>
    <w:rsid w:val="00E5433B"/>
    <w:rPr>
      <w:sz w:val="22"/>
    </w:rPr>
  </w:style>
  <w:style w:type="paragraph" w:customStyle="1" w:styleId="FileName">
    <w:name w:val="FileName"/>
    <w:basedOn w:val="Normal"/>
    <w:rsid w:val="00E5433B"/>
  </w:style>
  <w:style w:type="paragraph" w:customStyle="1" w:styleId="TableHeading">
    <w:name w:val="TableHeading"/>
    <w:aliases w:val="th"/>
    <w:basedOn w:val="OPCParaBase"/>
    <w:next w:val="Tabletext"/>
    <w:rsid w:val="00E5433B"/>
    <w:pPr>
      <w:keepNext/>
      <w:spacing w:before="60" w:line="240" w:lineRule="atLeast"/>
    </w:pPr>
    <w:rPr>
      <w:b/>
      <w:sz w:val="20"/>
    </w:rPr>
  </w:style>
  <w:style w:type="paragraph" w:customStyle="1" w:styleId="SOHeadBold">
    <w:name w:val="SO HeadBold"/>
    <w:aliases w:val="sohb"/>
    <w:basedOn w:val="SOText"/>
    <w:next w:val="SOText"/>
    <w:link w:val="SOHeadBoldChar"/>
    <w:qFormat/>
    <w:rsid w:val="00E5433B"/>
    <w:rPr>
      <w:b/>
    </w:rPr>
  </w:style>
  <w:style w:type="character" w:customStyle="1" w:styleId="SOHeadBoldChar">
    <w:name w:val="SO HeadBold Char"/>
    <w:aliases w:val="sohb Char"/>
    <w:basedOn w:val="DefaultParagraphFont"/>
    <w:link w:val="SOHeadBold"/>
    <w:rsid w:val="00E5433B"/>
    <w:rPr>
      <w:b/>
      <w:sz w:val="22"/>
    </w:rPr>
  </w:style>
  <w:style w:type="paragraph" w:customStyle="1" w:styleId="SOHeadItalic">
    <w:name w:val="SO HeadItalic"/>
    <w:aliases w:val="sohi"/>
    <w:basedOn w:val="SOText"/>
    <w:next w:val="SOText"/>
    <w:link w:val="SOHeadItalicChar"/>
    <w:qFormat/>
    <w:rsid w:val="00E5433B"/>
    <w:rPr>
      <w:i/>
    </w:rPr>
  </w:style>
  <w:style w:type="character" w:customStyle="1" w:styleId="SOHeadItalicChar">
    <w:name w:val="SO HeadItalic Char"/>
    <w:aliases w:val="sohi Char"/>
    <w:basedOn w:val="DefaultParagraphFont"/>
    <w:link w:val="SOHeadItalic"/>
    <w:rsid w:val="00E5433B"/>
    <w:rPr>
      <w:i/>
      <w:sz w:val="22"/>
    </w:rPr>
  </w:style>
  <w:style w:type="paragraph" w:customStyle="1" w:styleId="SOBullet">
    <w:name w:val="SO Bullet"/>
    <w:aliases w:val="sotb"/>
    <w:basedOn w:val="SOText"/>
    <w:link w:val="SOBulletChar"/>
    <w:qFormat/>
    <w:rsid w:val="00E5433B"/>
    <w:pPr>
      <w:ind w:left="1559" w:hanging="425"/>
    </w:pPr>
  </w:style>
  <w:style w:type="character" w:customStyle="1" w:styleId="SOBulletChar">
    <w:name w:val="SO Bullet Char"/>
    <w:aliases w:val="sotb Char"/>
    <w:basedOn w:val="DefaultParagraphFont"/>
    <w:link w:val="SOBullet"/>
    <w:rsid w:val="00E5433B"/>
    <w:rPr>
      <w:sz w:val="22"/>
    </w:rPr>
  </w:style>
  <w:style w:type="paragraph" w:customStyle="1" w:styleId="SOBulletNote">
    <w:name w:val="SO BulletNote"/>
    <w:aliases w:val="sonb"/>
    <w:basedOn w:val="SOTextNote"/>
    <w:link w:val="SOBulletNoteChar"/>
    <w:qFormat/>
    <w:rsid w:val="00E5433B"/>
    <w:pPr>
      <w:tabs>
        <w:tab w:val="left" w:pos="1560"/>
      </w:tabs>
      <w:ind w:left="2268" w:hanging="1134"/>
    </w:pPr>
  </w:style>
  <w:style w:type="character" w:customStyle="1" w:styleId="SOBulletNoteChar">
    <w:name w:val="SO BulletNote Char"/>
    <w:aliases w:val="sonb Char"/>
    <w:basedOn w:val="DefaultParagraphFont"/>
    <w:link w:val="SOBulletNote"/>
    <w:rsid w:val="00E5433B"/>
    <w:rPr>
      <w:sz w:val="18"/>
    </w:rPr>
  </w:style>
  <w:style w:type="character" w:styleId="CommentReference">
    <w:name w:val="annotation reference"/>
    <w:basedOn w:val="DefaultParagraphFont"/>
    <w:uiPriority w:val="99"/>
    <w:semiHidden/>
    <w:unhideWhenUsed/>
    <w:rsid w:val="00DB553D"/>
    <w:rPr>
      <w:sz w:val="16"/>
      <w:szCs w:val="16"/>
    </w:rPr>
  </w:style>
  <w:style w:type="paragraph" w:styleId="CommentText">
    <w:name w:val="annotation text"/>
    <w:basedOn w:val="Normal"/>
    <w:link w:val="CommentTextChar"/>
    <w:uiPriority w:val="99"/>
    <w:unhideWhenUsed/>
    <w:rsid w:val="00DB553D"/>
    <w:pPr>
      <w:spacing w:line="240" w:lineRule="auto"/>
    </w:pPr>
    <w:rPr>
      <w:sz w:val="20"/>
    </w:rPr>
  </w:style>
  <w:style w:type="character" w:customStyle="1" w:styleId="CommentTextChar">
    <w:name w:val="Comment Text Char"/>
    <w:basedOn w:val="DefaultParagraphFont"/>
    <w:link w:val="CommentText"/>
    <w:uiPriority w:val="99"/>
    <w:rsid w:val="00DB553D"/>
  </w:style>
  <w:style w:type="paragraph" w:styleId="CommentSubject">
    <w:name w:val="annotation subject"/>
    <w:basedOn w:val="CommentText"/>
    <w:next w:val="CommentText"/>
    <w:link w:val="CommentSubjectChar"/>
    <w:uiPriority w:val="99"/>
    <w:semiHidden/>
    <w:unhideWhenUsed/>
    <w:rsid w:val="00DB553D"/>
    <w:rPr>
      <w:b/>
      <w:bCs/>
    </w:rPr>
  </w:style>
  <w:style w:type="character" w:customStyle="1" w:styleId="CommentSubjectChar">
    <w:name w:val="Comment Subject Char"/>
    <w:basedOn w:val="CommentTextChar"/>
    <w:link w:val="CommentSubject"/>
    <w:uiPriority w:val="99"/>
    <w:semiHidden/>
    <w:rsid w:val="00DB553D"/>
    <w:rPr>
      <w:b/>
      <w:bCs/>
    </w:rPr>
  </w:style>
  <w:style w:type="character" w:styleId="Hyperlink">
    <w:name w:val="Hyperlink"/>
    <w:basedOn w:val="DefaultParagraphFont"/>
    <w:uiPriority w:val="99"/>
    <w:unhideWhenUsed/>
    <w:rsid w:val="00E12602"/>
    <w:rPr>
      <w:color w:val="0000FF" w:themeColor="hyperlink"/>
      <w:u w:val="single"/>
    </w:rPr>
  </w:style>
  <w:style w:type="paragraph" w:customStyle="1" w:styleId="ActHead10">
    <w:name w:val="ActHead 10"/>
    <w:aliases w:val="sp"/>
    <w:basedOn w:val="OPCParaBase"/>
    <w:next w:val="ActHead3"/>
    <w:rsid w:val="00E5433B"/>
    <w:pPr>
      <w:keepNext/>
      <w:spacing w:before="280" w:line="240" w:lineRule="auto"/>
      <w:outlineLvl w:val="1"/>
    </w:pPr>
    <w:rPr>
      <w:b/>
      <w:sz w:val="32"/>
      <w:szCs w:val="30"/>
    </w:rPr>
  </w:style>
  <w:style w:type="paragraph" w:customStyle="1" w:styleId="EnStatement">
    <w:name w:val="EnStatement"/>
    <w:basedOn w:val="Normal"/>
    <w:rsid w:val="00E5433B"/>
    <w:pPr>
      <w:numPr>
        <w:numId w:val="19"/>
      </w:numPr>
    </w:pPr>
    <w:rPr>
      <w:rFonts w:eastAsia="Times New Roman" w:cs="Times New Roman"/>
      <w:lang w:eastAsia="en-AU"/>
    </w:rPr>
  </w:style>
  <w:style w:type="paragraph" w:customStyle="1" w:styleId="EnStatementHeading">
    <w:name w:val="EnStatementHeading"/>
    <w:basedOn w:val="Normal"/>
    <w:rsid w:val="00E5433B"/>
    <w:rPr>
      <w:rFonts w:eastAsia="Times New Roman" w:cs="Times New Roman"/>
      <w:b/>
      <w:lang w:eastAsia="en-AU"/>
    </w:rPr>
  </w:style>
  <w:style w:type="paragraph" w:customStyle="1" w:styleId="Transitional">
    <w:name w:val="Transitional"/>
    <w:aliases w:val="tr"/>
    <w:basedOn w:val="Normal"/>
    <w:next w:val="Normal"/>
    <w:rsid w:val="00E5433B"/>
    <w:pPr>
      <w:keepNext/>
      <w:keepLines/>
      <w:spacing w:before="220" w:line="240" w:lineRule="auto"/>
      <w:ind w:left="709" w:hanging="709"/>
    </w:pPr>
    <w:rPr>
      <w:rFonts w:ascii="Arial" w:eastAsia="Times New Roman" w:hAnsi="Arial"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8316258">
      <w:bodyDiv w:val="1"/>
      <w:marLeft w:val="0"/>
      <w:marRight w:val="0"/>
      <w:marTop w:val="0"/>
      <w:marBottom w:val="0"/>
      <w:divBdr>
        <w:top w:val="none" w:sz="0" w:space="0" w:color="auto"/>
        <w:left w:val="none" w:sz="0" w:space="0" w:color="auto"/>
        <w:bottom w:val="none" w:sz="0" w:space="0" w:color="auto"/>
        <w:right w:val="none" w:sz="0" w:space="0" w:color="auto"/>
      </w:divBdr>
    </w:div>
    <w:div w:id="1464732432">
      <w:bodyDiv w:val="1"/>
      <w:marLeft w:val="0"/>
      <w:marRight w:val="0"/>
      <w:marTop w:val="0"/>
      <w:marBottom w:val="0"/>
      <w:divBdr>
        <w:top w:val="none" w:sz="0" w:space="0" w:color="auto"/>
        <w:left w:val="none" w:sz="0" w:space="0" w:color="auto"/>
        <w:bottom w:val="none" w:sz="0" w:space="0" w:color="auto"/>
        <w:right w:val="none" w:sz="0" w:space="0" w:color="auto"/>
      </w:divBdr>
      <w:divsChild>
        <w:div w:id="1289897120">
          <w:marLeft w:val="0"/>
          <w:marRight w:val="0"/>
          <w:marTop w:val="0"/>
          <w:marBottom w:val="0"/>
          <w:divBdr>
            <w:top w:val="none" w:sz="0" w:space="0" w:color="auto"/>
            <w:left w:val="none" w:sz="0" w:space="0" w:color="auto"/>
            <w:bottom w:val="none" w:sz="0" w:space="0" w:color="auto"/>
            <w:right w:val="none" w:sz="0" w:space="0" w:color="auto"/>
          </w:divBdr>
          <w:divsChild>
            <w:div w:id="762804908">
              <w:marLeft w:val="0"/>
              <w:marRight w:val="0"/>
              <w:marTop w:val="0"/>
              <w:marBottom w:val="0"/>
              <w:divBdr>
                <w:top w:val="none" w:sz="0" w:space="0" w:color="auto"/>
                <w:left w:val="none" w:sz="0" w:space="0" w:color="auto"/>
                <w:bottom w:val="none" w:sz="0" w:space="0" w:color="auto"/>
                <w:right w:val="none" w:sz="0" w:space="0" w:color="auto"/>
              </w:divBdr>
              <w:divsChild>
                <w:div w:id="232588670">
                  <w:marLeft w:val="0"/>
                  <w:marRight w:val="0"/>
                  <w:marTop w:val="0"/>
                  <w:marBottom w:val="0"/>
                  <w:divBdr>
                    <w:top w:val="none" w:sz="0" w:space="0" w:color="auto"/>
                    <w:left w:val="none" w:sz="0" w:space="0" w:color="auto"/>
                    <w:bottom w:val="none" w:sz="0" w:space="0" w:color="auto"/>
                    <w:right w:val="none" w:sz="0" w:space="0" w:color="auto"/>
                  </w:divBdr>
                  <w:divsChild>
                    <w:div w:id="1531381764">
                      <w:marLeft w:val="0"/>
                      <w:marRight w:val="0"/>
                      <w:marTop w:val="0"/>
                      <w:marBottom w:val="0"/>
                      <w:divBdr>
                        <w:top w:val="none" w:sz="0" w:space="0" w:color="auto"/>
                        <w:left w:val="none" w:sz="0" w:space="0" w:color="auto"/>
                        <w:bottom w:val="none" w:sz="0" w:space="0" w:color="auto"/>
                        <w:right w:val="none" w:sz="0" w:space="0" w:color="auto"/>
                      </w:divBdr>
                      <w:divsChild>
                        <w:div w:id="464734526">
                          <w:marLeft w:val="0"/>
                          <w:marRight w:val="0"/>
                          <w:marTop w:val="0"/>
                          <w:marBottom w:val="0"/>
                          <w:divBdr>
                            <w:top w:val="none" w:sz="0" w:space="0" w:color="auto"/>
                            <w:left w:val="none" w:sz="0" w:space="0" w:color="auto"/>
                            <w:bottom w:val="none" w:sz="0" w:space="0" w:color="auto"/>
                            <w:right w:val="none" w:sz="0" w:space="0" w:color="auto"/>
                          </w:divBdr>
                          <w:divsChild>
                            <w:div w:id="501088854">
                              <w:marLeft w:val="0"/>
                              <w:marRight w:val="0"/>
                              <w:marTop w:val="0"/>
                              <w:marBottom w:val="0"/>
                              <w:divBdr>
                                <w:top w:val="none" w:sz="0" w:space="0" w:color="auto"/>
                                <w:left w:val="none" w:sz="0" w:space="0" w:color="auto"/>
                                <w:bottom w:val="none" w:sz="0" w:space="0" w:color="auto"/>
                                <w:right w:val="none" w:sz="0" w:space="0" w:color="auto"/>
                              </w:divBdr>
                              <w:divsChild>
                                <w:div w:id="351154173">
                                  <w:marLeft w:val="0"/>
                                  <w:marRight w:val="0"/>
                                  <w:marTop w:val="0"/>
                                  <w:marBottom w:val="0"/>
                                  <w:divBdr>
                                    <w:top w:val="none" w:sz="0" w:space="0" w:color="auto"/>
                                    <w:left w:val="none" w:sz="0" w:space="0" w:color="auto"/>
                                    <w:bottom w:val="none" w:sz="0" w:space="0" w:color="auto"/>
                                    <w:right w:val="none" w:sz="0" w:space="0" w:color="auto"/>
                                  </w:divBdr>
                                  <w:divsChild>
                                    <w:div w:id="409083827">
                                      <w:marLeft w:val="0"/>
                                      <w:marRight w:val="0"/>
                                      <w:marTop w:val="0"/>
                                      <w:marBottom w:val="0"/>
                                      <w:divBdr>
                                        <w:top w:val="none" w:sz="0" w:space="0" w:color="auto"/>
                                        <w:left w:val="none" w:sz="0" w:space="0" w:color="auto"/>
                                        <w:bottom w:val="none" w:sz="0" w:space="0" w:color="auto"/>
                                        <w:right w:val="none" w:sz="0" w:space="0" w:color="auto"/>
                                      </w:divBdr>
                                      <w:divsChild>
                                        <w:div w:id="973874449">
                                          <w:marLeft w:val="0"/>
                                          <w:marRight w:val="0"/>
                                          <w:marTop w:val="0"/>
                                          <w:marBottom w:val="0"/>
                                          <w:divBdr>
                                            <w:top w:val="none" w:sz="0" w:space="0" w:color="auto"/>
                                            <w:left w:val="none" w:sz="0" w:space="0" w:color="auto"/>
                                            <w:bottom w:val="none" w:sz="0" w:space="0" w:color="auto"/>
                                            <w:right w:val="none" w:sz="0" w:space="0" w:color="auto"/>
                                          </w:divBdr>
                                          <w:divsChild>
                                            <w:div w:id="315183288">
                                              <w:marLeft w:val="0"/>
                                              <w:marRight w:val="0"/>
                                              <w:marTop w:val="0"/>
                                              <w:marBottom w:val="0"/>
                                              <w:divBdr>
                                                <w:top w:val="none" w:sz="0" w:space="0" w:color="auto"/>
                                                <w:left w:val="none" w:sz="0" w:space="0" w:color="auto"/>
                                                <w:bottom w:val="none" w:sz="0" w:space="0" w:color="auto"/>
                                                <w:right w:val="none" w:sz="0" w:space="0" w:color="auto"/>
                                              </w:divBdr>
                                              <w:divsChild>
                                                <w:div w:id="1524904574">
                                                  <w:marLeft w:val="0"/>
                                                  <w:marRight w:val="0"/>
                                                  <w:marTop w:val="0"/>
                                                  <w:marBottom w:val="0"/>
                                                  <w:divBdr>
                                                    <w:top w:val="none" w:sz="0" w:space="0" w:color="auto"/>
                                                    <w:left w:val="none" w:sz="0" w:space="0" w:color="auto"/>
                                                    <w:bottom w:val="none" w:sz="0" w:space="0" w:color="auto"/>
                                                    <w:right w:val="none" w:sz="0" w:space="0" w:color="auto"/>
                                                  </w:divBdr>
                                                  <w:divsChild>
                                                    <w:div w:id="425150855">
                                                      <w:marLeft w:val="0"/>
                                                      <w:marRight w:val="0"/>
                                                      <w:marTop w:val="0"/>
                                                      <w:marBottom w:val="0"/>
                                                      <w:divBdr>
                                                        <w:top w:val="none" w:sz="0" w:space="0" w:color="auto"/>
                                                        <w:left w:val="none" w:sz="0" w:space="0" w:color="auto"/>
                                                        <w:bottom w:val="none" w:sz="0" w:space="0" w:color="auto"/>
                                                        <w:right w:val="none" w:sz="0" w:space="0" w:color="auto"/>
                                                      </w:divBdr>
                                                      <w:divsChild>
                                                        <w:div w:id="192151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3.xml"/><Relationship Id="rId25" Type="http://schemas.openxmlformats.org/officeDocument/2006/relationships/header" Target="header8.xml"/><Relationship Id="rId33"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7.xml"/><Relationship Id="rId32" Type="http://schemas.openxmlformats.org/officeDocument/2006/relationships/header" Target="header1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8.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538E4925254A418EC95C65DB26E2F0" ma:contentTypeVersion="0" ma:contentTypeDescription="Create a new document." ma:contentTypeScope="" ma:versionID="370c1496dfda4d304936c06a55b67d61">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57DD9-363A-4342-96AD-84D6221E6A8D}">
  <ds:schemaRefs>
    <ds:schemaRef ds:uri="http://schemas.microsoft.com/sharepoint/v3/contenttype/forms"/>
  </ds:schemaRefs>
</ds:datastoreItem>
</file>

<file path=customXml/itemProps2.xml><?xml version="1.0" encoding="utf-8"?>
<ds:datastoreItem xmlns:ds="http://schemas.openxmlformats.org/officeDocument/2006/customXml" ds:itemID="{9CFA533F-53F0-45FA-9D45-8A058CCC41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1C9F54A-0C67-48DB-9D8A-957F73084FD3}">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61A1A949-6792-4996-B589-9AFD88351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CONSOLINST_New.DOTX</Template>
  <TotalTime>0</TotalTime>
  <Pages>12</Pages>
  <Words>1631</Words>
  <Characters>9043</Characters>
  <Application>Microsoft Office Word</Application>
  <DocSecurity>0</DocSecurity>
  <PresentationFormat/>
  <Lines>283</Lines>
  <Paragraphs>171</Paragraphs>
  <ScaleCrop>false</ScaleCrop>
  <HeadingPairs>
    <vt:vector size="2" baseType="variant">
      <vt:variant>
        <vt:lpstr>Title</vt:lpstr>
      </vt:variant>
      <vt:variant>
        <vt:i4>1</vt:i4>
      </vt:variant>
    </vt:vector>
  </HeadingPairs>
  <TitlesOfParts>
    <vt:vector size="1" baseType="lpstr">
      <vt:lpstr>Telecommunications (Carrier Licence Exemption—Use for specified Queensland rail and electricity services) Determination 2021</vt:lpstr>
    </vt:vector>
  </TitlesOfParts>
  <Manager/>
  <Company/>
  <LinksUpToDate>false</LinksUpToDate>
  <CharactersWithSpaces>10531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Telecommunications (Carrier Licence Exemption—Use for specified Queensland rail and electricity services) Determination 2021</dc:title>
  <dc:subject/>
  <dc:creator/>
  <cp:keywords/>
  <dc:description/>
  <cp:lastModifiedBy/>
  <cp:revision>1</cp:revision>
  <cp:lastPrinted>2021-06-23T01:16:00Z</cp:lastPrinted>
  <dcterms:created xsi:type="dcterms:W3CDTF">2023-07-27T04:24:00Z</dcterms:created>
  <dcterms:modified xsi:type="dcterms:W3CDTF">2023-07-27T04:24:00Z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0x0101003E538E4925254A418EC95C65DB26E2F0</vt:lpwstr>
  </property>
  <property fmtid="{D5CDD505-2E9C-101B-9397-08002B2CF9AE}" pid="3" name="TrimRevisionNumber">
    <vt:i4>2</vt:i4>
  </property>
  <property fmtid="{D5CDD505-2E9C-101B-9397-08002B2CF9AE}" pid="4" name="Converted">
    <vt:bool>false</vt:bool>
  </property>
  <property fmtid="{D5CDD505-2E9C-101B-9397-08002B2CF9AE}" pid="5" name="Classification">
    <vt:lpwstr>OFFICIAL</vt:lpwstr>
  </property>
  <property fmtid="{D5CDD505-2E9C-101B-9397-08002B2CF9AE}" pid="6" name="DLM">
    <vt:lpwstr> </vt:lpwstr>
  </property>
  <property fmtid="{D5CDD505-2E9C-101B-9397-08002B2CF9AE}" pid="7" name="ShortT">
    <vt:lpwstr>Telecommunications (Carrier Licence Exemption—Use for specified Queensland rail and electricity services) Determination 2021 </vt:lpwstr>
  </property>
  <property fmtid="{D5CDD505-2E9C-101B-9397-08002B2CF9AE}" pid="8" name="Actno">
    <vt:lpwstr/>
  </property>
  <property fmtid="{D5CDD505-2E9C-101B-9397-08002B2CF9AE}" pid="9" name="Compilation">
    <vt:lpwstr>Yes</vt:lpwstr>
  </property>
  <property fmtid="{D5CDD505-2E9C-101B-9397-08002B2CF9AE}" pid="10" name="Type">
    <vt:lpwstr>LI</vt:lpwstr>
  </property>
  <property fmtid="{D5CDD505-2E9C-101B-9397-08002B2CF9AE}" pid="11" name="DocType">
    <vt:lpwstr>NEW</vt:lpwstr>
  </property>
  <property fmtid="{D5CDD505-2E9C-101B-9397-08002B2CF9AE}" pid="12" name="CompilationNumber">
    <vt:lpwstr>1</vt:lpwstr>
  </property>
  <property fmtid="{D5CDD505-2E9C-101B-9397-08002B2CF9AE}" pid="13" name="StartDate">
    <vt:lpwstr>23 June 2023</vt:lpwstr>
  </property>
  <property fmtid="{D5CDD505-2E9C-101B-9397-08002B2CF9AE}" pid="14" name="IncludesUpTo">
    <vt:lpwstr>F2023L00835</vt:lpwstr>
  </property>
  <property fmtid="{D5CDD505-2E9C-101B-9397-08002B2CF9AE}" pid="15" name="RegisteredDate">
    <vt:lpwstr>27 July 2023</vt:lpwstr>
  </property>
  <property fmtid="{D5CDD505-2E9C-101B-9397-08002B2CF9AE}" pid="16" name="CompilationVersion">
    <vt:i4>3</vt:i4>
  </property>
  <property fmtid="{D5CDD505-2E9C-101B-9397-08002B2CF9AE}" pid="17" name="DoNotAsk">
    <vt:lpwstr>0</vt:lpwstr>
  </property>
  <property fmtid="{D5CDD505-2E9C-101B-9397-08002B2CF9AE}" pid="18" name="ChangedTitle">
    <vt:lpwstr/>
  </property>
</Properties>
</file>