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4210F" w14:textId="77777777" w:rsidR="00715914" w:rsidRPr="00941C9E" w:rsidRDefault="00DA186E" w:rsidP="00715914">
      <w:pPr>
        <w:rPr>
          <w:sz w:val="28"/>
        </w:rPr>
      </w:pPr>
      <w:r w:rsidRPr="00941C9E">
        <w:rPr>
          <w:noProof/>
          <w:lang w:eastAsia="en-AU"/>
        </w:rPr>
        <w:drawing>
          <wp:inline distT="0" distB="0" distL="0" distR="0" wp14:anchorId="7C3421F0" wp14:editId="7C3421F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C342110" w14:textId="77777777" w:rsidR="00715914" w:rsidRPr="00941C9E" w:rsidRDefault="00715914" w:rsidP="00715914">
      <w:pPr>
        <w:rPr>
          <w:sz w:val="19"/>
        </w:rPr>
      </w:pPr>
    </w:p>
    <w:p w14:paraId="7C342111" w14:textId="77777777" w:rsidR="00554826" w:rsidRPr="00941C9E" w:rsidRDefault="00E82BE9" w:rsidP="00554826">
      <w:pPr>
        <w:pStyle w:val="ShortT"/>
        <w:rPr>
          <w:i/>
        </w:rPr>
      </w:pPr>
      <w:r w:rsidRPr="00941C9E">
        <w:t>National Housing Finance and Investment Corporation Investment Mandate Amendment (Family Home Guarantee) Direction 2021</w:t>
      </w:r>
    </w:p>
    <w:p w14:paraId="7C342112" w14:textId="084C0A71" w:rsidR="00554826" w:rsidRPr="00941C9E" w:rsidRDefault="00E82BE9" w:rsidP="00554826">
      <w:pPr>
        <w:pStyle w:val="SignCoverPageStart"/>
        <w:spacing w:before="240"/>
        <w:ind w:right="91"/>
        <w:rPr>
          <w:szCs w:val="22"/>
        </w:rPr>
      </w:pPr>
      <w:r w:rsidRPr="00941C9E">
        <w:rPr>
          <w:szCs w:val="22"/>
        </w:rPr>
        <w:t xml:space="preserve">I, Michael Sukkar, </w:t>
      </w:r>
      <w:r w:rsidR="003820EB">
        <w:rPr>
          <w:szCs w:val="22"/>
        </w:rPr>
        <w:t xml:space="preserve">Assistant Treasurer, </w:t>
      </w:r>
      <w:r w:rsidRPr="00941C9E">
        <w:rPr>
          <w:szCs w:val="22"/>
        </w:rPr>
        <w:t>Minister for Housing and</w:t>
      </w:r>
      <w:r w:rsidR="003820EB">
        <w:rPr>
          <w:szCs w:val="22"/>
        </w:rPr>
        <w:t xml:space="preserve"> Minister for Homelessness, Social and Community Housing</w:t>
      </w:r>
      <w:r w:rsidRPr="00941C9E">
        <w:rPr>
          <w:szCs w:val="22"/>
        </w:rPr>
        <w:t xml:space="preserve">, give this Direction under subsection 12(1) of the </w:t>
      </w:r>
      <w:r w:rsidRPr="00941C9E">
        <w:rPr>
          <w:i/>
          <w:szCs w:val="22"/>
        </w:rPr>
        <w:t>National Housing Finance and Investment Corporation Act 2018</w:t>
      </w:r>
      <w:r w:rsidRPr="00941C9E">
        <w:rPr>
          <w:szCs w:val="22"/>
        </w:rPr>
        <w:t>.</w:t>
      </w:r>
    </w:p>
    <w:p w14:paraId="7C342113" w14:textId="0F6A37D7" w:rsidR="009A6277" w:rsidRDefault="00554826" w:rsidP="00554826">
      <w:pPr>
        <w:keepNext/>
        <w:spacing w:before="300" w:line="240" w:lineRule="atLeast"/>
        <w:ind w:right="397"/>
        <w:jc w:val="both"/>
        <w:rPr>
          <w:szCs w:val="22"/>
        </w:rPr>
      </w:pPr>
      <w:r w:rsidRPr="00941C9E">
        <w:rPr>
          <w:szCs w:val="22"/>
        </w:rPr>
        <w:t>Dated</w:t>
      </w:r>
      <w:r w:rsidRPr="00941C9E">
        <w:rPr>
          <w:szCs w:val="22"/>
        </w:rPr>
        <w:tab/>
      </w:r>
      <w:r w:rsidRPr="00941C9E">
        <w:rPr>
          <w:szCs w:val="22"/>
        </w:rPr>
        <w:tab/>
      </w:r>
      <w:r w:rsidR="00382FD0">
        <w:rPr>
          <w:szCs w:val="22"/>
        </w:rPr>
        <w:t>29 June 2021</w:t>
      </w:r>
    </w:p>
    <w:p w14:paraId="7C342114" w14:textId="77777777" w:rsidR="009A6277" w:rsidRDefault="009A6277" w:rsidP="00554826">
      <w:pPr>
        <w:keepNext/>
        <w:spacing w:before="300" w:line="240" w:lineRule="atLeast"/>
        <w:ind w:right="397"/>
        <w:jc w:val="both"/>
        <w:rPr>
          <w:szCs w:val="22"/>
        </w:rPr>
      </w:pPr>
    </w:p>
    <w:p w14:paraId="7C342115" w14:textId="77777777" w:rsidR="009A6277" w:rsidRDefault="009A6277" w:rsidP="00554826">
      <w:pPr>
        <w:keepNext/>
        <w:spacing w:before="300" w:line="240" w:lineRule="atLeast"/>
        <w:ind w:right="397"/>
        <w:jc w:val="both"/>
        <w:rPr>
          <w:szCs w:val="22"/>
        </w:rPr>
      </w:pPr>
    </w:p>
    <w:p w14:paraId="7C342116" w14:textId="77777777" w:rsidR="009A6277" w:rsidRDefault="009A6277" w:rsidP="00554826">
      <w:pPr>
        <w:keepNext/>
        <w:spacing w:before="300" w:line="240" w:lineRule="atLeast"/>
        <w:ind w:right="397"/>
        <w:jc w:val="both"/>
        <w:rPr>
          <w:szCs w:val="22"/>
        </w:rPr>
      </w:pPr>
    </w:p>
    <w:p w14:paraId="7C342117" w14:textId="77777777" w:rsidR="00554826" w:rsidRPr="00941C9E" w:rsidRDefault="00554826" w:rsidP="00554826">
      <w:pPr>
        <w:keepNext/>
        <w:spacing w:before="300" w:line="240" w:lineRule="atLeast"/>
        <w:ind w:right="397"/>
        <w:jc w:val="both"/>
        <w:rPr>
          <w:szCs w:val="22"/>
        </w:rPr>
      </w:pPr>
      <w:r w:rsidRPr="00941C9E">
        <w:rPr>
          <w:szCs w:val="22"/>
        </w:rPr>
        <w:tab/>
      </w:r>
      <w:r w:rsidRPr="00941C9E">
        <w:rPr>
          <w:szCs w:val="22"/>
        </w:rPr>
        <w:tab/>
      </w:r>
    </w:p>
    <w:p w14:paraId="7C342118" w14:textId="77777777" w:rsidR="009A6277" w:rsidRPr="00941C9E" w:rsidRDefault="00E82BE9" w:rsidP="00E82BE9">
      <w:pPr>
        <w:keepNext/>
        <w:tabs>
          <w:tab w:val="left" w:pos="3402"/>
        </w:tabs>
        <w:spacing w:before="1440" w:line="300" w:lineRule="atLeast"/>
        <w:ind w:right="397"/>
        <w:rPr>
          <w:b/>
          <w:szCs w:val="22"/>
        </w:rPr>
      </w:pPr>
      <w:r w:rsidRPr="00941C9E">
        <w:rPr>
          <w:szCs w:val="22"/>
        </w:rPr>
        <w:t xml:space="preserve">Michael Sukkar </w:t>
      </w:r>
    </w:p>
    <w:p w14:paraId="7C342119" w14:textId="387A8AA5" w:rsidR="00E82BE9" w:rsidRPr="00941C9E" w:rsidRDefault="00E82BE9" w:rsidP="00E82BE9">
      <w:pPr>
        <w:pStyle w:val="SignCoverPageEnd"/>
        <w:ind w:right="91"/>
        <w:rPr>
          <w:sz w:val="22"/>
        </w:rPr>
      </w:pPr>
      <w:r w:rsidRPr="00941C9E">
        <w:rPr>
          <w:sz w:val="22"/>
        </w:rPr>
        <w:t>Assistant Treasurer</w:t>
      </w:r>
      <w:r w:rsidR="003820EB">
        <w:rPr>
          <w:sz w:val="22"/>
        </w:rPr>
        <w:t xml:space="preserve">, Minister for Housing and Minister for Homelessness, Social and Community Housing </w:t>
      </w:r>
    </w:p>
    <w:p w14:paraId="7C34211A" w14:textId="77777777" w:rsidR="00554826" w:rsidRPr="00941C9E" w:rsidRDefault="00554826" w:rsidP="00554826"/>
    <w:p w14:paraId="7C34211B" w14:textId="77777777" w:rsidR="00554826" w:rsidRPr="00941C9E" w:rsidRDefault="00554826" w:rsidP="00554826"/>
    <w:p w14:paraId="7C34211C" w14:textId="77777777" w:rsidR="00F6696E" w:rsidRPr="00941C9E" w:rsidRDefault="00F6696E" w:rsidP="00F6696E"/>
    <w:p w14:paraId="7C34211D" w14:textId="77777777" w:rsidR="00F6696E" w:rsidRPr="00941C9E" w:rsidRDefault="00F6696E" w:rsidP="00F6696E">
      <w:pPr>
        <w:sectPr w:rsidR="00F6696E" w:rsidRPr="00941C9E" w:rsidSect="00F6696E">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4" w:right="1797" w:bottom="1440" w:left="1797" w:header="720" w:footer="989" w:gutter="0"/>
          <w:pgNumType w:start="1"/>
          <w:cols w:space="708"/>
          <w:titlePg/>
          <w:docGrid w:linePitch="360"/>
        </w:sectPr>
      </w:pPr>
    </w:p>
    <w:p w14:paraId="7C34211E" w14:textId="77777777" w:rsidR="007500C8" w:rsidRPr="00941C9E" w:rsidRDefault="00715914" w:rsidP="00715914">
      <w:pPr>
        <w:outlineLvl w:val="0"/>
        <w:rPr>
          <w:sz w:val="36"/>
        </w:rPr>
      </w:pPr>
      <w:r w:rsidRPr="00941C9E">
        <w:rPr>
          <w:sz w:val="36"/>
        </w:rPr>
        <w:lastRenderedPageBreak/>
        <w:t>Contents</w:t>
      </w:r>
    </w:p>
    <w:p w14:paraId="7C34211F" w14:textId="77777777" w:rsidR="00BE4CF3" w:rsidRPr="00941C9E" w:rsidRDefault="00B418CB">
      <w:pPr>
        <w:pStyle w:val="TOC5"/>
        <w:rPr>
          <w:rFonts w:asciiTheme="minorHAnsi" w:eastAsiaTheme="minorEastAsia" w:hAnsiTheme="minorHAnsi" w:cstheme="minorBidi"/>
          <w:noProof/>
          <w:kern w:val="0"/>
          <w:sz w:val="22"/>
          <w:szCs w:val="22"/>
        </w:rPr>
      </w:pPr>
      <w:r w:rsidRPr="00941C9E">
        <w:fldChar w:fldCharType="begin"/>
      </w:r>
      <w:r w:rsidRPr="00941C9E">
        <w:instrText xml:space="preserve"> TOC \o "1-9" </w:instrText>
      </w:r>
      <w:r w:rsidRPr="00941C9E">
        <w:fldChar w:fldCharType="separate"/>
      </w:r>
      <w:r w:rsidR="00BE4CF3" w:rsidRPr="00941C9E">
        <w:rPr>
          <w:noProof/>
        </w:rPr>
        <w:t>1  Name</w:t>
      </w:r>
      <w:r w:rsidR="00BE4CF3" w:rsidRPr="00941C9E">
        <w:rPr>
          <w:noProof/>
        </w:rPr>
        <w:tab/>
      </w:r>
      <w:r w:rsidR="00BE4CF3" w:rsidRPr="00941C9E">
        <w:rPr>
          <w:noProof/>
        </w:rPr>
        <w:fldChar w:fldCharType="begin"/>
      </w:r>
      <w:r w:rsidR="00BE4CF3" w:rsidRPr="00941C9E">
        <w:rPr>
          <w:noProof/>
        </w:rPr>
        <w:instrText xml:space="preserve"> PAGEREF _Toc71122261 \h </w:instrText>
      </w:r>
      <w:r w:rsidR="00BE4CF3" w:rsidRPr="00941C9E">
        <w:rPr>
          <w:noProof/>
        </w:rPr>
      </w:r>
      <w:r w:rsidR="00BE4CF3" w:rsidRPr="00941C9E">
        <w:rPr>
          <w:noProof/>
        </w:rPr>
        <w:fldChar w:fldCharType="separate"/>
      </w:r>
      <w:r w:rsidR="00D60B99" w:rsidRPr="00941C9E">
        <w:rPr>
          <w:noProof/>
        </w:rPr>
        <w:t>1</w:t>
      </w:r>
      <w:r w:rsidR="00BE4CF3" w:rsidRPr="00941C9E">
        <w:rPr>
          <w:noProof/>
        </w:rPr>
        <w:fldChar w:fldCharType="end"/>
      </w:r>
    </w:p>
    <w:p w14:paraId="7C342120" w14:textId="77777777" w:rsidR="00BE4CF3" w:rsidRPr="00941C9E" w:rsidRDefault="00BE4CF3">
      <w:pPr>
        <w:pStyle w:val="TOC5"/>
        <w:rPr>
          <w:rFonts w:asciiTheme="minorHAnsi" w:eastAsiaTheme="minorEastAsia" w:hAnsiTheme="minorHAnsi" w:cstheme="minorBidi"/>
          <w:noProof/>
          <w:kern w:val="0"/>
          <w:sz w:val="22"/>
          <w:szCs w:val="22"/>
        </w:rPr>
      </w:pPr>
      <w:r w:rsidRPr="00941C9E">
        <w:rPr>
          <w:noProof/>
        </w:rPr>
        <w:t>2  Commencement</w:t>
      </w:r>
      <w:r w:rsidRPr="00941C9E">
        <w:rPr>
          <w:noProof/>
        </w:rPr>
        <w:tab/>
      </w:r>
      <w:r w:rsidRPr="00941C9E">
        <w:rPr>
          <w:noProof/>
        </w:rPr>
        <w:fldChar w:fldCharType="begin"/>
      </w:r>
      <w:r w:rsidRPr="00941C9E">
        <w:rPr>
          <w:noProof/>
        </w:rPr>
        <w:instrText xml:space="preserve"> PAGEREF _Toc71122262 \h </w:instrText>
      </w:r>
      <w:r w:rsidRPr="00941C9E">
        <w:rPr>
          <w:noProof/>
        </w:rPr>
      </w:r>
      <w:r w:rsidRPr="00941C9E">
        <w:rPr>
          <w:noProof/>
        </w:rPr>
        <w:fldChar w:fldCharType="separate"/>
      </w:r>
      <w:r w:rsidR="00D60B99" w:rsidRPr="00941C9E">
        <w:rPr>
          <w:noProof/>
        </w:rPr>
        <w:t>1</w:t>
      </w:r>
      <w:r w:rsidRPr="00941C9E">
        <w:rPr>
          <w:noProof/>
        </w:rPr>
        <w:fldChar w:fldCharType="end"/>
      </w:r>
    </w:p>
    <w:p w14:paraId="7C342121" w14:textId="77777777" w:rsidR="00BE4CF3" w:rsidRPr="00941C9E" w:rsidRDefault="00BE4CF3">
      <w:pPr>
        <w:pStyle w:val="TOC5"/>
        <w:rPr>
          <w:rFonts w:asciiTheme="minorHAnsi" w:eastAsiaTheme="minorEastAsia" w:hAnsiTheme="minorHAnsi" w:cstheme="minorBidi"/>
          <w:noProof/>
          <w:kern w:val="0"/>
          <w:sz w:val="22"/>
          <w:szCs w:val="22"/>
        </w:rPr>
      </w:pPr>
      <w:r w:rsidRPr="00941C9E">
        <w:rPr>
          <w:noProof/>
        </w:rPr>
        <w:t>3  Authority</w:t>
      </w:r>
      <w:r w:rsidRPr="00941C9E">
        <w:rPr>
          <w:noProof/>
        </w:rPr>
        <w:tab/>
      </w:r>
      <w:r w:rsidRPr="00941C9E">
        <w:rPr>
          <w:noProof/>
        </w:rPr>
        <w:fldChar w:fldCharType="begin"/>
      </w:r>
      <w:r w:rsidRPr="00941C9E">
        <w:rPr>
          <w:noProof/>
        </w:rPr>
        <w:instrText xml:space="preserve"> PAGEREF _Toc71122263 \h </w:instrText>
      </w:r>
      <w:r w:rsidRPr="00941C9E">
        <w:rPr>
          <w:noProof/>
        </w:rPr>
      </w:r>
      <w:r w:rsidRPr="00941C9E">
        <w:rPr>
          <w:noProof/>
        </w:rPr>
        <w:fldChar w:fldCharType="separate"/>
      </w:r>
      <w:r w:rsidR="00D60B99" w:rsidRPr="00941C9E">
        <w:rPr>
          <w:noProof/>
        </w:rPr>
        <w:t>1</w:t>
      </w:r>
      <w:r w:rsidRPr="00941C9E">
        <w:rPr>
          <w:noProof/>
        </w:rPr>
        <w:fldChar w:fldCharType="end"/>
      </w:r>
    </w:p>
    <w:p w14:paraId="7C342122" w14:textId="77777777" w:rsidR="00BE4CF3" w:rsidRPr="00941C9E" w:rsidRDefault="00BE4CF3">
      <w:pPr>
        <w:pStyle w:val="TOC5"/>
        <w:rPr>
          <w:rFonts w:asciiTheme="minorHAnsi" w:eastAsiaTheme="minorEastAsia" w:hAnsiTheme="minorHAnsi" w:cstheme="minorBidi"/>
          <w:noProof/>
          <w:kern w:val="0"/>
          <w:sz w:val="22"/>
          <w:szCs w:val="22"/>
        </w:rPr>
      </w:pPr>
      <w:r w:rsidRPr="00941C9E">
        <w:rPr>
          <w:noProof/>
        </w:rPr>
        <w:t>4  Schedules</w:t>
      </w:r>
      <w:r w:rsidRPr="00941C9E">
        <w:rPr>
          <w:noProof/>
        </w:rPr>
        <w:tab/>
      </w:r>
      <w:r w:rsidRPr="00941C9E">
        <w:rPr>
          <w:noProof/>
        </w:rPr>
        <w:fldChar w:fldCharType="begin"/>
      </w:r>
      <w:r w:rsidRPr="00941C9E">
        <w:rPr>
          <w:noProof/>
        </w:rPr>
        <w:instrText xml:space="preserve"> PAGEREF _Toc71122264 \h </w:instrText>
      </w:r>
      <w:r w:rsidRPr="00941C9E">
        <w:rPr>
          <w:noProof/>
        </w:rPr>
      </w:r>
      <w:r w:rsidRPr="00941C9E">
        <w:rPr>
          <w:noProof/>
        </w:rPr>
        <w:fldChar w:fldCharType="separate"/>
      </w:r>
      <w:r w:rsidR="00D60B99" w:rsidRPr="00941C9E">
        <w:rPr>
          <w:noProof/>
        </w:rPr>
        <w:t>1</w:t>
      </w:r>
      <w:r w:rsidRPr="00941C9E">
        <w:rPr>
          <w:noProof/>
        </w:rPr>
        <w:fldChar w:fldCharType="end"/>
      </w:r>
    </w:p>
    <w:p w14:paraId="7C342123" w14:textId="77777777" w:rsidR="00BE4CF3" w:rsidRPr="00941C9E" w:rsidRDefault="00BE4CF3">
      <w:pPr>
        <w:pStyle w:val="TOC6"/>
        <w:rPr>
          <w:rFonts w:asciiTheme="minorHAnsi" w:eastAsiaTheme="minorEastAsia" w:hAnsiTheme="minorHAnsi" w:cstheme="minorBidi"/>
          <w:b w:val="0"/>
          <w:noProof/>
          <w:kern w:val="0"/>
          <w:sz w:val="22"/>
          <w:szCs w:val="22"/>
        </w:rPr>
      </w:pPr>
      <w:r w:rsidRPr="00941C9E">
        <w:rPr>
          <w:noProof/>
        </w:rPr>
        <w:t>Schedule 1—Amendments</w:t>
      </w:r>
      <w:r w:rsidRPr="00941C9E">
        <w:rPr>
          <w:noProof/>
        </w:rPr>
        <w:tab/>
      </w:r>
      <w:r w:rsidRPr="00941C9E">
        <w:rPr>
          <w:noProof/>
        </w:rPr>
        <w:fldChar w:fldCharType="begin"/>
      </w:r>
      <w:r w:rsidRPr="00941C9E">
        <w:rPr>
          <w:noProof/>
        </w:rPr>
        <w:instrText xml:space="preserve"> PAGEREF _Toc71122265 \h </w:instrText>
      </w:r>
      <w:r w:rsidRPr="00941C9E">
        <w:rPr>
          <w:noProof/>
        </w:rPr>
      </w:r>
      <w:r w:rsidRPr="00941C9E">
        <w:rPr>
          <w:noProof/>
        </w:rPr>
        <w:fldChar w:fldCharType="separate"/>
      </w:r>
      <w:r w:rsidR="00D60B99" w:rsidRPr="00941C9E">
        <w:rPr>
          <w:noProof/>
        </w:rPr>
        <w:t>2</w:t>
      </w:r>
      <w:r w:rsidRPr="00941C9E">
        <w:rPr>
          <w:noProof/>
        </w:rPr>
        <w:fldChar w:fldCharType="end"/>
      </w:r>
    </w:p>
    <w:p w14:paraId="7C342124" w14:textId="77777777" w:rsidR="00BE4CF3" w:rsidRPr="00941C9E" w:rsidRDefault="00BE4CF3" w:rsidP="00BE4CF3">
      <w:pPr>
        <w:pStyle w:val="TOC9"/>
        <w:rPr>
          <w:rFonts w:asciiTheme="minorHAnsi" w:eastAsiaTheme="minorEastAsia" w:hAnsiTheme="minorHAnsi" w:cstheme="minorBidi"/>
          <w:i w:val="0"/>
          <w:noProof/>
          <w:kern w:val="0"/>
          <w:sz w:val="22"/>
          <w:szCs w:val="22"/>
        </w:rPr>
      </w:pPr>
      <w:r w:rsidRPr="00941C9E">
        <w:rPr>
          <w:noProof/>
        </w:rPr>
        <w:t>National Housing Finance and Investment Corporation Investment Mandate Direction 2018</w:t>
      </w:r>
      <w:r w:rsidRPr="00941C9E">
        <w:rPr>
          <w:noProof/>
        </w:rPr>
        <w:tab/>
      </w:r>
      <w:r w:rsidRPr="00941C9E">
        <w:rPr>
          <w:noProof/>
        </w:rPr>
        <w:fldChar w:fldCharType="begin"/>
      </w:r>
      <w:r w:rsidRPr="00941C9E">
        <w:rPr>
          <w:noProof/>
        </w:rPr>
        <w:instrText xml:space="preserve"> PAGEREF _Toc71122266 \h </w:instrText>
      </w:r>
      <w:r w:rsidRPr="00941C9E">
        <w:rPr>
          <w:noProof/>
        </w:rPr>
      </w:r>
      <w:r w:rsidRPr="00941C9E">
        <w:rPr>
          <w:noProof/>
        </w:rPr>
        <w:fldChar w:fldCharType="separate"/>
      </w:r>
      <w:r w:rsidR="00D60B99" w:rsidRPr="00941C9E">
        <w:rPr>
          <w:noProof/>
        </w:rPr>
        <w:t>2</w:t>
      </w:r>
      <w:r w:rsidRPr="00941C9E">
        <w:rPr>
          <w:noProof/>
        </w:rPr>
        <w:fldChar w:fldCharType="end"/>
      </w:r>
    </w:p>
    <w:p w14:paraId="7C342125" w14:textId="77777777" w:rsidR="00F6696E" w:rsidRPr="00941C9E" w:rsidRDefault="00B418CB" w:rsidP="00F6696E">
      <w:pPr>
        <w:outlineLvl w:val="0"/>
      </w:pPr>
      <w:r w:rsidRPr="00941C9E">
        <w:fldChar w:fldCharType="end"/>
      </w:r>
    </w:p>
    <w:p w14:paraId="7C342126" w14:textId="77777777" w:rsidR="00F6696E" w:rsidRPr="00941C9E" w:rsidRDefault="00F6696E" w:rsidP="00F6696E">
      <w:pPr>
        <w:outlineLvl w:val="0"/>
        <w:rPr>
          <w:sz w:val="20"/>
        </w:rPr>
      </w:pPr>
    </w:p>
    <w:p w14:paraId="7C342127" w14:textId="77777777" w:rsidR="00F6696E" w:rsidRPr="00941C9E" w:rsidRDefault="00F6696E" w:rsidP="00F6696E">
      <w:pPr>
        <w:sectPr w:rsidR="00F6696E" w:rsidRPr="00941C9E" w:rsidSect="00181139">
          <w:headerReference w:type="even" r:id="rId20"/>
          <w:headerReference w:type="default" r:id="rId21"/>
          <w:footerReference w:type="even" r:id="rId22"/>
          <w:footerReference w:type="default" r:id="rId23"/>
          <w:headerReference w:type="first" r:id="rId24"/>
          <w:pgSz w:w="11907" w:h="16839"/>
          <w:pgMar w:top="2098" w:right="1797" w:bottom="1440" w:left="1797" w:header="720" w:footer="709" w:gutter="0"/>
          <w:pgNumType w:fmt="lowerRoman" w:start="1"/>
          <w:cols w:space="708"/>
          <w:docGrid w:linePitch="360"/>
        </w:sectPr>
      </w:pPr>
    </w:p>
    <w:p w14:paraId="7C342128" w14:textId="77777777" w:rsidR="00554826" w:rsidRPr="00941C9E" w:rsidRDefault="001D0A72" w:rsidP="001D0A72">
      <w:pPr>
        <w:pStyle w:val="ActHead5"/>
      </w:pPr>
      <w:r w:rsidRPr="00941C9E">
        <w:lastRenderedPageBreak/>
        <w:fldChar w:fldCharType="begin"/>
      </w:r>
      <w:r w:rsidRPr="00941C9E">
        <w:instrText xml:space="preserve">  LISTNUM "main numbering" \l 5 \* MERGEFORMAT </w:instrText>
      </w:r>
      <w:bookmarkStart w:id="0" w:name="_Toc71122261"/>
      <w:r w:rsidRPr="00941C9E">
        <w:fldChar w:fldCharType="end"/>
      </w:r>
      <w:r w:rsidRPr="00941C9E">
        <w:t xml:space="preserve">  </w:t>
      </w:r>
      <w:r w:rsidR="00554826" w:rsidRPr="00941C9E">
        <w:t>Name</w:t>
      </w:r>
      <w:bookmarkEnd w:id="0"/>
    </w:p>
    <w:p w14:paraId="7C342129" w14:textId="77777777" w:rsidR="00554826" w:rsidRPr="00941C9E" w:rsidRDefault="00554826" w:rsidP="00554826">
      <w:pPr>
        <w:pStyle w:val="subsection"/>
      </w:pPr>
      <w:r w:rsidRPr="00941C9E">
        <w:tab/>
      </w:r>
      <w:r w:rsidRPr="00941C9E">
        <w:tab/>
        <w:t xml:space="preserve">This </w:t>
      </w:r>
      <w:r w:rsidR="00E82BE9" w:rsidRPr="00941C9E">
        <w:t>Direction</w:t>
      </w:r>
      <w:r w:rsidRPr="00941C9E">
        <w:t xml:space="preserve"> is the </w:t>
      </w:r>
      <w:bookmarkStart w:id="1" w:name="BKCheck15B_3"/>
      <w:bookmarkEnd w:id="1"/>
      <w:r w:rsidR="00E82BE9" w:rsidRPr="00941C9E">
        <w:rPr>
          <w:i/>
        </w:rPr>
        <w:t>National Housing Finance and Investment Corporation Investment Mandate Amendment (Family Home Guarantee) Direction 2021</w:t>
      </w:r>
      <w:r w:rsidRPr="00941C9E">
        <w:t>.</w:t>
      </w:r>
    </w:p>
    <w:p w14:paraId="7C34212A" w14:textId="77777777" w:rsidR="00554826" w:rsidRPr="00941C9E" w:rsidRDefault="00314493" w:rsidP="00314493">
      <w:pPr>
        <w:pStyle w:val="ActHead5"/>
      </w:pPr>
      <w:r w:rsidRPr="00941C9E">
        <w:fldChar w:fldCharType="begin"/>
      </w:r>
      <w:r w:rsidRPr="00941C9E">
        <w:instrText xml:space="preserve">  LISTNUM "main numbering" \l 5 \* MERGEFORMAT </w:instrText>
      </w:r>
      <w:bookmarkStart w:id="2" w:name="_Toc71122262"/>
      <w:r w:rsidRPr="00941C9E">
        <w:fldChar w:fldCharType="end"/>
      </w:r>
      <w:r w:rsidRPr="00941C9E">
        <w:t xml:space="preserve">  </w:t>
      </w:r>
      <w:r w:rsidR="00554826" w:rsidRPr="00941C9E">
        <w:t>Commencement</w:t>
      </w:r>
      <w:bookmarkEnd w:id="2"/>
    </w:p>
    <w:p w14:paraId="7C34212B" w14:textId="77777777" w:rsidR="00E82BE9" w:rsidRPr="00941C9E" w:rsidRDefault="00E82BE9" w:rsidP="00E82BE9">
      <w:pPr>
        <w:pStyle w:val="subsection"/>
      </w:pPr>
      <w:r w:rsidRPr="00941C9E">
        <w:tab/>
      </w:r>
      <w:r w:rsidRPr="00941C9E">
        <w:fldChar w:fldCharType="begin"/>
      </w:r>
      <w:r w:rsidRPr="00941C9E">
        <w:instrText xml:space="preserve">  LISTNUM "main numbering" \l 6 \* MERGEFORMAT </w:instrText>
      </w:r>
      <w:r w:rsidRPr="00941C9E">
        <w:fldChar w:fldCharType="end"/>
      </w:r>
      <w:r w:rsidRPr="00941C9E">
        <w:tab/>
        <w:t>Each provision of this Direction specified in column 1 of the table commences, or is taken to have commenced, in accordance with column 2 of the table. Any other statement in column 2 has effect according to its terms.</w:t>
      </w:r>
    </w:p>
    <w:p w14:paraId="7C34212C" w14:textId="77777777" w:rsidR="00E82BE9" w:rsidRPr="00941C9E" w:rsidRDefault="00E82BE9" w:rsidP="00E82BE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41C9E" w:rsidRPr="00941C9E" w14:paraId="7C34212E" w14:textId="77777777" w:rsidTr="005641F0">
        <w:trPr>
          <w:tblHeader/>
        </w:trPr>
        <w:tc>
          <w:tcPr>
            <w:tcW w:w="8364" w:type="dxa"/>
            <w:gridSpan w:val="3"/>
            <w:tcBorders>
              <w:top w:val="single" w:sz="12" w:space="0" w:color="auto"/>
              <w:bottom w:val="single" w:sz="2" w:space="0" w:color="auto"/>
            </w:tcBorders>
            <w:shd w:val="clear" w:color="auto" w:fill="auto"/>
            <w:hideMark/>
          </w:tcPr>
          <w:p w14:paraId="7C34212D" w14:textId="77777777" w:rsidR="00E82BE9" w:rsidRPr="00941C9E" w:rsidRDefault="00E82BE9" w:rsidP="005641F0">
            <w:pPr>
              <w:pStyle w:val="TableHeading"/>
            </w:pPr>
            <w:r w:rsidRPr="00941C9E">
              <w:t>Commencement information</w:t>
            </w:r>
          </w:p>
        </w:tc>
      </w:tr>
      <w:tr w:rsidR="00941C9E" w:rsidRPr="00941C9E" w14:paraId="7C342132" w14:textId="77777777" w:rsidTr="005641F0">
        <w:trPr>
          <w:tblHeader/>
        </w:trPr>
        <w:tc>
          <w:tcPr>
            <w:tcW w:w="2127" w:type="dxa"/>
            <w:tcBorders>
              <w:top w:val="single" w:sz="2" w:space="0" w:color="auto"/>
              <w:bottom w:val="single" w:sz="2" w:space="0" w:color="auto"/>
            </w:tcBorders>
            <w:shd w:val="clear" w:color="auto" w:fill="auto"/>
            <w:hideMark/>
          </w:tcPr>
          <w:p w14:paraId="7C34212F" w14:textId="77777777" w:rsidR="00E82BE9" w:rsidRPr="00941C9E" w:rsidRDefault="00E82BE9" w:rsidP="005641F0">
            <w:pPr>
              <w:pStyle w:val="TableHeading"/>
            </w:pPr>
            <w:r w:rsidRPr="00941C9E">
              <w:t>Column 1</w:t>
            </w:r>
          </w:p>
        </w:tc>
        <w:tc>
          <w:tcPr>
            <w:tcW w:w="4394" w:type="dxa"/>
            <w:tcBorders>
              <w:top w:val="single" w:sz="2" w:space="0" w:color="auto"/>
              <w:bottom w:val="single" w:sz="2" w:space="0" w:color="auto"/>
            </w:tcBorders>
            <w:shd w:val="clear" w:color="auto" w:fill="auto"/>
            <w:hideMark/>
          </w:tcPr>
          <w:p w14:paraId="7C342130" w14:textId="77777777" w:rsidR="00E82BE9" w:rsidRPr="00941C9E" w:rsidRDefault="00E82BE9" w:rsidP="005641F0">
            <w:pPr>
              <w:pStyle w:val="TableHeading"/>
            </w:pPr>
            <w:r w:rsidRPr="00941C9E">
              <w:t>Column 2</w:t>
            </w:r>
          </w:p>
        </w:tc>
        <w:tc>
          <w:tcPr>
            <w:tcW w:w="1843" w:type="dxa"/>
            <w:tcBorders>
              <w:top w:val="single" w:sz="2" w:space="0" w:color="auto"/>
              <w:bottom w:val="single" w:sz="2" w:space="0" w:color="auto"/>
            </w:tcBorders>
            <w:shd w:val="clear" w:color="auto" w:fill="auto"/>
            <w:hideMark/>
          </w:tcPr>
          <w:p w14:paraId="7C342131" w14:textId="77777777" w:rsidR="00E82BE9" w:rsidRPr="00941C9E" w:rsidRDefault="00E82BE9" w:rsidP="005641F0">
            <w:pPr>
              <w:pStyle w:val="TableHeading"/>
            </w:pPr>
            <w:r w:rsidRPr="00941C9E">
              <w:t>Column 3</w:t>
            </w:r>
          </w:p>
        </w:tc>
      </w:tr>
      <w:tr w:rsidR="00941C9E" w:rsidRPr="00941C9E" w14:paraId="7C342136" w14:textId="77777777" w:rsidTr="005641F0">
        <w:trPr>
          <w:tblHeader/>
        </w:trPr>
        <w:tc>
          <w:tcPr>
            <w:tcW w:w="2127" w:type="dxa"/>
            <w:tcBorders>
              <w:top w:val="single" w:sz="2" w:space="0" w:color="auto"/>
              <w:bottom w:val="single" w:sz="12" w:space="0" w:color="auto"/>
            </w:tcBorders>
            <w:shd w:val="clear" w:color="auto" w:fill="auto"/>
            <w:hideMark/>
          </w:tcPr>
          <w:p w14:paraId="7C342133" w14:textId="77777777" w:rsidR="00E82BE9" w:rsidRPr="00941C9E" w:rsidRDefault="00E82BE9" w:rsidP="005641F0">
            <w:pPr>
              <w:pStyle w:val="TableHeading"/>
            </w:pPr>
            <w:r w:rsidRPr="00941C9E">
              <w:t>Provisions</w:t>
            </w:r>
          </w:p>
        </w:tc>
        <w:tc>
          <w:tcPr>
            <w:tcW w:w="4394" w:type="dxa"/>
            <w:tcBorders>
              <w:top w:val="single" w:sz="2" w:space="0" w:color="auto"/>
              <w:bottom w:val="single" w:sz="12" w:space="0" w:color="auto"/>
            </w:tcBorders>
            <w:shd w:val="clear" w:color="auto" w:fill="auto"/>
            <w:hideMark/>
          </w:tcPr>
          <w:p w14:paraId="7C342134" w14:textId="77777777" w:rsidR="00E82BE9" w:rsidRPr="00941C9E" w:rsidRDefault="00E82BE9" w:rsidP="005641F0">
            <w:pPr>
              <w:pStyle w:val="TableHeading"/>
            </w:pPr>
            <w:r w:rsidRPr="00941C9E">
              <w:t>Commencement</w:t>
            </w:r>
          </w:p>
        </w:tc>
        <w:tc>
          <w:tcPr>
            <w:tcW w:w="1843" w:type="dxa"/>
            <w:tcBorders>
              <w:top w:val="single" w:sz="2" w:space="0" w:color="auto"/>
              <w:bottom w:val="single" w:sz="12" w:space="0" w:color="auto"/>
            </w:tcBorders>
            <w:shd w:val="clear" w:color="auto" w:fill="auto"/>
            <w:hideMark/>
          </w:tcPr>
          <w:p w14:paraId="7C342135" w14:textId="77777777" w:rsidR="00E82BE9" w:rsidRPr="00941C9E" w:rsidRDefault="00E82BE9" w:rsidP="005641F0">
            <w:pPr>
              <w:pStyle w:val="TableHeading"/>
            </w:pPr>
            <w:r w:rsidRPr="00941C9E">
              <w:t>Date/Details</w:t>
            </w:r>
          </w:p>
        </w:tc>
      </w:tr>
      <w:tr w:rsidR="00941C9E" w:rsidRPr="00941C9E" w14:paraId="7C34213B" w14:textId="77777777" w:rsidTr="005641F0">
        <w:tc>
          <w:tcPr>
            <w:tcW w:w="2127" w:type="dxa"/>
            <w:tcBorders>
              <w:top w:val="single" w:sz="12" w:space="0" w:color="auto"/>
              <w:bottom w:val="single" w:sz="12" w:space="0" w:color="auto"/>
            </w:tcBorders>
            <w:shd w:val="clear" w:color="auto" w:fill="auto"/>
            <w:hideMark/>
          </w:tcPr>
          <w:p w14:paraId="7C342137" w14:textId="77777777" w:rsidR="00E82BE9" w:rsidRPr="00941C9E" w:rsidRDefault="00E82BE9" w:rsidP="005641F0">
            <w:pPr>
              <w:pStyle w:val="Tabletext"/>
              <w:rPr>
                <w:highlight w:val="yellow"/>
              </w:rPr>
            </w:pPr>
            <w:r w:rsidRPr="00941C9E">
              <w:t>The whole of this Direction</w:t>
            </w:r>
          </w:p>
        </w:tc>
        <w:tc>
          <w:tcPr>
            <w:tcW w:w="4394" w:type="dxa"/>
            <w:tcBorders>
              <w:top w:val="single" w:sz="12" w:space="0" w:color="auto"/>
              <w:bottom w:val="single" w:sz="12" w:space="0" w:color="auto"/>
            </w:tcBorders>
            <w:shd w:val="clear" w:color="auto" w:fill="auto"/>
            <w:hideMark/>
          </w:tcPr>
          <w:p w14:paraId="7C342138" w14:textId="77777777" w:rsidR="00E82BE9" w:rsidRPr="00941C9E" w:rsidRDefault="00E82BE9" w:rsidP="005641F0">
            <w:pPr>
              <w:pStyle w:val="Tabletext"/>
              <w:rPr>
                <w:highlight w:val="yellow"/>
              </w:rPr>
            </w:pPr>
            <w:r w:rsidRPr="00941C9E">
              <w:t>The day after this Direction is registered.</w:t>
            </w:r>
          </w:p>
          <w:p w14:paraId="7C342139" w14:textId="77777777" w:rsidR="00E82BE9" w:rsidRPr="00941C9E" w:rsidRDefault="00E82BE9" w:rsidP="005641F0">
            <w:pPr>
              <w:pStyle w:val="Tabletext"/>
              <w:rPr>
                <w:highlight w:val="yellow"/>
              </w:rPr>
            </w:pPr>
          </w:p>
        </w:tc>
        <w:tc>
          <w:tcPr>
            <w:tcW w:w="1843" w:type="dxa"/>
            <w:tcBorders>
              <w:top w:val="single" w:sz="12" w:space="0" w:color="auto"/>
              <w:bottom w:val="single" w:sz="12" w:space="0" w:color="auto"/>
            </w:tcBorders>
            <w:shd w:val="clear" w:color="auto" w:fill="auto"/>
          </w:tcPr>
          <w:p w14:paraId="7C34213A" w14:textId="77777777" w:rsidR="00E82BE9" w:rsidRPr="00941C9E" w:rsidRDefault="00E82BE9" w:rsidP="005641F0">
            <w:pPr>
              <w:pStyle w:val="Tabletext"/>
            </w:pPr>
          </w:p>
        </w:tc>
      </w:tr>
    </w:tbl>
    <w:p w14:paraId="7C34213C" w14:textId="77777777" w:rsidR="00E82BE9" w:rsidRPr="00941C9E" w:rsidRDefault="00E82BE9" w:rsidP="00E82BE9">
      <w:pPr>
        <w:pStyle w:val="notetext"/>
        <w:rPr>
          <w:snapToGrid w:val="0"/>
          <w:lang w:eastAsia="en-US"/>
        </w:rPr>
      </w:pPr>
      <w:r w:rsidRPr="00941C9E">
        <w:rPr>
          <w:snapToGrid w:val="0"/>
          <w:lang w:eastAsia="en-US"/>
        </w:rPr>
        <w:t>Note:</w:t>
      </w:r>
      <w:r w:rsidRPr="00941C9E">
        <w:rPr>
          <w:snapToGrid w:val="0"/>
          <w:lang w:eastAsia="en-US"/>
        </w:rPr>
        <w:tab/>
        <w:t>This table relates only to the provisions of this Direction</w:t>
      </w:r>
      <w:r w:rsidRPr="00941C9E">
        <w:t xml:space="preserve"> </w:t>
      </w:r>
      <w:r w:rsidRPr="00941C9E">
        <w:rPr>
          <w:snapToGrid w:val="0"/>
          <w:lang w:eastAsia="en-US"/>
        </w:rPr>
        <w:t>as originally made. It will not be amended to deal with any later amendments of this Direction.</w:t>
      </w:r>
    </w:p>
    <w:p w14:paraId="7C34213D" w14:textId="77777777" w:rsidR="00E82BE9" w:rsidRPr="00941C9E" w:rsidRDefault="00E82BE9" w:rsidP="00E82BE9">
      <w:pPr>
        <w:pStyle w:val="subsection"/>
      </w:pPr>
      <w:r w:rsidRPr="00941C9E">
        <w:tab/>
      </w:r>
      <w:r w:rsidRPr="00941C9E">
        <w:fldChar w:fldCharType="begin"/>
      </w:r>
      <w:r w:rsidRPr="00941C9E">
        <w:instrText xml:space="preserve">  LISTNUM "main numbering" \l 6 \* MERGEFORMAT </w:instrText>
      </w:r>
      <w:r w:rsidRPr="00941C9E">
        <w:fldChar w:fldCharType="end"/>
      </w:r>
      <w:r w:rsidRPr="00941C9E">
        <w:tab/>
        <w:t>Any information in column 3 of the table is not part of this Direction. Information may be inserted in this column, or information in it may be edited, in any published version of this Direction.</w:t>
      </w:r>
    </w:p>
    <w:p w14:paraId="7C34213E" w14:textId="77777777" w:rsidR="00554826" w:rsidRPr="00941C9E" w:rsidRDefault="00056495" w:rsidP="00056495">
      <w:pPr>
        <w:pStyle w:val="ActHead5"/>
      </w:pPr>
      <w:r w:rsidRPr="00941C9E">
        <w:fldChar w:fldCharType="begin"/>
      </w:r>
      <w:r w:rsidRPr="00941C9E">
        <w:instrText xml:space="preserve">  LISTNUM "main numbering" \l 5 \* MERGEFORMAT </w:instrText>
      </w:r>
      <w:bookmarkStart w:id="3" w:name="_Toc71122263"/>
      <w:r w:rsidRPr="00941C9E">
        <w:fldChar w:fldCharType="end"/>
      </w:r>
      <w:r w:rsidRPr="00941C9E">
        <w:t xml:space="preserve">  </w:t>
      </w:r>
      <w:r w:rsidR="00554826" w:rsidRPr="00941C9E">
        <w:t>Authority</w:t>
      </w:r>
      <w:bookmarkEnd w:id="3"/>
    </w:p>
    <w:p w14:paraId="7C34213F" w14:textId="77777777" w:rsidR="00554826" w:rsidRPr="00941C9E" w:rsidRDefault="00554826" w:rsidP="00554826">
      <w:pPr>
        <w:pStyle w:val="subsection"/>
      </w:pPr>
      <w:r w:rsidRPr="00941C9E">
        <w:tab/>
      </w:r>
      <w:r w:rsidRPr="00941C9E">
        <w:tab/>
      </w:r>
      <w:r w:rsidR="00443A45" w:rsidRPr="00941C9E">
        <w:t xml:space="preserve">This Direction is made under subsection 12(1) of the </w:t>
      </w:r>
      <w:r w:rsidR="00443A45" w:rsidRPr="00941C9E">
        <w:rPr>
          <w:i/>
        </w:rPr>
        <w:t>National Housing Finance and Investment Corporation Act 2018</w:t>
      </w:r>
      <w:r w:rsidRPr="00941C9E">
        <w:t>.</w:t>
      </w:r>
    </w:p>
    <w:bookmarkStart w:id="4" w:name="_Toc454781205"/>
    <w:p w14:paraId="7C342140" w14:textId="77777777" w:rsidR="00554826" w:rsidRPr="00941C9E" w:rsidRDefault="001D0A72" w:rsidP="001D0A72">
      <w:pPr>
        <w:pStyle w:val="ActHead5"/>
      </w:pPr>
      <w:r w:rsidRPr="00941C9E">
        <w:fldChar w:fldCharType="begin"/>
      </w:r>
      <w:r w:rsidRPr="00941C9E">
        <w:instrText xml:space="preserve">  LISTNUM "main numbering" \l 5 \* MERGEFORMAT </w:instrText>
      </w:r>
      <w:bookmarkStart w:id="5" w:name="_Toc71122264"/>
      <w:r w:rsidRPr="00941C9E">
        <w:fldChar w:fldCharType="end"/>
      </w:r>
      <w:r w:rsidRPr="00941C9E">
        <w:t xml:space="preserve">  </w:t>
      </w:r>
      <w:r w:rsidR="00554826" w:rsidRPr="00941C9E">
        <w:t>Schedules</w:t>
      </w:r>
      <w:bookmarkEnd w:id="4"/>
      <w:bookmarkEnd w:id="5"/>
    </w:p>
    <w:p w14:paraId="7C342141" w14:textId="77777777" w:rsidR="00554826" w:rsidRPr="00941C9E" w:rsidRDefault="00554826" w:rsidP="00554826">
      <w:pPr>
        <w:pStyle w:val="subsection"/>
      </w:pPr>
      <w:r w:rsidRPr="00941C9E">
        <w:tab/>
      </w:r>
      <w:r w:rsidRPr="00941C9E">
        <w:tab/>
        <w:t>Each instrument that is specified in a Schedule to this instrument is amended or repealed as set out in the applicable items in the Schedule concerned, and any other item in a Schedule to this instrument has effect according to its terms.</w:t>
      </w:r>
    </w:p>
    <w:p w14:paraId="7C342142" w14:textId="77777777" w:rsidR="00554826" w:rsidRPr="00941C9E" w:rsidRDefault="00554826" w:rsidP="00554826">
      <w:pPr>
        <w:spacing w:line="240" w:lineRule="auto"/>
        <w:rPr>
          <w:rFonts w:eastAsia="Times New Roman" w:cs="Times New Roman"/>
          <w:lang w:eastAsia="en-AU"/>
        </w:rPr>
      </w:pPr>
      <w:r w:rsidRPr="00941C9E">
        <w:br w:type="page"/>
      </w:r>
    </w:p>
    <w:p w14:paraId="7C342143" w14:textId="77777777" w:rsidR="00D6537E" w:rsidRPr="00941C9E" w:rsidRDefault="004E1307" w:rsidP="00D6537E">
      <w:pPr>
        <w:pStyle w:val="ActHead6"/>
      </w:pPr>
      <w:bookmarkStart w:id="6" w:name="_Toc71122265"/>
      <w:r w:rsidRPr="00941C9E">
        <w:lastRenderedPageBreak/>
        <w:t xml:space="preserve">Schedule </w:t>
      </w:r>
      <w:r w:rsidR="00D6537E" w:rsidRPr="00941C9E">
        <w:t>1—</w:t>
      </w:r>
      <w:r w:rsidR="00443A45" w:rsidRPr="00941C9E">
        <w:t>Amendments</w:t>
      </w:r>
      <w:bookmarkEnd w:id="6"/>
    </w:p>
    <w:p w14:paraId="7C342144" w14:textId="77777777" w:rsidR="00D6537E" w:rsidRPr="00941C9E" w:rsidRDefault="00443A45" w:rsidP="00D6537E">
      <w:pPr>
        <w:pStyle w:val="ActHead9"/>
      </w:pPr>
      <w:bookmarkStart w:id="7" w:name="_Toc71122266"/>
      <w:r w:rsidRPr="00941C9E">
        <w:t>National Housing Finance and Investment Corporation Investment Mandate Direction 2018</w:t>
      </w:r>
      <w:bookmarkEnd w:id="7"/>
    </w:p>
    <w:p w14:paraId="7C342145" w14:textId="77777777" w:rsidR="00D6537E" w:rsidRPr="00941C9E" w:rsidRDefault="00443A45" w:rsidP="00D6537E">
      <w:pPr>
        <w:pStyle w:val="ItemHead"/>
      </w:pPr>
      <w:r w:rsidRPr="00941C9E">
        <w:fldChar w:fldCharType="begin"/>
      </w:r>
      <w:r w:rsidRPr="00941C9E">
        <w:instrText xml:space="preserve">  LISTNUM "main numbering" \l 5 \s 1 \* MERGEFORMAT </w:instrText>
      </w:r>
      <w:r w:rsidRPr="00941C9E">
        <w:fldChar w:fldCharType="end"/>
      </w:r>
      <w:r w:rsidR="00D6537E" w:rsidRPr="00941C9E">
        <w:t xml:space="preserve">  </w:t>
      </w:r>
      <w:r w:rsidRPr="00941C9E">
        <w:t>Section 4</w:t>
      </w:r>
    </w:p>
    <w:p w14:paraId="7C342146" w14:textId="77777777" w:rsidR="004E1307" w:rsidRPr="00941C9E" w:rsidRDefault="00443A45" w:rsidP="00D6537E">
      <w:pPr>
        <w:pStyle w:val="Item"/>
      </w:pPr>
      <w:r w:rsidRPr="00941C9E">
        <w:t>Insert</w:t>
      </w:r>
      <w:r w:rsidR="00E82BE9" w:rsidRPr="00941C9E">
        <w:t>:</w:t>
      </w:r>
    </w:p>
    <w:p w14:paraId="7C342147" w14:textId="77777777" w:rsidR="00443A45" w:rsidRPr="00941C9E" w:rsidRDefault="00443A45" w:rsidP="00443A45">
      <w:pPr>
        <w:pStyle w:val="Definition"/>
      </w:pPr>
      <w:r w:rsidRPr="00941C9E">
        <w:rPr>
          <w:b/>
          <w:i/>
        </w:rPr>
        <w:t>eligible single parent</w:t>
      </w:r>
      <w:r w:rsidRPr="00941C9E">
        <w:t>—see section 29D.</w:t>
      </w:r>
    </w:p>
    <w:p w14:paraId="7C342148" w14:textId="77777777" w:rsidR="00443A45" w:rsidRPr="00941C9E" w:rsidRDefault="00443A45" w:rsidP="00443A45">
      <w:pPr>
        <w:pStyle w:val="Definition"/>
      </w:pPr>
      <w:r w:rsidRPr="00941C9E">
        <w:rPr>
          <w:b/>
          <w:i/>
        </w:rPr>
        <w:t>Family Home Guarantee</w:t>
      </w:r>
      <w:r w:rsidRPr="00941C9E">
        <w:rPr>
          <w:i/>
        </w:rPr>
        <w:t xml:space="preserve"> </w:t>
      </w:r>
      <w:r w:rsidRPr="00941C9E">
        <w:t>means a guarantee issued under section 29IB.</w:t>
      </w:r>
    </w:p>
    <w:p w14:paraId="7C342149" w14:textId="77777777" w:rsidR="00443A45" w:rsidRPr="00941C9E" w:rsidRDefault="00443A45" w:rsidP="00443A45">
      <w:pPr>
        <w:pStyle w:val="ItemHead"/>
      </w:pPr>
      <w:r w:rsidRPr="00941C9E">
        <w:fldChar w:fldCharType="begin"/>
      </w:r>
      <w:r w:rsidRPr="00941C9E">
        <w:instrText xml:space="preserve">  LISTNUM "main numbering" \l 5 \* MERGEFORMAT </w:instrText>
      </w:r>
      <w:r w:rsidRPr="00941C9E">
        <w:fldChar w:fldCharType="end"/>
      </w:r>
      <w:r w:rsidRPr="00941C9E">
        <w:t xml:space="preserve">  Part 5A</w:t>
      </w:r>
      <w:r w:rsidR="00E82BE9" w:rsidRPr="00941C9E">
        <w:t xml:space="preserve"> (box after </w:t>
      </w:r>
      <w:r w:rsidRPr="00941C9E">
        <w:t>heading</w:t>
      </w:r>
      <w:r w:rsidR="00E82BE9" w:rsidRPr="00941C9E">
        <w:t>)</w:t>
      </w:r>
    </w:p>
    <w:p w14:paraId="7C34214A" w14:textId="77777777" w:rsidR="00443A45" w:rsidRPr="00941C9E" w:rsidRDefault="00443A45" w:rsidP="00443A45">
      <w:pPr>
        <w:pStyle w:val="Item"/>
      </w:pPr>
      <w:r w:rsidRPr="00941C9E">
        <w:t>Omit the text after “and promote home ownership.” and substitute:</w:t>
      </w:r>
    </w:p>
    <w:p w14:paraId="7C34214B" w14:textId="77777777" w:rsidR="00E82BE9" w:rsidRPr="00941C9E" w:rsidRDefault="00E82BE9" w:rsidP="00E82BE9">
      <w:pPr>
        <w:pStyle w:val="BoxText"/>
        <w:rPr>
          <w:b/>
        </w:rPr>
      </w:pPr>
      <w:r w:rsidRPr="00941C9E">
        <w:t>It does this by allowing the NHFIC to issue up to 10,000 guarantees in the 2020-21 and 2021-22 financial years under the FHLDS for loans to first home buyers to purchase a newly built dwelling or build such a dwelling. Any unissued New Home Guarantees from 2020-21 can be rolled over into the 2021-22 financial year at the discretion of the responsible Minister</w:t>
      </w:r>
      <w:r w:rsidRPr="00941C9E">
        <w:rPr>
          <w:rFonts w:eastAsiaTheme="minorHAnsi"/>
        </w:rPr>
        <w:t>; however unissued New Home Guarantees from 2021-22 cannot be rolled over into the following financial year</w:t>
      </w:r>
      <w:r w:rsidRPr="00941C9E">
        <w:t>.</w:t>
      </w:r>
    </w:p>
    <w:p w14:paraId="7C34214C" w14:textId="77777777" w:rsidR="00E82BE9" w:rsidRPr="00941C9E" w:rsidRDefault="00E82BE9" w:rsidP="00E82BE9">
      <w:pPr>
        <w:pStyle w:val="BoxText"/>
        <w:rPr>
          <w:b/>
        </w:rPr>
      </w:pPr>
      <w:r w:rsidRPr="00941C9E">
        <w:rPr>
          <w:b/>
        </w:rPr>
        <w:t>Family Home Guarantee</w:t>
      </w:r>
    </w:p>
    <w:p w14:paraId="7C34214D" w14:textId="77777777" w:rsidR="00E82BE9" w:rsidRPr="00941C9E" w:rsidRDefault="00D60EB3" w:rsidP="00E82BE9">
      <w:pPr>
        <w:pStyle w:val="BoxText"/>
        <w:rPr>
          <w:rFonts w:eastAsiaTheme="minorHAnsi"/>
        </w:rPr>
      </w:pPr>
      <w:r w:rsidRPr="00941C9E">
        <w:rPr>
          <w:rFonts w:eastAsiaTheme="minorHAnsi"/>
        </w:rPr>
        <w:t>The Family Home Guarantee is a part of the FHLDS that specifically relates to single parents with dependants, including those who are not first home buyers. The purpose of the Family Home Guarantee is to support such single parents on a pathway to home ownership. It does this by allowing NHFIC to issue up to 10,000 guarantees from 1 July 2021 to 30 June 2025 to eligible single parents with a deposit of between 2 and 20 per cent of the property’s value. An eligible single parent is not required to be a first home buyer, but must not own property at the time of entering into a loan under the Family Home Guarantee. The single parent must meet the eligible lender’s credit assessment criteria.</w:t>
      </w:r>
    </w:p>
    <w:p w14:paraId="7C34214E" w14:textId="77777777" w:rsidR="00E82BE9" w:rsidRPr="00941C9E" w:rsidRDefault="00E82BE9" w:rsidP="00E82BE9">
      <w:pPr>
        <w:pStyle w:val="ItemHead"/>
      </w:pPr>
      <w:r w:rsidRPr="00941C9E">
        <w:fldChar w:fldCharType="begin"/>
      </w:r>
      <w:r w:rsidRPr="00941C9E">
        <w:instrText xml:space="preserve">  LISTNUM "main numbering" \l 5 \* MERGEFORMAT </w:instrText>
      </w:r>
      <w:r w:rsidRPr="00941C9E">
        <w:fldChar w:fldCharType="end"/>
      </w:r>
      <w:r w:rsidRPr="00941C9E">
        <w:t xml:space="preserve">  After subsection  29B(2)</w:t>
      </w:r>
    </w:p>
    <w:p w14:paraId="7C34214F" w14:textId="77777777" w:rsidR="00E82BE9" w:rsidRPr="00941C9E" w:rsidRDefault="00E82BE9" w:rsidP="00E82BE9">
      <w:pPr>
        <w:pStyle w:val="Item"/>
      </w:pPr>
      <w:r w:rsidRPr="00941C9E">
        <w:t>Insert:</w:t>
      </w:r>
    </w:p>
    <w:p w14:paraId="7C342150" w14:textId="77777777" w:rsidR="00E82BE9" w:rsidRPr="00941C9E" w:rsidRDefault="00E82BE9" w:rsidP="00E82BE9">
      <w:pPr>
        <w:pStyle w:val="subsection"/>
      </w:pPr>
      <w:r w:rsidRPr="00941C9E">
        <w:tab/>
        <w:t>(2A)</w:t>
      </w:r>
      <w:r w:rsidRPr="00941C9E">
        <w:tab/>
        <w:t>The NHFIC may establish different criteria and processes in relation to the approval of eligible lenders for guarantees issued under each of sections 29I, 29IA and 29IB.</w:t>
      </w:r>
    </w:p>
    <w:p w14:paraId="7C342151" w14:textId="77777777" w:rsidR="00443A45" w:rsidRPr="00941C9E" w:rsidRDefault="00443A45" w:rsidP="00443A45">
      <w:pPr>
        <w:pStyle w:val="ItemHead"/>
      </w:pPr>
      <w:r w:rsidRPr="00941C9E">
        <w:fldChar w:fldCharType="begin"/>
      </w:r>
      <w:r w:rsidRPr="00941C9E">
        <w:instrText xml:space="preserve">  LISTNUM "main numbering" \l 5 \* MERGEFORMAT </w:instrText>
      </w:r>
      <w:r w:rsidRPr="00941C9E">
        <w:fldChar w:fldCharType="end"/>
      </w:r>
      <w:r w:rsidRPr="00941C9E">
        <w:t xml:space="preserve">  Subsection  29C(2)</w:t>
      </w:r>
    </w:p>
    <w:p w14:paraId="7C342152" w14:textId="77777777" w:rsidR="00443A45" w:rsidRPr="00941C9E" w:rsidRDefault="00443A45" w:rsidP="00443A45">
      <w:pPr>
        <w:pStyle w:val="Item"/>
      </w:pPr>
      <w:r w:rsidRPr="00941C9E">
        <w:t>Omit “subsection (2A)”, substitute “subsections (2A) and (2B)”.</w:t>
      </w:r>
    </w:p>
    <w:p w14:paraId="7C342153" w14:textId="77777777" w:rsidR="00443A45" w:rsidRPr="00941C9E" w:rsidRDefault="00443A45" w:rsidP="00443A45">
      <w:pPr>
        <w:pStyle w:val="ItemHead"/>
      </w:pPr>
      <w:r w:rsidRPr="00941C9E">
        <w:fldChar w:fldCharType="begin"/>
      </w:r>
      <w:r w:rsidRPr="00941C9E">
        <w:instrText xml:space="preserve">  LISTNUM "main numbering" \l 5 \* MERGEFORMAT </w:instrText>
      </w:r>
      <w:r w:rsidRPr="00941C9E">
        <w:fldChar w:fldCharType="end"/>
      </w:r>
      <w:r w:rsidRPr="00941C9E">
        <w:t xml:space="preserve">  After subsection  29C(2A)</w:t>
      </w:r>
    </w:p>
    <w:p w14:paraId="7C342154" w14:textId="77777777" w:rsidR="00443A45" w:rsidRPr="00941C9E" w:rsidRDefault="00443A45" w:rsidP="00443A45">
      <w:pPr>
        <w:pStyle w:val="Item"/>
      </w:pPr>
      <w:r w:rsidRPr="00941C9E">
        <w:t>Insert:</w:t>
      </w:r>
    </w:p>
    <w:p w14:paraId="7C342155" w14:textId="77777777" w:rsidR="00443A45" w:rsidRPr="00941C9E" w:rsidRDefault="00443A45" w:rsidP="00443A45">
      <w:pPr>
        <w:pStyle w:val="subsection"/>
      </w:pPr>
      <w:r w:rsidRPr="00941C9E">
        <w:lastRenderedPageBreak/>
        <w:tab/>
        <w:t xml:space="preserve">(2B)  </w:t>
      </w:r>
      <w:r w:rsidRPr="00941C9E">
        <w:tab/>
        <w:t xml:space="preserve">For a Family Home Guarantee, paragraphs </w:t>
      </w:r>
      <w:r w:rsidR="00D60EB3" w:rsidRPr="00941C9E">
        <w:t>(</w:t>
      </w:r>
      <w:r w:rsidRPr="00941C9E">
        <w:t>2</w:t>
      </w:r>
      <w:r w:rsidR="00D60EB3" w:rsidRPr="00941C9E">
        <w:t>)</w:t>
      </w:r>
      <w:r w:rsidRPr="00941C9E">
        <w:t>(b), (c), (d) and (i) do not apply and the following requirements must be satisfied instead:</w:t>
      </w:r>
    </w:p>
    <w:p w14:paraId="7C342156" w14:textId="77777777" w:rsidR="00443A45" w:rsidRPr="00941C9E" w:rsidRDefault="00443A45" w:rsidP="00443A45">
      <w:pPr>
        <w:pStyle w:val="paragraph"/>
      </w:pPr>
      <w:r w:rsidRPr="00941C9E">
        <w:tab/>
        <w:t>(a)</w:t>
      </w:r>
      <w:r w:rsidRPr="00941C9E">
        <w:tab/>
        <w:t xml:space="preserve">there is a single borrower under the loan agreement who will be the only registered owner of the property; </w:t>
      </w:r>
    </w:p>
    <w:p w14:paraId="7C342157" w14:textId="77777777" w:rsidR="00443A45" w:rsidRPr="00941C9E" w:rsidRDefault="00443A45" w:rsidP="00443A45">
      <w:pPr>
        <w:pStyle w:val="paragraph"/>
      </w:pPr>
      <w:r w:rsidRPr="00941C9E">
        <w:tab/>
        <w:t>(b)</w:t>
      </w:r>
      <w:r w:rsidRPr="00941C9E">
        <w:tab/>
        <w:t>the borrower is an eligible single parent;</w:t>
      </w:r>
    </w:p>
    <w:p w14:paraId="7C342158" w14:textId="77777777" w:rsidR="004D6AD6" w:rsidRPr="00941C9E" w:rsidRDefault="004D6AD6" w:rsidP="004D6AD6">
      <w:pPr>
        <w:pStyle w:val="paragraph"/>
      </w:pPr>
      <w:r w:rsidRPr="00941C9E">
        <w:tab/>
        <w:t>(c)</w:t>
      </w:r>
      <w:r w:rsidRPr="00941C9E">
        <w:tab/>
        <w:t>the loan-to-value ratio is between 80 and 98 per cent.</w:t>
      </w:r>
    </w:p>
    <w:p w14:paraId="7C342159" w14:textId="77777777" w:rsidR="00443A45" w:rsidRPr="00941C9E" w:rsidRDefault="00443A45" w:rsidP="00443A45">
      <w:pPr>
        <w:pStyle w:val="ItemHead"/>
      </w:pPr>
      <w:r w:rsidRPr="00941C9E">
        <w:fldChar w:fldCharType="begin"/>
      </w:r>
      <w:r w:rsidRPr="00941C9E">
        <w:instrText xml:space="preserve">  LISTNUM "main numbering" \l 5 \* MERGEFORMAT </w:instrText>
      </w:r>
      <w:r w:rsidRPr="00941C9E">
        <w:fldChar w:fldCharType="end"/>
      </w:r>
      <w:r w:rsidRPr="00941C9E">
        <w:t xml:space="preserve">  Heading to section  29D</w:t>
      </w:r>
    </w:p>
    <w:p w14:paraId="7C34215A" w14:textId="77777777" w:rsidR="00443A45" w:rsidRPr="00941C9E" w:rsidRDefault="00443A45" w:rsidP="00443A45">
      <w:pPr>
        <w:pStyle w:val="Item"/>
      </w:pPr>
      <w:r w:rsidRPr="00941C9E">
        <w:t>A</w:t>
      </w:r>
      <w:r w:rsidR="004D6AD6" w:rsidRPr="00941C9E">
        <w:t>t the end, add</w:t>
      </w:r>
      <w:r w:rsidRPr="00941C9E">
        <w:t xml:space="preserve"> “and eligible single parent”.</w:t>
      </w:r>
    </w:p>
    <w:p w14:paraId="7C34215B" w14:textId="77777777" w:rsidR="00443A45" w:rsidRPr="00941C9E" w:rsidRDefault="00443A45" w:rsidP="00443A45">
      <w:pPr>
        <w:pStyle w:val="ItemHead"/>
      </w:pPr>
      <w:r w:rsidRPr="00941C9E">
        <w:fldChar w:fldCharType="begin"/>
      </w:r>
      <w:r w:rsidRPr="00941C9E">
        <w:instrText xml:space="preserve">  LISTNUM "main numbering" \l 5 \* MERGEFORMAT </w:instrText>
      </w:r>
      <w:r w:rsidRPr="00941C9E">
        <w:fldChar w:fldCharType="end"/>
      </w:r>
      <w:r w:rsidRPr="00941C9E">
        <w:t xml:space="preserve">  After subsection  29D(2)</w:t>
      </w:r>
    </w:p>
    <w:p w14:paraId="7C34215C" w14:textId="77777777" w:rsidR="00443A45" w:rsidRPr="00941C9E" w:rsidRDefault="00443A45" w:rsidP="00443A45">
      <w:pPr>
        <w:pStyle w:val="Item"/>
      </w:pPr>
      <w:r w:rsidRPr="00941C9E">
        <w:t>Insert:</w:t>
      </w:r>
    </w:p>
    <w:p w14:paraId="7C34215D" w14:textId="77777777" w:rsidR="00115CFA" w:rsidRPr="00941C9E" w:rsidRDefault="00941C9E" w:rsidP="00115CFA">
      <w:pPr>
        <w:pStyle w:val="subsection"/>
      </w:pPr>
      <w:r>
        <w:tab/>
      </w:r>
      <w:r w:rsidR="00115CFA" w:rsidRPr="00941C9E">
        <w:t>(3)</w:t>
      </w:r>
      <w:r w:rsidR="00115CFA" w:rsidRPr="00941C9E">
        <w:tab/>
        <w:t xml:space="preserve">A person is an </w:t>
      </w:r>
      <w:r w:rsidR="00115CFA" w:rsidRPr="00941C9E">
        <w:rPr>
          <w:b/>
          <w:i/>
        </w:rPr>
        <w:t xml:space="preserve">eligible single parent </w:t>
      </w:r>
      <w:r w:rsidR="00115CFA" w:rsidRPr="00941C9E">
        <w:t>in relation to a loan if, at the time the loan agreement is entered into:</w:t>
      </w:r>
    </w:p>
    <w:p w14:paraId="7C34215E" w14:textId="77777777" w:rsidR="00115CFA" w:rsidRPr="00941C9E" w:rsidRDefault="00115CFA" w:rsidP="00115CFA">
      <w:pPr>
        <w:pStyle w:val="paragraph"/>
      </w:pPr>
      <w:r w:rsidRPr="00941C9E">
        <w:tab/>
        <w:t>(a)</w:t>
      </w:r>
      <w:r w:rsidRPr="00941C9E">
        <w:tab/>
        <w:t>the person does not hold an interest mentioned in subparagraph (1)(a)(i), (ii) or (iii); and</w:t>
      </w:r>
    </w:p>
    <w:p w14:paraId="7C34215F" w14:textId="77777777" w:rsidR="00115CFA" w:rsidRPr="00941C9E" w:rsidRDefault="00115CFA" w:rsidP="00115CFA">
      <w:pPr>
        <w:pStyle w:val="paragraph"/>
      </w:pPr>
      <w:r w:rsidRPr="00941C9E">
        <w:tab/>
        <w:t>(b)</w:t>
      </w:r>
      <w:r w:rsidRPr="00941C9E">
        <w:tab/>
        <w:t>the person is at least 18 years of age and an Australian citizen; and</w:t>
      </w:r>
    </w:p>
    <w:p w14:paraId="7C342160" w14:textId="77777777" w:rsidR="00115CFA" w:rsidRPr="00941C9E" w:rsidRDefault="00115CFA" w:rsidP="00115CFA">
      <w:pPr>
        <w:pStyle w:val="paragraph"/>
      </w:pPr>
      <w:r w:rsidRPr="00941C9E">
        <w:tab/>
        <w:t>(c)</w:t>
      </w:r>
      <w:r w:rsidRPr="00941C9E">
        <w:tab/>
        <w:t>the person satisfies the income test; and</w:t>
      </w:r>
    </w:p>
    <w:p w14:paraId="7C342161" w14:textId="77777777" w:rsidR="00115CFA" w:rsidRPr="00941C9E" w:rsidRDefault="00115CFA" w:rsidP="00115CFA">
      <w:pPr>
        <w:pStyle w:val="paragraph"/>
      </w:pPr>
      <w:r w:rsidRPr="00941C9E">
        <w:tab/>
        <w:t xml:space="preserve">(d) </w:t>
      </w:r>
      <w:r w:rsidRPr="00941C9E">
        <w:tab/>
        <w:t>the person is single; and</w:t>
      </w:r>
    </w:p>
    <w:p w14:paraId="7C342162" w14:textId="77777777" w:rsidR="00115CFA" w:rsidRPr="00941C9E" w:rsidRDefault="00115CFA" w:rsidP="00115CFA">
      <w:pPr>
        <w:pStyle w:val="paragraph"/>
      </w:pPr>
      <w:r w:rsidRPr="00941C9E">
        <w:tab/>
        <w:t>(e)</w:t>
      </w:r>
      <w:r w:rsidRPr="00941C9E">
        <w:tab/>
        <w:t>the person has at least one dependent child.</w:t>
      </w:r>
    </w:p>
    <w:p w14:paraId="7C342163" w14:textId="77777777" w:rsidR="00115CFA" w:rsidRPr="00941C9E" w:rsidRDefault="00115CFA" w:rsidP="00115CFA">
      <w:pPr>
        <w:pStyle w:val="subsection"/>
      </w:pPr>
      <w:r w:rsidRPr="00941C9E">
        <w:tab/>
        <w:t xml:space="preserve"> (4)</w:t>
      </w:r>
      <w:r w:rsidRPr="00941C9E">
        <w:tab/>
        <w:t xml:space="preserve">For this section, a person is </w:t>
      </w:r>
      <w:r w:rsidRPr="00941C9E">
        <w:rPr>
          <w:b/>
          <w:i/>
        </w:rPr>
        <w:t>single</w:t>
      </w:r>
      <w:r w:rsidRPr="00941C9E">
        <w:t xml:space="preserve"> if:</w:t>
      </w:r>
    </w:p>
    <w:p w14:paraId="7C342164" w14:textId="77777777" w:rsidR="00941C9E" w:rsidRPr="00EF29CA" w:rsidRDefault="00941C9E" w:rsidP="00941C9E">
      <w:pPr>
        <w:pStyle w:val="paragraph"/>
      </w:pPr>
      <w:r w:rsidRPr="00EF29CA">
        <w:tab/>
        <w:t>(a)</w:t>
      </w:r>
      <w:r w:rsidRPr="00EF29CA">
        <w:tab/>
        <w:t>the person does not have a spouse; and</w:t>
      </w:r>
    </w:p>
    <w:p w14:paraId="7C342165" w14:textId="77777777" w:rsidR="00115CFA" w:rsidRPr="009A6277" w:rsidRDefault="00115CFA" w:rsidP="00115CFA">
      <w:pPr>
        <w:pStyle w:val="paragraph"/>
      </w:pPr>
      <w:r w:rsidRPr="00941C9E">
        <w:tab/>
        <w:t>(b)</w:t>
      </w:r>
      <w:r w:rsidRPr="00941C9E">
        <w:tab/>
        <w:t xml:space="preserve">the person does not </w:t>
      </w:r>
      <w:r w:rsidRPr="009A6277">
        <w:t>have a de facto partner.</w:t>
      </w:r>
    </w:p>
    <w:p w14:paraId="7C342166" w14:textId="77777777" w:rsidR="00115CFA" w:rsidRPr="009A6277" w:rsidRDefault="00115CFA" w:rsidP="00115CFA">
      <w:pPr>
        <w:pStyle w:val="subsection"/>
      </w:pPr>
      <w:r w:rsidRPr="009A6277">
        <w:tab/>
        <w:t>(5)</w:t>
      </w:r>
      <w:r w:rsidRPr="009A6277">
        <w:tab/>
        <w:t xml:space="preserve">For this section, a person is a dependent child of a second person (the </w:t>
      </w:r>
      <w:r w:rsidRPr="00373D2A">
        <w:rPr>
          <w:b/>
          <w:i/>
        </w:rPr>
        <w:t>adult)</w:t>
      </w:r>
      <w:r w:rsidRPr="009A6277">
        <w:t xml:space="preserve"> if:</w:t>
      </w:r>
    </w:p>
    <w:p w14:paraId="7C342167" w14:textId="77777777" w:rsidR="00115CFA" w:rsidRPr="009A6277" w:rsidRDefault="00115CFA" w:rsidP="00115CFA">
      <w:pPr>
        <w:pStyle w:val="paragraph"/>
      </w:pPr>
      <w:r w:rsidRPr="009A6277">
        <w:tab/>
        <w:t>(a)</w:t>
      </w:r>
      <w:r w:rsidRPr="009A6277">
        <w:tab/>
        <w:t xml:space="preserve">the adult is a natural or adoptive parent of the person; and </w:t>
      </w:r>
    </w:p>
    <w:p w14:paraId="7C342168" w14:textId="77777777" w:rsidR="00AC4BAB" w:rsidRPr="009A6277" w:rsidRDefault="00AC4BAB" w:rsidP="00AC4BAB">
      <w:pPr>
        <w:pStyle w:val="paragraph"/>
      </w:pPr>
      <w:r w:rsidRPr="009A6277">
        <w:tab/>
        <w:t>(b)</w:t>
      </w:r>
      <w:r w:rsidRPr="009A6277">
        <w:tab/>
        <w:t>either:</w:t>
      </w:r>
    </w:p>
    <w:p w14:paraId="7C342169" w14:textId="77777777" w:rsidR="00AC4BAB" w:rsidRPr="009A6277" w:rsidRDefault="00AC4BAB" w:rsidP="00AC4BAB">
      <w:pPr>
        <w:pStyle w:val="paragraphsub"/>
      </w:pPr>
      <w:r w:rsidRPr="009A6277">
        <w:tab/>
        <w:t>(i)</w:t>
      </w:r>
      <w:r w:rsidRPr="009A6277">
        <w:tab/>
        <w:t xml:space="preserve">the person is a dependent child of the adult within the meaning of subsections (2), (3), (4), (5), (6) and (7) of section 5 of the </w:t>
      </w:r>
      <w:r w:rsidRPr="00373D2A">
        <w:rPr>
          <w:i/>
        </w:rPr>
        <w:t>Social Security Act 1991</w:t>
      </w:r>
      <w:r w:rsidRPr="009A6277">
        <w:t>; or</w:t>
      </w:r>
    </w:p>
    <w:p w14:paraId="7C34216A" w14:textId="77777777" w:rsidR="00AC4BAB" w:rsidRPr="009A6277" w:rsidRDefault="00AC4BAB" w:rsidP="00AC4BAB">
      <w:pPr>
        <w:pStyle w:val="paragraphsub"/>
      </w:pPr>
      <w:r w:rsidRPr="009A6277">
        <w:tab/>
        <w:t>(ii)</w:t>
      </w:r>
      <w:r w:rsidRPr="009A6277">
        <w:tab/>
        <w:t>the person:</w:t>
      </w:r>
    </w:p>
    <w:p w14:paraId="7C34216B" w14:textId="77777777" w:rsidR="00AC4BAB" w:rsidRPr="009A6277" w:rsidRDefault="00AC4BAB" w:rsidP="00AC4BAB">
      <w:pPr>
        <w:pStyle w:val="paragraphsub-sub"/>
      </w:pPr>
      <w:r w:rsidRPr="009A6277">
        <w:tab/>
        <w:t>(A)</w:t>
      </w:r>
      <w:r w:rsidRPr="009A6277">
        <w:tab/>
        <w:t>is at least 16, but is under 22, years of age; and</w:t>
      </w:r>
    </w:p>
    <w:p w14:paraId="7C34216C" w14:textId="77777777" w:rsidR="00AC4BAB" w:rsidRPr="009A6277" w:rsidRDefault="00AC4BAB" w:rsidP="00AC4BAB">
      <w:pPr>
        <w:pStyle w:val="paragraphsub-sub"/>
      </w:pPr>
      <w:r w:rsidRPr="009A6277">
        <w:tab/>
        <w:t>(B)</w:t>
      </w:r>
      <w:r w:rsidRPr="009A6277">
        <w:tab/>
        <w:t xml:space="preserve">is in receipt of a disability support pension within the meaning of the </w:t>
      </w:r>
      <w:r w:rsidRPr="00F67C01">
        <w:rPr>
          <w:i/>
          <w:iCs/>
        </w:rPr>
        <w:t>Social Security Act 1991</w:t>
      </w:r>
      <w:r w:rsidRPr="009A6277">
        <w:t>; and</w:t>
      </w:r>
    </w:p>
    <w:p w14:paraId="7C34216D" w14:textId="77777777" w:rsidR="00AC4BAB" w:rsidRPr="009A6277" w:rsidRDefault="00AC4BAB" w:rsidP="00AC4BAB">
      <w:pPr>
        <w:pStyle w:val="paragraphsub-sub"/>
      </w:pPr>
      <w:r w:rsidRPr="009A6277">
        <w:tab/>
        <w:t>(C)</w:t>
      </w:r>
      <w:r w:rsidRPr="009A6277">
        <w:tab/>
        <w:t xml:space="preserve">lives with the adult. </w:t>
      </w:r>
    </w:p>
    <w:p w14:paraId="7C34216E" w14:textId="77777777" w:rsidR="00443A45" w:rsidRPr="00941C9E" w:rsidRDefault="00443A45" w:rsidP="00443A45">
      <w:pPr>
        <w:pStyle w:val="ItemHead"/>
      </w:pPr>
      <w:r w:rsidRPr="00941C9E">
        <w:fldChar w:fldCharType="begin"/>
      </w:r>
      <w:r w:rsidRPr="00941C9E">
        <w:instrText xml:space="preserve">  LISTNUM "main numbering" \l 5 \* MERGEFORMAT </w:instrText>
      </w:r>
      <w:r w:rsidRPr="00941C9E">
        <w:fldChar w:fldCharType="end"/>
      </w:r>
      <w:r w:rsidRPr="00941C9E">
        <w:t xml:space="preserve">  </w:t>
      </w:r>
      <w:r w:rsidR="00835DDA" w:rsidRPr="00941C9E">
        <w:t>S</w:t>
      </w:r>
      <w:r w:rsidRPr="00941C9E">
        <w:t>ubsection 29F(1)</w:t>
      </w:r>
    </w:p>
    <w:p w14:paraId="7C34216F" w14:textId="77777777" w:rsidR="00443A45" w:rsidRPr="00941C9E" w:rsidRDefault="00835DDA" w:rsidP="00443A45">
      <w:pPr>
        <w:pStyle w:val="Item"/>
      </w:pPr>
      <w:r w:rsidRPr="00941C9E">
        <w:t>Substitute</w:t>
      </w:r>
      <w:r w:rsidR="00443A45" w:rsidRPr="00941C9E">
        <w:t>:</w:t>
      </w:r>
    </w:p>
    <w:p w14:paraId="7C342170" w14:textId="77777777" w:rsidR="00443A45" w:rsidRPr="00941C9E" w:rsidRDefault="00835DDA" w:rsidP="00443A45">
      <w:pPr>
        <w:pStyle w:val="subsection"/>
      </w:pPr>
      <w:r w:rsidRPr="00941C9E">
        <w:tab/>
        <w:t>(1</w:t>
      </w:r>
      <w:r w:rsidR="00443A45" w:rsidRPr="00941C9E">
        <w:t>)</w:t>
      </w:r>
      <w:r w:rsidR="00443A45" w:rsidRPr="00941C9E">
        <w:tab/>
        <w:t>For the purposes of paragraph 29C(2)(g), for a loan that is not subject to a New Home Guarantee, the price cap for the area in which a residential property is located is the amount set out in the following table.</w:t>
      </w:r>
    </w:p>
    <w:p w14:paraId="7C342171" w14:textId="77777777" w:rsidR="00443A45" w:rsidRPr="00941C9E" w:rsidRDefault="00443A45" w:rsidP="00443A45">
      <w:pPr>
        <w:pStyle w:val="subsection"/>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59"/>
        <w:gridCol w:w="5362"/>
        <w:gridCol w:w="1843"/>
      </w:tblGrid>
      <w:tr w:rsidR="00941C9E" w:rsidRPr="00941C9E" w14:paraId="7C342173" w14:textId="77777777" w:rsidTr="005641F0">
        <w:trPr>
          <w:tblHeader/>
        </w:trPr>
        <w:tc>
          <w:tcPr>
            <w:tcW w:w="8364" w:type="dxa"/>
            <w:gridSpan w:val="3"/>
            <w:tcBorders>
              <w:top w:val="single" w:sz="12" w:space="0" w:color="auto"/>
              <w:bottom w:val="single" w:sz="6" w:space="0" w:color="auto"/>
            </w:tcBorders>
            <w:shd w:val="clear" w:color="auto" w:fill="auto"/>
            <w:hideMark/>
          </w:tcPr>
          <w:p w14:paraId="7C342172" w14:textId="77777777" w:rsidR="00443A45" w:rsidRPr="00941C9E" w:rsidRDefault="00443A45" w:rsidP="005641F0">
            <w:pPr>
              <w:pStyle w:val="TableHeading"/>
            </w:pPr>
            <w:r w:rsidRPr="00941C9E">
              <w:t>Price Cap for an area</w:t>
            </w:r>
          </w:p>
        </w:tc>
      </w:tr>
      <w:tr w:rsidR="00941C9E" w:rsidRPr="00941C9E" w14:paraId="7C342177" w14:textId="77777777" w:rsidTr="005641F0">
        <w:trPr>
          <w:tblHeader/>
        </w:trPr>
        <w:tc>
          <w:tcPr>
            <w:tcW w:w="1159" w:type="dxa"/>
            <w:tcBorders>
              <w:top w:val="single" w:sz="6" w:space="0" w:color="auto"/>
              <w:bottom w:val="single" w:sz="12" w:space="0" w:color="auto"/>
            </w:tcBorders>
            <w:shd w:val="clear" w:color="auto" w:fill="auto"/>
            <w:hideMark/>
          </w:tcPr>
          <w:p w14:paraId="7C342174" w14:textId="77777777" w:rsidR="00443A45" w:rsidRPr="00941C9E" w:rsidRDefault="00443A45" w:rsidP="005641F0">
            <w:pPr>
              <w:pStyle w:val="TableHeading"/>
            </w:pPr>
            <w:r w:rsidRPr="00941C9E">
              <w:t>Item</w:t>
            </w:r>
          </w:p>
        </w:tc>
        <w:tc>
          <w:tcPr>
            <w:tcW w:w="5362" w:type="dxa"/>
            <w:tcBorders>
              <w:top w:val="single" w:sz="6" w:space="0" w:color="auto"/>
              <w:bottom w:val="single" w:sz="12" w:space="0" w:color="auto"/>
            </w:tcBorders>
            <w:shd w:val="clear" w:color="auto" w:fill="auto"/>
            <w:hideMark/>
          </w:tcPr>
          <w:p w14:paraId="7C342175" w14:textId="77777777" w:rsidR="00443A45" w:rsidRPr="00941C9E" w:rsidRDefault="00443A45" w:rsidP="005641F0">
            <w:pPr>
              <w:pStyle w:val="TableHeading"/>
            </w:pPr>
            <w:r w:rsidRPr="00941C9E">
              <w:t>Area</w:t>
            </w:r>
          </w:p>
        </w:tc>
        <w:tc>
          <w:tcPr>
            <w:tcW w:w="1843" w:type="dxa"/>
            <w:tcBorders>
              <w:top w:val="single" w:sz="6" w:space="0" w:color="auto"/>
              <w:bottom w:val="single" w:sz="12" w:space="0" w:color="auto"/>
            </w:tcBorders>
            <w:shd w:val="clear" w:color="auto" w:fill="auto"/>
            <w:hideMark/>
          </w:tcPr>
          <w:p w14:paraId="7C342176" w14:textId="77777777" w:rsidR="00443A45" w:rsidRPr="00941C9E" w:rsidRDefault="00443A45" w:rsidP="005641F0">
            <w:pPr>
              <w:pStyle w:val="TableHeading"/>
            </w:pPr>
            <w:r w:rsidRPr="00941C9E">
              <w:t>Price cap</w:t>
            </w:r>
          </w:p>
        </w:tc>
      </w:tr>
      <w:tr w:rsidR="00EF29CA" w:rsidRPr="00941C9E" w14:paraId="7C34217B" w14:textId="77777777" w:rsidTr="005641F0">
        <w:tc>
          <w:tcPr>
            <w:tcW w:w="1159" w:type="dxa"/>
            <w:tcBorders>
              <w:top w:val="single" w:sz="8" w:space="0" w:color="auto"/>
              <w:bottom w:val="single" w:sz="8" w:space="0" w:color="auto"/>
            </w:tcBorders>
            <w:shd w:val="clear" w:color="auto" w:fill="auto"/>
          </w:tcPr>
          <w:p w14:paraId="7C342178" w14:textId="77777777" w:rsidR="00EF29CA" w:rsidRPr="00941C9E" w:rsidRDefault="00EF29CA" w:rsidP="00EF29CA">
            <w:pPr>
              <w:pStyle w:val="Tabletext"/>
            </w:pPr>
            <w:r w:rsidRPr="00941C9E">
              <w:t>1</w:t>
            </w:r>
          </w:p>
        </w:tc>
        <w:tc>
          <w:tcPr>
            <w:tcW w:w="5362" w:type="dxa"/>
            <w:tcBorders>
              <w:top w:val="single" w:sz="8" w:space="0" w:color="auto"/>
              <w:bottom w:val="single" w:sz="8" w:space="0" w:color="auto"/>
            </w:tcBorders>
            <w:shd w:val="clear" w:color="auto" w:fill="auto"/>
          </w:tcPr>
          <w:p w14:paraId="7C342179" w14:textId="77777777" w:rsidR="00EF29CA" w:rsidRPr="00941C9E" w:rsidRDefault="00EF29CA" w:rsidP="00EF29CA">
            <w:pPr>
              <w:pStyle w:val="Tabletext"/>
            </w:pPr>
            <w:r w:rsidRPr="00941C9E">
              <w:t>New South Wales—capital city and regional centre</w:t>
            </w:r>
          </w:p>
        </w:tc>
        <w:tc>
          <w:tcPr>
            <w:tcW w:w="1843" w:type="dxa"/>
            <w:tcBorders>
              <w:top w:val="single" w:sz="8" w:space="0" w:color="auto"/>
              <w:bottom w:val="single" w:sz="8" w:space="0" w:color="auto"/>
            </w:tcBorders>
            <w:shd w:val="clear" w:color="auto" w:fill="auto"/>
          </w:tcPr>
          <w:p w14:paraId="7C34217A" w14:textId="77777777" w:rsidR="00EF29CA" w:rsidRPr="00EF29CA" w:rsidRDefault="00EF29CA" w:rsidP="00EF29CA">
            <w:pPr>
              <w:pStyle w:val="Bullet"/>
              <w:keepNext/>
              <w:numPr>
                <w:ilvl w:val="0"/>
                <w:numId w:val="0"/>
              </w:numPr>
              <w:tabs>
                <w:tab w:val="left" w:pos="720"/>
              </w:tabs>
              <w:spacing w:before="40" w:after="40"/>
              <w:jc w:val="center"/>
              <w:rPr>
                <w:rFonts w:ascii="Times" w:hAnsi="Times" w:cs="Times"/>
                <w:bCs/>
                <w:color w:val="auto"/>
              </w:rPr>
            </w:pPr>
            <w:r w:rsidRPr="00EF29CA">
              <w:rPr>
                <w:rFonts w:ascii="Times" w:hAnsi="Times" w:cs="Times"/>
                <w:bCs/>
                <w:color w:val="auto"/>
              </w:rPr>
              <w:t>$800,000</w:t>
            </w:r>
          </w:p>
        </w:tc>
      </w:tr>
      <w:tr w:rsidR="00EF29CA" w:rsidRPr="00941C9E" w14:paraId="7C34217F" w14:textId="77777777" w:rsidTr="005641F0">
        <w:tc>
          <w:tcPr>
            <w:tcW w:w="1159" w:type="dxa"/>
            <w:tcBorders>
              <w:top w:val="single" w:sz="8" w:space="0" w:color="auto"/>
              <w:bottom w:val="single" w:sz="8" w:space="0" w:color="auto"/>
            </w:tcBorders>
            <w:shd w:val="clear" w:color="auto" w:fill="auto"/>
          </w:tcPr>
          <w:p w14:paraId="7C34217C" w14:textId="77777777" w:rsidR="00EF29CA" w:rsidRPr="00941C9E" w:rsidRDefault="00EF29CA" w:rsidP="00EF29CA">
            <w:pPr>
              <w:pStyle w:val="Tabletext"/>
            </w:pPr>
            <w:r w:rsidRPr="00941C9E">
              <w:t>2</w:t>
            </w:r>
          </w:p>
        </w:tc>
        <w:tc>
          <w:tcPr>
            <w:tcW w:w="5362" w:type="dxa"/>
            <w:tcBorders>
              <w:top w:val="single" w:sz="8" w:space="0" w:color="auto"/>
              <w:bottom w:val="single" w:sz="8" w:space="0" w:color="auto"/>
            </w:tcBorders>
            <w:shd w:val="clear" w:color="auto" w:fill="auto"/>
          </w:tcPr>
          <w:p w14:paraId="7C34217D" w14:textId="77777777" w:rsidR="00EF29CA" w:rsidRPr="00941C9E" w:rsidRDefault="00EF29CA" w:rsidP="00EF29CA">
            <w:pPr>
              <w:pStyle w:val="Tabletext"/>
            </w:pPr>
            <w:r w:rsidRPr="00941C9E">
              <w:t>New South Wales—other</w:t>
            </w:r>
          </w:p>
        </w:tc>
        <w:tc>
          <w:tcPr>
            <w:tcW w:w="1843" w:type="dxa"/>
            <w:tcBorders>
              <w:top w:val="single" w:sz="8" w:space="0" w:color="auto"/>
              <w:bottom w:val="single" w:sz="8" w:space="0" w:color="auto"/>
            </w:tcBorders>
            <w:shd w:val="clear" w:color="auto" w:fill="auto"/>
          </w:tcPr>
          <w:p w14:paraId="7C34217E" w14:textId="77777777" w:rsidR="00EF29CA" w:rsidRPr="00EF29CA" w:rsidRDefault="00EF29CA" w:rsidP="00EF29CA">
            <w:pPr>
              <w:pStyle w:val="Bullet"/>
              <w:keepNext/>
              <w:numPr>
                <w:ilvl w:val="0"/>
                <w:numId w:val="0"/>
              </w:numPr>
              <w:tabs>
                <w:tab w:val="left" w:pos="720"/>
              </w:tabs>
              <w:spacing w:before="40" w:after="40"/>
              <w:jc w:val="center"/>
              <w:rPr>
                <w:rFonts w:ascii="Times" w:hAnsi="Times" w:cs="Times"/>
                <w:bCs/>
                <w:color w:val="auto"/>
              </w:rPr>
            </w:pPr>
            <w:r w:rsidRPr="00EF29CA">
              <w:rPr>
                <w:rFonts w:ascii="Times" w:hAnsi="Times" w:cs="Times"/>
                <w:bCs/>
                <w:color w:val="auto"/>
              </w:rPr>
              <w:t>$600,000</w:t>
            </w:r>
          </w:p>
        </w:tc>
      </w:tr>
      <w:tr w:rsidR="00EF29CA" w:rsidRPr="00941C9E" w14:paraId="7C342183" w14:textId="77777777" w:rsidTr="005641F0">
        <w:tc>
          <w:tcPr>
            <w:tcW w:w="1159" w:type="dxa"/>
            <w:tcBorders>
              <w:top w:val="single" w:sz="8" w:space="0" w:color="auto"/>
              <w:bottom w:val="single" w:sz="8" w:space="0" w:color="auto"/>
            </w:tcBorders>
            <w:shd w:val="clear" w:color="auto" w:fill="auto"/>
          </w:tcPr>
          <w:p w14:paraId="7C342180" w14:textId="77777777" w:rsidR="00EF29CA" w:rsidRPr="00941C9E" w:rsidRDefault="00EF29CA" w:rsidP="00EF29CA">
            <w:pPr>
              <w:pStyle w:val="Tabletext"/>
            </w:pPr>
            <w:r w:rsidRPr="00941C9E">
              <w:t>3</w:t>
            </w:r>
          </w:p>
        </w:tc>
        <w:tc>
          <w:tcPr>
            <w:tcW w:w="5362" w:type="dxa"/>
            <w:tcBorders>
              <w:top w:val="single" w:sz="8" w:space="0" w:color="auto"/>
              <w:bottom w:val="single" w:sz="8" w:space="0" w:color="auto"/>
            </w:tcBorders>
            <w:shd w:val="clear" w:color="auto" w:fill="auto"/>
          </w:tcPr>
          <w:p w14:paraId="7C342181" w14:textId="77777777" w:rsidR="00EF29CA" w:rsidRPr="00941C9E" w:rsidRDefault="00EF29CA" w:rsidP="00EF29CA">
            <w:pPr>
              <w:pStyle w:val="Tabletext"/>
            </w:pPr>
            <w:r w:rsidRPr="00941C9E">
              <w:t>Victoria—capital city and regional centre</w:t>
            </w:r>
          </w:p>
        </w:tc>
        <w:tc>
          <w:tcPr>
            <w:tcW w:w="1843" w:type="dxa"/>
            <w:tcBorders>
              <w:top w:val="single" w:sz="8" w:space="0" w:color="auto"/>
              <w:bottom w:val="single" w:sz="8" w:space="0" w:color="auto"/>
            </w:tcBorders>
            <w:shd w:val="clear" w:color="auto" w:fill="auto"/>
          </w:tcPr>
          <w:p w14:paraId="7C342182" w14:textId="77777777" w:rsidR="00EF29CA" w:rsidRPr="00EF29CA" w:rsidRDefault="00EF29CA" w:rsidP="00EF29CA">
            <w:pPr>
              <w:pStyle w:val="Bullet"/>
              <w:keepNext/>
              <w:numPr>
                <w:ilvl w:val="0"/>
                <w:numId w:val="0"/>
              </w:numPr>
              <w:tabs>
                <w:tab w:val="left" w:pos="720"/>
              </w:tabs>
              <w:spacing w:before="40" w:after="40"/>
              <w:jc w:val="center"/>
              <w:rPr>
                <w:rFonts w:ascii="Times" w:hAnsi="Times" w:cs="Times"/>
                <w:bCs/>
                <w:color w:val="auto"/>
              </w:rPr>
            </w:pPr>
            <w:r w:rsidRPr="00EF29CA">
              <w:rPr>
                <w:rFonts w:ascii="Times" w:hAnsi="Times" w:cs="Times"/>
                <w:bCs/>
                <w:color w:val="auto"/>
              </w:rPr>
              <w:t>$700,000</w:t>
            </w:r>
          </w:p>
        </w:tc>
      </w:tr>
      <w:tr w:rsidR="00EF29CA" w:rsidRPr="00941C9E" w14:paraId="7C342187" w14:textId="77777777" w:rsidTr="005641F0">
        <w:tc>
          <w:tcPr>
            <w:tcW w:w="1159" w:type="dxa"/>
            <w:tcBorders>
              <w:top w:val="single" w:sz="8" w:space="0" w:color="auto"/>
              <w:bottom w:val="single" w:sz="8" w:space="0" w:color="auto"/>
            </w:tcBorders>
            <w:shd w:val="clear" w:color="auto" w:fill="auto"/>
          </w:tcPr>
          <w:p w14:paraId="7C342184" w14:textId="77777777" w:rsidR="00EF29CA" w:rsidRPr="00941C9E" w:rsidRDefault="00EF29CA" w:rsidP="00EF29CA">
            <w:pPr>
              <w:pStyle w:val="Tabletext"/>
            </w:pPr>
            <w:r w:rsidRPr="00941C9E">
              <w:t>4</w:t>
            </w:r>
          </w:p>
        </w:tc>
        <w:tc>
          <w:tcPr>
            <w:tcW w:w="5362" w:type="dxa"/>
            <w:tcBorders>
              <w:top w:val="single" w:sz="8" w:space="0" w:color="auto"/>
              <w:bottom w:val="single" w:sz="8" w:space="0" w:color="auto"/>
            </w:tcBorders>
            <w:shd w:val="clear" w:color="auto" w:fill="auto"/>
          </w:tcPr>
          <w:p w14:paraId="7C342185" w14:textId="77777777" w:rsidR="00EF29CA" w:rsidRPr="00941C9E" w:rsidRDefault="00EF29CA" w:rsidP="00EF29CA">
            <w:pPr>
              <w:pStyle w:val="Tabletext"/>
            </w:pPr>
            <w:r w:rsidRPr="00941C9E">
              <w:t>Victoria—other</w:t>
            </w:r>
          </w:p>
        </w:tc>
        <w:tc>
          <w:tcPr>
            <w:tcW w:w="1843" w:type="dxa"/>
            <w:tcBorders>
              <w:top w:val="single" w:sz="8" w:space="0" w:color="auto"/>
              <w:bottom w:val="single" w:sz="8" w:space="0" w:color="auto"/>
            </w:tcBorders>
            <w:shd w:val="clear" w:color="auto" w:fill="auto"/>
          </w:tcPr>
          <w:p w14:paraId="7C342186" w14:textId="77777777" w:rsidR="00EF29CA" w:rsidRPr="00EF29CA" w:rsidRDefault="00EF29CA" w:rsidP="00EF29CA">
            <w:pPr>
              <w:pStyle w:val="Bullet"/>
              <w:keepNext/>
              <w:numPr>
                <w:ilvl w:val="0"/>
                <w:numId w:val="0"/>
              </w:numPr>
              <w:tabs>
                <w:tab w:val="left" w:pos="720"/>
              </w:tabs>
              <w:spacing w:before="40" w:after="40"/>
              <w:jc w:val="center"/>
              <w:rPr>
                <w:rFonts w:ascii="Times" w:hAnsi="Times" w:cs="Times"/>
                <w:bCs/>
                <w:color w:val="auto"/>
              </w:rPr>
            </w:pPr>
            <w:r w:rsidRPr="00EF29CA">
              <w:rPr>
                <w:rFonts w:ascii="Times" w:hAnsi="Times" w:cs="Times"/>
                <w:bCs/>
                <w:color w:val="auto"/>
              </w:rPr>
              <w:t>$500,000</w:t>
            </w:r>
          </w:p>
        </w:tc>
      </w:tr>
      <w:tr w:rsidR="00EF29CA" w:rsidRPr="00941C9E" w14:paraId="7C34218B" w14:textId="77777777" w:rsidTr="005641F0">
        <w:tc>
          <w:tcPr>
            <w:tcW w:w="1159" w:type="dxa"/>
            <w:tcBorders>
              <w:top w:val="single" w:sz="8" w:space="0" w:color="auto"/>
              <w:bottom w:val="single" w:sz="8" w:space="0" w:color="auto"/>
            </w:tcBorders>
            <w:shd w:val="clear" w:color="auto" w:fill="auto"/>
          </w:tcPr>
          <w:p w14:paraId="7C342188" w14:textId="77777777" w:rsidR="00EF29CA" w:rsidRPr="00941C9E" w:rsidRDefault="00EF29CA" w:rsidP="00EF29CA">
            <w:pPr>
              <w:pStyle w:val="Tabletext"/>
            </w:pPr>
            <w:r w:rsidRPr="00941C9E">
              <w:t>5</w:t>
            </w:r>
          </w:p>
        </w:tc>
        <w:tc>
          <w:tcPr>
            <w:tcW w:w="5362" w:type="dxa"/>
            <w:tcBorders>
              <w:top w:val="single" w:sz="8" w:space="0" w:color="auto"/>
              <w:bottom w:val="single" w:sz="8" w:space="0" w:color="auto"/>
            </w:tcBorders>
            <w:shd w:val="clear" w:color="auto" w:fill="auto"/>
          </w:tcPr>
          <w:p w14:paraId="7C342189" w14:textId="77777777" w:rsidR="00EF29CA" w:rsidRPr="00941C9E" w:rsidRDefault="00EF29CA" w:rsidP="00EF29CA">
            <w:pPr>
              <w:pStyle w:val="Tabletext"/>
            </w:pPr>
            <w:r w:rsidRPr="00941C9E">
              <w:t>Queensland—capital city and regional centre</w:t>
            </w:r>
          </w:p>
        </w:tc>
        <w:tc>
          <w:tcPr>
            <w:tcW w:w="1843" w:type="dxa"/>
            <w:tcBorders>
              <w:top w:val="single" w:sz="8" w:space="0" w:color="auto"/>
              <w:bottom w:val="single" w:sz="8" w:space="0" w:color="auto"/>
            </w:tcBorders>
            <w:shd w:val="clear" w:color="auto" w:fill="auto"/>
          </w:tcPr>
          <w:p w14:paraId="7C34218A" w14:textId="77777777" w:rsidR="00EF29CA" w:rsidRPr="00EF29CA" w:rsidRDefault="00EF29CA" w:rsidP="00EF29CA">
            <w:pPr>
              <w:pStyle w:val="Bullet"/>
              <w:keepNext/>
              <w:numPr>
                <w:ilvl w:val="0"/>
                <w:numId w:val="0"/>
              </w:numPr>
              <w:tabs>
                <w:tab w:val="left" w:pos="720"/>
              </w:tabs>
              <w:spacing w:before="40" w:after="40"/>
              <w:jc w:val="center"/>
              <w:rPr>
                <w:rFonts w:ascii="Times" w:hAnsi="Times" w:cs="Times"/>
                <w:bCs/>
                <w:color w:val="auto"/>
              </w:rPr>
            </w:pPr>
            <w:r w:rsidRPr="00EF29CA">
              <w:rPr>
                <w:rFonts w:ascii="Times" w:hAnsi="Times" w:cs="Times"/>
                <w:bCs/>
                <w:color w:val="auto"/>
              </w:rPr>
              <w:t>$600,000</w:t>
            </w:r>
          </w:p>
        </w:tc>
      </w:tr>
      <w:tr w:rsidR="00EF29CA" w:rsidRPr="00941C9E" w14:paraId="7C34218F" w14:textId="77777777" w:rsidTr="005641F0">
        <w:tc>
          <w:tcPr>
            <w:tcW w:w="1159" w:type="dxa"/>
            <w:tcBorders>
              <w:top w:val="single" w:sz="8" w:space="0" w:color="auto"/>
              <w:bottom w:val="single" w:sz="8" w:space="0" w:color="auto"/>
            </w:tcBorders>
            <w:shd w:val="clear" w:color="auto" w:fill="auto"/>
          </w:tcPr>
          <w:p w14:paraId="7C34218C" w14:textId="77777777" w:rsidR="00EF29CA" w:rsidRPr="00941C9E" w:rsidRDefault="00EF29CA" w:rsidP="00EF29CA">
            <w:pPr>
              <w:pStyle w:val="Tabletext"/>
            </w:pPr>
            <w:r w:rsidRPr="00941C9E">
              <w:t>6</w:t>
            </w:r>
          </w:p>
        </w:tc>
        <w:tc>
          <w:tcPr>
            <w:tcW w:w="5362" w:type="dxa"/>
            <w:tcBorders>
              <w:top w:val="single" w:sz="8" w:space="0" w:color="auto"/>
              <w:bottom w:val="single" w:sz="8" w:space="0" w:color="auto"/>
            </w:tcBorders>
            <w:shd w:val="clear" w:color="auto" w:fill="auto"/>
          </w:tcPr>
          <w:p w14:paraId="7C34218D" w14:textId="77777777" w:rsidR="00EF29CA" w:rsidRPr="00941C9E" w:rsidRDefault="00EF29CA" w:rsidP="00EF29CA">
            <w:pPr>
              <w:pStyle w:val="Tabletext"/>
            </w:pPr>
            <w:r w:rsidRPr="00941C9E">
              <w:t>Queensland—other</w:t>
            </w:r>
          </w:p>
        </w:tc>
        <w:tc>
          <w:tcPr>
            <w:tcW w:w="1843" w:type="dxa"/>
            <w:tcBorders>
              <w:top w:val="single" w:sz="8" w:space="0" w:color="auto"/>
              <w:bottom w:val="single" w:sz="8" w:space="0" w:color="auto"/>
            </w:tcBorders>
            <w:shd w:val="clear" w:color="auto" w:fill="auto"/>
          </w:tcPr>
          <w:p w14:paraId="7C34218E" w14:textId="77777777" w:rsidR="00EF29CA" w:rsidRPr="00EF29CA" w:rsidRDefault="00EF29CA" w:rsidP="00EF29CA">
            <w:pPr>
              <w:pStyle w:val="Bullet"/>
              <w:keepNext/>
              <w:numPr>
                <w:ilvl w:val="0"/>
                <w:numId w:val="0"/>
              </w:numPr>
              <w:tabs>
                <w:tab w:val="left" w:pos="720"/>
              </w:tabs>
              <w:spacing w:before="40" w:after="40"/>
              <w:jc w:val="center"/>
              <w:rPr>
                <w:rFonts w:ascii="Times" w:hAnsi="Times" w:cs="Times"/>
                <w:bCs/>
                <w:color w:val="auto"/>
              </w:rPr>
            </w:pPr>
            <w:r w:rsidRPr="00EF29CA">
              <w:rPr>
                <w:rFonts w:ascii="Times" w:hAnsi="Times" w:cs="Times"/>
                <w:bCs/>
                <w:color w:val="auto"/>
              </w:rPr>
              <w:t>$450,000</w:t>
            </w:r>
          </w:p>
        </w:tc>
      </w:tr>
      <w:tr w:rsidR="00EF29CA" w:rsidRPr="00941C9E" w14:paraId="7C342193" w14:textId="77777777" w:rsidTr="005641F0">
        <w:tc>
          <w:tcPr>
            <w:tcW w:w="1159" w:type="dxa"/>
            <w:tcBorders>
              <w:top w:val="single" w:sz="8" w:space="0" w:color="auto"/>
              <w:bottom w:val="single" w:sz="8" w:space="0" w:color="auto"/>
            </w:tcBorders>
            <w:shd w:val="clear" w:color="auto" w:fill="auto"/>
          </w:tcPr>
          <w:p w14:paraId="7C342190" w14:textId="77777777" w:rsidR="00EF29CA" w:rsidRPr="00941C9E" w:rsidRDefault="00EF29CA" w:rsidP="00EF29CA">
            <w:pPr>
              <w:pStyle w:val="Tabletext"/>
            </w:pPr>
            <w:r w:rsidRPr="00941C9E">
              <w:t>7</w:t>
            </w:r>
          </w:p>
        </w:tc>
        <w:tc>
          <w:tcPr>
            <w:tcW w:w="5362" w:type="dxa"/>
            <w:tcBorders>
              <w:top w:val="single" w:sz="8" w:space="0" w:color="auto"/>
              <w:bottom w:val="single" w:sz="8" w:space="0" w:color="auto"/>
            </w:tcBorders>
            <w:shd w:val="clear" w:color="auto" w:fill="auto"/>
          </w:tcPr>
          <w:p w14:paraId="7C342191" w14:textId="77777777" w:rsidR="00EF29CA" w:rsidRPr="00941C9E" w:rsidRDefault="00EF29CA" w:rsidP="00EF29CA">
            <w:pPr>
              <w:pStyle w:val="Tabletext"/>
            </w:pPr>
            <w:r w:rsidRPr="00941C9E">
              <w:t>Western Australia—capital city</w:t>
            </w:r>
          </w:p>
        </w:tc>
        <w:tc>
          <w:tcPr>
            <w:tcW w:w="1843" w:type="dxa"/>
            <w:tcBorders>
              <w:top w:val="single" w:sz="8" w:space="0" w:color="auto"/>
              <w:bottom w:val="single" w:sz="8" w:space="0" w:color="auto"/>
            </w:tcBorders>
            <w:shd w:val="clear" w:color="auto" w:fill="auto"/>
          </w:tcPr>
          <w:p w14:paraId="7C342192" w14:textId="77777777" w:rsidR="00EF29CA" w:rsidRPr="00EF29CA" w:rsidRDefault="00EF29CA" w:rsidP="00EF29CA">
            <w:pPr>
              <w:pStyle w:val="Bullet"/>
              <w:keepNext/>
              <w:numPr>
                <w:ilvl w:val="0"/>
                <w:numId w:val="0"/>
              </w:numPr>
              <w:tabs>
                <w:tab w:val="left" w:pos="720"/>
              </w:tabs>
              <w:spacing w:before="40" w:after="40"/>
              <w:jc w:val="center"/>
              <w:rPr>
                <w:rFonts w:ascii="Times" w:hAnsi="Times" w:cs="Times"/>
                <w:bCs/>
                <w:color w:val="auto"/>
              </w:rPr>
            </w:pPr>
            <w:r w:rsidRPr="00EF29CA">
              <w:rPr>
                <w:rFonts w:ascii="Times" w:hAnsi="Times" w:cs="Times"/>
                <w:bCs/>
                <w:color w:val="auto"/>
              </w:rPr>
              <w:t>$500,000</w:t>
            </w:r>
          </w:p>
        </w:tc>
      </w:tr>
      <w:tr w:rsidR="00EF29CA" w:rsidRPr="00941C9E" w14:paraId="7C342197" w14:textId="77777777" w:rsidTr="005641F0">
        <w:tc>
          <w:tcPr>
            <w:tcW w:w="1159" w:type="dxa"/>
            <w:tcBorders>
              <w:top w:val="single" w:sz="8" w:space="0" w:color="auto"/>
              <w:bottom w:val="single" w:sz="8" w:space="0" w:color="auto"/>
            </w:tcBorders>
            <w:shd w:val="clear" w:color="auto" w:fill="auto"/>
          </w:tcPr>
          <w:p w14:paraId="7C342194" w14:textId="77777777" w:rsidR="00EF29CA" w:rsidRPr="00941C9E" w:rsidRDefault="00EF29CA" w:rsidP="00EF29CA">
            <w:pPr>
              <w:pStyle w:val="Tabletext"/>
            </w:pPr>
            <w:r w:rsidRPr="00941C9E">
              <w:t>8</w:t>
            </w:r>
          </w:p>
        </w:tc>
        <w:tc>
          <w:tcPr>
            <w:tcW w:w="5362" w:type="dxa"/>
            <w:tcBorders>
              <w:top w:val="single" w:sz="8" w:space="0" w:color="auto"/>
              <w:bottom w:val="single" w:sz="8" w:space="0" w:color="auto"/>
            </w:tcBorders>
            <w:shd w:val="clear" w:color="auto" w:fill="auto"/>
          </w:tcPr>
          <w:p w14:paraId="7C342195" w14:textId="77777777" w:rsidR="00EF29CA" w:rsidRPr="00941C9E" w:rsidRDefault="00EF29CA" w:rsidP="00EF29CA">
            <w:pPr>
              <w:pStyle w:val="Tabletext"/>
            </w:pPr>
            <w:r w:rsidRPr="00941C9E">
              <w:t>Western Australia—other</w:t>
            </w:r>
          </w:p>
        </w:tc>
        <w:tc>
          <w:tcPr>
            <w:tcW w:w="1843" w:type="dxa"/>
            <w:tcBorders>
              <w:top w:val="single" w:sz="8" w:space="0" w:color="auto"/>
              <w:bottom w:val="single" w:sz="8" w:space="0" w:color="auto"/>
            </w:tcBorders>
            <w:shd w:val="clear" w:color="auto" w:fill="auto"/>
          </w:tcPr>
          <w:p w14:paraId="7C342196" w14:textId="77777777" w:rsidR="00EF29CA" w:rsidRPr="00EF29CA" w:rsidRDefault="00EF29CA" w:rsidP="00EF29CA">
            <w:pPr>
              <w:pStyle w:val="Bullet"/>
              <w:keepNext/>
              <w:numPr>
                <w:ilvl w:val="0"/>
                <w:numId w:val="0"/>
              </w:numPr>
              <w:tabs>
                <w:tab w:val="left" w:pos="720"/>
              </w:tabs>
              <w:spacing w:before="40" w:after="40"/>
              <w:jc w:val="center"/>
              <w:rPr>
                <w:rFonts w:ascii="Times" w:hAnsi="Times" w:cs="Times"/>
                <w:bCs/>
                <w:color w:val="auto"/>
              </w:rPr>
            </w:pPr>
            <w:r w:rsidRPr="00EF29CA">
              <w:rPr>
                <w:rFonts w:ascii="Times" w:hAnsi="Times" w:cs="Times"/>
                <w:bCs/>
                <w:color w:val="auto"/>
              </w:rPr>
              <w:t>$400,000</w:t>
            </w:r>
          </w:p>
        </w:tc>
      </w:tr>
      <w:tr w:rsidR="00EF29CA" w:rsidRPr="00941C9E" w14:paraId="7C34219B" w14:textId="77777777" w:rsidTr="005641F0">
        <w:tc>
          <w:tcPr>
            <w:tcW w:w="1159" w:type="dxa"/>
            <w:tcBorders>
              <w:top w:val="single" w:sz="8" w:space="0" w:color="auto"/>
              <w:bottom w:val="single" w:sz="8" w:space="0" w:color="auto"/>
            </w:tcBorders>
            <w:shd w:val="clear" w:color="auto" w:fill="auto"/>
          </w:tcPr>
          <w:p w14:paraId="7C342198" w14:textId="77777777" w:rsidR="00EF29CA" w:rsidRPr="00941C9E" w:rsidRDefault="00EF29CA" w:rsidP="00EF29CA">
            <w:pPr>
              <w:pStyle w:val="Tabletext"/>
            </w:pPr>
            <w:r w:rsidRPr="00941C9E">
              <w:t>9</w:t>
            </w:r>
          </w:p>
        </w:tc>
        <w:tc>
          <w:tcPr>
            <w:tcW w:w="5362" w:type="dxa"/>
            <w:tcBorders>
              <w:top w:val="single" w:sz="8" w:space="0" w:color="auto"/>
              <w:bottom w:val="single" w:sz="8" w:space="0" w:color="auto"/>
            </w:tcBorders>
            <w:shd w:val="clear" w:color="auto" w:fill="auto"/>
          </w:tcPr>
          <w:p w14:paraId="7C342199" w14:textId="77777777" w:rsidR="00EF29CA" w:rsidRPr="00941C9E" w:rsidRDefault="00EF29CA" w:rsidP="00EF29CA">
            <w:pPr>
              <w:pStyle w:val="Tabletext"/>
            </w:pPr>
            <w:r w:rsidRPr="00941C9E">
              <w:t>South Australia—capital city</w:t>
            </w:r>
          </w:p>
        </w:tc>
        <w:tc>
          <w:tcPr>
            <w:tcW w:w="1843" w:type="dxa"/>
            <w:tcBorders>
              <w:top w:val="single" w:sz="8" w:space="0" w:color="auto"/>
              <w:bottom w:val="single" w:sz="8" w:space="0" w:color="auto"/>
            </w:tcBorders>
            <w:shd w:val="clear" w:color="auto" w:fill="auto"/>
          </w:tcPr>
          <w:p w14:paraId="7C34219A" w14:textId="77777777" w:rsidR="00EF29CA" w:rsidRPr="00EF29CA" w:rsidRDefault="00EF29CA" w:rsidP="00EF29CA">
            <w:pPr>
              <w:pStyle w:val="Bullet"/>
              <w:keepNext/>
              <w:numPr>
                <w:ilvl w:val="0"/>
                <w:numId w:val="0"/>
              </w:numPr>
              <w:tabs>
                <w:tab w:val="left" w:pos="720"/>
              </w:tabs>
              <w:spacing w:before="40" w:after="40"/>
              <w:jc w:val="center"/>
              <w:rPr>
                <w:rFonts w:ascii="Times" w:hAnsi="Times" w:cs="Times"/>
                <w:bCs/>
                <w:color w:val="auto"/>
              </w:rPr>
            </w:pPr>
            <w:r w:rsidRPr="00EF29CA">
              <w:rPr>
                <w:rFonts w:ascii="Times" w:hAnsi="Times" w:cs="Times"/>
                <w:bCs/>
                <w:color w:val="auto"/>
              </w:rPr>
              <w:t>$500,000</w:t>
            </w:r>
          </w:p>
        </w:tc>
      </w:tr>
      <w:tr w:rsidR="00EF29CA" w:rsidRPr="00941C9E" w14:paraId="7C34219F" w14:textId="77777777" w:rsidTr="005641F0">
        <w:tc>
          <w:tcPr>
            <w:tcW w:w="1159" w:type="dxa"/>
            <w:tcBorders>
              <w:top w:val="single" w:sz="8" w:space="0" w:color="auto"/>
              <w:bottom w:val="single" w:sz="8" w:space="0" w:color="auto"/>
            </w:tcBorders>
            <w:shd w:val="clear" w:color="auto" w:fill="auto"/>
          </w:tcPr>
          <w:p w14:paraId="7C34219C" w14:textId="77777777" w:rsidR="00EF29CA" w:rsidRPr="00941C9E" w:rsidRDefault="00EF29CA" w:rsidP="00EF29CA">
            <w:pPr>
              <w:pStyle w:val="Tabletext"/>
            </w:pPr>
            <w:r w:rsidRPr="00941C9E">
              <w:t>10</w:t>
            </w:r>
          </w:p>
        </w:tc>
        <w:tc>
          <w:tcPr>
            <w:tcW w:w="5362" w:type="dxa"/>
            <w:tcBorders>
              <w:top w:val="single" w:sz="8" w:space="0" w:color="auto"/>
              <w:bottom w:val="single" w:sz="8" w:space="0" w:color="auto"/>
            </w:tcBorders>
            <w:shd w:val="clear" w:color="auto" w:fill="auto"/>
          </w:tcPr>
          <w:p w14:paraId="7C34219D" w14:textId="77777777" w:rsidR="00EF29CA" w:rsidRPr="00941C9E" w:rsidRDefault="00EF29CA" w:rsidP="00EF29CA">
            <w:pPr>
              <w:pStyle w:val="Tabletext"/>
            </w:pPr>
            <w:r w:rsidRPr="00941C9E">
              <w:t>South Australia—other</w:t>
            </w:r>
          </w:p>
        </w:tc>
        <w:tc>
          <w:tcPr>
            <w:tcW w:w="1843" w:type="dxa"/>
            <w:tcBorders>
              <w:top w:val="single" w:sz="8" w:space="0" w:color="auto"/>
              <w:bottom w:val="single" w:sz="8" w:space="0" w:color="auto"/>
            </w:tcBorders>
            <w:shd w:val="clear" w:color="auto" w:fill="auto"/>
          </w:tcPr>
          <w:p w14:paraId="7C34219E" w14:textId="77777777" w:rsidR="00EF29CA" w:rsidRPr="00EF29CA" w:rsidRDefault="00EF29CA" w:rsidP="00EF29CA">
            <w:pPr>
              <w:pStyle w:val="Bullet"/>
              <w:keepNext/>
              <w:numPr>
                <w:ilvl w:val="0"/>
                <w:numId w:val="0"/>
              </w:numPr>
              <w:tabs>
                <w:tab w:val="left" w:pos="720"/>
              </w:tabs>
              <w:spacing w:before="40" w:after="40"/>
              <w:jc w:val="center"/>
              <w:rPr>
                <w:rFonts w:ascii="Times" w:hAnsi="Times" w:cs="Times"/>
                <w:bCs/>
                <w:color w:val="auto"/>
              </w:rPr>
            </w:pPr>
            <w:r w:rsidRPr="00EF29CA">
              <w:rPr>
                <w:rFonts w:ascii="Times" w:hAnsi="Times" w:cs="Times"/>
                <w:bCs/>
                <w:color w:val="auto"/>
              </w:rPr>
              <w:t>$350,000</w:t>
            </w:r>
          </w:p>
        </w:tc>
      </w:tr>
      <w:tr w:rsidR="00EF29CA" w:rsidRPr="00941C9E" w14:paraId="7C3421A3" w14:textId="77777777" w:rsidTr="005641F0">
        <w:tc>
          <w:tcPr>
            <w:tcW w:w="1159" w:type="dxa"/>
            <w:tcBorders>
              <w:top w:val="single" w:sz="8" w:space="0" w:color="auto"/>
              <w:bottom w:val="single" w:sz="8" w:space="0" w:color="auto"/>
            </w:tcBorders>
            <w:shd w:val="clear" w:color="auto" w:fill="auto"/>
          </w:tcPr>
          <w:p w14:paraId="7C3421A0" w14:textId="77777777" w:rsidR="00EF29CA" w:rsidRPr="00941C9E" w:rsidRDefault="00EF29CA" w:rsidP="00EF29CA">
            <w:pPr>
              <w:pStyle w:val="Tabletext"/>
            </w:pPr>
            <w:r w:rsidRPr="00941C9E">
              <w:t>11</w:t>
            </w:r>
          </w:p>
        </w:tc>
        <w:tc>
          <w:tcPr>
            <w:tcW w:w="5362" w:type="dxa"/>
            <w:tcBorders>
              <w:top w:val="single" w:sz="8" w:space="0" w:color="auto"/>
              <w:bottom w:val="single" w:sz="8" w:space="0" w:color="auto"/>
            </w:tcBorders>
            <w:shd w:val="clear" w:color="auto" w:fill="auto"/>
          </w:tcPr>
          <w:p w14:paraId="7C3421A1" w14:textId="77777777" w:rsidR="00EF29CA" w:rsidRPr="00941C9E" w:rsidRDefault="00EF29CA" w:rsidP="00EF29CA">
            <w:pPr>
              <w:pStyle w:val="Tabletext"/>
            </w:pPr>
            <w:r w:rsidRPr="00941C9E">
              <w:t>Tasmania—capital city</w:t>
            </w:r>
          </w:p>
        </w:tc>
        <w:tc>
          <w:tcPr>
            <w:tcW w:w="1843" w:type="dxa"/>
            <w:tcBorders>
              <w:top w:val="single" w:sz="8" w:space="0" w:color="auto"/>
              <w:bottom w:val="single" w:sz="8" w:space="0" w:color="auto"/>
            </w:tcBorders>
            <w:shd w:val="clear" w:color="auto" w:fill="auto"/>
          </w:tcPr>
          <w:p w14:paraId="7C3421A2" w14:textId="77777777" w:rsidR="00EF29CA" w:rsidRPr="00EF29CA" w:rsidRDefault="00EF29CA" w:rsidP="00EF29CA">
            <w:pPr>
              <w:pStyle w:val="Bullet"/>
              <w:keepNext/>
              <w:numPr>
                <w:ilvl w:val="0"/>
                <w:numId w:val="0"/>
              </w:numPr>
              <w:tabs>
                <w:tab w:val="left" w:pos="720"/>
              </w:tabs>
              <w:spacing w:before="40" w:after="40"/>
              <w:jc w:val="center"/>
              <w:rPr>
                <w:rFonts w:ascii="Times" w:hAnsi="Times" w:cs="Times"/>
                <w:bCs/>
                <w:color w:val="auto"/>
              </w:rPr>
            </w:pPr>
            <w:r w:rsidRPr="00EF29CA">
              <w:rPr>
                <w:rFonts w:ascii="Times" w:hAnsi="Times" w:cs="Times"/>
                <w:bCs/>
                <w:color w:val="auto"/>
              </w:rPr>
              <w:t>$500,000</w:t>
            </w:r>
          </w:p>
        </w:tc>
      </w:tr>
      <w:tr w:rsidR="00EF29CA" w:rsidRPr="00941C9E" w14:paraId="7C3421A7" w14:textId="77777777" w:rsidTr="005641F0">
        <w:tc>
          <w:tcPr>
            <w:tcW w:w="1159" w:type="dxa"/>
            <w:tcBorders>
              <w:top w:val="single" w:sz="8" w:space="0" w:color="auto"/>
              <w:bottom w:val="single" w:sz="8" w:space="0" w:color="auto"/>
            </w:tcBorders>
            <w:shd w:val="clear" w:color="auto" w:fill="auto"/>
          </w:tcPr>
          <w:p w14:paraId="7C3421A4" w14:textId="77777777" w:rsidR="00EF29CA" w:rsidRPr="00941C9E" w:rsidRDefault="00EF29CA" w:rsidP="00EF29CA">
            <w:pPr>
              <w:pStyle w:val="Tabletext"/>
            </w:pPr>
            <w:r w:rsidRPr="00941C9E">
              <w:t>12</w:t>
            </w:r>
          </w:p>
        </w:tc>
        <w:tc>
          <w:tcPr>
            <w:tcW w:w="5362" w:type="dxa"/>
            <w:tcBorders>
              <w:top w:val="single" w:sz="8" w:space="0" w:color="auto"/>
              <w:bottom w:val="single" w:sz="8" w:space="0" w:color="auto"/>
            </w:tcBorders>
            <w:shd w:val="clear" w:color="auto" w:fill="auto"/>
          </w:tcPr>
          <w:p w14:paraId="7C3421A5" w14:textId="77777777" w:rsidR="00EF29CA" w:rsidRPr="00941C9E" w:rsidRDefault="00EF29CA" w:rsidP="00EF29CA">
            <w:pPr>
              <w:pStyle w:val="Tabletext"/>
            </w:pPr>
            <w:r w:rsidRPr="00941C9E">
              <w:t>Tasmania—other</w:t>
            </w:r>
          </w:p>
        </w:tc>
        <w:tc>
          <w:tcPr>
            <w:tcW w:w="1843" w:type="dxa"/>
            <w:tcBorders>
              <w:top w:val="single" w:sz="8" w:space="0" w:color="auto"/>
              <w:bottom w:val="single" w:sz="8" w:space="0" w:color="auto"/>
            </w:tcBorders>
            <w:shd w:val="clear" w:color="auto" w:fill="auto"/>
          </w:tcPr>
          <w:p w14:paraId="7C3421A6" w14:textId="77777777" w:rsidR="00EF29CA" w:rsidRPr="00EF29CA" w:rsidRDefault="00EF29CA" w:rsidP="00EF29CA">
            <w:pPr>
              <w:pStyle w:val="Bullet"/>
              <w:keepNext/>
              <w:numPr>
                <w:ilvl w:val="0"/>
                <w:numId w:val="0"/>
              </w:numPr>
              <w:tabs>
                <w:tab w:val="left" w:pos="720"/>
              </w:tabs>
              <w:spacing w:before="40" w:after="40"/>
              <w:jc w:val="center"/>
              <w:rPr>
                <w:rFonts w:ascii="Times" w:hAnsi="Times" w:cs="Times"/>
                <w:bCs/>
                <w:color w:val="auto"/>
              </w:rPr>
            </w:pPr>
            <w:r w:rsidRPr="00EF29CA">
              <w:rPr>
                <w:rFonts w:ascii="Times" w:hAnsi="Times" w:cs="Times"/>
                <w:bCs/>
                <w:color w:val="auto"/>
              </w:rPr>
              <w:t>$400,000</w:t>
            </w:r>
          </w:p>
        </w:tc>
      </w:tr>
      <w:tr w:rsidR="00EF29CA" w:rsidRPr="00941C9E" w14:paraId="7C3421AB" w14:textId="77777777" w:rsidTr="005641F0">
        <w:tc>
          <w:tcPr>
            <w:tcW w:w="1159" w:type="dxa"/>
            <w:tcBorders>
              <w:top w:val="single" w:sz="8" w:space="0" w:color="auto"/>
              <w:bottom w:val="single" w:sz="8" w:space="0" w:color="auto"/>
            </w:tcBorders>
            <w:shd w:val="clear" w:color="auto" w:fill="auto"/>
          </w:tcPr>
          <w:p w14:paraId="7C3421A8" w14:textId="77777777" w:rsidR="00EF29CA" w:rsidRPr="00941C9E" w:rsidRDefault="00EF29CA" w:rsidP="00EF29CA">
            <w:pPr>
              <w:pStyle w:val="Tabletext"/>
            </w:pPr>
            <w:r w:rsidRPr="00941C9E">
              <w:t>13</w:t>
            </w:r>
          </w:p>
        </w:tc>
        <w:tc>
          <w:tcPr>
            <w:tcW w:w="5362" w:type="dxa"/>
            <w:tcBorders>
              <w:top w:val="single" w:sz="8" w:space="0" w:color="auto"/>
              <w:bottom w:val="single" w:sz="8" w:space="0" w:color="auto"/>
            </w:tcBorders>
            <w:shd w:val="clear" w:color="auto" w:fill="auto"/>
          </w:tcPr>
          <w:p w14:paraId="7C3421A9" w14:textId="77777777" w:rsidR="00EF29CA" w:rsidRPr="00941C9E" w:rsidRDefault="00EF29CA" w:rsidP="00EF29CA">
            <w:pPr>
              <w:pStyle w:val="Tabletext"/>
            </w:pPr>
            <w:r w:rsidRPr="00941C9E">
              <w:t>Australian Capital Territory</w:t>
            </w:r>
          </w:p>
        </w:tc>
        <w:tc>
          <w:tcPr>
            <w:tcW w:w="1843" w:type="dxa"/>
            <w:tcBorders>
              <w:top w:val="single" w:sz="8" w:space="0" w:color="auto"/>
              <w:bottom w:val="single" w:sz="8" w:space="0" w:color="auto"/>
            </w:tcBorders>
            <w:shd w:val="clear" w:color="auto" w:fill="auto"/>
          </w:tcPr>
          <w:p w14:paraId="7C3421AA" w14:textId="77777777" w:rsidR="00EF29CA" w:rsidRPr="00EF29CA" w:rsidRDefault="00EF29CA" w:rsidP="00EF29CA">
            <w:pPr>
              <w:pStyle w:val="Bullet"/>
              <w:keepNext/>
              <w:numPr>
                <w:ilvl w:val="0"/>
                <w:numId w:val="0"/>
              </w:numPr>
              <w:tabs>
                <w:tab w:val="left" w:pos="720"/>
              </w:tabs>
              <w:spacing w:before="40" w:after="40"/>
              <w:jc w:val="center"/>
              <w:rPr>
                <w:rFonts w:ascii="Times" w:hAnsi="Times" w:cs="Times"/>
                <w:bCs/>
                <w:color w:val="auto"/>
              </w:rPr>
            </w:pPr>
            <w:r w:rsidRPr="00EF29CA">
              <w:rPr>
                <w:rFonts w:ascii="Times" w:hAnsi="Times" w:cs="Times"/>
                <w:bCs/>
                <w:color w:val="auto"/>
              </w:rPr>
              <w:t>$500,000</w:t>
            </w:r>
          </w:p>
        </w:tc>
      </w:tr>
      <w:tr w:rsidR="00EF29CA" w:rsidRPr="00941C9E" w14:paraId="7C3421AF" w14:textId="77777777" w:rsidTr="005641F0">
        <w:tc>
          <w:tcPr>
            <w:tcW w:w="1159" w:type="dxa"/>
            <w:tcBorders>
              <w:top w:val="single" w:sz="8" w:space="0" w:color="auto"/>
              <w:bottom w:val="single" w:sz="8" w:space="0" w:color="auto"/>
            </w:tcBorders>
            <w:shd w:val="clear" w:color="auto" w:fill="auto"/>
          </w:tcPr>
          <w:p w14:paraId="7C3421AC" w14:textId="77777777" w:rsidR="00EF29CA" w:rsidRPr="00941C9E" w:rsidRDefault="00EF29CA" w:rsidP="00EF29CA">
            <w:pPr>
              <w:pStyle w:val="Tabletext"/>
            </w:pPr>
            <w:r w:rsidRPr="00941C9E">
              <w:t>14</w:t>
            </w:r>
          </w:p>
        </w:tc>
        <w:tc>
          <w:tcPr>
            <w:tcW w:w="5362" w:type="dxa"/>
            <w:tcBorders>
              <w:top w:val="single" w:sz="8" w:space="0" w:color="auto"/>
              <w:bottom w:val="single" w:sz="8" w:space="0" w:color="auto"/>
            </w:tcBorders>
            <w:shd w:val="clear" w:color="auto" w:fill="auto"/>
          </w:tcPr>
          <w:p w14:paraId="7C3421AD" w14:textId="77777777" w:rsidR="00EF29CA" w:rsidRPr="00941C9E" w:rsidRDefault="00EF29CA" w:rsidP="00EF29CA">
            <w:pPr>
              <w:pStyle w:val="Tabletext"/>
            </w:pPr>
            <w:r w:rsidRPr="00941C9E">
              <w:t>Northern Territory</w:t>
            </w:r>
          </w:p>
        </w:tc>
        <w:tc>
          <w:tcPr>
            <w:tcW w:w="1843" w:type="dxa"/>
            <w:tcBorders>
              <w:top w:val="single" w:sz="8" w:space="0" w:color="auto"/>
              <w:bottom w:val="single" w:sz="8" w:space="0" w:color="auto"/>
            </w:tcBorders>
            <w:shd w:val="clear" w:color="auto" w:fill="auto"/>
          </w:tcPr>
          <w:p w14:paraId="7C3421AE" w14:textId="77777777" w:rsidR="00EF29CA" w:rsidRPr="00EF29CA" w:rsidRDefault="00EF29CA" w:rsidP="00EF29CA">
            <w:pPr>
              <w:pStyle w:val="Bullet"/>
              <w:keepNext/>
              <w:numPr>
                <w:ilvl w:val="0"/>
                <w:numId w:val="0"/>
              </w:numPr>
              <w:tabs>
                <w:tab w:val="left" w:pos="720"/>
              </w:tabs>
              <w:spacing w:before="40" w:after="40"/>
              <w:jc w:val="center"/>
              <w:rPr>
                <w:rFonts w:ascii="Times" w:hAnsi="Times" w:cs="Times"/>
                <w:bCs/>
                <w:color w:val="auto"/>
              </w:rPr>
            </w:pPr>
            <w:r w:rsidRPr="00EF29CA">
              <w:rPr>
                <w:rFonts w:ascii="Times" w:hAnsi="Times" w:cs="Times"/>
                <w:bCs/>
                <w:color w:val="auto"/>
              </w:rPr>
              <w:t>$500,000</w:t>
            </w:r>
          </w:p>
        </w:tc>
      </w:tr>
      <w:tr w:rsidR="00EF29CA" w:rsidRPr="00941C9E" w14:paraId="7C3421B3" w14:textId="77777777" w:rsidTr="00C531C1">
        <w:tc>
          <w:tcPr>
            <w:tcW w:w="1159" w:type="dxa"/>
            <w:tcBorders>
              <w:top w:val="single" w:sz="8" w:space="0" w:color="auto"/>
              <w:bottom w:val="single" w:sz="8" w:space="0" w:color="auto"/>
            </w:tcBorders>
            <w:shd w:val="clear" w:color="auto" w:fill="auto"/>
          </w:tcPr>
          <w:p w14:paraId="7C3421B0" w14:textId="77777777" w:rsidR="00EF29CA" w:rsidRPr="00941C9E" w:rsidRDefault="00EF29CA" w:rsidP="00EF29CA">
            <w:pPr>
              <w:pStyle w:val="Tabletext"/>
            </w:pPr>
            <w:r w:rsidRPr="00941C9E">
              <w:t>15</w:t>
            </w:r>
          </w:p>
        </w:tc>
        <w:tc>
          <w:tcPr>
            <w:tcW w:w="5362" w:type="dxa"/>
            <w:tcBorders>
              <w:top w:val="single" w:sz="8" w:space="0" w:color="auto"/>
              <w:bottom w:val="single" w:sz="8" w:space="0" w:color="auto"/>
            </w:tcBorders>
            <w:shd w:val="clear" w:color="auto" w:fill="auto"/>
          </w:tcPr>
          <w:p w14:paraId="7C3421B1" w14:textId="77777777" w:rsidR="00EF29CA" w:rsidRPr="00941C9E" w:rsidRDefault="00EF29CA" w:rsidP="00EF29CA">
            <w:pPr>
              <w:pStyle w:val="Tabletext"/>
            </w:pPr>
            <w:r w:rsidRPr="00941C9E">
              <w:t>Jervis Bay Territory and Norfolk Island</w:t>
            </w:r>
          </w:p>
        </w:tc>
        <w:tc>
          <w:tcPr>
            <w:tcW w:w="1843" w:type="dxa"/>
            <w:tcBorders>
              <w:top w:val="single" w:sz="8" w:space="0" w:color="auto"/>
              <w:bottom w:val="single" w:sz="8" w:space="0" w:color="auto"/>
            </w:tcBorders>
            <w:shd w:val="clear" w:color="auto" w:fill="auto"/>
            <w:vAlign w:val="center"/>
          </w:tcPr>
          <w:p w14:paraId="7C3421B2" w14:textId="77777777" w:rsidR="00EF29CA" w:rsidRPr="00EF29CA" w:rsidRDefault="00EF29CA" w:rsidP="00EF29CA">
            <w:pPr>
              <w:pStyle w:val="Bullet"/>
              <w:keepNext/>
              <w:numPr>
                <w:ilvl w:val="0"/>
                <w:numId w:val="0"/>
              </w:numPr>
              <w:tabs>
                <w:tab w:val="left" w:pos="720"/>
              </w:tabs>
              <w:spacing w:before="40" w:after="40"/>
              <w:jc w:val="center"/>
              <w:rPr>
                <w:rFonts w:ascii="Times" w:hAnsi="Times" w:cs="Times"/>
                <w:bCs/>
                <w:color w:val="auto"/>
              </w:rPr>
            </w:pPr>
            <w:r w:rsidRPr="00EF29CA">
              <w:rPr>
                <w:rFonts w:ascii="Times" w:hAnsi="Times" w:cs="Times"/>
                <w:bCs/>
                <w:color w:val="auto"/>
              </w:rPr>
              <w:t>$550,000</w:t>
            </w:r>
          </w:p>
        </w:tc>
      </w:tr>
      <w:tr w:rsidR="00EF29CA" w:rsidRPr="00941C9E" w14:paraId="7C3421B7" w14:textId="77777777" w:rsidTr="00C531C1">
        <w:tc>
          <w:tcPr>
            <w:tcW w:w="1159" w:type="dxa"/>
            <w:tcBorders>
              <w:top w:val="single" w:sz="8" w:space="0" w:color="auto"/>
              <w:bottom w:val="single" w:sz="8" w:space="0" w:color="auto"/>
            </w:tcBorders>
            <w:shd w:val="clear" w:color="auto" w:fill="auto"/>
          </w:tcPr>
          <w:p w14:paraId="7C3421B4" w14:textId="77777777" w:rsidR="00EF29CA" w:rsidRPr="00941C9E" w:rsidRDefault="00EF29CA" w:rsidP="00EF29CA">
            <w:pPr>
              <w:pStyle w:val="Tabletext"/>
            </w:pPr>
            <w:r w:rsidRPr="00941C9E">
              <w:t>16</w:t>
            </w:r>
          </w:p>
        </w:tc>
        <w:tc>
          <w:tcPr>
            <w:tcW w:w="5362" w:type="dxa"/>
            <w:tcBorders>
              <w:top w:val="single" w:sz="8" w:space="0" w:color="auto"/>
              <w:bottom w:val="single" w:sz="8" w:space="0" w:color="auto"/>
            </w:tcBorders>
            <w:shd w:val="clear" w:color="auto" w:fill="auto"/>
          </w:tcPr>
          <w:p w14:paraId="7C3421B5" w14:textId="77777777" w:rsidR="00EF29CA" w:rsidRPr="00941C9E" w:rsidRDefault="00EF29CA" w:rsidP="00EF29CA">
            <w:pPr>
              <w:pStyle w:val="Tabletext"/>
            </w:pPr>
            <w:r w:rsidRPr="00941C9E">
              <w:t>Christmas Island and Cocos (Keeling) Islands</w:t>
            </w:r>
          </w:p>
        </w:tc>
        <w:tc>
          <w:tcPr>
            <w:tcW w:w="1843" w:type="dxa"/>
            <w:tcBorders>
              <w:top w:val="single" w:sz="8" w:space="0" w:color="auto"/>
              <w:bottom w:val="single" w:sz="8" w:space="0" w:color="auto"/>
            </w:tcBorders>
            <w:shd w:val="clear" w:color="auto" w:fill="auto"/>
            <w:vAlign w:val="center"/>
          </w:tcPr>
          <w:p w14:paraId="7C3421B6" w14:textId="77777777" w:rsidR="00EF29CA" w:rsidRPr="00EF29CA" w:rsidRDefault="00EF29CA" w:rsidP="00EF29CA">
            <w:pPr>
              <w:pStyle w:val="Bullet"/>
              <w:keepNext/>
              <w:numPr>
                <w:ilvl w:val="0"/>
                <w:numId w:val="0"/>
              </w:numPr>
              <w:tabs>
                <w:tab w:val="left" w:pos="720"/>
              </w:tabs>
              <w:spacing w:before="40" w:after="40"/>
              <w:jc w:val="center"/>
              <w:rPr>
                <w:rFonts w:ascii="Times" w:hAnsi="Times" w:cs="Times"/>
                <w:bCs/>
                <w:color w:val="auto"/>
              </w:rPr>
            </w:pPr>
            <w:r w:rsidRPr="00EF29CA">
              <w:rPr>
                <w:rFonts w:ascii="Times" w:hAnsi="Times" w:cs="Times"/>
                <w:bCs/>
                <w:color w:val="auto"/>
              </w:rPr>
              <w:t>$400,000</w:t>
            </w:r>
          </w:p>
        </w:tc>
      </w:tr>
    </w:tbl>
    <w:p w14:paraId="7C3421B8" w14:textId="77777777" w:rsidR="0081375C" w:rsidRPr="00941C9E" w:rsidRDefault="0081375C" w:rsidP="0081375C">
      <w:pPr>
        <w:pStyle w:val="ItemHead"/>
      </w:pPr>
      <w:r w:rsidRPr="00941C9E">
        <w:fldChar w:fldCharType="begin"/>
      </w:r>
      <w:r w:rsidRPr="00941C9E">
        <w:instrText xml:space="preserve">  LISTNUM "main numbering" \l 5 \* MERGEFORMAT </w:instrText>
      </w:r>
      <w:r w:rsidRPr="00941C9E">
        <w:fldChar w:fldCharType="end"/>
      </w:r>
      <w:r w:rsidRPr="00941C9E">
        <w:t xml:space="preserve">  Subsection 29IA(</w:t>
      </w:r>
      <w:r w:rsidR="00F3565A">
        <w:t>1</w:t>
      </w:r>
      <w:r w:rsidRPr="00941C9E">
        <w:t>)</w:t>
      </w:r>
    </w:p>
    <w:p w14:paraId="7C3421B9" w14:textId="77777777" w:rsidR="0081375C" w:rsidRPr="00941C9E" w:rsidRDefault="0081375C" w:rsidP="0081375C">
      <w:pPr>
        <w:pStyle w:val="Item"/>
      </w:pPr>
      <w:r w:rsidRPr="00941C9E">
        <w:t>After “section 29I”, insert “or 29IB”.</w:t>
      </w:r>
    </w:p>
    <w:p w14:paraId="7C3421BA" w14:textId="77777777" w:rsidR="00443A45" w:rsidRPr="00941C9E" w:rsidRDefault="00443A45" w:rsidP="00443A45">
      <w:pPr>
        <w:pStyle w:val="ItemHead"/>
      </w:pPr>
      <w:r w:rsidRPr="00941C9E">
        <w:fldChar w:fldCharType="begin"/>
      </w:r>
      <w:r w:rsidRPr="00941C9E">
        <w:instrText xml:space="preserve">  LISTNUM "main numbering" \l 5 \* MERGEFORMAT </w:instrText>
      </w:r>
      <w:r w:rsidRPr="00941C9E">
        <w:fldChar w:fldCharType="end"/>
      </w:r>
      <w:r w:rsidRPr="00941C9E">
        <w:t xml:space="preserve">  After subsection 29IA(2)</w:t>
      </w:r>
    </w:p>
    <w:p w14:paraId="7C3421BB" w14:textId="77777777" w:rsidR="00443A45" w:rsidRPr="00941C9E" w:rsidRDefault="00443A45" w:rsidP="00443A45">
      <w:pPr>
        <w:pStyle w:val="Item"/>
      </w:pPr>
      <w:r w:rsidRPr="00941C9E">
        <w:t>Insert:</w:t>
      </w:r>
    </w:p>
    <w:p w14:paraId="7C3421BC" w14:textId="77777777" w:rsidR="00443A45" w:rsidRPr="00941C9E" w:rsidRDefault="00443A45" w:rsidP="00443A45">
      <w:pPr>
        <w:pStyle w:val="SubsectionHead"/>
      </w:pPr>
      <w:r w:rsidRPr="00941C9E">
        <w:t>Additional guarantees for the 2021-22 financial year</w:t>
      </w:r>
    </w:p>
    <w:p w14:paraId="7C3421BD" w14:textId="77777777" w:rsidR="00443A45" w:rsidRPr="00941C9E" w:rsidRDefault="00443A45" w:rsidP="00443A45">
      <w:pPr>
        <w:pStyle w:val="subsection"/>
      </w:pPr>
      <w:r w:rsidRPr="00941C9E">
        <w:tab/>
        <w:t>(2A)</w:t>
      </w:r>
      <w:r w:rsidRPr="00941C9E">
        <w:tab/>
        <w:t>In addition to the guarantees that the NHFIC may issue under:</w:t>
      </w:r>
    </w:p>
    <w:p w14:paraId="7C3421BE" w14:textId="77777777" w:rsidR="00443A45" w:rsidRPr="00941C9E" w:rsidRDefault="00443A45" w:rsidP="00443A45">
      <w:pPr>
        <w:pStyle w:val="paragraph"/>
      </w:pPr>
      <w:r w:rsidRPr="00941C9E">
        <w:tab/>
        <w:t>(a)</w:t>
      </w:r>
      <w:r w:rsidRPr="00941C9E">
        <w:tab/>
        <w:t>section 29I</w:t>
      </w:r>
      <w:r w:rsidR="0081375C" w:rsidRPr="00941C9E">
        <w:t xml:space="preserve"> or 29IB</w:t>
      </w:r>
      <w:r w:rsidRPr="00941C9E">
        <w:t>; or</w:t>
      </w:r>
    </w:p>
    <w:p w14:paraId="7C3421BF" w14:textId="77777777" w:rsidR="00443A45" w:rsidRPr="00941C9E" w:rsidRDefault="00443A45" w:rsidP="00443A45">
      <w:pPr>
        <w:pStyle w:val="paragraph"/>
      </w:pPr>
      <w:r w:rsidRPr="00941C9E">
        <w:tab/>
        <w:t>(b)</w:t>
      </w:r>
      <w:r w:rsidRPr="00941C9E">
        <w:tab/>
        <w:t xml:space="preserve">subsections (1) or (4) (the </w:t>
      </w:r>
      <w:r w:rsidRPr="00941C9E">
        <w:rPr>
          <w:b/>
          <w:i/>
        </w:rPr>
        <w:t>earlier guarantees</w:t>
      </w:r>
      <w:r w:rsidRPr="00941C9E">
        <w:t>);</w:t>
      </w:r>
    </w:p>
    <w:p w14:paraId="7C3421C0" w14:textId="77777777" w:rsidR="00443A45" w:rsidRPr="00941C9E" w:rsidRDefault="00443A45" w:rsidP="00443A45">
      <w:pPr>
        <w:pStyle w:val="subsection2"/>
      </w:pPr>
      <w:r w:rsidRPr="00941C9E">
        <w:t xml:space="preserve">the NHFIC may issue up to an additional 10,000 guarantees (also </w:t>
      </w:r>
      <w:r w:rsidRPr="00941C9E">
        <w:rPr>
          <w:b/>
          <w:i/>
        </w:rPr>
        <w:t>New Home Guarantees</w:t>
      </w:r>
      <w:r w:rsidRPr="00941C9E">
        <w:t>) in the 2021-22 financial year, in relation to loans that meet the requirements of subsection (3) (as the case requires).</w:t>
      </w:r>
    </w:p>
    <w:p w14:paraId="7C3421C1" w14:textId="77777777" w:rsidR="00443A45" w:rsidRPr="00941C9E" w:rsidRDefault="00443A45" w:rsidP="00443A45">
      <w:pPr>
        <w:pStyle w:val="subsection"/>
      </w:pPr>
      <w:r w:rsidRPr="00941C9E">
        <w:tab/>
        <w:t>(2B)</w:t>
      </w:r>
      <w:r w:rsidRPr="00941C9E">
        <w:tab/>
        <w:t>The total number of New Home Guarantees issued to major banks in the 2021-22 financial year must not exceed:</w:t>
      </w:r>
    </w:p>
    <w:p w14:paraId="7C3421C2" w14:textId="77777777" w:rsidR="00443A45" w:rsidRPr="00941C9E" w:rsidRDefault="00443A45" w:rsidP="00443A45">
      <w:pPr>
        <w:pStyle w:val="paragraph"/>
      </w:pPr>
      <w:r w:rsidRPr="00941C9E">
        <w:tab/>
        <w:t>(a)</w:t>
      </w:r>
      <w:r w:rsidRPr="00941C9E">
        <w:tab/>
        <w:t>5,000; and</w:t>
      </w:r>
    </w:p>
    <w:p w14:paraId="7C3421C3" w14:textId="77777777" w:rsidR="00443A45" w:rsidRPr="00941C9E" w:rsidRDefault="00443A45" w:rsidP="00443A45">
      <w:pPr>
        <w:pStyle w:val="paragraph"/>
      </w:pPr>
      <w:r w:rsidRPr="00941C9E">
        <w:tab/>
        <w:t>(b)</w:t>
      </w:r>
      <w:r w:rsidRPr="00941C9E">
        <w:tab/>
        <w:t>if a determination has been made under subsection (4)—50 per cent of the guarantees covered by that determination.</w:t>
      </w:r>
    </w:p>
    <w:p w14:paraId="7C3421C4" w14:textId="77777777" w:rsidR="00F3565A" w:rsidRPr="00941C9E" w:rsidRDefault="00F3565A" w:rsidP="00F3565A">
      <w:pPr>
        <w:pStyle w:val="ItemHead"/>
      </w:pPr>
      <w:r w:rsidRPr="00941C9E">
        <w:lastRenderedPageBreak/>
        <w:fldChar w:fldCharType="begin"/>
      </w:r>
      <w:r w:rsidRPr="00941C9E">
        <w:instrText xml:space="preserve">  LISTNUM "main numbering" \l 5 \* MERGEFORMAT </w:instrText>
      </w:r>
      <w:r w:rsidRPr="00941C9E">
        <w:fldChar w:fldCharType="end"/>
      </w:r>
      <w:r w:rsidRPr="00941C9E">
        <w:t xml:space="preserve">  </w:t>
      </w:r>
      <w:r>
        <w:t xml:space="preserve">Subparagraph </w:t>
      </w:r>
      <w:r w:rsidRPr="00941C9E">
        <w:t>29IA(</w:t>
      </w:r>
      <w:r>
        <w:t>3</w:t>
      </w:r>
      <w:r w:rsidRPr="00941C9E">
        <w:t>)</w:t>
      </w:r>
      <w:r>
        <w:t>(b)(ii)</w:t>
      </w:r>
    </w:p>
    <w:p w14:paraId="7C3421C5" w14:textId="77777777" w:rsidR="00F3565A" w:rsidRDefault="00F3565A" w:rsidP="00F3565A">
      <w:pPr>
        <w:pStyle w:val="Item"/>
      </w:pPr>
      <w:r>
        <w:t>Omit “6 months”, substitute “12 months”.</w:t>
      </w:r>
    </w:p>
    <w:p w14:paraId="7C3421C6" w14:textId="77777777" w:rsidR="00F3565A" w:rsidRPr="00941C9E" w:rsidRDefault="00F3565A" w:rsidP="00F3565A">
      <w:pPr>
        <w:pStyle w:val="ItemHead"/>
      </w:pPr>
      <w:r w:rsidRPr="00941C9E">
        <w:fldChar w:fldCharType="begin"/>
      </w:r>
      <w:r w:rsidRPr="00941C9E">
        <w:instrText xml:space="preserve">  LISTNUM "main numbering" \l 5 \* MERGEFORMAT </w:instrText>
      </w:r>
      <w:r w:rsidRPr="00941C9E">
        <w:fldChar w:fldCharType="end"/>
      </w:r>
      <w:r w:rsidRPr="00941C9E">
        <w:t xml:space="preserve">  </w:t>
      </w:r>
      <w:r>
        <w:t xml:space="preserve">Subparagraph </w:t>
      </w:r>
      <w:r w:rsidRPr="00941C9E">
        <w:t>29IA(</w:t>
      </w:r>
      <w:r>
        <w:t>3</w:t>
      </w:r>
      <w:r w:rsidRPr="00941C9E">
        <w:t>)</w:t>
      </w:r>
      <w:r>
        <w:t>(c)(ii)</w:t>
      </w:r>
    </w:p>
    <w:p w14:paraId="7C3421C7" w14:textId="77777777" w:rsidR="00F3565A" w:rsidRDefault="00F3565A" w:rsidP="00F3565A">
      <w:pPr>
        <w:pStyle w:val="Item"/>
      </w:pPr>
      <w:r>
        <w:t>Omit “6 months”, substitute “12 months”.</w:t>
      </w:r>
    </w:p>
    <w:p w14:paraId="7C3421C8" w14:textId="77777777" w:rsidR="00443A45" w:rsidRPr="00941C9E" w:rsidRDefault="00443A45" w:rsidP="00443A45">
      <w:pPr>
        <w:pStyle w:val="ItemHead"/>
      </w:pPr>
      <w:r w:rsidRPr="00941C9E">
        <w:fldChar w:fldCharType="begin"/>
      </w:r>
      <w:r w:rsidRPr="00941C9E">
        <w:instrText xml:space="preserve">  LISTNUM "main numbering" \l 5 \* MERGEFORMAT </w:instrText>
      </w:r>
      <w:r w:rsidRPr="00941C9E">
        <w:fldChar w:fldCharType="end"/>
      </w:r>
      <w:r w:rsidRPr="00941C9E">
        <w:t xml:space="preserve">  Subsection 29IA(7)</w:t>
      </w:r>
    </w:p>
    <w:p w14:paraId="7C3421C9" w14:textId="77777777" w:rsidR="00443A45" w:rsidRPr="00941C9E" w:rsidRDefault="00443A45" w:rsidP="00443A45">
      <w:pPr>
        <w:pStyle w:val="Item"/>
      </w:pPr>
      <w:r w:rsidRPr="00941C9E">
        <w:t>Repeal.</w:t>
      </w:r>
    </w:p>
    <w:p w14:paraId="7C3421CA" w14:textId="77777777" w:rsidR="00443A45" w:rsidRPr="00941C9E" w:rsidRDefault="00443A45" w:rsidP="00443A45">
      <w:pPr>
        <w:pStyle w:val="ItemHead"/>
      </w:pPr>
      <w:r w:rsidRPr="00941C9E">
        <w:fldChar w:fldCharType="begin"/>
      </w:r>
      <w:r w:rsidRPr="00941C9E">
        <w:instrText xml:space="preserve">  LISTNUM "main numbering" \l 5 \* MERGEFORMAT </w:instrText>
      </w:r>
      <w:r w:rsidRPr="00941C9E">
        <w:fldChar w:fldCharType="end"/>
      </w:r>
      <w:r w:rsidRPr="00941C9E">
        <w:t xml:space="preserve">  After subsection 29IA(12)</w:t>
      </w:r>
    </w:p>
    <w:p w14:paraId="7C3421CB" w14:textId="77777777" w:rsidR="00443A45" w:rsidRPr="00941C9E" w:rsidRDefault="00443A45" w:rsidP="00443A45">
      <w:pPr>
        <w:pStyle w:val="Item"/>
      </w:pPr>
      <w:r w:rsidRPr="00941C9E">
        <w:t>Insert:</w:t>
      </w:r>
    </w:p>
    <w:p w14:paraId="7C3421CC" w14:textId="77777777" w:rsidR="003F3B37" w:rsidRPr="00941C9E" w:rsidRDefault="003F3B37" w:rsidP="003F3B37">
      <w:pPr>
        <w:pStyle w:val="subsection"/>
      </w:pPr>
      <w:r w:rsidRPr="00941C9E">
        <w:tab/>
        <w:t>(12A)</w:t>
      </w:r>
      <w:r w:rsidRPr="00941C9E">
        <w:tab/>
        <w:t>To avoid doubt, unissued New Home Guarantees from the 2021-22 financial year may not be rolled over to the 2022-23 financial year.</w:t>
      </w:r>
    </w:p>
    <w:p w14:paraId="7C3421CD" w14:textId="77777777" w:rsidR="003F3B37" w:rsidRPr="00941C9E" w:rsidRDefault="003F3B37" w:rsidP="003F3B37">
      <w:pPr>
        <w:pStyle w:val="ItemHead"/>
      </w:pPr>
      <w:r w:rsidRPr="00941C9E">
        <w:fldChar w:fldCharType="begin"/>
      </w:r>
      <w:r w:rsidRPr="00941C9E">
        <w:instrText xml:space="preserve">  LISTNUM "main numbering" \l 5 \* MERGEFORMAT </w:instrText>
      </w:r>
      <w:r w:rsidRPr="00941C9E">
        <w:fldChar w:fldCharType="end"/>
      </w:r>
      <w:r w:rsidRPr="00941C9E">
        <w:t xml:space="preserve">  Subsections 29IA(14) and (15) (with subsection heading and note)</w:t>
      </w:r>
    </w:p>
    <w:p w14:paraId="7C3421CE" w14:textId="77777777" w:rsidR="003F3B37" w:rsidRPr="00941C9E" w:rsidRDefault="003F3B37" w:rsidP="003F3B37">
      <w:pPr>
        <w:pStyle w:val="Item"/>
      </w:pPr>
      <w:r w:rsidRPr="00941C9E">
        <w:t>Repeal the provisions.</w:t>
      </w:r>
    </w:p>
    <w:bookmarkStart w:id="8" w:name="_Toc71106122"/>
    <w:p w14:paraId="7C3421CF" w14:textId="77777777" w:rsidR="003F3B37" w:rsidRPr="00941C9E" w:rsidRDefault="003F3B37" w:rsidP="003F3B37">
      <w:pPr>
        <w:pStyle w:val="ItemHead"/>
      </w:pPr>
      <w:r w:rsidRPr="00941C9E">
        <w:fldChar w:fldCharType="begin"/>
      </w:r>
      <w:r w:rsidRPr="00941C9E">
        <w:instrText xml:space="preserve">  LISTNUM "main numbering" \l 5 \* MERGEFORMAT </w:instrText>
      </w:r>
      <w:r w:rsidRPr="00941C9E">
        <w:fldChar w:fldCharType="end"/>
      </w:r>
      <w:r w:rsidRPr="00941C9E">
        <w:t xml:space="preserve">  After section 29IA</w:t>
      </w:r>
    </w:p>
    <w:p w14:paraId="7C3421D0" w14:textId="77777777" w:rsidR="003F3B37" w:rsidRPr="00941C9E" w:rsidRDefault="003F3B37" w:rsidP="003F3B37">
      <w:pPr>
        <w:pStyle w:val="Item"/>
      </w:pPr>
      <w:r w:rsidRPr="00941C9E">
        <w:t>Insert:</w:t>
      </w:r>
    </w:p>
    <w:p w14:paraId="7C3421D1" w14:textId="77777777" w:rsidR="003F3B37" w:rsidRPr="00941C9E" w:rsidRDefault="003F3B37" w:rsidP="003F3B37">
      <w:pPr>
        <w:pStyle w:val="ActHead5"/>
      </w:pPr>
      <w:bookmarkStart w:id="9" w:name="_Toc71122217"/>
      <w:bookmarkStart w:id="10" w:name="_Toc71122267"/>
      <w:r w:rsidRPr="00941C9E">
        <w:t>29IB Family Home Guarantees</w:t>
      </w:r>
      <w:bookmarkEnd w:id="8"/>
      <w:bookmarkEnd w:id="9"/>
      <w:bookmarkEnd w:id="10"/>
    </w:p>
    <w:p w14:paraId="7C3421D2" w14:textId="77777777" w:rsidR="003F3B37" w:rsidRPr="00941C9E" w:rsidRDefault="003F3B37" w:rsidP="003F3B37">
      <w:pPr>
        <w:pStyle w:val="SubsectionHead"/>
      </w:pPr>
      <w:r w:rsidRPr="00941C9E">
        <w:t xml:space="preserve">Additional guarantees for the financial years </w:t>
      </w:r>
      <w:r w:rsidR="004E2DAF">
        <w:t>20</w:t>
      </w:r>
      <w:r w:rsidRPr="00941C9E">
        <w:t xml:space="preserve">21-22 to </w:t>
      </w:r>
      <w:r w:rsidR="004E2DAF">
        <w:t>20</w:t>
      </w:r>
      <w:r w:rsidRPr="00941C9E">
        <w:t>24-25</w:t>
      </w:r>
    </w:p>
    <w:p w14:paraId="7C3421D3" w14:textId="77777777" w:rsidR="003F3B37" w:rsidRPr="00941C9E" w:rsidRDefault="003F3B37" w:rsidP="003F3B37">
      <w:pPr>
        <w:pStyle w:val="subsection"/>
      </w:pPr>
      <w:r w:rsidRPr="00941C9E">
        <w:tab/>
        <w:t>(1)</w:t>
      </w:r>
      <w:r w:rsidRPr="00941C9E">
        <w:tab/>
        <w:t>In addition to the guarantees that the NHFIC may issue under section 29I</w:t>
      </w:r>
      <w:r w:rsidR="0081375C" w:rsidRPr="00941C9E">
        <w:t xml:space="preserve"> or 29IA</w:t>
      </w:r>
      <w:r w:rsidRPr="00941C9E">
        <w:t>, the NHFIC may issue up to an additional 10,000 guarantees (</w:t>
      </w:r>
      <w:r w:rsidRPr="00941C9E">
        <w:rPr>
          <w:b/>
          <w:i/>
        </w:rPr>
        <w:t>Family Home Guarantees</w:t>
      </w:r>
      <w:r w:rsidRPr="00941C9E">
        <w:t xml:space="preserve">) during the period beginning 1 July 2021 and ending 30 June 2025 (the </w:t>
      </w:r>
      <w:r w:rsidRPr="00941C9E">
        <w:rPr>
          <w:b/>
          <w:i/>
        </w:rPr>
        <w:t>issue period</w:t>
      </w:r>
      <w:r w:rsidRPr="00941C9E">
        <w:t>).</w:t>
      </w:r>
    </w:p>
    <w:p w14:paraId="7C3421D4" w14:textId="77777777" w:rsidR="003F3B37" w:rsidRPr="00941C9E" w:rsidRDefault="003F3B37" w:rsidP="003F3B37">
      <w:pPr>
        <w:pStyle w:val="notetext"/>
      </w:pPr>
      <w:r w:rsidRPr="00941C9E">
        <w:t>Note:</w:t>
      </w:r>
      <w:r w:rsidRPr="00941C9E">
        <w:tab/>
        <w:t xml:space="preserve">In relation to a loan that would qualify as an eligible loan </w:t>
      </w:r>
      <w:r w:rsidR="0081375C" w:rsidRPr="00941C9E">
        <w:t>whether or not subsection 29C(2B</w:t>
      </w:r>
      <w:r w:rsidRPr="00941C9E">
        <w:t>) is applied, see subsection 29IC(2)</w:t>
      </w:r>
      <w:r w:rsidR="0081375C" w:rsidRPr="00941C9E">
        <w:rPr>
          <w:b/>
          <w:bCs/>
          <w:lang w:val="en-US"/>
        </w:rPr>
        <w:t>.</w:t>
      </w:r>
    </w:p>
    <w:p w14:paraId="7C3421D5" w14:textId="77777777" w:rsidR="003F3B37" w:rsidRPr="00941C9E" w:rsidRDefault="003F3B37" w:rsidP="003F3B37">
      <w:pPr>
        <w:pStyle w:val="SubsectionHead"/>
      </w:pPr>
      <w:r w:rsidRPr="00941C9E">
        <w:t>Counting of Family Home Guarantees</w:t>
      </w:r>
    </w:p>
    <w:p w14:paraId="7C3421D6" w14:textId="77777777" w:rsidR="003F3B37" w:rsidRPr="00941C9E" w:rsidRDefault="003F3B37" w:rsidP="003F3B37">
      <w:pPr>
        <w:pStyle w:val="subsection"/>
      </w:pPr>
      <w:r w:rsidRPr="00941C9E">
        <w:tab/>
        <w:t>(2)</w:t>
      </w:r>
      <w:r w:rsidRPr="00941C9E">
        <w:tab/>
        <w:t>For the purposes of this section:</w:t>
      </w:r>
    </w:p>
    <w:p w14:paraId="7C3421D7" w14:textId="77777777" w:rsidR="003F3B37" w:rsidRPr="00941C9E" w:rsidRDefault="003F3B37" w:rsidP="003F3B37">
      <w:pPr>
        <w:pStyle w:val="paragraph"/>
      </w:pPr>
      <w:r w:rsidRPr="00941C9E">
        <w:tab/>
        <w:t>(a)</w:t>
      </w:r>
      <w:r w:rsidRPr="00941C9E">
        <w:tab/>
        <w:t>a Family Home Guarantee is issued in the financial year during which its issue is approved by the NHFIC, even if the arrangement relating to the guarantee is entered into in a later financial year; and</w:t>
      </w:r>
    </w:p>
    <w:p w14:paraId="7C3421D8" w14:textId="77777777" w:rsidR="003F3B37" w:rsidRPr="00941C9E" w:rsidRDefault="003F3B37" w:rsidP="003F3B37">
      <w:pPr>
        <w:pStyle w:val="paragraph"/>
      </w:pPr>
      <w:r w:rsidRPr="00941C9E">
        <w:tab/>
        <w:t>(b)</w:t>
      </w:r>
      <w:r w:rsidRPr="00941C9E">
        <w:tab/>
        <w:t>a Family Home Guarantee issued in relation to a loan that satisfies subsection 29C(4) is disregarded.</w:t>
      </w:r>
    </w:p>
    <w:p w14:paraId="7C3421D9" w14:textId="77777777" w:rsidR="003F3B37" w:rsidRPr="00941C9E" w:rsidRDefault="003F3B37" w:rsidP="003F3B37">
      <w:pPr>
        <w:pStyle w:val="SubsectionHead"/>
      </w:pPr>
      <w:r w:rsidRPr="00941C9E">
        <w:t>Guarantees may not be rolled over</w:t>
      </w:r>
    </w:p>
    <w:p w14:paraId="7C3421DA" w14:textId="77777777" w:rsidR="003F3B37" w:rsidRPr="00941C9E" w:rsidRDefault="003F3B37" w:rsidP="003F3B37">
      <w:pPr>
        <w:pStyle w:val="subsection"/>
      </w:pPr>
      <w:r w:rsidRPr="00941C9E">
        <w:tab/>
        <w:t>(3)</w:t>
      </w:r>
      <w:r w:rsidRPr="00941C9E">
        <w:tab/>
        <w:t xml:space="preserve">To avoid doubt, unissued </w:t>
      </w:r>
      <w:r w:rsidR="00EE2A66" w:rsidRPr="00941C9E">
        <w:t>Family</w:t>
      </w:r>
      <w:r w:rsidRPr="00941C9E">
        <w:t xml:space="preserve"> Home Guarantees from the issue period may not be rolled over to a later financial year.</w:t>
      </w:r>
    </w:p>
    <w:p w14:paraId="7C3421DB" w14:textId="77777777" w:rsidR="003F3B37" w:rsidRPr="00941C9E" w:rsidRDefault="003F3B37" w:rsidP="003F3B37">
      <w:pPr>
        <w:pStyle w:val="ActHead5"/>
      </w:pPr>
      <w:bookmarkStart w:id="11" w:name="_Toc71106123"/>
      <w:bookmarkStart w:id="12" w:name="_Toc71122218"/>
      <w:bookmarkStart w:id="13" w:name="_Toc71122268"/>
      <w:r w:rsidRPr="00941C9E">
        <w:lastRenderedPageBreak/>
        <w:t>29IC  Interaction between sections 29I, 29IA and 29IB</w:t>
      </w:r>
      <w:bookmarkEnd w:id="11"/>
      <w:bookmarkEnd w:id="12"/>
      <w:bookmarkEnd w:id="13"/>
    </w:p>
    <w:p w14:paraId="7C3421DC" w14:textId="77777777" w:rsidR="003F3B37" w:rsidRPr="00941C9E" w:rsidRDefault="003F3B37" w:rsidP="003F3B37">
      <w:pPr>
        <w:pStyle w:val="subsection"/>
      </w:pPr>
      <w:r w:rsidRPr="00941C9E">
        <w:tab/>
        <w:t>(1)</w:t>
      </w:r>
      <w:r w:rsidRPr="00941C9E">
        <w:tab/>
        <w:t xml:space="preserve">None of sections 29I, 29IA and 29IB (the </w:t>
      </w:r>
      <w:r w:rsidRPr="00941C9E">
        <w:rPr>
          <w:b/>
          <w:i/>
        </w:rPr>
        <w:t>limiting sections</w:t>
      </w:r>
      <w:r w:rsidRPr="00941C9E">
        <w:t>) limits the types of guarantees that may be issued under another limiting section.</w:t>
      </w:r>
    </w:p>
    <w:p w14:paraId="7C3421DD" w14:textId="77777777" w:rsidR="00B70AD4" w:rsidRPr="00EF29CA" w:rsidRDefault="00B70AD4" w:rsidP="00B70AD4">
      <w:pPr>
        <w:pStyle w:val="subsection"/>
      </w:pPr>
      <w:r w:rsidRPr="00EF29CA">
        <w:tab/>
        <w:t>(2)</w:t>
      </w:r>
      <w:r w:rsidRPr="00EF29CA">
        <w:tab/>
        <w:t>If a guarantee could, taking account of the eligible lender’s credit assessment and the limits on numbers for the relevant limiting sections, be issued under one or more of the limiting sections, the following rules apply:</w:t>
      </w:r>
    </w:p>
    <w:p w14:paraId="7C3421DE" w14:textId="77777777" w:rsidR="00B70AD4" w:rsidRPr="00EF29CA" w:rsidRDefault="00B70AD4" w:rsidP="00B70AD4">
      <w:pPr>
        <w:pStyle w:val="paragraph"/>
      </w:pPr>
      <w:r w:rsidRPr="00EF29CA">
        <w:tab/>
        <w:t>(a)</w:t>
      </w:r>
      <w:r w:rsidRPr="00EF29CA">
        <w:tab/>
        <w:t>if it could be issued under section 29IB or section 29IA:</w:t>
      </w:r>
    </w:p>
    <w:p w14:paraId="7C3421DF" w14:textId="77777777" w:rsidR="00B70AD4" w:rsidRPr="00EF29CA" w:rsidRDefault="00B70AD4" w:rsidP="00B70AD4">
      <w:pPr>
        <w:pStyle w:val="paragraphsub"/>
      </w:pPr>
      <w:r w:rsidRPr="00EF29CA">
        <w:tab/>
        <w:t>(i)</w:t>
      </w:r>
      <w:r w:rsidRPr="00EF29CA">
        <w:tab/>
        <w:t>it may not be issued under section 29I; and</w:t>
      </w:r>
    </w:p>
    <w:p w14:paraId="7C3421E0" w14:textId="77777777" w:rsidR="00B70AD4" w:rsidRPr="00EF29CA" w:rsidRDefault="00B70AD4" w:rsidP="00B70AD4">
      <w:pPr>
        <w:pStyle w:val="paragraphsub"/>
      </w:pPr>
      <w:r w:rsidRPr="00EF29CA">
        <w:tab/>
        <w:t>(ii)</w:t>
      </w:r>
      <w:r w:rsidRPr="00EF29CA">
        <w:tab/>
        <w:t>if it could be issued under both section 29IB and section 29IA—the NHFIC may determine which of those sections it is to be issued under;</w:t>
      </w:r>
    </w:p>
    <w:p w14:paraId="7C3421E1" w14:textId="77777777" w:rsidR="00B70AD4" w:rsidRPr="00EF29CA" w:rsidRDefault="00B70AD4" w:rsidP="00B70AD4">
      <w:pPr>
        <w:pStyle w:val="paragraph"/>
      </w:pPr>
      <w:r w:rsidRPr="00EF29CA">
        <w:tab/>
        <w:t>(</w:t>
      </w:r>
      <w:r w:rsidR="00015978" w:rsidRPr="00EF29CA">
        <w:t>b</w:t>
      </w:r>
      <w:r w:rsidRPr="00EF29CA">
        <w:t>)</w:t>
      </w:r>
      <w:r w:rsidRPr="00EF29CA">
        <w:tab/>
        <w:t>if it could</w:t>
      </w:r>
      <w:r w:rsidR="004E2DAF">
        <w:t xml:space="preserve"> not be issued under either of </w:t>
      </w:r>
      <w:r w:rsidRPr="00EF29CA">
        <w:t>sections 29IB and 29IA—it may be issued under section 29I.</w:t>
      </w:r>
    </w:p>
    <w:p w14:paraId="7C3421E2" w14:textId="77777777" w:rsidR="003F3B37" w:rsidRPr="00941C9E" w:rsidRDefault="003F3B37" w:rsidP="003F3B37">
      <w:pPr>
        <w:pStyle w:val="ItemHead"/>
      </w:pPr>
      <w:r w:rsidRPr="00941C9E">
        <w:fldChar w:fldCharType="begin"/>
      </w:r>
      <w:r w:rsidRPr="00941C9E">
        <w:instrText xml:space="preserve">  LISTNUM "main numbering" \l 5 \* MERGEFORMAT </w:instrText>
      </w:r>
      <w:r w:rsidRPr="00941C9E">
        <w:fldChar w:fldCharType="end"/>
      </w:r>
      <w:r w:rsidRPr="00941C9E">
        <w:t xml:space="preserve">  </w:t>
      </w:r>
      <w:r w:rsidR="003943DA" w:rsidRPr="00941C9E">
        <w:t>Subsection 29</w:t>
      </w:r>
      <w:r w:rsidR="00941C9E">
        <w:t>J</w:t>
      </w:r>
      <w:r w:rsidR="003943DA" w:rsidRPr="00941C9E">
        <w:t>A</w:t>
      </w:r>
      <w:r w:rsidRPr="00941C9E">
        <w:t>(1)</w:t>
      </w:r>
    </w:p>
    <w:p w14:paraId="7C3421E3" w14:textId="77777777" w:rsidR="003F3B37" w:rsidRPr="00941C9E" w:rsidRDefault="003F3B37" w:rsidP="003F3B37">
      <w:pPr>
        <w:pStyle w:val="Item"/>
      </w:pPr>
      <w:r w:rsidRPr="00941C9E">
        <w:t>After “New Home Guarantee”, insert “and the Family Home Guarantee”.</w:t>
      </w:r>
    </w:p>
    <w:p w14:paraId="7C3421E4" w14:textId="77777777" w:rsidR="00941C9E" w:rsidRPr="00EF29CA" w:rsidRDefault="00941C9E" w:rsidP="00941C9E">
      <w:pPr>
        <w:pStyle w:val="ItemHead"/>
      </w:pPr>
      <w:r w:rsidRPr="00EF29CA">
        <w:fldChar w:fldCharType="begin"/>
      </w:r>
      <w:r w:rsidRPr="00EF29CA">
        <w:instrText xml:space="preserve">  LISTNUM "main numbering" \l 5 \* MERGEFORMAT </w:instrText>
      </w:r>
      <w:r w:rsidRPr="00EF29CA">
        <w:fldChar w:fldCharType="end"/>
      </w:r>
      <w:r w:rsidRPr="00EF29CA">
        <w:t xml:space="preserve">  After subsection 29JA(4)</w:t>
      </w:r>
    </w:p>
    <w:p w14:paraId="7C3421E5" w14:textId="77777777" w:rsidR="00941C9E" w:rsidRPr="00EF29CA" w:rsidRDefault="00941C9E" w:rsidP="00941C9E">
      <w:pPr>
        <w:pStyle w:val="Item"/>
      </w:pPr>
      <w:r w:rsidRPr="00EF29CA">
        <w:tab/>
        <w:t>Insert:</w:t>
      </w:r>
    </w:p>
    <w:p w14:paraId="7C3421E6" w14:textId="77777777" w:rsidR="00941C9E" w:rsidRPr="00EF29CA" w:rsidRDefault="00941C9E" w:rsidP="00941C9E">
      <w:pPr>
        <w:pStyle w:val="subsection"/>
      </w:pPr>
      <w:r w:rsidRPr="00EF29CA">
        <w:t xml:space="preserve"> </w:t>
      </w:r>
      <w:r w:rsidRPr="00EF29CA">
        <w:tab/>
        <w:t>(5)</w:t>
      </w:r>
      <w:r w:rsidRPr="00EF29CA">
        <w:tab/>
        <w:t>On making an amendment to the scheme rules, the NHFIC must provide a copy of the scheme rules as amended to the Minister no later than the day the first of the amendments come into effect.</w:t>
      </w:r>
    </w:p>
    <w:p w14:paraId="7C3421E7" w14:textId="77777777" w:rsidR="003F3B37" w:rsidRPr="00941C9E" w:rsidRDefault="003F3B37" w:rsidP="003F3B37">
      <w:pPr>
        <w:pStyle w:val="ItemHead"/>
      </w:pPr>
      <w:r w:rsidRPr="00941C9E">
        <w:fldChar w:fldCharType="begin"/>
      </w:r>
      <w:r w:rsidRPr="00941C9E">
        <w:instrText xml:space="preserve">  LISTNUM "main numbering" \l 5 \* MERGEFORMAT </w:instrText>
      </w:r>
      <w:r w:rsidRPr="00941C9E">
        <w:fldChar w:fldCharType="end"/>
      </w:r>
      <w:r w:rsidRPr="00941C9E">
        <w:t xml:space="preserve">  Paragraph 29K(1)(d)</w:t>
      </w:r>
    </w:p>
    <w:p w14:paraId="7C3421E8" w14:textId="77777777" w:rsidR="003F3B37" w:rsidRPr="00941C9E" w:rsidRDefault="003F3B37" w:rsidP="003F3B37">
      <w:pPr>
        <w:pStyle w:val="Item"/>
      </w:pPr>
      <w:r w:rsidRPr="00941C9E">
        <w:t>After “eligible first home buyers”, insert “and eligible single parents”.</w:t>
      </w:r>
    </w:p>
    <w:p w14:paraId="7C3421E9" w14:textId="77777777" w:rsidR="003F3B37" w:rsidRPr="00941C9E" w:rsidRDefault="003F3B37" w:rsidP="003F3B37">
      <w:pPr>
        <w:pStyle w:val="ItemHead"/>
      </w:pPr>
      <w:r w:rsidRPr="00941C9E">
        <w:fldChar w:fldCharType="begin"/>
      </w:r>
      <w:r w:rsidRPr="00941C9E">
        <w:instrText xml:space="preserve">  LISTNUM "main numbering" \l 5 \* MERGEFORMAT </w:instrText>
      </w:r>
      <w:r w:rsidRPr="00941C9E">
        <w:fldChar w:fldCharType="end"/>
      </w:r>
      <w:r w:rsidRPr="00941C9E">
        <w:t xml:space="preserve">  Paragraph 29L(1)(ba)</w:t>
      </w:r>
    </w:p>
    <w:p w14:paraId="7C3421EA" w14:textId="77777777" w:rsidR="003F3B37" w:rsidRPr="00941C9E" w:rsidRDefault="0081375C" w:rsidP="003F3B37">
      <w:pPr>
        <w:pStyle w:val="Item"/>
      </w:pPr>
      <w:r w:rsidRPr="00941C9E">
        <w:t xml:space="preserve">Omit </w:t>
      </w:r>
      <w:r w:rsidR="003F3B37" w:rsidRPr="00941C9E">
        <w:t>“</w:t>
      </w:r>
      <w:r w:rsidRPr="00941C9E">
        <w:t xml:space="preserve">(including </w:t>
      </w:r>
      <w:r w:rsidR="003F3B37" w:rsidRPr="00941C9E">
        <w:t>New Home Guarantees</w:t>
      </w:r>
      <w:r w:rsidRPr="00941C9E">
        <w:t>)</w:t>
      </w:r>
      <w:r w:rsidR="003F3B37" w:rsidRPr="00941C9E">
        <w:t>”</w:t>
      </w:r>
      <w:r w:rsidR="00C03BDD" w:rsidRPr="00941C9E">
        <w:t>.</w:t>
      </w:r>
    </w:p>
    <w:p w14:paraId="7C3421EB" w14:textId="77777777" w:rsidR="003F3B37" w:rsidRPr="00941C9E" w:rsidRDefault="003F3B37" w:rsidP="003F3B37">
      <w:pPr>
        <w:pStyle w:val="ItemHead"/>
      </w:pPr>
      <w:r w:rsidRPr="00941C9E">
        <w:fldChar w:fldCharType="begin"/>
      </w:r>
      <w:r w:rsidRPr="00941C9E">
        <w:instrText xml:space="preserve">  LISTNUM "main numbering" \l 5 \* MERGEFORMAT </w:instrText>
      </w:r>
      <w:r w:rsidRPr="00941C9E">
        <w:fldChar w:fldCharType="end"/>
      </w:r>
      <w:r w:rsidRPr="00941C9E">
        <w:t xml:space="preserve">  Subsection 29L(2)</w:t>
      </w:r>
    </w:p>
    <w:p w14:paraId="7C3421EC" w14:textId="77777777" w:rsidR="003F3B37" w:rsidRPr="00941C9E" w:rsidRDefault="003F3B37" w:rsidP="003F3B37">
      <w:pPr>
        <w:pStyle w:val="Item"/>
      </w:pPr>
      <w:r w:rsidRPr="00941C9E">
        <w:t>After “New Home Guarantees”, insert “and Family Home Guarantees”.</w:t>
      </w:r>
    </w:p>
    <w:p w14:paraId="7C3421ED" w14:textId="77777777" w:rsidR="000A2A07" w:rsidRPr="00941C9E" w:rsidRDefault="000A2A07" w:rsidP="000A2A07">
      <w:pPr>
        <w:pStyle w:val="ItemHead"/>
      </w:pPr>
    </w:p>
    <w:p w14:paraId="7C3421EE" w14:textId="77777777" w:rsidR="003F3B37" w:rsidRPr="00941C9E" w:rsidRDefault="003F3B37" w:rsidP="003F3B37">
      <w:pPr>
        <w:pStyle w:val="subsection"/>
      </w:pPr>
    </w:p>
    <w:p w14:paraId="7C3421EF" w14:textId="77777777" w:rsidR="00554826" w:rsidRPr="00941C9E" w:rsidRDefault="00554826" w:rsidP="00554826"/>
    <w:sectPr w:rsidR="00554826" w:rsidRPr="00941C9E" w:rsidSect="008C2EAC">
      <w:headerReference w:type="even" r:id="rId25"/>
      <w:headerReference w:type="default" r:id="rId26"/>
      <w:footerReference w:type="even" r:id="rId27"/>
      <w:footerReference w:type="default" r:id="rId2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421F4" w14:textId="77777777" w:rsidR="00F86B57" w:rsidRDefault="00F86B57" w:rsidP="00715914">
      <w:pPr>
        <w:spacing w:line="240" w:lineRule="auto"/>
      </w:pPr>
      <w:r>
        <w:separator/>
      </w:r>
    </w:p>
  </w:endnote>
  <w:endnote w:type="continuationSeparator" w:id="0">
    <w:p w14:paraId="7C3421F5" w14:textId="77777777" w:rsidR="00F86B57" w:rsidRDefault="00F86B5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embedRegular r:id="rId1" w:subsetted="1" w:fontKey="{0523AD3E-49D8-48DC-BB31-267303C6B86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21F8"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7C3421FC" w14:textId="77777777" w:rsidTr="00B33709">
      <w:tc>
        <w:tcPr>
          <w:tcW w:w="709" w:type="dxa"/>
          <w:tcBorders>
            <w:top w:val="nil"/>
            <w:left w:val="nil"/>
            <w:bottom w:val="nil"/>
            <w:right w:val="nil"/>
          </w:tcBorders>
        </w:tcPr>
        <w:p w14:paraId="7C3421F9"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7C3421FA"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85380">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C3421FB" w14:textId="77777777" w:rsidR="0072147A" w:rsidRDefault="0072147A" w:rsidP="00A369E3">
          <w:pPr>
            <w:spacing w:line="0" w:lineRule="atLeast"/>
            <w:jc w:val="right"/>
            <w:rPr>
              <w:sz w:val="18"/>
            </w:rPr>
          </w:pPr>
        </w:p>
      </w:tc>
    </w:tr>
    <w:tr w:rsidR="0072147A" w14:paraId="7C3421FE"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C3421FD" w14:textId="77777777" w:rsidR="0072147A" w:rsidRDefault="0072147A" w:rsidP="00A369E3">
          <w:pPr>
            <w:jc w:val="right"/>
            <w:rPr>
              <w:sz w:val="18"/>
            </w:rPr>
          </w:pPr>
        </w:p>
      </w:tc>
    </w:tr>
  </w:tbl>
  <w:p w14:paraId="7C3421FF"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2200"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7C342204" w14:textId="77777777" w:rsidTr="00A369E3">
      <w:tc>
        <w:tcPr>
          <w:tcW w:w="1384" w:type="dxa"/>
          <w:tcBorders>
            <w:top w:val="nil"/>
            <w:left w:val="nil"/>
            <w:bottom w:val="nil"/>
            <w:right w:val="nil"/>
          </w:tcBorders>
        </w:tcPr>
        <w:p w14:paraId="7C342201" w14:textId="77777777" w:rsidR="0072147A" w:rsidRDefault="0072147A" w:rsidP="00A369E3">
          <w:pPr>
            <w:spacing w:line="0" w:lineRule="atLeast"/>
            <w:rPr>
              <w:sz w:val="18"/>
            </w:rPr>
          </w:pPr>
        </w:p>
      </w:tc>
      <w:tc>
        <w:tcPr>
          <w:tcW w:w="6379" w:type="dxa"/>
          <w:tcBorders>
            <w:top w:val="nil"/>
            <w:left w:val="nil"/>
            <w:bottom w:val="nil"/>
            <w:right w:val="nil"/>
          </w:tcBorders>
        </w:tcPr>
        <w:p w14:paraId="7C342202"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85380">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7C342203"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7C342206"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C342205" w14:textId="77777777" w:rsidR="0072147A" w:rsidRDefault="0072147A" w:rsidP="00A369E3">
          <w:pPr>
            <w:rPr>
              <w:sz w:val="18"/>
            </w:rPr>
          </w:pPr>
        </w:p>
      </w:tc>
    </w:tr>
  </w:tbl>
  <w:p w14:paraId="7C342207"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2209"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C34220D" w14:textId="77777777" w:rsidTr="00B33709">
      <w:tc>
        <w:tcPr>
          <w:tcW w:w="1384" w:type="dxa"/>
          <w:tcBorders>
            <w:top w:val="nil"/>
            <w:left w:val="nil"/>
            <w:bottom w:val="nil"/>
            <w:right w:val="nil"/>
          </w:tcBorders>
        </w:tcPr>
        <w:p w14:paraId="7C34220A" w14:textId="77777777" w:rsidR="0072147A" w:rsidRDefault="0072147A" w:rsidP="00A369E3">
          <w:pPr>
            <w:spacing w:line="0" w:lineRule="atLeast"/>
            <w:rPr>
              <w:sz w:val="18"/>
            </w:rPr>
          </w:pPr>
        </w:p>
      </w:tc>
      <w:tc>
        <w:tcPr>
          <w:tcW w:w="6379" w:type="dxa"/>
          <w:tcBorders>
            <w:top w:val="nil"/>
            <w:left w:val="nil"/>
            <w:bottom w:val="nil"/>
            <w:right w:val="nil"/>
          </w:tcBorders>
        </w:tcPr>
        <w:p w14:paraId="7C34220B"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7C34220C" w14:textId="77777777" w:rsidR="0072147A" w:rsidRDefault="0072147A" w:rsidP="00A369E3">
          <w:pPr>
            <w:spacing w:line="0" w:lineRule="atLeast"/>
            <w:jc w:val="right"/>
            <w:rPr>
              <w:sz w:val="18"/>
            </w:rPr>
          </w:pPr>
        </w:p>
      </w:tc>
    </w:tr>
  </w:tbl>
  <w:p w14:paraId="7C34220E" w14:textId="77777777" w:rsidR="0072147A" w:rsidRDefault="0072147A" w:rsidP="007500C8">
    <w:pPr>
      <w:rPr>
        <w:i/>
        <w:sz w:val="18"/>
      </w:rPr>
    </w:pPr>
  </w:p>
  <w:p w14:paraId="7C34220F" w14:textId="77777777" w:rsidR="00D60B99" w:rsidRPr="00D60B99" w:rsidRDefault="00D60B99" w:rsidP="00D60B99">
    <w:pPr>
      <w:pStyle w:val="Footer"/>
      <w:rPr>
        <w:sz w:val="16"/>
      </w:rPr>
    </w:pPr>
    <w:r>
      <w:rPr>
        <w:sz w:val="16"/>
      </w:rPr>
      <w:fldChar w:fldCharType="begin"/>
    </w:r>
    <w:r>
      <w:rPr>
        <w:sz w:val="16"/>
      </w:rPr>
      <w:instrText xml:space="preserve"> DOCPROPERTY  WSFooter  \* MERGEFORMAT </w:instrText>
    </w:r>
    <w:r>
      <w:rPr>
        <w:sz w:val="16"/>
      </w:rPr>
      <w:fldChar w:fldCharType="separate"/>
    </w:r>
    <w:r w:rsidR="00373D2A">
      <w:rPr>
        <w:sz w:val="16"/>
      </w:rPr>
      <w:t>41203893</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2212"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7C342216" w14:textId="77777777" w:rsidTr="00A87A58">
      <w:tc>
        <w:tcPr>
          <w:tcW w:w="365" w:type="pct"/>
        </w:tcPr>
        <w:p w14:paraId="7C342213"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7C342214"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85380">
            <w:rPr>
              <w:i/>
              <w:noProof/>
              <w:sz w:val="18"/>
            </w:rPr>
            <w:t>Act Name (Subject Matter) Kind of Instrument Year</w:t>
          </w:r>
          <w:r w:rsidRPr="004E1307">
            <w:rPr>
              <w:i/>
              <w:sz w:val="18"/>
            </w:rPr>
            <w:fldChar w:fldCharType="end"/>
          </w:r>
        </w:p>
      </w:tc>
      <w:tc>
        <w:tcPr>
          <w:tcW w:w="947" w:type="pct"/>
        </w:tcPr>
        <w:p w14:paraId="7C342215" w14:textId="77777777" w:rsidR="00F6696E" w:rsidRDefault="00F6696E" w:rsidP="000850AC">
          <w:pPr>
            <w:spacing w:line="0" w:lineRule="atLeast"/>
            <w:jc w:val="right"/>
            <w:rPr>
              <w:sz w:val="18"/>
            </w:rPr>
          </w:pPr>
        </w:p>
      </w:tc>
    </w:tr>
    <w:tr w:rsidR="00F6696E" w14:paraId="7C342218" w14:textId="77777777" w:rsidTr="00A87A58">
      <w:tc>
        <w:tcPr>
          <w:tcW w:w="5000" w:type="pct"/>
          <w:gridSpan w:val="3"/>
        </w:tcPr>
        <w:p w14:paraId="7C342217" w14:textId="77777777" w:rsidR="00F6696E" w:rsidRDefault="00F6696E" w:rsidP="000850AC">
          <w:pPr>
            <w:jc w:val="right"/>
            <w:rPr>
              <w:sz w:val="18"/>
            </w:rPr>
          </w:pPr>
        </w:p>
      </w:tc>
    </w:tr>
  </w:tbl>
  <w:p w14:paraId="7C342219"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221A"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7C34221E" w14:textId="77777777" w:rsidTr="00A87A58">
      <w:tc>
        <w:tcPr>
          <w:tcW w:w="947" w:type="pct"/>
        </w:tcPr>
        <w:p w14:paraId="7C34221B" w14:textId="77777777" w:rsidR="00F6696E" w:rsidRDefault="00F6696E" w:rsidP="000850AC">
          <w:pPr>
            <w:spacing w:line="0" w:lineRule="atLeast"/>
            <w:rPr>
              <w:sz w:val="18"/>
            </w:rPr>
          </w:pPr>
        </w:p>
      </w:tc>
      <w:tc>
        <w:tcPr>
          <w:tcW w:w="3688" w:type="pct"/>
        </w:tcPr>
        <w:p w14:paraId="7C34221C" w14:textId="42F99DAC"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82FD0">
            <w:rPr>
              <w:i/>
              <w:noProof/>
              <w:sz w:val="18"/>
            </w:rPr>
            <w:t>National Housing Finance and Investment Corporation Investment Mandate Amendment (Family Home Guarantee) Direction 2021</w:t>
          </w:r>
          <w:r w:rsidRPr="004E1307">
            <w:rPr>
              <w:i/>
              <w:sz w:val="18"/>
            </w:rPr>
            <w:fldChar w:fldCharType="end"/>
          </w:r>
        </w:p>
      </w:tc>
      <w:tc>
        <w:tcPr>
          <w:tcW w:w="365" w:type="pct"/>
        </w:tcPr>
        <w:p w14:paraId="7C34221D"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3D2A">
            <w:rPr>
              <w:i/>
              <w:noProof/>
              <w:sz w:val="18"/>
            </w:rPr>
            <w:t>i</w:t>
          </w:r>
          <w:r w:rsidRPr="00ED79B6">
            <w:rPr>
              <w:i/>
              <w:sz w:val="18"/>
            </w:rPr>
            <w:fldChar w:fldCharType="end"/>
          </w:r>
        </w:p>
      </w:tc>
    </w:tr>
    <w:tr w:rsidR="00F6696E" w14:paraId="7C342220" w14:textId="77777777" w:rsidTr="00A87A58">
      <w:tc>
        <w:tcPr>
          <w:tcW w:w="5000" w:type="pct"/>
          <w:gridSpan w:val="3"/>
        </w:tcPr>
        <w:p w14:paraId="7C34221F" w14:textId="77777777" w:rsidR="00F6696E" w:rsidRDefault="00F6696E" w:rsidP="000850AC">
          <w:pPr>
            <w:rPr>
              <w:sz w:val="18"/>
            </w:rPr>
          </w:pPr>
        </w:p>
      </w:tc>
    </w:tr>
  </w:tbl>
  <w:p w14:paraId="7C342221" w14:textId="77777777" w:rsidR="00F6696E" w:rsidRDefault="00F6696E" w:rsidP="003278F2">
    <w:pPr>
      <w:rPr>
        <w:i/>
        <w:sz w:val="18"/>
      </w:rPr>
    </w:pPr>
  </w:p>
  <w:p w14:paraId="7C342222" w14:textId="77777777" w:rsidR="00D60B99" w:rsidRDefault="00D60B99" w:rsidP="00B55883">
    <w:pPr>
      <w:pStyle w:val="Footer"/>
      <w:rPr>
        <w:b/>
        <w:sz w:val="28"/>
        <w:szCs w:val="28"/>
      </w:rPr>
    </w:pPr>
  </w:p>
  <w:p w14:paraId="7C342223" w14:textId="77777777" w:rsidR="004613B2" w:rsidRPr="004613B2" w:rsidRDefault="004613B2" w:rsidP="004613B2">
    <w:pPr>
      <w:pStyle w:val="Footer"/>
      <w:rPr>
        <w:sz w:val="16"/>
      </w:rPr>
    </w:pPr>
    <w:r>
      <w:rPr>
        <w:sz w:val="16"/>
      </w:rPr>
      <w:fldChar w:fldCharType="begin"/>
    </w:r>
    <w:r>
      <w:rPr>
        <w:sz w:val="16"/>
      </w:rPr>
      <w:instrText xml:space="preserve"> DOCPROPERTY  WSFooter  \* MERGEFORMAT </w:instrText>
    </w:r>
    <w:r>
      <w:rPr>
        <w:sz w:val="16"/>
      </w:rPr>
      <w:fldChar w:fldCharType="separate"/>
    </w:r>
    <w:r w:rsidR="00373D2A">
      <w:rPr>
        <w:sz w:val="16"/>
      </w:rPr>
      <w:t>41203893</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2231"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7C342235" w14:textId="77777777" w:rsidTr="00A87A58">
      <w:tc>
        <w:tcPr>
          <w:tcW w:w="365" w:type="pct"/>
        </w:tcPr>
        <w:p w14:paraId="7C342232"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3D2A">
            <w:rPr>
              <w:i/>
              <w:noProof/>
              <w:sz w:val="18"/>
            </w:rPr>
            <w:t>6</w:t>
          </w:r>
          <w:r w:rsidRPr="00ED79B6">
            <w:rPr>
              <w:i/>
              <w:sz w:val="18"/>
            </w:rPr>
            <w:fldChar w:fldCharType="end"/>
          </w:r>
        </w:p>
      </w:tc>
      <w:tc>
        <w:tcPr>
          <w:tcW w:w="3688" w:type="pct"/>
        </w:tcPr>
        <w:p w14:paraId="7C342233" w14:textId="491AC029"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82FD0">
            <w:rPr>
              <w:i/>
              <w:noProof/>
              <w:sz w:val="18"/>
            </w:rPr>
            <w:t>National Housing Finance and Investment Corporation Investment Mandate Amendment (Family Home Guarantee) Direction 2021</w:t>
          </w:r>
          <w:r w:rsidRPr="004E1307">
            <w:rPr>
              <w:i/>
              <w:sz w:val="18"/>
            </w:rPr>
            <w:fldChar w:fldCharType="end"/>
          </w:r>
        </w:p>
      </w:tc>
      <w:tc>
        <w:tcPr>
          <w:tcW w:w="947" w:type="pct"/>
        </w:tcPr>
        <w:p w14:paraId="7C342234" w14:textId="77777777" w:rsidR="008C2EAC" w:rsidRDefault="008C2EAC" w:rsidP="000850AC">
          <w:pPr>
            <w:spacing w:line="0" w:lineRule="atLeast"/>
            <w:jc w:val="right"/>
            <w:rPr>
              <w:sz w:val="18"/>
            </w:rPr>
          </w:pPr>
        </w:p>
      </w:tc>
    </w:tr>
    <w:tr w:rsidR="008C2EAC" w14:paraId="7C342237" w14:textId="77777777" w:rsidTr="00A87A58">
      <w:tc>
        <w:tcPr>
          <w:tcW w:w="5000" w:type="pct"/>
          <w:gridSpan w:val="3"/>
        </w:tcPr>
        <w:p w14:paraId="7C342236" w14:textId="77777777" w:rsidR="008C2EAC" w:rsidRDefault="008C2EAC" w:rsidP="000850AC">
          <w:pPr>
            <w:jc w:val="right"/>
            <w:rPr>
              <w:sz w:val="18"/>
            </w:rPr>
          </w:pPr>
        </w:p>
      </w:tc>
    </w:tr>
  </w:tbl>
  <w:p w14:paraId="7C342238"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2239"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7C34223D" w14:textId="77777777" w:rsidTr="00A87A58">
      <w:tc>
        <w:tcPr>
          <w:tcW w:w="947" w:type="pct"/>
        </w:tcPr>
        <w:p w14:paraId="7C34223A" w14:textId="77777777" w:rsidR="008C2EAC" w:rsidRDefault="008C2EAC" w:rsidP="000850AC">
          <w:pPr>
            <w:spacing w:line="0" w:lineRule="atLeast"/>
            <w:rPr>
              <w:sz w:val="18"/>
            </w:rPr>
          </w:pPr>
        </w:p>
      </w:tc>
      <w:tc>
        <w:tcPr>
          <w:tcW w:w="3688" w:type="pct"/>
        </w:tcPr>
        <w:p w14:paraId="7C34223B" w14:textId="0341EE0F"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82FD0">
            <w:rPr>
              <w:i/>
              <w:noProof/>
              <w:sz w:val="18"/>
            </w:rPr>
            <w:t>National Housing Finance and Investment Corporation Investment Mandate Amendment (Family Home Guarantee) Direction 2021</w:t>
          </w:r>
          <w:r w:rsidRPr="004E1307">
            <w:rPr>
              <w:i/>
              <w:sz w:val="18"/>
            </w:rPr>
            <w:fldChar w:fldCharType="end"/>
          </w:r>
        </w:p>
      </w:tc>
      <w:tc>
        <w:tcPr>
          <w:tcW w:w="365" w:type="pct"/>
        </w:tcPr>
        <w:p w14:paraId="7C34223C"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3D2A">
            <w:rPr>
              <w:i/>
              <w:noProof/>
              <w:sz w:val="18"/>
            </w:rPr>
            <w:t>5</w:t>
          </w:r>
          <w:r w:rsidRPr="00ED79B6">
            <w:rPr>
              <w:i/>
              <w:sz w:val="18"/>
            </w:rPr>
            <w:fldChar w:fldCharType="end"/>
          </w:r>
        </w:p>
      </w:tc>
    </w:tr>
    <w:tr w:rsidR="008C2EAC" w14:paraId="7C34223F" w14:textId="77777777" w:rsidTr="00A87A58">
      <w:tc>
        <w:tcPr>
          <w:tcW w:w="5000" w:type="pct"/>
          <w:gridSpan w:val="3"/>
        </w:tcPr>
        <w:p w14:paraId="7C34223E" w14:textId="77777777" w:rsidR="008C2EAC" w:rsidRDefault="008C2EAC" w:rsidP="000850AC">
          <w:pPr>
            <w:rPr>
              <w:sz w:val="18"/>
            </w:rPr>
          </w:pPr>
        </w:p>
      </w:tc>
    </w:tr>
  </w:tbl>
  <w:p w14:paraId="7C342240" w14:textId="77777777" w:rsidR="008C2EAC" w:rsidRDefault="008C2EAC" w:rsidP="003278F2">
    <w:pPr>
      <w:rPr>
        <w:i/>
        <w:sz w:val="18"/>
      </w:rPr>
    </w:pPr>
  </w:p>
  <w:p w14:paraId="7C342241" w14:textId="77777777" w:rsidR="00D60B99" w:rsidRDefault="00D60B99" w:rsidP="00181139">
    <w:pPr>
      <w:pStyle w:val="Footer"/>
      <w:rPr>
        <w:sz w:val="16"/>
      </w:rPr>
    </w:pPr>
  </w:p>
  <w:p w14:paraId="7C342242" w14:textId="77777777" w:rsidR="004613B2" w:rsidRPr="004613B2" w:rsidRDefault="004613B2" w:rsidP="004613B2">
    <w:pPr>
      <w:pStyle w:val="Footer"/>
      <w:rPr>
        <w:sz w:val="16"/>
      </w:rPr>
    </w:pPr>
    <w:r>
      <w:rPr>
        <w:sz w:val="16"/>
      </w:rPr>
      <w:fldChar w:fldCharType="begin"/>
    </w:r>
    <w:r>
      <w:rPr>
        <w:sz w:val="16"/>
      </w:rPr>
      <w:instrText xml:space="preserve"> DOCPROPERTY  WSFooter  \* MERGEFORMAT </w:instrText>
    </w:r>
    <w:r>
      <w:rPr>
        <w:sz w:val="16"/>
      </w:rPr>
      <w:fldChar w:fldCharType="separate"/>
    </w:r>
    <w:r w:rsidR="00373D2A">
      <w:rPr>
        <w:sz w:val="16"/>
      </w:rPr>
      <w:t>41203893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421F2" w14:textId="77777777" w:rsidR="00F86B57" w:rsidRDefault="00F86B57" w:rsidP="00715914">
      <w:pPr>
        <w:spacing w:line="240" w:lineRule="auto"/>
      </w:pPr>
      <w:r>
        <w:separator/>
      </w:r>
    </w:p>
  </w:footnote>
  <w:footnote w:type="continuationSeparator" w:id="0">
    <w:p w14:paraId="7C3421F3" w14:textId="77777777" w:rsidR="00F86B57" w:rsidRDefault="00F86B5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21F6"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21F7"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2208" w14:textId="77777777" w:rsidR="00373D2A" w:rsidRDefault="00373D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2210"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2211" w14:textId="77777777"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2224"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2225" w14:textId="77777777" w:rsidR="009A6277" w:rsidRDefault="009A6277" w:rsidP="009A6277">
    <w:pPr>
      <w:rPr>
        <w:sz w:val="20"/>
      </w:rPr>
    </w:pPr>
  </w:p>
  <w:p w14:paraId="7C342226" w14:textId="77777777" w:rsidR="009A6277" w:rsidRDefault="009A6277" w:rsidP="009A6277">
    <w:pPr>
      <w:rPr>
        <w:sz w:val="20"/>
      </w:rPr>
    </w:pPr>
  </w:p>
  <w:p w14:paraId="7C342227" w14:textId="77777777" w:rsidR="009A6277" w:rsidRPr="007A1328" w:rsidRDefault="009A6277" w:rsidP="009A6277">
    <w:pPr>
      <w:rPr>
        <w:sz w:val="20"/>
      </w:rPr>
    </w:pPr>
  </w:p>
  <w:p w14:paraId="7C342228" w14:textId="77777777" w:rsidR="009A6277" w:rsidRPr="007A1328" w:rsidRDefault="009A6277" w:rsidP="009A6277">
    <w:pPr>
      <w:tabs>
        <w:tab w:val="left" w:pos="1575"/>
      </w:tabs>
      <w:rPr>
        <w:b/>
        <w:sz w:val="24"/>
      </w:rPr>
    </w:pPr>
    <w:r>
      <w:rPr>
        <w:b/>
        <w:sz w:val="24"/>
      </w:rPr>
      <w:tab/>
    </w:r>
  </w:p>
  <w:p w14:paraId="7C342229" w14:textId="77777777" w:rsidR="009A6277" w:rsidRPr="007A1328" w:rsidRDefault="009A6277" w:rsidP="009A6277">
    <w:pPr>
      <w:pBdr>
        <w:bottom w:val="single" w:sz="6" w:space="1" w:color="auto"/>
      </w:pBdr>
      <w:spacing w:after="120"/>
      <w:jc w:val="right"/>
      <w:rPr>
        <w:sz w:val="24"/>
      </w:rPr>
    </w:pPr>
  </w:p>
  <w:p w14:paraId="7C34222A" w14:textId="77777777" w:rsidR="009A6277" w:rsidRPr="009A6277" w:rsidRDefault="009A6277" w:rsidP="009A62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222B" w14:textId="77777777" w:rsidR="009A6277" w:rsidRDefault="009A6277" w:rsidP="009A6277">
    <w:pPr>
      <w:rPr>
        <w:sz w:val="20"/>
      </w:rPr>
    </w:pPr>
  </w:p>
  <w:p w14:paraId="7C34222C" w14:textId="77777777" w:rsidR="009A6277" w:rsidRDefault="009A6277" w:rsidP="009A6277">
    <w:pPr>
      <w:rPr>
        <w:sz w:val="20"/>
      </w:rPr>
    </w:pPr>
  </w:p>
  <w:p w14:paraId="7C34222D" w14:textId="77777777" w:rsidR="009A6277" w:rsidRPr="007A1328" w:rsidRDefault="009A6277" w:rsidP="009A6277">
    <w:pPr>
      <w:rPr>
        <w:sz w:val="20"/>
      </w:rPr>
    </w:pPr>
  </w:p>
  <w:p w14:paraId="7C34222E" w14:textId="77777777" w:rsidR="009A6277" w:rsidRPr="007A1328" w:rsidRDefault="009A6277" w:rsidP="009A6277">
    <w:pPr>
      <w:tabs>
        <w:tab w:val="left" w:pos="1575"/>
      </w:tabs>
      <w:rPr>
        <w:b/>
        <w:sz w:val="24"/>
      </w:rPr>
    </w:pPr>
    <w:r>
      <w:rPr>
        <w:b/>
        <w:sz w:val="24"/>
      </w:rPr>
      <w:tab/>
    </w:r>
  </w:p>
  <w:p w14:paraId="7C34222F" w14:textId="77777777" w:rsidR="009A6277" w:rsidRPr="007A1328" w:rsidRDefault="009A6277" w:rsidP="009A6277">
    <w:pPr>
      <w:pBdr>
        <w:bottom w:val="single" w:sz="6" w:space="1" w:color="auto"/>
      </w:pBdr>
      <w:spacing w:after="120"/>
      <w:jc w:val="right"/>
      <w:rPr>
        <w:sz w:val="24"/>
      </w:rPr>
    </w:pPr>
  </w:p>
  <w:p w14:paraId="7C342230" w14:textId="77777777" w:rsidR="004E1307" w:rsidRPr="009A6277" w:rsidRDefault="004E1307" w:rsidP="009A6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2EF0B8"/>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AAFE3D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80C46072"/>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6DB40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5E7B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5A84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8CD5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D21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248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B4B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FB287E"/>
    <w:multiLevelType w:val="multilevel"/>
    <w:tmpl w:val="EEC82BD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380"/>
    <w:rsid w:val="00004174"/>
    <w:rsid w:val="00004470"/>
    <w:rsid w:val="000136AF"/>
    <w:rsid w:val="0001381B"/>
    <w:rsid w:val="00015978"/>
    <w:rsid w:val="000258B1"/>
    <w:rsid w:val="00040A89"/>
    <w:rsid w:val="000437C1"/>
    <w:rsid w:val="0004455A"/>
    <w:rsid w:val="0005365D"/>
    <w:rsid w:val="00056495"/>
    <w:rsid w:val="000614BF"/>
    <w:rsid w:val="0006709C"/>
    <w:rsid w:val="00074376"/>
    <w:rsid w:val="000978F5"/>
    <w:rsid w:val="000A2A07"/>
    <w:rsid w:val="000B15CD"/>
    <w:rsid w:val="000B35EB"/>
    <w:rsid w:val="000D05EF"/>
    <w:rsid w:val="000D41D6"/>
    <w:rsid w:val="000E2261"/>
    <w:rsid w:val="000E78B7"/>
    <w:rsid w:val="000F21C1"/>
    <w:rsid w:val="0010745C"/>
    <w:rsid w:val="00115CFA"/>
    <w:rsid w:val="00132CEB"/>
    <w:rsid w:val="001339B0"/>
    <w:rsid w:val="00142B62"/>
    <w:rsid w:val="001441B7"/>
    <w:rsid w:val="001516CB"/>
    <w:rsid w:val="00151D80"/>
    <w:rsid w:val="00152336"/>
    <w:rsid w:val="00157B8B"/>
    <w:rsid w:val="00166C2F"/>
    <w:rsid w:val="001774B0"/>
    <w:rsid w:val="001809D7"/>
    <w:rsid w:val="00181139"/>
    <w:rsid w:val="001939E1"/>
    <w:rsid w:val="00194C3E"/>
    <w:rsid w:val="00195382"/>
    <w:rsid w:val="001B2CB6"/>
    <w:rsid w:val="001C4B22"/>
    <w:rsid w:val="001C61C5"/>
    <w:rsid w:val="001C69C4"/>
    <w:rsid w:val="001D0A72"/>
    <w:rsid w:val="001D37EF"/>
    <w:rsid w:val="001E3590"/>
    <w:rsid w:val="001E7407"/>
    <w:rsid w:val="001F5D5E"/>
    <w:rsid w:val="001F6219"/>
    <w:rsid w:val="001F6CD4"/>
    <w:rsid w:val="00206C4D"/>
    <w:rsid w:val="00215AF1"/>
    <w:rsid w:val="00224CE7"/>
    <w:rsid w:val="002321E8"/>
    <w:rsid w:val="00232984"/>
    <w:rsid w:val="0024010F"/>
    <w:rsid w:val="00240749"/>
    <w:rsid w:val="00243018"/>
    <w:rsid w:val="002564A4"/>
    <w:rsid w:val="0026736C"/>
    <w:rsid w:val="00281308"/>
    <w:rsid w:val="00284719"/>
    <w:rsid w:val="00286055"/>
    <w:rsid w:val="00297ECB"/>
    <w:rsid w:val="002A7BCF"/>
    <w:rsid w:val="002C3FD1"/>
    <w:rsid w:val="002D043A"/>
    <w:rsid w:val="002D266B"/>
    <w:rsid w:val="002D6224"/>
    <w:rsid w:val="00304F8B"/>
    <w:rsid w:val="00314493"/>
    <w:rsid w:val="00335BC6"/>
    <w:rsid w:val="003415D3"/>
    <w:rsid w:val="00344338"/>
    <w:rsid w:val="00344701"/>
    <w:rsid w:val="00352B0F"/>
    <w:rsid w:val="00356E9F"/>
    <w:rsid w:val="00360459"/>
    <w:rsid w:val="00373D2A"/>
    <w:rsid w:val="0038049F"/>
    <w:rsid w:val="003820EB"/>
    <w:rsid w:val="00382FD0"/>
    <w:rsid w:val="00392F78"/>
    <w:rsid w:val="003943DA"/>
    <w:rsid w:val="003C6231"/>
    <w:rsid w:val="003D0BFE"/>
    <w:rsid w:val="003D5700"/>
    <w:rsid w:val="003E341B"/>
    <w:rsid w:val="003E4D00"/>
    <w:rsid w:val="003F3B37"/>
    <w:rsid w:val="004116CD"/>
    <w:rsid w:val="00417EB9"/>
    <w:rsid w:val="00424CA9"/>
    <w:rsid w:val="004276DF"/>
    <w:rsid w:val="00431E9B"/>
    <w:rsid w:val="004379E3"/>
    <w:rsid w:val="0044015E"/>
    <w:rsid w:val="0044291A"/>
    <w:rsid w:val="00443A45"/>
    <w:rsid w:val="004613B2"/>
    <w:rsid w:val="00467661"/>
    <w:rsid w:val="00472DBE"/>
    <w:rsid w:val="00474A19"/>
    <w:rsid w:val="00477830"/>
    <w:rsid w:val="00487764"/>
    <w:rsid w:val="00496F97"/>
    <w:rsid w:val="004B6C48"/>
    <w:rsid w:val="004C4E59"/>
    <w:rsid w:val="004C6809"/>
    <w:rsid w:val="004D6AD6"/>
    <w:rsid w:val="004E063A"/>
    <w:rsid w:val="004E1307"/>
    <w:rsid w:val="004E2DAF"/>
    <w:rsid w:val="004E7BEC"/>
    <w:rsid w:val="00505D3D"/>
    <w:rsid w:val="00506AF6"/>
    <w:rsid w:val="00516B8D"/>
    <w:rsid w:val="005303C8"/>
    <w:rsid w:val="00537FBC"/>
    <w:rsid w:val="00554826"/>
    <w:rsid w:val="00583999"/>
    <w:rsid w:val="00584811"/>
    <w:rsid w:val="00585784"/>
    <w:rsid w:val="00593AA6"/>
    <w:rsid w:val="00594161"/>
    <w:rsid w:val="00594749"/>
    <w:rsid w:val="005A65D5"/>
    <w:rsid w:val="005B4067"/>
    <w:rsid w:val="005C3F41"/>
    <w:rsid w:val="005D1D92"/>
    <w:rsid w:val="005D2D09"/>
    <w:rsid w:val="00600219"/>
    <w:rsid w:val="00604F2A"/>
    <w:rsid w:val="00620076"/>
    <w:rsid w:val="006252B9"/>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47FE4"/>
    <w:rsid w:val="007500C8"/>
    <w:rsid w:val="00755F1F"/>
    <w:rsid w:val="00756272"/>
    <w:rsid w:val="00762D38"/>
    <w:rsid w:val="007715C9"/>
    <w:rsid w:val="00771613"/>
    <w:rsid w:val="00774EDD"/>
    <w:rsid w:val="007757EC"/>
    <w:rsid w:val="00782014"/>
    <w:rsid w:val="00783E89"/>
    <w:rsid w:val="00785380"/>
    <w:rsid w:val="00793915"/>
    <w:rsid w:val="007C2253"/>
    <w:rsid w:val="007C3E96"/>
    <w:rsid w:val="007D7911"/>
    <w:rsid w:val="007E163D"/>
    <w:rsid w:val="007E667A"/>
    <w:rsid w:val="007F28C9"/>
    <w:rsid w:val="007F51B2"/>
    <w:rsid w:val="008040DD"/>
    <w:rsid w:val="008117E9"/>
    <w:rsid w:val="0081375C"/>
    <w:rsid w:val="00824498"/>
    <w:rsid w:val="00826BD1"/>
    <w:rsid w:val="00835DDA"/>
    <w:rsid w:val="00854D0B"/>
    <w:rsid w:val="00856A31"/>
    <w:rsid w:val="00857B48"/>
    <w:rsid w:val="00860B4E"/>
    <w:rsid w:val="00867B37"/>
    <w:rsid w:val="008754D0"/>
    <w:rsid w:val="00875D13"/>
    <w:rsid w:val="008855C9"/>
    <w:rsid w:val="00886456"/>
    <w:rsid w:val="008935D5"/>
    <w:rsid w:val="00896176"/>
    <w:rsid w:val="008A46E1"/>
    <w:rsid w:val="008A4F43"/>
    <w:rsid w:val="008B2706"/>
    <w:rsid w:val="008C2EAC"/>
    <w:rsid w:val="008D0EE0"/>
    <w:rsid w:val="008E0027"/>
    <w:rsid w:val="008E3B28"/>
    <w:rsid w:val="008E6067"/>
    <w:rsid w:val="008F54E7"/>
    <w:rsid w:val="00903422"/>
    <w:rsid w:val="009254C3"/>
    <w:rsid w:val="00932377"/>
    <w:rsid w:val="00941236"/>
    <w:rsid w:val="00941C9E"/>
    <w:rsid w:val="00943FD5"/>
    <w:rsid w:val="00947D5A"/>
    <w:rsid w:val="009532A5"/>
    <w:rsid w:val="009545BD"/>
    <w:rsid w:val="00964CF0"/>
    <w:rsid w:val="00965ED6"/>
    <w:rsid w:val="00977806"/>
    <w:rsid w:val="00982242"/>
    <w:rsid w:val="009868E9"/>
    <w:rsid w:val="009900A3"/>
    <w:rsid w:val="009A6277"/>
    <w:rsid w:val="009C3413"/>
    <w:rsid w:val="00A0441E"/>
    <w:rsid w:val="00A12128"/>
    <w:rsid w:val="00A22C98"/>
    <w:rsid w:val="00A231E2"/>
    <w:rsid w:val="00A36258"/>
    <w:rsid w:val="00A369E3"/>
    <w:rsid w:val="00A57600"/>
    <w:rsid w:val="00A64912"/>
    <w:rsid w:val="00A70A74"/>
    <w:rsid w:val="00A75FE9"/>
    <w:rsid w:val="00A97185"/>
    <w:rsid w:val="00AC4BAB"/>
    <w:rsid w:val="00AD53CC"/>
    <w:rsid w:val="00AD5641"/>
    <w:rsid w:val="00AE377B"/>
    <w:rsid w:val="00AF06CF"/>
    <w:rsid w:val="00B07CDB"/>
    <w:rsid w:val="00B16A31"/>
    <w:rsid w:val="00B17DFD"/>
    <w:rsid w:val="00B25306"/>
    <w:rsid w:val="00B27831"/>
    <w:rsid w:val="00B308FE"/>
    <w:rsid w:val="00B33709"/>
    <w:rsid w:val="00B33B3C"/>
    <w:rsid w:val="00B36392"/>
    <w:rsid w:val="00B418CB"/>
    <w:rsid w:val="00B47444"/>
    <w:rsid w:val="00B50ADC"/>
    <w:rsid w:val="00B55883"/>
    <w:rsid w:val="00B566B1"/>
    <w:rsid w:val="00B63834"/>
    <w:rsid w:val="00B70AD4"/>
    <w:rsid w:val="00B80199"/>
    <w:rsid w:val="00B8209C"/>
    <w:rsid w:val="00B83204"/>
    <w:rsid w:val="00B856E7"/>
    <w:rsid w:val="00BA220B"/>
    <w:rsid w:val="00BA3A57"/>
    <w:rsid w:val="00BB1533"/>
    <w:rsid w:val="00BB4E1A"/>
    <w:rsid w:val="00BC015E"/>
    <w:rsid w:val="00BC5E82"/>
    <w:rsid w:val="00BC76AC"/>
    <w:rsid w:val="00BD0ECB"/>
    <w:rsid w:val="00BE2155"/>
    <w:rsid w:val="00BE4CF3"/>
    <w:rsid w:val="00BE719A"/>
    <w:rsid w:val="00BE720A"/>
    <w:rsid w:val="00BF0D73"/>
    <w:rsid w:val="00BF2465"/>
    <w:rsid w:val="00BF5BA5"/>
    <w:rsid w:val="00C03BDD"/>
    <w:rsid w:val="00C16619"/>
    <w:rsid w:val="00C25E7F"/>
    <w:rsid w:val="00C2746F"/>
    <w:rsid w:val="00C323D6"/>
    <w:rsid w:val="00C324A0"/>
    <w:rsid w:val="00C42BF8"/>
    <w:rsid w:val="00C445D8"/>
    <w:rsid w:val="00C50043"/>
    <w:rsid w:val="00C656FA"/>
    <w:rsid w:val="00C7573B"/>
    <w:rsid w:val="00C81363"/>
    <w:rsid w:val="00C87069"/>
    <w:rsid w:val="00C97A54"/>
    <w:rsid w:val="00CA5B23"/>
    <w:rsid w:val="00CB1C6E"/>
    <w:rsid w:val="00CB602E"/>
    <w:rsid w:val="00CB7E90"/>
    <w:rsid w:val="00CE051D"/>
    <w:rsid w:val="00CE1335"/>
    <w:rsid w:val="00CE493D"/>
    <w:rsid w:val="00CF07FA"/>
    <w:rsid w:val="00CF0BB2"/>
    <w:rsid w:val="00CF314F"/>
    <w:rsid w:val="00CF3EE8"/>
    <w:rsid w:val="00D13441"/>
    <w:rsid w:val="00D150E7"/>
    <w:rsid w:val="00D52DC2"/>
    <w:rsid w:val="00D53BCC"/>
    <w:rsid w:val="00D54C9E"/>
    <w:rsid w:val="00D60B99"/>
    <w:rsid w:val="00D60EB3"/>
    <w:rsid w:val="00D6537E"/>
    <w:rsid w:val="00D70DFB"/>
    <w:rsid w:val="00D766DF"/>
    <w:rsid w:val="00D8206C"/>
    <w:rsid w:val="00D91F10"/>
    <w:rsid w:val="00DA186E"/>
    <w:rsid w:val="00DA4116"/>
    <w:rsid w:val="00DB251C"/>
    <w:rsid w:val="00DB4630"/>
    <w:rsid w:val="00DB593F"/>
    <w:rsid w:val="00DC4F88"/>
    <w:rsid w:val="00DD0A2D"/>
    <w:rsid w:val="00DE107C"/>
    <w:rsid w:val="00DF2388"/>
    <w:rsid w:val="00E05704"/>
    <w:rsid w:val="00E338EF"/>
    <w:rsid w:val="00E544BB"/>
    <w:rsid w:val="00E74DC7"/>
    <w:rsid w:val="00E8075A"/>
    <w:rsid w:val="00E82BE9"/>
    <w:rsid w:val="00E940D8"/>
    <w:rsid w:val="00E94D5E"/>
    <w:rsid w:val="00E979AF"/>
    <w:rsid w:val="00EA7100"/>
    <w:rsid w:val="00EA7F9F"/>
    <w:rsid w:val="00EB1274"/>
    <w:rsid w:val="00ED2BB6"/>
    <w:rsid w:val="00ED34E1"/>
    <w:rsid w:val="00ED3B8D"/>
    <w:rsid w:val="00EE2A66"/>
    <w:rsid w:val="00EE5E36"/>
    <w:rsid w:val="00EF29CA"/>
    <w:rsid w:val="00EF2E3A"/>
    <w:rsid w:val="00F02C7C"/>
    <w:rsid w:val="00F072A7"/>
    <w:rsid w:val="00F078DC"/>
    <w:rsid w:val="00F32BA8"/>
    <w:rsid w:val="00F32EE0"/>
    <w:rsid w:val="00F349F1"/>
    <w:rsid w:val="00F3565A"/>
    <w:rsid w:val="00F4350D"/>
    <w:rsid w:val="00F479C4"/>
    <w:rsid w:val="00F567F7"/>
    <w:rsid w:val="00F6696E"/>
    <w:rsid w:val="00F67C01"/>
    <w:rsid w:val="00F73BD6"/>
    <w:rsid w:val="00F83989"/>
    <w:rsid w:val="00F85099"/>
    <w:rsid w:val="00F86B57"/>
    <w:rsid w:val="00F9379C"/>
    <w:rsid w:val="00F9632C"/>
    <w:rsid w:val="00FA0143"/>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34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Subsectio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iPriority w:val="99"/>
    <w:semiHidden/>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iPriority w:val="99"/>
    <w:semiHidden/>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iPriority w:val="99"/>
    <w:semiHidden/>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iPriority w:val="99"/>
    <w:semiHidden/>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iPriority w:val="99"/>
    <w:semiHidden/>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iPriority w:val="99"/>
    <w:semiHidden/>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iPriority w:val="99"/>
    <w:semiHidden/>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iPriority w:val="99"/>
    <w:semiHidden/>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iPriority w:val="35"/>
    <w:semiHidden/>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iPriority w:val="99"/>
    <w:semiHidden/>
    <w:unhideWhenUsed/>
    <w:rsid w:val="00314493"/>
    <w:pPr>
      <w:spacing w:line="240" w:lineRule="auto"/>
    </w:pPr>
    <w:rPr>
      <w:sz w:val="20"/>
    </w:rPr>
  </w:style>
  <w:style w:type="character" w:customStyle="1" w:styleId="CommentTextChar">
    <w:name w:val="Comment Text Char"/>
    <w:basedOn w:val="DefaultParagraphFont"/>
    <w:link w:val="CommentText"/>
    <w:uiPriority w:val="99"/>
    <w:semiHidden/>
    <w:rsid w:val="00314493"/>
  </w:style>
  <w:style w:type="paragraph" w:styleId="CommentSubject">
    <w:name w:val="annotation subject"/>
    <w:basedOn w:val="CommentText"/>
    <w:next w:val="CommentText"/>
    <w:link w:val="CommentSubjectChar"/>
    <w:uiPriority w:val="99"/>
    <w:semiHidden/>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iPriority w:val="99"/>
    <w:semiHidden/>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iPriority w:val="99"/>
    <w:semiHidden/>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iPriority w:val="99"/>
    <w:semiHidden/>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iPriority w:val="99"/>
    <w:semiHidden/>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iPriority w:val="99"/>
    <w:semiHidden/>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14493"/>
    <w:pPr>
      <w:spacing w:line="240" w:lineRule="auto"/>
    </w:pPr>
    <w:rPr>
      <w:sz w:val="20"/>
    </w:rPr>
  </w:style>
  <w:style w:type="character" w:customStyle="1" w:styleId="FootnoteTextChar">
    <w:name w:val="Footnote Text Char"/>
    <w:basedOn w:val="DefaultParagraphFont"/>
    <w:link w:val="FootnoteText"/>
    <w:uiPriority w:val="99"/>
    <w:semiHidden/>
    <w:rsid w:val="00314493"/>
  </w:style>
  <w:style w:type="paragraph" w:styleId="HTMLAddress">
    <w:name w:val="HTML Address"/>
    <w:basedOn w:val="Normal"/>
    <w:link w:val="HTMLAddressChar"/>
    <w:uiPriority w:val="99"/>
    <w:semiHidden/>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iPriority w:val="99"/>
    <w:semiHidden/>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iPriority w:val="99"/>
    <w:semiHidden/>
    <w:unhideWhenUsed/>
    <w:rsid w:val="00314493"/>
    <w:pPr>
      <w:spacing w:line="240" w:lineRule="auto"/>
      <w:ind w:left="220" w:hanging="220"/>
    </w:pPr>
  </w:style>
  <w:style w:type="paragraph" w:styleId="Index2">
    <w:name w:val="index 2"/>
    <w:basedOn w:val="Normal"/>
    <w:next w:val="Normal"/>
    <w:autoRedefine/>
    <w:uiPriority w:val="99"/>
    <w:semiHidden/>
    <w:unhideWhenUsed/>
    <w:rsid w:val="00314493"/>
    <w:pPr>
      <w:spacing w:line="240" w:lineRule="auto"/>
      <w:ind w:left="440" w:hanging="220"/>
    </w:pPr>
  </w:style>
  <w:style w:type="paragraph" w:styleId="Index3">
    <w:name w:val="index 3"/>
    <w:basedOn w:val="Normal"/>
    <w:next w:val="Normal"/>
    <w:autoRedefine/>
    <w:uiPriority w:val="99"/>
    <w:semiHidden/>
    <w:unhideWhenUsed/>
    <w:rsid w:val="00314493"/>
    <w:pPr>
      <w:spacing w:line="240" w:lineRule="auto"/>
      <w:ind w:left="660" w:hanging="220"/>
    </w:pPr>
  </w:style>
  <w:style w:type="paragraph" w:styleId="Index4">
    <w:name w:val="index 4"/>
    <w:basedOn w:val="Normal"/>
    <w:next w:val="Normal"/>
    <w:autoRedefine/>
    <w:uiPriority w:val="99"/>
    <w:semiHidden/>
    <w:unhideWhenUsed/>
    <w:rsid w:val="00314493"/>
    <w:pPr>
      <w:spacing w:line="240" w:lineRule="auto"/>
      <w:ind w:left="880" w:hanging="220"/>
    </w:pPr>
  </w:style>
  <w:style w:type="paragraph" w:styleId="Index5">
    <w:name w:val="index 5"/>
    <w:basedOn w:val="Normal"/>
    <w:next w:val="Normal"/>
    <w:autoRedefine/>
    <w:uiPriority w:val="99"/>
    <w:semiHidden/>
    <w:unhideWhenUsed/>
    <w:rsid w:val="00314493"/>
    <w:pPr>
      <w:spacing w:line="240" w:lineRule="auto"/>
      <w:ind w:left="1100" w:hanging="220"/>
    </w:pPr>
  </w:style>
  <w:style w:type="paragraph" w:styleId="Index6">
    <w:name w:val="index 6"/>
    <w:basedOn w:val="Normal"/>
    <w:next w:val="Normal"/>
    <w:autoRedefine/>
    <w:uiPriority w:val="99"/>
    <w:semiHidden/>
    <w:unhideWhenUsed/>
    <w:rsid w:val="00314493"/>
    <w:pPr>
      <w:spacing w:line="240" w:lineRule="auto"/>
      <w:ind w:left="1320" w:hanging="220"/>
    </w:pPr>
  </w:style>
  <w:style w:type="paragraph" w:styleId="Index7">
    <w:name w:val="index 7"/>
    <w:basedOn w:val="Normal"/>
    <w:next w:val="Normal"/>
    <w:autoRedefine/>
    <w:uiPriority w:val="99"/>
    <w:semiHidden/>
    <w:unhideWhenUsed/>
    <w:rsid w:val="00314493"/>
    <w:pPr>
      <w:spacing w:line="240" w:lineRule="auto"/>
      <w:ind w:left="1540" w:hanging="220"/>
    </w:pPr>
  </w:style>
  <w:style w:type="paragraph" w:styleId="Index8">
    <w:name w:val="index 8"/>
    <w:basedOn w:val="Normal"/>
    <w:next w:val="Normal"/>
    <w:autoRedefine/>
    <w:uiPriority w:val="99"/>
    <w:semiHidden/>
    <w:unhideWhenUsed/>
    <w:rsid w:val="00314493"/>
    <w:pPr>
      <w:spacing w:line="240" w:lineRule="auto"/>
      <w:ind w:left="1760" w:hanging="220"/>
    </w:pPr>
  </w:style>
  <w:style w:type="paragraph" w:styleId="Index9">
    <w:name w:val="index 9"/>
    <w:basedOn w:val="Normal"/>
    <w:next w:val="Normal"/>
    <w:autoRedefine/>
    <w:uiPriority w:val="99"/>
    <w:semiHidden/>
    <w:unhideWhenUsed/>
    <w:rsid w:val="00314493"/>
    <w:pPr>
      <w:spacing w:line="240" w:lineRule="auto"/>
      <w:ind w:left="1980" w:hanging="220"/>
    </w:pPr>
  </w:style>
  <w:style w:type="paragraph" w:styleId="IndexHeading">
    <w:name w:val="index heading"/>
    <w:basedOn w:val="Normal"/>
    <w:next w:val="Index1"/>
    <w:uiPriority w:val="99"/>
    <w:semiHidden/>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iPriority w:val="99"/>
    <w:semiHidden/>
    <w:unhideWhenUsed/>
    <w:rsid w:val="00314493"/>
    <w:pPr>
      <w:ind w:left="283" w:hanging="283"/>
      <w:contextualSpacing/>
    </w:pPr>
  </w:style>
  <w:style w:type="paragraph" w:styleId="List2">
    <w:name w:val="List 2"/>
    <w:basedOn w:val="Normal"/>
    <w:uiPriority w:val="99"/>
    <w:semiHidden/>
    <w:unhideWhenUsed/>
    <w:rsid w:val="00314493"/>
    <w:pPr>
      <w:ind w:left="566" w:hanging="283"/>
      <w:contextualSpacing/>
    </w:pPr>
  </w:style>
  <w:style w:type="paragraph" w:styleId="List3">
    <w:name w:val="List 3"/>
    <w:basedOn w:val="Normal"/>
    <w:uiPriority w:val="99"/>
    <w:semiHidden/>
    <w:unhideWhenUsed/>
    <w:rsid w:val="00314493"/>
    <w:pPr>
      <w:ind w:left="849" w:hanging="283"/>
      <w:contextualSpacing/>
    </w:pPr>
  </w:style>
  <w:style w:type="paragraph" w:styleId="List4">
    <w:name w:val="List 4"/>
    <w:basedOn w:val="Normal"/>
    <w:uiPriority w:val="99"/>
    <w:semiHidden/>
    <w:unhideWhenUsed/>
    <w:rsid w:val="00314493"/>
    <w:pPr>
      <w:ind w:left="1132" w:hanging="283"/>
      <w:contextualSpacing/>
    </w:pPr>
  </w:style>
  <w:style w:type="paragraph" w:styleId="List5">
    <w:name w:val="List 5"/>
    <w:basedOn w:val="Normal"/>
    <w:uiPriority w:val="99"/>
    <w:semiHidden/>
    <w:unhideWhenUsed/>
    <w:rsid w:val="00314493"/>
    <w:pPr>
      <w:ind w:left="1415" w:hanging="283"/>
      <w:contextualSpacing/>
    </w:pPr>
  </w:style>
  <w:style w:type="paragraph" w:styleId="ListBullet">
    <w:name w:val="List Bullet"/>
    <w:basedOn w:val="Normal"/>
    <w:uiPriority w:val="99"/>
    <w:semiHidden/>
    <w:unhideWhenUsed/>
    <w:rsid w:val="00314493"/>
    <w:pPr>
      <w:contextualSpacing/>
    </w:pPr>
  </w:style>
  <w:style w:type="paragraph" w:styleId="ListBullet2">
    <w:name w:val="List Bullet 2"/>
    <w:basedOn w:val="Normal"/>
    <w:uiPriority w:val="99"/>
    <w:semiHidden/>
    <w:unhideWhenUsed/>
    <w:rsid w:val="00314493"/>
    <w:pPr>
      <w:contextualSpacing/>
    </w:pPr>
  </w:style>
  <w:style w:type="paragraph" w:styleId="ListBullet3">
    <w:name w:val="List Bullet 3"/>
    <w:basedOn w:val="Normal"/>
    <w:uiPriority w:val="99"/>
    <w:semiHidden/>
    <w:unhideWhenUsed/>
    <w:rsid w:val="00314493"/>
    <w:pPr>
      <w:contextualSpacing/>
    </w:pPr>
  </w:style>
  <w:style w:type="paragraph" w:styleId="ListBullet4">
    <w:name w:val="List Bullet 4"/>
    <w:basedOn w:val="Normal"/>
    <w:uiPriority w:val="99"/>
    <w:semiHidden/>
    <w:unhideWhenUsed/>
    <w:rsid w:val="00314493"/>
    <w:pPr>
      <w:contextualSpacing/>
    </w:pPr>
  </w:style>
  <w:style w:type="paragraph" w:styleId="ListBullet5">
    <w:name w:val="List Bullet 5"/>
    <w:basedOn w:val="Normal"/>
    <w:uiPriority w:val="99"/>
    <w:semiHidden/>
    <w:unhideWhenUsed/>
    <w:rsid w:val="00314493"/>
    <w:pPr>
      <w:contextualSpacing/>
    </w:pPr>
  </w:style>
  <w:style w:type="paragraph" w:styleId="ListContinue">
    <w:name w:val="List Continue"/>
    <w:basedOn w:val="Normal"/>
    <w:uiPriority w:val="99"/>
    <w:semiHidden/>
    <w:unhideWhenUsed/>
    <w:rsid w:val="00314493"/>
    <w:pPr>
      <w:spacing w:after="120"/>
      <w:ind w:left="283"/>
      <w:contextualSpacing/>
    </w:pPr>
  </w:style>
  <w:style w:type="paragraph" w:styleId="ListContinue2">
    <w:name w:val="List Continue 2"/>
    <w:basedOn w:val="Normal"/>
    <w:uiPriority w:val="99"/>
    <w:semiHidden/>
    <w:unhideWhenUsed/>
    <w:rsid w:val="00314493"/>
    <w:pPr>
      <w:spacing w:after="120"/>
      <w:ind w:left="566"/>
      <w:contextualSpacing/>
    </w:pPr>
  </w:style>
  <w:style w:type="paragraph" w:styleId="ListContinue3">
    <w:name w:val="List Continue 3"/>
    <w:basedOn w:val="Normal"/>
    <w:uiPriority w:val="99"/>
    <w:semiHidden/>
    <w:unhideWhenUsed/>
    <w:rsid w:val="00314493"/>
    <w:pPr>
      <w:spacing w:after="120"/>
      <w:ind w:left="849"/>
      <w:contextualSpacing/>
    </w:pPr>
  </w:style>
  <w:style w:type="paragraph" w:styleId="ListContinue4">
    <w:name w:val="List Continue 4"/>
    <w:basedOn w:val="Normal"/>
    <w:uiPriority w:val="99"/>
    <w:semiHidden/>
    <w:unhideWhenUsed/>
    <w:rsid w:val="00314493"/>
    <w:pPr>
      <w:spacing w:after="120"/>
      <w:ind w:left="1132"/>
      <w:contextualSpacing/>
    </w:pPr>
  </w:style>
  <w:style w:type="paragraph" w:styleId="ListContinue5">
    <w:name w:val="List Continue 5"/>
    <w:basedOn w:val="Normal"/>
    <w:uiPriority w:val="99"/>
    <w:semiHidden/>
    <w:unhideWhenUsed/>
    <w:rsid w:val="00314493"/>
    <w:pPr>
      <w:spacing w:after="120"/>
      <w:ind w:left="1415"/>
      <w:contextualSpacing/>
    </w:pPr>
  </w:style>
  <w:style w:type="paragraph" w:styleId="ListNumber">
    <w:name w:val="List Number"/>
    <w:basedOn w:val="Normal"/>
    <w:uiPriority w:val="99"/>
    <w:semiHidden/>
    <w:unhideWhenUsed/>
    <w:rsid w:val="00314493"/>
    <w:pPr>
      <w:contextualSpacing/>
    </w:pPr>
  </w:style>
  <w:style w:type="paragraph" w:styleId="ListNumber2">
    <w:name w:val="List Number 2"/>
    <w:basedOn w:val="Normal"/>
    <w:uiPriority w:val="99"/>
    <w:semiHidden/>
    <w:unhideWhenUsed/>
    <w:rsid w:val="00314493"/>
    <w:pPr>
      <w:contextualSpacing/>
    </w:pPr>
  </w:style>
  <w:style w:type="paragraph" w:styleId="ListNumber3">
    <w:name w:val="List Number 3"/>
    <w:basedOn w:val="Normal"/>
    <w:uiPriority w:val="99"/>
    <w:semiHidden/>
    <w:unhideWhenUsed/>
    <w:rsid w:val="00314493"/>
    <w:pPr>
      <w:contextualSpacing/>
    </w:pPr>
  </w:style>
  <w:style w:type="paragraph" w:styleId="ListNumber4">
    <w:name w:val="List Number 4"/>
    <w:basedOn w:val="Normal"/>
    <w:uiPriority w:val="99"/>
    <w:semiHidden/>
    <w:unhideWhenUsed/>
    <w:rsid w:val="00314493"/>
    <w:pPr>
      <w:contextualSpacing/>
    </w:pPr>
  </w:style>
  <w:style w:type="paragraph" w:styleId="ListNumber5">
    <w:name w:val="List Number 5"/>
    <w:basedOn w:val="Normal"/>
    <w:uiPriority w:val="99"/>
    <w:semiHidden/>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iPriority w:val="99"/>
    <w:semiHidden/>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iPriority w:val="99"/>
    <w:semiHidden/>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iPriority w:val="99"/>
    <w:semiHidden/>
    <w:unhideWhenUsed/>
    <w:rsid w:val="00314493"/>
    <w:rPr>
      <w:rFonts w:cs="Times New Roman"/>
      <w:sz w:val="24"/>
      <w:szCs w:val="24"/>
    </w:rPr>
  </w:style>
  <w:style w:type="paragraph" w:styleId="NormalIndent">
    <w:name w:val="Normal Indent"/>
    <w:basedOn w:val="Normal"/>
    <w:uiPriority w:val="99"/>
    <w:semiHidden/>
    <w:unhideWhenUsed/>
    <w:rsid w:val="00314493"/>
    <w:pPr>
      <w:ind w:left="425"/>
    </w:pPr>
  </w:style>
  <w:style w:type="paragraph" w:styleId="NoteHeading">
    <w:name w:val="Note Heading"/>
    <w:basedOn w:val="Normal"/>
    <w:next w:val="Normal"/>
    <w:link w:val="NoteHeadingChar"/>
    <w:uiPriority w:val="99"/>
    <w:semiHidden/>
    <w:unhideWhenUsed/>
    <w:rsid w:val="00314493"/>
    <w:pPr>
      <w:spacing w:line="240" w:lineRule="auto"/>
    </w:pPr>
  </w:style>
  <w:style w:type="character" w:customStyle="1" w:styleId="NoteHeadingChar">
    <w:name w:val="Note Heading Char"/>
    <w:basedOn w:val="DefaultParagraphFont"/>
    <w:link w:val="NoteHeading"/>
    <w:uiPriority w:val="99"/>
    <w:semiHidden/>
    <w:rsid w:val="00314493"/>
    <w:rPr>
      <w:sz w:val="22"/>
    </w:rPr>
  </w:style>
  <w:style w:type="paragraph" w:styleId="PlainText">
    <w:name w:val="Plain Text"/>
    <w:basedOn w:val="Normal"/>
    <w:link w:val="PlainTextChar"/>
    <w:uiPriority w:val="99"/>
    <w:semiHidden/>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iPriority w:val="99"/>
    <w:semiHidden/>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iPriority w:val="99"/>
    <w:semiHidden/>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uiPriority w:val="11"/>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314493"/>
    <w:pPr>
      <w:ind w:left="220" w:hanging="220"/>
    </w:pPr>
  </w:style>
  <w:style w:type="paragraph" w:styleId="TableofFigures">
    <w:name w:val="table of figures"/>
    <w:basedOn w:val="Normal"/>
    <w:next w:val="Normal"/>
    <w:uiPriority w:val="99"/>
    <w:semiHidden/>
    <w:unhideWhenUsed/>
    <w:rsid w:val="00314493"/>
  </w:style>
  <w:style w:type="paragraph" w:styleId="Title">
    <w:name w:val="Title"/>
    <w:basedOn w:val="Normal"/>
    <w:next w:val="Normal"/>
    <w:link w:val="TitleChar"/>
    <w:uiPriority w:val="10"/>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character" w:customStyle="1" w:styleId="paragraphChar">
    <w:name w:val="paragraph Char"/>
    <w:aliases w:val="a Char"/>
    <w:basedOn w:val="DefaultParagraphFont"/>
    <w:link w:val="paragraph"/>
    <w:locked/>
    <w:rsid w:val="00443A45"/>
    <w:rPr>
      <w:rFonts w:eastAsia="Times New Roman" w:cs="Times New Roman"/>
      <w:sz w:val="22"/>
      <w:lang w:eastAsia="en-AU"/>
    </w:rPr>
  </w:style>
  <w:style w:type="character" w:customStyle="1" w:styleId="BulletChar">
    <w:name w:val="Bullet Char"/>
    <w:basedOn w:val="DefaultParagraphFont"/>
    <w:link w:val="Bullet"/>
    <w:locked/>
    <w:rsid w:val="00EF29CA"/>
    <w:rPr>
      <w:rFonts w:ascii="Book Antiqua" w:hAnsi="Book Antiqua"/>
      <w:color w:val="FF0000"/>
      <w:sz w:val="22"/>
      <w:szCs w:val="22"/>
    </w:rPr>
  </w:style>
  <w:style w:type="paragraph" w:customStyle="1" w:styleId="Bullet">
    <w:name w:val="Bullet"/>
    <w:basedOn w:val="Normal"/>
    <w:link w:val="BulletChar"/>
    <w:rsid w:val="00EF29CA"/>
    <w:pPr>
      <w:numPr>
        <w:numId w:val="14"/>
      </w:numPr>
      <w:spacing w:after="240" w:line="240" w:lineRule="auto"/>
    </w:pPr>
    <w:rPr>
      <w:rFonts w:ascii="Book Antiqua" w:hAnsi="Book Antiqua"/>
      <w:color w:val="FF0000"/>
      <w:szCs w:val="22"/>
    </w:rPr>
  </w:style>
  <w:style w:type="paragraph" w:customStyle="1" w:styleId="Dash">
    <w:name w:val="Dash"/>
    <w:basedOn w:val="Normal"/>
    <w:rsid w:val="00EF29CA"/>
    <w:pPr>
      <w:numPr>
        <w:ilvl w:val="1"/>
        <w:numId w:val="14"/>
      </w:numPr>
      <w:spacing w:after="240" w:line="240" w:lineRule="auto"/>
    </w:pPr>
    <w:rPr>
      <w:rFonts w:ascii="Book Antiqua" w:eastAsia="Times New Roman" w:hAnsi="Book Antiqua" w:cs="Times New Roman"/>
      <w:color w:val="FF0000"/>
      <w:szCs w:val="22"/>
      <w:lang w:eastAsia="en-AU"/>
    </w:rPr>
  </w:style>
  <w:style w:type="paragraph" w:customStyle="1" w:styleId="DoubleDot">
    <w:name w:val="Double Dot"/>
    <w:basedOn w:val="Normal"/>
    <w:rsid w:val="00EF29CA"/>
    <w:pPr>
      <w:numPr>
        <w:ilvl w:val="2"/>
        <w:numId w:val="14"/>
      </w:numPr>
      <w:spacing w:after="240" w:line="240" w:lineRule="auto"/>
    </w:pPr>
    <w:rPr>
      <w:rFonts w:ascii="Book Antiqua" w:eastAsia="Times New Roman" w:hAnsi="Book Antiqua" w:cs="Times New Roman"/>
      <w:color w:val="FF000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9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0f563589-9cf9-4143-b1eb-fb0534803d38">2021RG-111-20607</_dlc_DocId>
    <TaxCatchAll xmlns="0f563589-9cf9-4143-b1eb-fb0534803d38">
      <Value>7</Value>
    </TaxCatchAll>
    <_dlc_DocIdUrl xmlns="0f563589-9cf9-4143-b1eb-fb0534803d38">
      <Url>http://tweb/sites/rg/ldp/lmu/_layouts/15/DocIdRedir.aspx?ID=2021RG-111-20607</Url>
      <Description>2021RG-111-20607</Description>
    </_dlc_DocIdUrl>
    <IconOverlay xmlns="http://schemas.microsoft.com/sharepoint/v4" xsi:nil="true"/>
    <i6880fa62fd2465ea894b48b45824d1c xmlns="9f7bc583-7cbe-45b9-a2bd-8bbb6543b37e">
      <Terms xmlns="http://schemas.microsoft.com/office/infopath/2007/PartnerControls"/>
    </i6880fa62fd2465ea894b48b45824d1c>
  </documentManagement>
</p:properties>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8974" ma:contentTypeDescription=" " ma:contentTypeScope="" ma:versionID="4a249526306a9c366bb70ef0a4da577c">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0C682-F571-4B25-BBEA-5BA98D4D95D3}">
  <ds:schemaRefs>
    <ds:schemaRef ds:uri="http://schemas.microsoft.com/sharepoint/v3/contenttype/forms"/>
  </ds:schemaRefs>
</ds:datastoreItem>
</file>

<file path=customXml/itemProps2.xml><?xml version="1.0" encoding="utf-8"?>
<ds:datastoreItem xmlns:ds="http://schemas.openxmlformats.org/officeDocument/2006/customXml" ds:itemID="{C5C12767-A574-4410-8D69-D8217C52113E}">
  <ds:schemaRefs>
    <ds:schemaRef ds:uri="http://schemas.openxmlformats.org/officeDocument/2006/bibliography"/>
  </ds:schemaRefs>
</ds:datastoreItem>
</file>

<file path=customXml/itemProps3.xml><?xml version="1.0" encoding="utf-8"?>
<ds:datastoreItem xmlns:ds="http://schemas.openxmlformats.org/officeDocument/2006/customXml" ds:itemID="{F26AD847-ED64-4209-AF34-4F0054010B12}">
  <ds:schemaRefs>
    <ds:schemaRef ds:uri="office.server.policy"/>
  </ds:schemaRefs>
</ds:datastoreItem>
</file>

<file path=customXml/itemProps4.xml><?xml version="1.0" encoding="utf-8"?>
<ds:datastoreItem xmlns:ds="http://schemas.openxmlformats.org/officeDocument/2006/customXml" ds:itemID="{8598A370-D4BF-4592-BD97-D7752B6A0325}">
  <ds:schemaRefs>
    <ds:schemaRef ds:uri="http://schemas.microsoft.com/sharepoint/events"/>
  </ds:schemaRefs>
</ds:datastoreItem>
</file>

<file path=customXml/itemProps5.xml><?xml version="1.0" encoding="utf-8"?>
<ds:datastoreItem xmlns:ds="http://schemas.openxmlformats.org/officeDocument/2006/customXml" ds:itemID="{9BDB9714-5548-4875-BA6A-773EE0304839}">
  <ds:schemaRef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sharepoint/v4"/>
    <ds:schemaRef ds:uri="http://www.w3.org/XML/1998/namespace"/>
    <ds:schemaRef ds:uri="http://purl.org/dc/dcmitype/"/>
  </ds:schemaRefs>
</ds:datastoreItem>
</file>

<file path=customXml/itemProps6.xml><?xml version="1.0" encoding="utf-8"?>
<ds:datastoreItem xmlns:ds="http://schemas.openxmlformats.org/officeDocument/2006/customXml" ds:itemID="{1FF3E538-52E3-45CF-8494-3AA79B47A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1716</Words>
  <Characters>9786</Characters>
  <Application>Microsoft Office Word</Application>
  <DocSecurity>0</DocSecurity>
  <Lines>81</Lines>
  <Paragraphs>22</Paragraphs>
  <ScaleCrop>false</ScaleCrop>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20210628 NHFIC Family Home amending instrument - Final version</dc:title>
  <dc:subject/>
  <dc:creator/>
  <cp:keywords/>
  <cp:lastModifiedBy/>
  <cp:revision>1</cp:revision>
  <dcterms:created xsi:type="dcterms:W3CDTF">2021-06-29T07:48:00Z</dcterms:created>
  <dcterms:modified xsi:type="dcterms:W3CDTF">2021-06-29T07:48:00Z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41203893</vt:lpwstr>
  </property>
  <property fmtid="{D5CDD505-2E9C-101B-9397-08002B2CF9AE}" pid="3" name="_dlc_DocIdItemGuid">
    <vt:lpwstr>01ef3abb-f6ad-4955-95c7-babe53564437</vt:lpwstr>
  </property>
  <property fmtid="{D5CDD505-2E9C-101B-9397-08002B2CF9AE}" pid="4" name="ContentTypeId">
    <vt:lpwstr>0x01010036BB8DE7EC542E42A8B2E98CC20CB69700D5C18F41BA18FB44827A222ACD6776F5</vt:lpwstr>
  </property>
  <property fmtid="{D5CDD505-2E9C-101B-9397-08002B2CF9AE}" pid="5" name="TSYRecordClass">
    <vt:lpwstr>7;#TSY RA-9236 - Retain as national archives|c6a225b4-6b93-473e-bcbb-6bc6ab25b623</vt:lpwstr>
  </property>
  <property fmtid="{D5CDD505-2E9C-101B-9397-08002B2CF9AE}" pid="6" name="TSYTopic">
    <vt:lpwstr/>
  </property>
  <property fmtid="{D5CDD505-2E9C-101B-9397-08002B2CF9AE}" pid="7" name="Order">
    <vt:r8>2060700</vt:r8>
  </property>
  <property fmtid="{D5CDD505-2E9C-101B-9397-08002B2CF9AE}" pid="8" name="oae75e2df9d943898d59cb03ca0993c5">
    <vt:lpwstr/>
  </property>
  <property fmtid="{D5CDD505-2E9C-101B-9397-08002B2CF9AE}" pid="9" name="Topics">
    <vt:lpwstr/>
  </property>
</Properties>
</file>