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FECF2" w14:textId="77777777" w:rsidR="00C94A1D" w:rsidRPr="009B081F" w:rsidRDefault="00C94A1D" w:rsidP="00DB5905">
      <w:pPr>
        <w:spacing w:after="120"/>
        <w:jc w:val="center"/>
        <w:rPr>
          <w:sz w:val="28"/>
          <w:szCs w:val="28"/>
        </w:rPr>
      </w:pPr>
      <w:r w:rsidRPr="009B081F">
        <w:rPr>
          <w:b/>
          <w:bCs/>
          <w:sz w:val="28"/>
          <w:szCs w:val="28"/>
        </w:rPr>
        <w:t>EXPLANATORY STATEMENT</w:t>
      </w:r>
    </w:p>
    <w:p w14:paraId="7801E297" w14:textId="77777777" w:rsidR="00C94A1D" w:rsidRPr="009B081F" w:rsidRDefault="00DB5905" w:rsidP="00DB5905">
      <w:pPr>
        <w:spacing w:after="120"/>
        <w:jc w:val="center"/>
        <w:rPr>
          <w:sz w:val="22"/>
          <w:szCs w:val="22"/>
        </w:rPr>
      </w:pPr>
      <w:r w:rsidRPr="009B081F">
        <w:rPr>
          <w:i/>
          <w:sz w:val="22"/>
          <w:szCs w:val="22"/>
        </w:rPr>
        <w:t>National Health Act 1953</w:t>
      </w:r>
    </w:p>
    <w:p w14:paraId="7B5EC385" w14:textId="63CD8E96" w:rsidR="00C94A1D" w:rsidRPr="009B081F" w:rsidRDefault="007813E4" w:rsidP="00DB5905">
      <w:pPr>
        <w:spacing w:after="120"/>
        <w:jc w:val="center"/>
        <w:rPr>
          <w:b/>
          <w:bCs/>
          <w:i/>
          <w:caps/>
          <w:sz w:val="22"/>
          <w:szCs w:val="22"/>
        </w:rPr>
      </w:pPr>
      <w:r w:rsidRPr="009B081F">
        <w:rPr>
          <w:b/>
          <w:bCs/>
          <w:i/>
          <w:sz w:val="22"/>
          <w:szCs w:val="22"/>
        </w:rPr>
        <w:t>Commonwealth price</w:t>
      </w:r>
      <w:r w:rsidR="00DB5905" w:rsidRPr="009B081F">
        <w:rPr>
          <w:b/>
          <w:bCs/>
          <w:i/>
          <w:sz w:val="22"/>
          <w:szCs w:val="22"/>
        </w:rPr>
        <w:t xml:space="preserve"> </w:t>
      </w:r>
      <w:r w:rsidR="009959B7" w:rsidRPr="009B081F">
        <w:rPr>
          <w:b/>
          <w:bCs/>
          <w:i/>
          <w:sz w:val="22"/>
          <w:szCs w:val="22"/>
        </w:rPr>
        <w:t>(</w:t>
      </w:r>
      <w:r w:rsidRPr="009B081F">
        <w:rPr>
          <w:b/>
          <w:bCs/>
          <w:i/>
          <w:sz w:val="22"/>
          <w:szCs w:val="22"/>
        </w:rPr>
        <w:t>Pharmaceutical b</w:t>
      </w:r>
      <w:r w:rsidR="001061C5" w:rsidRPr="009B081F">
        <w:rPr>
          <w:b/>
          <w:bCs/>
          <w:i/>
          <w:sz w:val="22"/>
          <w:szCs w:val="22"/>
        </w:rPr>
        <w:t>enefits</w:t>
      </w:r>
      <w:r w:rsidRPr="009B081F">
        <w:rPr>
          <w:b/>
          <w:bCs/>
          <w:i/>
          <w:sz w:val="22"/>
          <w:szCs w:val="22"/>
        </w:rPr>
        <w:t xml:space="preserve"> supplied by approved pharmacists) Amendment</w:t>
      </w:r>
      <w:r w:rsidR="009C0969" w:rsidRPr="009B081F">
        <w:rPr>
          <w:b/>
          <w:bCs/>
          <w:i/>
          <w:sz w:val="22"/>
          <w:szCs w:val="22"/>
        </w:rPr>
        <w:t xml:space="preserve"> </w:t>
      </w:r>
      <w:r w:rsidRPr="009B081F">
        <w:rPr>
          <w:b/>
          <w:bCs/>
          <w:i/>
          <w:sz w:val="22"/>
          <w:szCs w:val="22"/>
        </w:rPr>
        <w:t xml:space="preserve">Determination </w:t>
      </w:r>
      <w:r w:rsidR="00DB5905" w:rsidRPr="009B081F">
        <w:rPr>
          <w:b/>
          <w:bCs/>
          <w:i/>
          <w:sz w:val="22"/>
          <w:szCs w:val="22"/>
        </w:rPr>
        <w:t>20</w:t>
      </w:r>
      <w:r w:rsidR="0054689F" w:rsidRPr="009B081F">
        <w:rPr>
          <w:b/>
          <w:bCs/>
          <w:i/>
          <w:sz w:val="22"/>
          <w:szCs w:val="22"/>
        </w:rPr>
        <w:t>21</w:t>
      </w:r>
    </w:p>
    <w:p w14:paraId="7D7FD181" w14:textId="6CE075E3" w:rsidR="001838BF" w:rsidRPr="009B081F" w:rsidRDefault="001838BF" w:rsidP="00DB5905">
      <w:pPr>
        <w:spacing w:after="240"/>
        <w:jc w:val="center"/>
        <w:rPr>
          <w:b/>
          <w:bCs/>
          <w:sz w:val="22"/>
          <w:szCs w:val="22"/>
        </w:rPr>
      </w:pPr>
      <w:r w:rsidRPr="009B081F">
        <w:rPr>
          <w:b/>
          <w:bCs/>
          <w:sz w:val="22"/>
          <w:szCs w:val="22"/>
        </w:rPr>
        <w:t xml:space="preserve">PB </w:t>
      </w:r>
      <w:r w:rsidR="00D41152" w:rsidRPr="009B081F">
        <w:rPr>
          <w:b/>
          <w:bCs/>
          <w:sz w:val="22"/>
          <w:szCs w:val="22"/>
        </w:rPr>
        <w:t>5</w:t>
      </w:r>
      <w:r w:rsidR="00EE328F" w:rsidRPr="009B081F">
        <w:rPr>
          <w:b/>
          <w:bCs/>
          <w:sz w:val="22"/>
          <w:szCs w:val="22"/>
        </w:rPr>
        <w:t>7</w:t>
      </w:r>
      <w:r w:rsidR="00D41152" w:rsidRPr="009B081F">
        <w:rPr>
          <w:b/>
          <w:bCs/>
          <w:sz w:val="22"/>
          <w:szCs w:val="22"/>
        </w:rPr>
        <w:t xml:space="preserve"> </w:t>
      </w:r>
      <w:r w:rsidR="001B3567" w:rsidRPr="009B081F">
        <w:rPr>
          <w:b/>
          <w:bCs/>
          <w:sz w:val="22"/>
          <w:szCs w:val="22"/>
        </w:rPr>
        <w:t>of 20</w:t>
      </w:r>
      <w:r w:rsidR="001061C5" w:rsidRPr="009B081F">
        <w:rPr>
          <w:b/>
          <w:bCs/>
          <w:sz w:val="22"/>
          <w:szCs w:val="22"/>
        </w:rPr>
        <w:t>2</w:t>
      </w:r>
      <w:r w:rsidR="0054689F" w:rsidRPr="009B081F">
        <w:rPr>
          <w:b/>
          <w:bCs/>
          <w:sz w:val="22"/>
          <w:szCs w:val="22"/>
        </w:rPr>
        <w:t>1</w:t>
      </w:r>
    </w:p>
    <w:p w14:paraId="2B953C5F" w14:textId="77777777" w:rsidR="000E2D14" w:rsidRPr="009B081F" w:rsidRDefault="000E2D14" w:rsidP="00544104">
      <w:pPr>
        <w:pStyle w:val="Heading6"/>
        <w:spacing w:before="120"/>
        <w:ind w:right="-516"/>
        <w:jc w:val="left"/>
        <w:rPr>
          <w:sz w:val="22"/>
          <w:szCs w:val="22"/>
        </w:rPr>
      </w:pPr>
      <w:r w:rsidRPr="009B081F">
        <w:rPr>
          <w:sz w:val="22"/>
          <w:szCs w:val="22"/>
        </w:rPr>
        <w:t>Authority</w:t>
      </w:r>
    </w:p>
    <w:p w14:paraId="1739E1C1" w14:textId="77777777" w:rsidR="007813E4" w:rsidRPr="009B081F" w:rsidRDefault="00017369" w:rsidP="00017369">
      <w:pPr>
        <w:shd w:val="clear" w:color="auto" w:fill="FFFFFF"/>
        <w:spacing w:before="120" w:after="120"/>
        <w:rPr>
          <w:sz w:val="22"/>
          <w:szCs w:val="22"/>
        </w:rPr>
      </w:pPr>
      <w:r w:rsidRPr="009B081F">
        <w:rPr>
          <w:sz w:val="22"/>
          <w:szCs w:val="22"/>
        </w:rPr>
        <w:t>Paragraph</w:t>
      </w:r>
      <w:r w:rsidR="007813E4" w:rsidRPr="009B081F">
        <w:rPr>
          <w:sz w:val="22"/>
          <w:szCs w:val="22"/>
        </w:rPr>
        <w:t xml:space="preserve"> 98B(1)(a) of the </w:t>
      </w:r>
      <w:r w:rsidR="007813E4" w:rsidRPr="009B081F">
        <w:rPr>
          <w:i/>
          <w:sz w:val="22"/>
          <w:szCs w:val="22"/>
        </w:rPr>
        <w:t>National Health Act 1953</w:t>
      </w:r>
      <w:r w:rsidR="007813E4" w:rsidRPr="009B081F">
        <w:rPr>
          <w:sz w:val="22"/>
          <w:szCs w:val="22"/>
        </w:rPr>
        <w:t xml:space="preserve"> (the Act) provides that a function of the Pharmaceutical Benefits Remuneration Tribunal (the Tribunal) is to determine the manner in which the Commonwealth price for all or any pharmaceutical benefits is to be worked out for the purpose of payments to approved pharmacists for the supply of pharmaceutical benefits.</w:t>
      </w:r>
    </w:p>
    <w:p w14:paraId="22966967" w14:textId="77777777" w:rsidR="007813E4" w:rsidRPr="009B081F" w:rsidRDefault="007813E4" w:rsidP="00017369">
      <w:pPr>
        <w:shd w:val="clear" w:color="auto" w:fill="FFFFFF"/>
        <w:spacing w:before="120" w:after="120"/>
        <w:rPr>
          <w:sz w:val="22"/>
          <w:szCs w:val="22"/>
        </w:rPr>
      </w:pPr>
      <w:r w:rsidRPr="009B081F">
        <w:rPr>
          <w:sz w:val="22"/>
          <w:szCs w:val="22"/>
        </w:rPr>
        <w:t>Subsection 98BAA(1) of the Act requires that, where the Commonwealth and t</w:t>
      </w:r>
      <w:r w:rsidR="00017369" w:rsidRPr="009B081F">
        <w:rPr>
          <w:sz w:val="22"/>
          <w:szCs w:val="22"/>
        </w:rPr>
        <w:t xml:space="preserve">he Pharmacy Guild of Australia </w:t>
      </w:r>
      <w:r w:rsidRPr="009B081F">
        <w:rPr>
          <w:sz w:val="22"/>
          <w:szCs w:val="22"/>
        </w:rPr>
        <w:t xml:space="preserve">or another pharmacists’ organisation </w:t>
      </w:r>
      <w:r w:rsidR="00017369" w:rsidRPr="009B081F">
        <w:rPr>
          <w:sz w:val="22"/>
          <w:szCs w:val="22"/>
        </w:rPr>
        <w:t>that represents</w:t>
      </w:r>
      <w:r w:rsidRPr="009B081F">
        <w:rPr>
          <w:sz w:val="22"/>
          <w:szCs w:val="22"/>
        </w:rPr>
        <w:t xml:space="preserve"> a m</w:t>
      </w:r>
      <w:r w:rsidR="00017369" w:rsidRPr="009B081F">
        <w:rPr>
          <w:sz w:val="22"/>
          <w:szCs w:val="22"/>
        </w:rPr>
        <w:t>ajority of approved pharmacists</w:t>
      </w:r>
      <w:r w:rsidRPr="009B081F">
        <w:rPr>
          <w:sz w:val="22"/>
          <w:szCs w:val="22"/>
        </w:rPr>
        <w:t xml:space="preserve"> </w:t>
      </w:r>
      <w:r w:rsidR="00017369" w:rsidRPr="009B081F">
        <w:rPr>
          <w:sz w:val="22"/>
          <w:szCs w:val="22"/>
        </w:rPr>
        <w:t>have entered</w:t>
      </w:r>
      <w:r w:rsidRPr="009B081F">
        <w:rPr>
          <w:sz w:val="22"/>
          <w:szCs w:val="22"/>
        </w:rPr>
        <w:t xml:space="preserve"> into an agreement relating to the manner in which the Commonwealth price for pharmaceutical benefits is to be calculated, the Tribunal, when making a determination pursuant to paragraph 98B(1)(a) of the Act, is to give effect to the terms of that agreement</w:t>
      </w:r>
      <w:r w:rsidR="00017369" w:rsidRPr="009B081F">
        <w:rPr>
          <w:sz w:val="22"/>
          <w:szCs w:val="22"/>
        </w:rPr>
        <w:t>.</w:t>
      </w:r>
    </w:p>
    <w:p w14:paraId="7F566869" w14:textId="77777777" w:rsidR="00A02AA6" w:rsidRPr="009B081F" w:rsidRDefault="00A02AA6" w:rsidP="009023CC">
      <w:pPr>
        <w:pStyle w:val="Heading6"/>
        <w:spacing w:before="240" w:after="0"/>
        <w:ind w:right="-516"/>
        <w:jc w:val="left"/>
        <w:rPr>
          <w:sz w:val="22"/>
          <w:szCs w:val="22"/>
        </w:rPr>
      </w:pPr>
      <w:r w:rsidRPr="009B081F">
        <w:rPr>
          <w:sz w:val="22"/>
          <w:szCs w:val="22"/>
        </w:rPr>
        <w:t>Reliance on subsection 33(3) of the </w:t>
      </w:r>
      <w:r w:rsidRPr="009B081F">
        <w:rPr>
          <w:i/>
          <w:sz w:val="22"/>
          <w:szCs w:val="22"/>
        </w:rPr>
        <w:t>Acts Interpretation Act 1901</w:t>
      </w:r>
    </w:p>
    <w:p w14:paraId="30F075BD" w14:textId="77777777" w:rsidR="00A02AA6" w:rsidRPr="009B081F" w:rsidRDefault="00A02AA6" w:rsidP="00544104">
      <w:pPr>
        <w:shd w:val="clear" w:color="auto" w:fill="FFFFFF"/>
        <w:spacing w:before="120" w:after="120"/>
      </w:pPr>
      <w:r w:rsidRPr="009B081F">
        <w:rPr>
          <w:sz w:val="22"/>
          <w:szCs w:val="22"/>
        </w:rPr>
        <w:t>Under subsection 33(3) of the </w:t>
      </w:r>
      <w:r w:rsidRPr="009B081F">
        <w:rPr>
          <w:i/>
          <w:iCs/>
          <w:sz w:val="22"/>
          <w:szCs w:val="22"/>
        </w:rPr>
        <w:t>Acts Interpretation Act 1901</w:t>
      </w:r>
      <w:r w:rsidRPr="009B081F">
        <w:rPr>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3E1953A" w14:textId="77777777" w:rsidR="00C94A1D" w:rsidRPr="009B081F" w:rsidRDefault="00C94A1D" w:rsidP="001838BF">
      <w:pPr>
        <w:pStyle w:val="Heading6"/>
        <w:spacing w:before="240" w:after="0"/>
        <w:ind w:right="-516"/>
        <w:jc w:val="left"/>
        <w:rPr>
          <w:sz w:val="22"/>
          <w:szCs w:val="22"/>
        </w:rPr>
      </w:pPr>
      <w:r w:rsidRPr="009B081F">
        <w:rPr>
          <w:sz w:val="22"/>
          <w:szCs w:val="22"/>
        </w:rPr>
        <w:t>Purpose</w:t>
      </w:r>
      <w:r w:rsidR="00273909" w:rsidRPr="009B081F">
        <w:rPr>
          <w:sz w:val="22"/>
          <w:szCs w:val="22"/>
        </w:rPr>
        <w:t xml:space="preserve"> </w:t>
      </w:r>
    </w:p>
    <w:p w14:paraId="4C4FE195" w14:textId="3EC64770" w:rsidR="0054689F" w:rsidRPr="009B081F" w:rsidRDefault="0054689F" w:rsidP="0054689F">
      <w:pPr>
        <w:shd w:val="clear" w:color="auto" w:fill="FFFFFF"/>
        <w:spacing w:before="120" w:after="120"/>
        <w:rPr>
          <w:sz w:val="22"/>
          <w:szCs w:val="22"/>
        </w:rPr>
      </w:pPr>
      <w:r w:rsidRPr="009B081F">
        <w:rPr>
          <w:sz w:val="22"/>
          <w:szCs w:val="22"/>
        </w:rPr>
        <w:t xml:space="preserve">The </w:t>
      </w:r>
      <w:r w:rsidRPr="009B081F">
        <w:rPr>
          <w:bCs/>
          <w:i/>
          <w:sz w:val="22"/>
          <w:szCs w:val="22"/>
        </w:rPr>
        <w:t xml:space="preserve">Commonwealth price (Pharmaceutical benefits supplied by approved pharmacists) Amendment Determination 2021 </w:t>
      </w:r>
      <w:r w:rsidRPr="009B081F">
        <w:rPr>
          <w:bCs/>
          <w:sz w:val="22"/>
          <w:szCs w:val="22"/>
        </w:rPr>
        <w:t>(</w:t>
      </w:r>
      <w:r w:rsidR="00CA4725" w:rsidRPr="009B081F">
        <w:rPr>
          <w:bCs/>
          <w:sz w:val="22"/>
          <w:szCs w:val="22"/>
        </w:rPr>
        <w:t>Amend</w:t>
      </w:r>
      <w:r w:rsidR="00B07FAD" w:rsidRPr="009B081F">
        <w:rPr>
          <w:bCs/>
          <w:sz w:val="22"/>
          <w:szCs w:val="22"/>
        </w:rPr>
        <w:t>m</w:t>
      </w:r>
      <w:r w:rsidR="00CA4725" w:rsidRPr="009B081F">
        <w:rPr>
          <w:bCs/>
          <w:sz w:val="22"/>
          <w:szCs w:val="22"/>
        </w:rPr>
        <w:t>ent</w:t>
      </w:r>
      <w:r w:rsidRPr="009B081F">
        <w:rPr>
          <w:sz w:val="22"/>
          <w:szCs w:val="22"/>
        </w:rPr>
        <w:t xml:space="preserve"> Determination) amends the </w:t>
      </w:r>
      <w:r w:rsidRPr="009B081F">
        <w:rPr>
          <w:i/>
          <w:sz w:val="22"/>
          <w:szCs w:val="22"/>
        </w:rPr>
        <w:t xml:space="preserve">Commonwealth price (Pharmaceutical benefits supplied by approved pharmacists) Determination 2020 </w:t>
      </w:r>
      <w:r w:rsidRPr="009B081F">
        <w:rPr>
          <w:sz w:val="22"/>
          <w:szCs w:val="22"/>
        </w:rPr>
        <w:t xml:space="preserve">(the Principal Determination), </w:t>
      </w:r>
      <w:r w:rsidR="00EB6166" w:rsidRPr="009B081F">
        <w:rPr>
          <w:sz w:val="22"/>
          <w:szCs w:val="22"/>
        </w:rPr>
        <w:t xml:space="preserve">to </w:t>
      </w:r>
      <w:r w:rsidR="00114E65" w:rsidRPr="009B081F">
        <w:rPr>
          <w:sz w:val="22"/>
          <w:szCs w:val="22"/>
        </w:rPr>
        <w:t xml:space="preserve">increase </w:t>
      </w:r>
      <w:r w:rsidR="00EB6166" w:rsidRPr="009B081F">
        <w:rPr>
          <w:sz w:val="22"/>
          <w:szCs w:val="22"/>
        </w:rPr>
        <w:t xml:space="preserve">the </w:t>
      </w:r>
      <w:r w:rsidR="00071500" w:rsidRPr="009B081F">
        <w:rPr>
          <w:sz w:val="22"/>
          <w:szCs w:val="22"/>
        </w:rPr>
        <w:t xml:space="preserve">Tier 1 </w:t>
      </w:r>
      <w:r w:rsidR="005425AD" w:rsidRPr="009B081F">
        <w:rPr>
          <w:sz w:val="22"/>
          <w:szCs w:val="22"/>
        </w:rPr>
        <w:t>Administration, Handling, and Infrastructure</w:t>
      </w:r>
      <w:r w:rsidR="00B357D3" w:rsidRPr="009B081F">
        <w:rPr>
          <w:sz w:val="22"/>
          <w:szCs w:val="22"/>
        </w:rPr>
        <w:t xml:space="preserve"> fee</w:t>
      </w:r>
      <w:r w:rsidR="00114E65" w:rsidRPr="009B081F">
        <w:rPr>
          <w:sz w:val="22"/>
          <w:szCs w:val="22"/>
        </w:rPr>
        <w:t xml:space="preserve"> (Tier 1 AHI fee)</w:t>
      </w:r>
      <w:r w:rsidR="00EB6166" w:rsidRPr="009B081F">
        <w:rPr>
          <w:sz w:val="22"/>
          <w:szCs w:val="22"/>
        </w:rPr>
        <w:t xml:space="preserve">, </w:t>
      </w:r>
      <w:r w:rsidR="00B07FAD" w:rsidRPr="009B081F">
        <w:rPr>
          <w:sz w:val="22"/>
          <w:szCs w:val="22"/>
        </w:rPr>
        <w:t xml:space="preserve">the </w:t>
      </w:r>
      <w:r w:rsidR="00EB6166" w:rsidRPr="009B081F">
        <w:rPr>
          <w:sz w:val="22"/>
          <w:szCs w:val="22"/>
        </w:rPr>
        <w:t>Dispensing fee for R</w:t>
      </w:r>
      <w:r w:rsidR="005425AD" w:rsidRPr="009B081F">
        <w:rPr>
          <w:sz w:val="22"/>
          <w:szCs w:val="22"/>
        </w:rPr>
        <w:t xml:space="preserve">eady </w:t>
      </w:r>
      <w:r w:rsidR="00EB6166" w:rsidRPr="009B081F">
        <w:rPr>
          <w:sz w:val="22"/>
          <w:szCs w:val="22"/>
        </w:rPr>
        <w:t>P</w:t>
      </w:r>
      <w:r w:rsidR="0089694C" w:rsidRPr="009B081F">
        <w:rPr>
          <w:sz w:val="22"/>
          <w:szCs w:val="22"/>
        </w:rPr>
        <w:t xml:space="preserve">repared </w:t>
      </w:r>
      <w:r w:rsidR="00B07FAD" w:rsidRPr="009B081F">
        <w:rPr>
          <w:sz w:val="22"/>
          <w:szCs w:val="22"/>
        </w:rPr>
        <w:t xml:space="preserve">Pharmaceutical Benefits, the Dispensing fee for </w:t>
      </w:r>
      <w:r w:rsidR="0089694C" w:rsidRPr="009B081F">
        <w:rPr>
          <w:sz w:val="22"/>
          <w:szCs w:val="22"/>
        </w:rPr>
        <w:t>Extemporaneously Prepared Pharmaceutical Benefits</w:t>
      </w:r>
      <w:r w:rsidR="00B07FAD" w:rsidRPr="009B081F">
        <w:rPr>
          <w:sz w:val="22"/>
          <w:szCs w:val="22"/>
        </w:rPr>
        <w:t>, a</w:t>
      </w:r>
      <w:r w:rsidR="00EB6166" w:rsidRPr="009B081F">
        <w:rPr>
          <w:sz w:val="22"/>
          <w:szCs w:val="22"/>
        </w:rPr>
        <w:t>nd the Dangerous Drug fee</w:t>
      </w:r>
      <w:r w:rsidR="00114E65" w:rsidRPr="009B081F">
        <w:rPr>
          <w:sz w:val="22"/>
          <w:szCs w:val="22"/>
        </w:rPr>
        <w:t>,</w:t>
      </w:r>
      <w:r w:rsidR="00B07FAD" w:rsidRPr="009B081F">
        <w:rPr>
          <w:sz w:val="22"/>
          <w:szCs w:val="22"/>
        </w:rPr>
        <w:t xml:space="preserve"> </w:t>
      </w:r>
      <w:r w:rsidR="00EB6166" w:rsidRPr="009B081F">
        <w:rPr>
          <w:sz w:val="22"/>
          <w:szCs w:val="22"/>
        </w:rPr>
        <w:t xml:space="preserve">as specified in the </w:t>
      </w:r>
      <w:r w:rsidR="0089694C" w:rsidRPr="009B081F">
        <w:rPr>
          <w:sz w:val="22"/>
          <w:szCs w:val="22"/>
        </w:rPr>
        <w:t xml:space="preserve">Seventh Community Pharmacy Agreement </w:t>
      </w:r>
      <w:r w:rsidR="00EB6166" w:rsidRPr="009B081F">
        <w:rPr>
          <w:sz w:val="22"/>
          <w:szCs w:val="22"/>
        </w:rPr>
        <w:t>(Seventh Agreement)</w:t>
      </w:r>
      <w:r w:rsidR="00114E65" w:rsidRPr="009B081F">
        <w:rPr>
          <w:sz w:val="22"/>
          <w:szCs w:val="22"/>
        </w:rPr>
        <w:t>, from 1 July 2021.</w:t>
      </w:r>
    </w:p>
    <w:p w14:paraId="5D8F3BAE" w14:textId="7F828BCA" w:rsidR="0054689F" w:rsidRPr="009B081F" w:rsidRDefault="0054689F" w:rsidP="0054689F">
      <w:pPr>
        <w:shd w:val="clear" w:color="auto" w:fill="FFFFFF"/>
        <w:spacing w:before="120" w:after="120"/>
        <w:rPr>
          <w:sz w:val="22"/>
          <w:szCs w:val="22"/>
        </w:rPr>
      </w:pPr>
      <w:r w:rsidRPr="009B081F">
        <w:rPr>
          <w:sz w:val="22"/>
          <w:szCs w:val="22"/>
        </w:rPr>
        <w:t>The Seventh</w:t>
      </w:r>
      <w:r w:rsidRPr="009B081F" w:rsidDel="001B7C9D">
        <w:rPr>
          <w:sz w:val="22"/>
          <w:szCs w:val="22"/>
        </w:rPr>
        <w:t xml:space="preserve"> </w:t>
      </w:r>
      <w:r w:rsidRPr="009B081F">
        <w:rPr>
          <w:sz w:val="22"/>
          <w:szCs w:val="22"/>
        </w:rPr>
        <w:t xml:space="preserve">Agreement between the Commonwealth, the Pharmacy Guild of Australia and the Pharmaceutical Society of Australia Limited, which commenced on 1 July 2020 and </w:t>
      </w:r>
      <w:r w:rsidR="00B07FAD" w:rsidRPr="009B081F">
        <w:rPr>
          <w:sz w:val="22"/>
          <w:szCs w:val="22"/>
        </w:rPr>
        <w:t>expires</w:t>
      </w:r>
      <w:r w:rsidRPr="009B081F">
        <w:rPr>
          <w:sz w:val="22"/>
          <w:szCs w:val="22"/>
        </w:rPr>
        <w:t xml:space="preserve"> on 30 June 2025, includes an agreement between the Commonwealth and the Pharmacy Guild of Australia for the purposes of subsection 98BAA(1) of the Act, setting out the manner in which the Commonwealth price for pharmaceutical benefits is to be calculated.</w:t>
      </w:r>
    </w:p>
    <w:p w14:paraId="65251071" w14:textId="22467A13" w:rsidR="0054689F" w:rsidRPr="009B081F" w:rsidRDefault="0054689F" w:rsidP="0054689F">
      <w:pPr>
        <w:shd w:val="clear" w:color="auto" w:fill="FFFFFF"/>
        <w:spacing w:before="120" w:after="120"/>
        <w:rPr>
          <w:sz w:val="22"/>
          <w:szCs w:val="22"/>
        </w:rPr>
      </w:pPr>
      <w:r w:rsidRPr="009B081F">
        <w:rPr>
          <w:sz w:val="22"/>
          <w:szCs w:val="22"/>
        </w:rPr>
        <w:t xml:space="preserve">The </w:t>
      </w:r>
      <w:r w:rsidR="00114E65" w:rsidRPr="009B081F">
        <w:rPr>
          <w:sz w:val="22"/>
          <w:szCs w:val="22"/>
        </w:rPr>
        <w:t xml:space="preserve">Tier 1 </w:t>
      </w:r>
      <w:r w:rsidRPr="009B081F">
        <w:rPr>
          <w:sz w:val="22"/>
          <w:szCs w:val="22"/>
        </w:rPr>
        <w:t>AHI</w:t>
      </w:r>
      <w:r w:rsidR="00B07FAD" w:rsidRPr="009B081F">
        <w:rPr>
          <w:sz w:val="22"/>
          <w:szCs w:val="22"/>
        </w:rPr>
        <w:t xml:space="preserve"> fee</w:t>
      </w:r>
      <w:r w:rsidRPr="009B081F">
        <w:rPr>
          <w:sz w:val="22"/>
          <w:szCs w:val="22"/>
        </w:rPr>
        <w:t xml:space="preserve">, the </w:t>
      </w:r>
      <w:r w:rsidR="00FC3782" w:rsidRPr="009B081F">
        <w:rPr>
          <w:sz w:val="22"/>
          <w:szCs w:val="22"/>
        </w:rPr>
        <w:t xml:space="preserve">Dispensing fee for Ready Prepared Pharmaceutical Benefits, and the Dangerous Drug fee </w:t>
      </w:r>
      <w:r w:rsidRPr="009B081F">
        <w:rPr>
          <w:sz w:val="22"/>
          <w:szCs w:val="22"/>
        </w:rPr>
        <w:t xml:space="preserve">are all indexed annually </w:t>
      </w:r>
      <w:r w:rsidR="00FC3782" w:rsidRPr="009B081F">
        <w:rPr>
          <w:sz w:val="22"/>
          <w:szCs w:val="22"/>
        </w:rPr>
        <w:t>on 1 July in each year of</w:t>
      </w:r>
      <w:r w:rsidRPr="009B081F">
        <w:rPr>
          <w:sz w:val="22"/>
          <w:szCs w:val="22"/>
        </w:rPr>
        <w:t xml:space="preserve"> the </w:t>
      </w:r>
      <w:r w:rsidR="00EB6166" w:rsidRPr="009B081F">
        <w:rPr>
          <w:sz w:val="22"/>
          <w:szCs w:val="22"/>
        </w:rPr>
        <w:t>Seventh</w:t>
      </w:r>
      <w:r w:rsidRPr="009B081F">
        <w:rPr>
          <w:sz w:val="22"/>
          <w:szCs w:val="22"/>
        </w:rPr>
        <w:t xml:space="preserve"> Agreement.</w:t>
      </w:r>
      <w:r w:rsidR="00B07FAD" w:rsidRPr="009B081F">
        <w:rPr>
          <w:sz w:val="22"/>
          <w:szCs w:val="22"/>
        </w:rPr>
        <w:t xml:space="preserve"> </w:t>
      </w:r>
      <w:r w:rsidR="0068107D" w:rsidRPr="009B081F">
        <w:rPr>
          <w:sz w:val="22"/>
          <w:szCs w:val="22"/>
        </w:rPr>
        <w:t>As per the Seventh</w:t>
      </w:r>
      <w:r w:rsidRPr="009B081F">
        <w:rPr>
          <w:sz w:val="22"/>
          <w:szCs w:val="22"/>
        </w:rPr>
        <w:t xml:space="preserve"> Agreement, </w:t>
      </w:r>
      <w:r w:rsidR="00FC3782" w:rsidRPr="009B081F">
        <w:rPr>
          <w:sz w:val="22"/>
          <w:szCs w:val="22"/>
        </w:rPr>
        <w:t>indexation from 1 July 2021</w:t>
      </w:r>
      <w:r w:rsidRPr="009B081F">
        <w:rPr>
          <w:sz w:val="22"/>
          <w:szCs w:val="22"/>
        </w:rPr>
        <w:t xml:space="preserve"> is based on the </w:t>
      </w:r>
      <w:r w:rsidR="00EB6166" w:rsidRPr="009B081F">
        <w:rPr>
          <w:sz w:val="22"/>
          <w:szCs w:val="22"/>
        </w:rPr>
        <w:t>following formula</w:t>
      </w:r>
      <w:r w:rsidR="0054744B" w:rsidRPr="009B081F">
        <w:rPr>
          <w:sz w:val="22"/>
          <w:szCs w:val="22"/>
        </w:rPr>
        <w:t>:</w:t>
      </w:r>
      <w:r w:rsidR="00EB6166" w:rsidRPr="009B081F">
        <w:rPr>
          <w:sz w:val="22"/>
          <w:szCs w:val="22"/>
        </w:rPr>
        <w:t xml:space="preserve"> </w:t>
      </w:r>
    </w:p>
    <w:p w14:paraId="38B24ABB" w14:textId="0F5EA7FA" w:rsidR="00EB6166" w:rsidRPr="009B081F" w:rsidRDefault="00EB6166" w:rsidP="00CF7E18">
      <w:pPr>
        <w:shd w:val="clear" w:color="auto" w:fill="FFFFFF"/>
        <w:spacing w:before="120" w:after="120"/>
        <w:ind w:firstLine="567"/>
        <w:rPr>
          <w:sz w:val="22"/>
          <w:szCs w:val="22"/>
        </w:rPr>
      </w:pPr>
      <w:r w:rsidRPr="009B081F">
        <w:rPr>
          <w:sz w:val="22"/>
          <w:szCs w:val="22"/>
        </w:rPr>
        <w:t>New Amount = Last Amount x 1.005</w:t>
      </w:r>
    </w:p>
    <w:p w14:paraId="37C827B7" w14:textId="7206A1F5" w:rsidR="0068107D" w:rsidRPr="009B081F" w:rsidRDefault="0068107D" w:rsidP="00CF7E18">
      <w:pPr>
        <w:shd w:val="clear" w:color="auto" w:fill="FFFFFF"/>
        <w:spacing w:before="240" w:after="120"/>
        <w:rPr>
          <w:sz w:val="22"/>
          <w:szCs w:val="22"/>
        </w:rPr>
      </w:pPr>
      <w:r w:rsidRPr="009B081F">
        <w:rPr>
          <w:sz w:val="22"/>
          <w:szCs w:val="22"/>
        </w:rPr>
        <w:t xml:space="preserve">The Dispensing fee for Extemporaneously Prepared Pharmaceutical Benefits, being equal to the Dispensing fee for Ready Prepared Pharmaceutical Benefits, plus $2.04, per dispense, is </w:t>
      </w:r>
      <w:r w:rsidR="00CF7E18" w:rsidRPr="009B081F">
        <w:rPr>
          <w:sz w:val="22"/>
          <w:szCs w:val="22"/>
        </w:rPr>
        <w:t xml:space="preserve">thus </w:t>
      </w:r>
      <w:r w:rsidRPr="009B081F">
        <w:rPr>
          <w:sz w:val="22"/>
          <w:szCs w:val="22"/>
        </w:rPr>
        <w:t>also increased on 1 July in each year of the Seventh Agreement.</w:t>
      </w:r>
    </w:p>
    <w:p w14:paraId="77136853" w14:textId="033C4F38" w:rsidR="0054689F" w:rsidRPr="009B081F" w:rsidRDefault="00114E65" w:rsidP="0054689F">
      <w:pPr>
        <w:shd w:val="clear" w:color="auto" w:fill="FFFFFF"/>
        <w:spacing w:before="120" w:after="120"/>
        <w:rPr>
          <w:sz w:val="22"/>
          <w:szCs w:val="22"/>
        </w:rPr>
      </w:pPr>
      <w:r w:rsidRPr="009B081F">
        <w:rPr>
          <w:sz w:val="22"/>
          <w:szCs w:val="22"/>
        </w:rPr>
        <w:t xml:space="preserve">This </w:t>
      </w:r>
      <w:r w:rsidR="00CF7E18" w:rsidRPr="009B081F">
        <w:rPr>
          <w:sz w:val="22"/>
          <w:szCs w:val="22"/>
        </w:rPr>
        <w:t>Amendment</w:t>
      </w:r>
      <w:r w:rsidR="0054689F" w:rsidRPr="009B081F">
        <w:rPr>
          <w:sz w:val="22"/>
          <w:szCs w:val="22"/>
        </w:rPr>
        <w:t xml:space="preserve"> Determination </w:t>
      </w:r>
      <w:r w:rsidRPr="009B081F">
        <w:rPr>
          <w:sz w:val="22"/>
          <w:szCs w:val="22"/>
        </w:rPr>
        <w:t xml:space="preserve">increases the </w:t>
      </w:r>
      <w:r w:rsidR="00071500" w:rsidRPr="009B081F">
        <w:rPr>
          <w:sz w:val="22"/>
          <w:szCs w:val="22"/>
        </w:rPr>
        <w:t xml:space="preserve">Tier 1 </w:t>
      </w:r>
      <w:r w:rsidR="0054689F" w:rsidRPr="009B081F">
        <w:rPr>
          <w:sz w:val="22"/>
          <w:szCs w:val="22"/>
        </w:rPr>
        <w:t>AHI fee from $4.</w:t>
      </w:r>
      <w:r w:rsidR="00B40BFE" w:rsidRPr="009B081F">
        <w:rPr>
          <w:sz w:val="22"/>
          <w:szCs w:val="22"/>
        </w:rPr>
        <w:t>28</w:t>
      </w:r>
      <w:r w:rsidR="0054689F" w:rsidRPr="009B081F">
        <w:rPr>
          <w:sz w:val="22"/>
          <w:szCs w:val="22"/>
        </w:rPr>
        <w:t xml:space="preserve"> to </w:t>
      </w:r>
      <w:r w:rsidR="0054689F" w:rsidRPr="009B081F">
        <w:rPr>
          <w:b/>
          <w:bCs/>
          <w:sz w:val="22"/>
          <w:szCs w:val="22"/>
        </w:rPr>
        <w:t>$4.</w:t>
      </w:r>
      <w:r w:rsidR="00B40BFE" w:rsidRPr="009B081F">
        <w:rPr>
          <w:b/>
          <w:bCs/>
          <w:sz w:val="22"/>
          <w:szCs w:val="22"/>
        </w:rPr>
        <w:t>30</w:t>
      </w:r>
      <w:r w:rsidR="0054689F" w:rsidRPr="009B081F">
        <w:rPr>
          <w:sz w:val="22"/>
          <w:szCs w:val="22"/>
        </w:rPr>
        <w:t xml:space="preserve">, the </w:t>
      </w:r>
      <w:r w:rsidRPr="009B081F">
        <w:rPr>
          <w:sz w:val="22"/>
          <w:szCs w:val="22"/>
        </w:rPr>
        <w:t xml:space="preserve">Dispensing fee for Ready Prepared Pharmaceutical Benefits from $7.74 to </w:t>
      </w:r>
      <w:r w:rsidRPr="009B081F">
        <w:rPr>
          <w:b/>
          <w:bCs/>
          <w:sz w:val="22"/>
          <w:szCs w:val="22"/>
        </w:rPr>
        <w:t>$7.78</w:t>
      </w:r>
      <w:r w:rsidRPr="009B081F">
        <w:rPr>
          <w:sz w:val="22"/>
          <w:szCs w:val="22"/>
        </w:rPr>
        <w:t>, the Dispensing fee for Extemporaneously Prepared Pharmaceutical Benefits</w:t>
      </w:r>
      <w:r w:rsidRPr="009B081F" w:rsidDel="00114E65">
        <w:rPr>
          <w:sz w:val="22"/>
          <w:szCs w:val="22"/>
        </w:rPr>
        <w:t xml:space="preserve"> </w:t>
      </w:r>
      <w:r w:rsidR="0054689F" w:rsidRPr="009B081F">
        <w:rPr>
          <w:sz w:val="22"/>
          <w:szCs w:val="22"/>
        </w:rPr>
        <w:t>Fee from $9.</w:t>
      </w:r>
      <w:r w:rsidR="00B40BFE" w:rsidRPr="009B081F">
        <w:rPr>
          <w:sz w:val="22"/>
          <w:szCs w:val="22"/>
        </w:rPr>
        <w:t>78</w:t>
      </w:r>
      <w:r w:rsidR="0054689F" w:rsidRPr="009B081F">
        <w:rPr>
          <w:sz w:val="22"/>
          <w:szCs w:val="22"/>
        </w:rPr>
        <w:t xml:space="preserve"> to </w:t>
      </w:r>
      <w:r w:rsidR="0054689F" w:rsidRPr="009B081F">
        <w:rPr>
          <w:b/>
          <w:bCs/>
          <w:sz w:val="22"/>
          <w:szCs w:val="22"/>
        </w:rPr>
        <w:t>$9.</w:t>
      </w:r>
      <w:r w:rsidR="00B40BFE" w:rsidRPr="009B081F">
        <w:rPr>
          <w:b/>
          <w:bCs/>
          <w:sz w:val="22"/>
          <w:szCs w:val="22"/>
        </w:rPr>
        <w:t>8</w:t>
      </w:r>
      <w:r w:rsidR="00565A0D" w:rsidRPr="009B081F">
        <w:rPr>
          <w:b/>
          <w:bCs/>
          <w:sz w:val="22"/>
          <w:szCs w:val="22"/>
        </w:rPr>
        <w:t>2</w:t>
      </w:r>
      <w:r w:rsidRPr="009B081F">
        <w:rPr>
          <w:bCs/>
          <w:sz w:val="22"/>
          <w:szCs w:val="22"/>
        </w:rPr>
        <w:t>,</w:t>
      </w:r>
      <w:r w:rsidR="0054689F" w:rsidRPr="009B081F">
        <w:rPr>
          <w:sz w:val="22"/>
          <w:szCs w:val="22"/>
        </w:rPr>
        <w:t xml:space="preserve"> and the Dangerous Drug fee from $</w:t>
      </w:r>
      <w:r w:rsidR="00B40BFE" w:rsidRPr="009B081F">
        <w:rPr>
          <w:sz w:val="22"/>
          <w:szCs w:val="22"/>
        </w:rPr>
        <w:t>4.80</w:t>
      </w:r>
      <w:r w:rsidR="0054689F" w:rsidRPr="009B081F">
        <w:rPr>
          <w:sz w:val="22"/>
          <w:szCs w:val="22"/>
        </w:rPr>
        <w:t xml:space="preserve"> to </w:t>
      </w:r>
      <w:r w:rsidR="0054689F" w:rsidRPr="009B081F">
        <w:rPr>
          <w:b/>
          <w:bCs/>
          <w:sz w:val="22"/>
          <w:szCs w:val="22"/>
        </w:rPr>
        <w:t>$</w:t>
      </w:r>
      <w:r w:rsidR="00B40BFE" w:rsidRPr="009B081F">
        <w:rPr>
          <w:b/>
          <w:bCs/>
          <w:sz w:val="22"/>
          <w:szCs w:val="22"/>
        </w:rPr>
        <w:t>4.82</w:t>
      </w:r>
      <w:r w:rsidR="0054689F" w:rsidRPr="009B081F">
        <w:rPr>
          <w:sz w:val="22"/>
          <w:szCs w:val="22"/>
        </w:rPr>
        <w:t>.</w:t>
      </w:r>
    </w:p>
    <w:p w14:paraId="74A77280" w14:textId="26A797D9" w:rsidR="00A11DCE" w:rsidRPr="009B081F" w:rsidRDefault="00CF7E18" w:rsidP="00A11DCE">
      <w:pPr>
        <w:shd w:val="clear" w:color="auto" w:fill="FFFFFF"/>
        <w:spacing w:before="120" w:after="120"/>
        <w:rPr>
          <w:sz w:val="22"/>
          <w:szCs w:val="22"/>
        </w:rPr>
      </w:pPr>
      <w:r w:rsidRPr="009B081F">
        <w:rPr>
          <w:sz w:val="22"/>
          <w:szCs w:val="22"/>
        </w:rPr>
        <w:t>This Amendment</w:t>
      </w:r>
      <w:r w:rsidR="00A11DCE" w:rsidRPr="009B081F">
        <w:rPr>
          <w:sz w:val="22"/>
          <w:szCs w:val="22"/>
        </w:rPr>
        <w:t xml:space="preserve"> Determination also includes a minor administrative </w:t>
      </w:r>
      <w:r w:rsidR="00114E65" w:rsidRPr="009B081F">
        <w:rPr>
          <w:sz w:val="22"/>
          <w:szCs w:val="22"/>
        </w:rPr>
        <w:t xml:space="preserve">change </w:t>
      </w:r>
      <w:r w:rsidR="00A11DCE" w:rsidRPr="009B081F">
        <w:rPr>
          <w:sz w:val="22"/>
          <w:szCs w:val="22"/>
        </w:rPr>
        <w:t xml:space="preserve">to </w:t>
      </w:r>
      <w:r w:rsidR="00AF25F7" w:rsidRPr="009B081F">
        <w:rPr>
          <w:sz w:val="22"/>
          <w:szCs w:val="22"/>
        </w:rPr>
        <w:t>the</w:t>
      </w:r>
      <w:r w:rsidR="00114E65" w:rsidRPr="009B081F">
        <w:rPr>
          <w:sz w:val="22"/>
          <w:szCs w:val="22"/>
        </w:rPr>
        <w:t xml:space="preserve"> expression of the </w:t>
      </w:r>
      <w:r w:rsidR="00071500" w:rsidRPr="009B081F">
        <w:rPr>
          <w:sz w:val="22"/>
          <w:szCs w:val="22"/>
        </w:rPr>
        <w:t xml:space="preserve">Tier 2 </w:t>
      </w:r>
      <w:r w:rsidR="00AF25F7" w:rsidRPr="009B081F">
        <w:rPr>
          <w:sz w:val="22"/>
          <w:szCs w:val="22"/>
        </w:rPr>
        <w:t xml:space="preserve">AHI </w:t>
      </w:r>
      <w:r w:rsidR="00117ECC" w:rsidRPr="009B081F">
        <w:rPr>
          <w:sz w:val="22"/>
          <w:szCs w:val="22"/>
        </w:rPr>
        <w:t xml:space="preserve">fee </w:t>
      </w:r>
      <w:r w:rsidR="00AF25F7" w:rsidRPr="009B081F">
        <w:rPr>
          <w:sz w:val="22"/>
          <w:szCs w:val="22"/>
        </w:rPr>
        <w:t xml:space="preserve">in the tables </w:t>
      </w:r>
      <w:r w:rsidR="00114E65" w:rsidRPr="009B081F">
        <w:rPr>
          <w:sz w:val="22"/>
          <w:szCs w:val="22"/>
        </w:rPr>
        <w:t xml:space="preserve">under </w:t>
      </w:r>
      <w:r w:rsidR="00AF25F7" w:rsidRPr="009B081F">
        <w:rPr>
          <w:sz w:val="22"/>
          <w:szCs w:val="22"/>
        </w:rPr>
        <w:t>Part 2, Section 12 and Part 3</w:t>
      </w:r>
      <w:r w:rsidR="00114E65" w:rsidRPr="009B081F">
        <w:rPr>
          <w:sz w:val="22"/>
          <w:szCs w:val="22"/>
        </w:rPr>
        <w:t xml:space="preserve">, Section 20 of the Principal </w:t>
      </w:r>
      <w:r w:rsidR="00114E65" w:rsidRPr="009B081F">
        <w:rPr>
          <w:sz w:val="22"/>
          <w:szCs w:val="22"/>
        </w:rPr>
        <w:lastRenderedPageBreak/>
        <w:t>Determination.</w:t>
      </w:r>
      <w:r w:rsidR="00AF25F7" w:rsidRPr="009B081F">
        <w:rPr>
          <w:sz w:val="22"/>
          <w:szCs w:val="22"/>
        </w:rPr>
        <w:t xml:space="preserve"> </w:t>
      </w:r>
      <w:r w:rsidR="00C85F40" w:rsidRPr="009B081F">
        <w:rPr>
          <w:sz w:val="22"/>
          <w:szCs w:val="22"/>
        </w:rPr>
        <w:t xml:space="preserve">This change brings the expression of the Tier 2 AHI Fee in these tables closer to </w:t>
      </w:r>
      <w:r w:rsidRPr="009B081F">
        <w:rPr>
          <w:sz w:val="22"/>
          <w:szCs w:val="22"/>
        </w:rPr>
        <w:t xml:space="preserve">how </w:t>
      </w:r>
      <w:r w:rsidR="00C85F40" w:rsidRPr="009B081F">
        <w:rPr>
          <w:sz w:val="22"/>
          <w:szCs w:val="22"/>
        </w:rPr>
        <w:t xml:space="preserve">this fee </w:t>
      </w:r>
      <w:r w:rsidR="001070FF" w:rsidRPr="009B081F">
        <w:rPr>
          <w:sz w:val="22"/>
          <w:szCs w:val="22"/>
        </w:rPr>
        <w:t>is expressed in</w:t>
      </w:r>
      <w:r w:rsidR="00A11DCE" w:rsidRPr="009B081F">
        <w:rPr>
          <w:sz w:val="22"/>
          <w:szCs w:val="22"/>
        </w:rPr>
        <w:t xml:space="preserve"> the Seventh Agreement</w:t>
      </w:r>
      <w:r w:rsidR="001070FF" w:rsidRPr="009B081F">
        <w:rPr>
          <w:sz w:val="22"/>
          <w:szCs w:val="22"/>
        </w:rPr>
        <w:t xml:space="preserve">. </w:t>
      </w:r>
    </w:p>
    <w:p w14:paraId="3E9625D9" w14:textId="77777777" w:rsidR="0054689F" w:rsidRPr="009B081F" w:rsidRDefault="0054689F" w:rsidP="00CF7E18">
      <w:pPr>
        <w:pStyle w:val="Heading6"/>
        <w:keepNext w:val="0"/>
        <w:keepLines w:val="0"/>
        <w:spacing w:before="180" w:after="180"/>
        <w:ind w:right="-516"/>
        <w:jc w:val="left"/>
        <w:rPr>
          <w:sz w:val="22"/>
          <w:szCs w:val="22"/>
        </w:rPr>
      </w:pPr>
      <w:r w:rsidRPr="009B081F">
        <w:rPr>
          <w:b w:val="0"/>
          <w:sz w:val="22"/>
          <w:szCs w:val="22"/>
        </w:rPr>
        <w:t xml:space="preserve">An overview of the instrument is set out at </w:t>
      </w:r>
      <w:r w:rsidRPr="009B081F">
        <w:rPr>
          <w:sz w:val="22"/>
          <w:szCs w:val="22"/>
        </w:rPr>
        <w:t>Attachment A</w:t>
      </w:r>
      <w:r w:rsidRPr="009B081F">
        <w:rPr>
          <w:b w:val="0"/>
          <w:sz w:val="22"/>
          <w:szCs w:val="22"/>
        </w:rPr>
        <w:t>.</w:t>
      </w:r>
    </w:p>
    <w:p w14:paraId="75D9AB4A" w14:textId="0209E4CB" w:rsidR="00654588" w:rsidRPr="009B081F" w:rsidRDefault="002F23ED" w:rsidP="00CF7E18">
      <w:pPr>
        <w:pStyle w:val="Heading6"/>
        <w:spacing w:before="240" w:after="0"/>
        <w:ind w:right="-516"/>
        <w:jc w:val="left"/>
      </w:pPr>
      <w:r w:rsidRPr="009B081F">
        <w:rPr>
          <w:sz w:val="22"/>
          <w:szCs w:val="22"/>
        </w:rPr>
        <w:t>C</w:t>
      </w:r>
      <w:r w:rsidR="0054689F" w:rsidRPr="009B081F">
        <w:rPr>
          <w:sz w:val="22"/>
          <w:szCs w:val="22"/>
        </w:rPr>
        <w:t>onsultation</w:t>
      </w:r>
    </w:p>
    <w:p w14:paraId="773F04D9" w14:textId="18803701" w:rsidR="00C72134" w:rsidRPr="009B081F" w:rsidRDefault="00C72134" w:rsidP="00CF7E18">
      <w:pPr>
        <w:shd w:val="clear" w:color="auto" w:fill="FFFFFF"/>
        <w:spacing w:before="120" w:after="120"/>
        <w:rPr>
          <w:sz w:val="22"/>
          <w:szCs w:val="22"/>
        </w:rPr>
      </w:pPr>
      <w:r w:rsidRPr="009B081F">
        <w:rPr>
          <w:sz w:val="22"/>
          <w:szCs w:val="22"/>
        </w:rPr>
        <w:t xml:space="preserve">The Seventh Agreement includes an agreement between the Commonwealth and the Pharmacy Guild of Australia for the purposes of subsection 98BAA(1) of the Act. The Pharmacy Guild of Australia has been consulted in relation to the changes made by this Amendment Determination as they relate to that agreement. Services Australia has also been consulted in relation to implementation of </w:t>
      </w:r>
      <w:r w:rsidR="009C0BB0" w:rsidRPr="009B081F">
        <w:rPr>
          <w:sz w:val="22"/>
          <w:szCs w:val="22"/>
        </w:rPr>
        <w:t xml:space="preserve">the </w:t>
      </w:r>
      <w:r w:rsidR="00EE328F" w:rsidRPr="009B081F">
        <w:rPr>
          <w:sz w:val="22"/>
          <w:szCs w:val="22"/>
        </w:rPr>
        <w:t xml:space="preserve">Pharmaceutical Benefits Scheme </w:t>
      </w:r>
      <w:r w:rsidRPr="009B081F">
        <w:rPr>
          <w:sz w:val="22"/>
          <w:szCs w:val="22"/>
        </w:rPr>
        <w:t>payment systems changes</w:t>
      </w:r>
      <w:r w:rsidR="00EE328F" w:rsidRPr="009B081F">
        <w:rPr>
          <w:sz w:val="22"/>
          <w:szCs w:val="22"/>
        </w:rPr>
        <w:t xml:space="preserve"> managed by Services Australia</w:t>
      </w:r>
      <w:r w:rsidR="009C0BB0" w:rsidRPr="009B081F">
        <w:rPr>
          <w:sz w:val="22"/>
          <w:szCs w:val="22"/>
        </w:rPr>
        <w:t>,</w:t>
      </w:r>
      <w:r w:rsidRPr="009B081F">
        <w:rPr>
          <w:sz w:val="22"/>
          <w:szCs w:val="22"/>
        </w:rPr>
        <w:t xml:space="preserve"> </w:t>
      </w:r>
      <w:r w:rsidR="00EE328F" w:rsidRPr="009B081F">
        <w:rPr>
          <w:sz w:val="22"/>
          <w:szCs w:val="22"/>
        </w:rPr>
        <w:t xml:space="preserve">to </w:t>
      </w:r>
      <w:r w:rsidRPr="009B081F">
        <w:rPr>
          <w:sz w:val="22"/>
          <w:szCs w:val="22"/>
        </w:rPr>
        <w:t>support the changes made by this Amendment Determination.</w:t>
      </w:r>
    </w:p>
    <w:p w14:paraId="2C0709DE" w14:textId="69BE6B50" w:rsidR="0054689F" w:rsidRPr="009B081F" w:rsidRDefault="0054689F" w:rsidP="00CF7E18">
      <w:pPr>
        <w:pStyle w:val="Heading6"/>
        <w:keepNext w:val="0"/>
        <w:keepLines w:val="0"/>
        <w:spacing w:before="180" w:after="180"/>
        <w:ind w:right="-516"/>
        <w:jc w:val="left"/>
        <w:rPr>
          <w:sz w:val="22"/>
          <w:szCs w:val="22"/>
        </w:rPr>
      </w:pPr>
      <w:r w:rsidRPr="009B081F">
        <w:rPr>
          <w:b w:val="0"/>
          <w:sz w:val="22"/>
          <w:szCs w:val="22"/>
        </w:rPr>
        <w:t xml:space="preserve">This </w:t>
      </w:r>
      <w:r w:rsidR="00C85F40" w:rsidRPr="009B081F">
        <w:rPr>
          <w:b w:val="0"/>
          <w:sz w:val="22"/>
          <w:szCs w:val="22"/>
        </w:rPr>
        <w:t xml:space="preserve">Amendment </w:t>
      </w:r>
      <w:r w:rsidRPr="009B081F">
        <w:rPr>
          <w:b w:val="0"/>
          <w:sz w:val="22"/>
          <w:szCs w:val="22"/>
        </w:rPr>
        <w:t xml:space="preserve">Determination is a legislative instrument for the purposes of the </w:t>
      </w:r>
      <w:r w:rsidRPr="009B081F">
        <w:rPr>
          <w:b w:val="0"/>
          <w:i/>
          <w:sz w:val="22"/>
          <w:szCs w:val="22"/>
        </w:rPr>
        <w:t>Legislation Act 2003</w:t>
      </w:r>
      <w:r w:rsidRPr="009B081F">
        <w:rPr>
          <w:b w:val="0"/>
          <w:sz w:val="22"/>
          <w:szCs w:val="22"/>
        </w:rPr>
        <w:t>.</w:t>
      </w:r>
    </w:p>
    <w:p w14:paraId="2558D424"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i/>
          <w:iCs/>
          <w:sz w:val="22"/>
          <w:szCs w:val="22"/>
        </w:rPr>
        <w:br w:type="page"/>
      </w:r>
      <w:r w:rsidRPr="009B081F">
        <w:rPr>
          <w:b/>
          <w:bCs/>
          <w:i/>
          <w:iCs/>
          <w:sz w:val="22"/>
          <w:szCs w:val="22"/>
        </w:rPr>
        <w:lastRenderedPageBreak/>
        <w:t> </w:t>
      </w:r>
    </w:p>
    <w:p w14:paraId="5BCF2685" w14:textId="77777777" w:rsidR="0054689F" w:rsidRPr="009B081F" w:rsidRDefault="0054689F" w:rsidP="0054689F">
      <w:pPr>
        <w:shd w:val="clear" w:color="auto" w:fill="FFFFFF"/>
        <w:spacing w:before="100" w:beforeAutospacing="1" w:after="100" w:afterAutospacing="1"/>
        <w:ind w:left="6480" w:firstLine="720"/>
        <w:rPr>
          <w:sz w:val="22"/>
          <w:szCs w:val="22"/>
          <w:lang w:val="en-US"/>
        </w:rPr>
      </w:pPr>
      <w:r w:rsidRPr="009B081F">
        <w:rPr>
          <w:b/>
          <w:bCs/>
          <w:sz w:val="22"/>
          <w:szCs w:val="22"/>
        </w:rPr>
        <w:t>Attachment A</w:t>
      </w:r>
    </w:p>
    <w:p w14:paraId="3505940F" w14:textId="1E0F2699"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 xml:space="preserve">Details of the </w:t>
      </w:r>
      <w:r w:rsidRPr="009B081F">
        <w:rPr>
          <w:b/>
          <w:bCs/>
          <w:i/>
          <w:iCs/>
          <w:sz w:val="22"/>
          <w:szCs w:val="22"/>
        </w:rPr>
        <w:t xml:space="preserve">Commonwealth price (Pharmaceutical benefits supplied by approved pharmacists) Amendment Determination </w:t>
      </w:r>
      <w:r w:rsidR="00100CE4" w:rsidRPr="009B081F">
        <w:rPr>
          <w:b/>
          <w:bCs/>
          <w:i/>
          <w:iCs/>
          <w:sz w:val="22"/>
          <w:szCs w:val="22"/>
        </w:rPr>
        <w:t>2021</w:t>
      </w:r>
    </w:p>
    <w:p w14:paraId="320DD1D3"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Section 1         Name</w:t>
      </w:r>
    </w:p>
    <w:p w14:paraId="57376557" w14:textId="71E0025C"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t xml:space="preserve">This section provides that the title of the instrument is the </w:t>
      </w:r>
      <w:r w:rsidRPr="009B081F">
        <w:rPr>
          <w:i/>
          <w:iCs/>
          <w:sz w:val="22"/>
          <w:szCs w:val="22"/>
        </w:rPr>
        <w:t>Commonwealth price (Pharmaceutical benefits supplied by approved pharmacists) Amendment Determination 20</w:t>
      </w:r>
      <w:r w:rsidR="002F23ED" w:rsidRPr="009B081F">
        <w:rPr>
          <w:i/>
          <w:iCs/>
          <w:sz w:val="22"/>
          <w:szCs w:val="22"/>
        </w:rPr>
        <w:t>21</w:t>
      </w:r>
      <w:r w:rsidRPr="009B081F">
        <w:rPr>
          <w:i/>
          <w:iCs/>
          <w:sz w:val="22"/>
          <w:szCs w:val="22"/>
        </w:rPr>
        <w:t xml:space="preserve"> </w:t>
      </w:r>
      <w:r w:rsidRPr="009B081F">
        <w:rPr>
          <w:sz w:val="22"/>
          <w:szCs w:val="22"/>
        </w:rPr>
        <w:t>(the Amend</w:t>
      </w:r>
      <w:r w:rsidR="00EE328F" w:rsidRPr="009B081F">
        <w:rPr>
          <w:sz w:val="22"/>
          <w:szCs w:val="22"/>
        </w:rPr>
        <w:t>ment</w:t>
      </w:r>
      <w:r w:rsidRPr="009B081F">
        <w:rPr>
          <w:sz w:val="22"/>
          <w:szCs w:val="22"/>
        </w:rPr>
        <w:t xml:space="preserve"> Determination).</w:t>
      </w:r>
      <w:r w:rsidRPr="009B081F">
        <w:rPr>
          <w:b/>
          <w:bCs/>
          <w:sz w:val="22"/>
          <w:szCs w:val="22"/>
        </w:rPr>
        <w:t xml:space="preserve">  </w:t>
      </w:r>
      <w:r w:rsidR="00CF7E18" w:rsidRPr="009B081F">
        <w:rPr>
          <w:sz w:val="22"/>
          <w:szCs w:val="22"/>
        </w:rPr>
        <w:t>It provides that the Amendment</w:t>
      </w:r>
      <w:r w:rsidRPr="009B081F">
        <w:rPr>
          <w:sz w:val="22"/>
          <w:szCs w:val="22"/>
        </w:rPr>
        <w:t xml:space="preserve"> Determination may also be </w:t>
      </w:r>
      <w:r w:rsidR="00CB4014" w:rsidRPr="009B081F">
        <w:rPr>
          <w:sz w:val="22"/>
          <w:szCs w:val="22"/>
        </w:rPr>
        <w:t>cited</w:t>
      </w:r>
      <w:r w:rsidRPr="009B081F">
        <w:rPr>
          <w:sz w:val="22"/>
          <w:szCs w:val="22"/>
        </w:rPr>
        <w:t xml:space="preserve"> as PB </w:t>
      </w:r>
      <w:r w:rsidR="00EE328F" w:rsidRPr="009B081F">
        <w:rPr>
          <w:sz w:val="22"/>
          <w:szCs w:val="22"/>
        </w:rPr>
        <w:t>57</w:t>
      </w:r>
      <w:r w:rsidR="00D41152" w:rsidRPr="009B081F">
        <w:rPr>
          <w:sz w:val="22"/>
          <w:szCs w:val="22"/>
        </w:rPr>
        <w:t> </w:t>
      </w:r>
      <w:r w:rsidRPr="009B081F">
        <w:rPr>
          <w:sz w:val="22"/>
          <w:szCs w:val="22"/>
        </w:rPr>
        <w:t>of 20</w:t>
      </w:r>
      <w:r w:rsidR="002F23ED" w:rsidRPr="009B081F">
        <w:rPr>
          <w:sz w:val="22"/>
          <w:szCs w:val="22"/>
        </w:rPr>
        <w:t>21</w:t>
      </w:r>
      <w:r w:rsidRPr="009B081F">
        <w:rPr>
          <w:sz w:val="22"/>
          <w:szCs w:val="22"/>
        </w:rPr>
        <w:t>.</w:t>
      </w:r>
    </w:p>
    <w:p w14:paraId="0337A4B5"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Section 2         Commencement</w:t>
      </w:r>
    </w:p>
    <w:p w14:paraId="08B66F07" w14:textId="4A552ACF"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t>Section 2 provides that the instrument is to commence on 1 July 20</w:t>
      </w:r>
      <w:r w:rsidR="002F23ED" w:rsidRPr="009B081F">
        <w:rPr>
          <w:sz w:val="22"/>
          <w:szCs w:val="22"/>
        </w:rPr>
        <w:t>21</w:t>
      </w:r>
      <w:r w:rsidRPr="009B081F">
        <w:rPr>
          <w:sz w:val="22"/>
          <w:szCs w:val="22"/>
        </w:rPr>
        <w:t>.</w:t>
      </w:r>
    </w:p>
    <w:p w14:paraId="59CE06A8"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Section 3         Authority</w:t>
      </w:r>
    </w:p>
    <w:p w14:paraId="4FE244D2"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t xml:space="preserve">Section 3 provides that the instrument is made under paragraph 98B(1) (a) of the </w:t>
      </w:r>
      <w:r w:rsidRPr="009B081F">
        <w:rPr>
          <w:i/>
          <w:iCs/>
          <w:sz w:val="22"/>
          <w:szCs w:val="22"/>
        </w:rPr>
        <w:t>National Health Act 1953</w:t>
      </w:r>
      <w:r w:rsidRPr="009B081F">
        <w:rPr>
          <w:sz w:val="22"/>
          <w:szCs w:val="22"/>
        </w:rPr>
        <w:t>.</w:t>
      </w:r>
    </w:p>
    <w:p w14:paraId="36770920"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Section 4         Schedules</w:t>
      </w:r>
    </w:p>
    <w:p w14:paraId="0FA5EC7E" w14:textId="549FCFD8"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t>Section 4 provides that each instrument that is specifi</w:t>
      </w:r>
      <w:r w:rsidR="00CF7E18" w:rsidRPr="009B081F">
        <w:rPr>
          <w:sz w:val="22"/>
          <w:szCs w:val="22"/>
        </w:rPr>
        <w:t>ed in a Schedule to the Amendment</w:t>
      </w:r>
      <w:r w:rsidRPr="009B081F">
        <w:rPr>
          <w:sz w:val="22"/>
          <w:szCs w:val="22"/>
        </w:rPr>
        <w:t xml:space="preserve"> Determination is amended or repealed as set out in the applicable items in the Schedule concerned, and any other item has effect according to its terms.  </w:t>
      </w:r>
    </w:p>
    <w:p w14:paraId="0069AA5C"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Schedule 1       Amendments</w:t>
      </w:r>
    </w:p>
    <w:p w14:paraId="70B93D65" w14:textId="539451A4" w:rsidR="0054689F" w:rsidRPr="009B081F" w:rsidRDefault="0054689F" w:rsidP="0054689F">
      <w:pPr>
        <w:shd w:val="clear" w:color="auto" w:fill="FFFFFF"/>
        <w:spacing w:before="100" w:beforeAutospacing="1" w:after="100" w:afterAutospacing="1"/>
        <w:rPr>
          <w:sz w:val="22"/>
          <w:szCs w:val="22"/>
          <w:lang w:val="en-US"/>
        </w:rPr>
      </w:pPr>
      <w:r w:rsidRPr="009B081F">
        <w:rPr>
          <w:b/>
          <w:bCs/>
          <w:i/>
          <w:iCs/>
          <w:sz w:val="22"/>
          <w:szCs w:val="22"/>
        </w:rPr>
        <w:t xml:space="preserve">Commonwealth Price (Pharmaceutical benefits supplied by approved pharmacists) Determination </w:t>
      </w:r>
      <w:r w:rsidR="00F03745" w:rsidRPr="009B081F">
        <w:rPr>
          <w:b/>
          <w:bCs/>
          <w:i/>
          <w:iCs/>
          <w:sz w:val="22"/>
          <w:szCs w:val="22"/>
        </w:rPr>
        <w:t>2020</w:t>
      </w:r>
    </w:p>
    <w:p w14:paraId="0D7551D1"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 xml:space="preserve">Item 1  </w:t>
      </w:r>
    </w:p>
    <w:p w14:paraId="68D08608" w14:textId="48D56C9B"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t>This item amends the definition</w:t>
      </w:r>
      <w:r w:rsidR="00F03745" w:rsidRPr="009B081F">
        <w:rPr>
          <w:sz w:val="22"/>
          <w:szCs w:val="22"/>
        </w:rPr>
        <w:t>s</w:t>
      </w:r>
      <w:r w:rsidRPr="009B081F">
        <w:rPr>
          <w:sz w:val="22"/>
          <w:szCs w:val="22"/>
        </w:rPr>
        <w:t xml:space="preserve"> of ‘dangerous drug fee’</w:t>
      </w:r>
      <w:r w:rsidR="00F03745" w:rsidRPr="009B081F">
        <w:rPr>
          <w:sz w:val="22"/>
          <w:szCs w:val="22"/>
        </w:rPr>
        <w:t xml:space="preserve">, ‘extemporaneously-prepared dispensing fee’ and ‘ready-prepared dispensing fee’ </w:t>
      </w:r>
      <w:r w:rsidRPr="009B081F">
        <w:rPr>
          <w:sz w:val="22"/>
          <w:szCs w:val="22"/>
        </w:rPr>
        <w:t xml:space="preserve">in </w:t>
      </w:r>
      <w:r w:rsidR="00C85F40" w:rsidRPr="009B081F">
        <w:rPr>
          <w:sz w:val="22"/>
          <w:szCs w:val="22"/>
        </w:rPr>
        <w:t>S</w:t>
      </w:r>
      <w:r w:rsidRPr="009B081F">
        <w:rPr>
          <w:sz w:val="22"/>
          <w:szCs w:val="22"/>
        </w:rPr>
        <w:t xml:space="preserve">ection 6 of the </w:t>
      </w:r>
      <w:r w:rsidR="00CB4014" w:rsidRPr="009B081F">
        <w:rPr>
          <w:sz w:val="22"/>
          <w:szCs w:val="22"/>
        </w:rPr>
        <w:t xml:space="preserve">Principal </w:t>
      </w:r>
      <w:r w:rsidRPr="009B081F">
        <w:rPr>
          <w:sz w:val="22"/>
          <w:szCs w:val="22"/>
        </w:rPr>
        <w:t xml:space="preserve">Determination to increase the amount of the dangerous drug fee, </w:t>
      </w:r>
      <w:r w:rsidR="00F03745" w:rsidRPr="009B081F">
        <w:rPr>
          <w:sz w:val="22"/>
          <w:szCs w:val="22"/>
        </w:rPr>
        <w:t xml:space="preserve">extemporaneously-prepared dispensing fee and ready-prepared dispensing fee </w:t>
      </w:r>
      <w:r w:rsidRPr="009B081F">
        <w:rPr>
          <w:sz w:val="22"/>
          <w:szCs w:val="22"/>
        </w:rPr>
        <w:t xml:space="preserve">in order to give effect to the indexation arrangements in the </w:t>
      </w:r>
      <w:r w:rsidR="00A10AE3" w:rsidRPr="009B081F">
        <w:rPr>
          <w:sz w:val="22"/>
          <w:szCs w:val="22"/>
        </w:rPr>
        <w:t>Seventh</w:t>
      </w:r>
      <w:r w:rsidRPr="009B081F">
        <w:rPr>
          <w:sz w:val="22"/>
          <w:szCs w:val="22"/>
        </w:rPr>
        <w:t xml:space="preserve"> Agreement.</w:t>
      </w:r>
    </w:p>
    <w:p w14:paraId="4AE25E52" w14:textId="0E390D87"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 xml:space="preserve"> Item </w:t>
      </w:r>
      <w:r w:rsidR="00F03745" w:rsidRPr="009B081F">
        <w:rPr>
          <w:b/>
          <w:bCs/>
          <w:sz w:val="22"/>
          <w:szCs w:val="22"/>
        </w:rPr>
        <w:t xml:space="preserve">2  </w:t>
      </w:r>
    </w:p>
    <w:p w14:paraId="69495A2F" w14:textId="7D941E21"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t xml:space="preserve">This item replaces the table in </w:t>
      </w:r>
      <w:r w:rsidR="00C85F40" w:rsidRPr="009B081F">
        <w:rPr>
          <w:sz w:val="22"/>
          <w:szCs w:val="22"/>
        </w:rPr>
        <w:t>Se</w:t>
      </w:r>
      <w:r w:rsidR="00DF2414" w:rsidRPr="009B081F">
        <w:rPr>
          <w:sz w:val="22"/>
          <w:szCs w:val="22"/>
        </w:rPr>
        <w:t>c</w:t>
      </w:r>
      <w:r w:rsidR="00C85F40" w:rsidRPr="009B081F">
        <w:rPr>
          <w:sz w:val="22"/>
          <w:szCs w:val="22"/>
        </w:rPr>
        <w:t>tion</w:t>
      </w:r>
      <w:r w:rsidRPr="009B081F">
        <w:rPr>
          <w:sz w:val="22"/>
          <w:szCs w:val="22"/>
        </w:rPr>
        <w:t xml:space="preserve"> 1</w:t>
      </w:r>
      <w:r w:rsidR="00C85F40" w:rsidRPr="009B081F">
        <w:rPr>
          <w:sz w:val="22"/>
          <w:szCs w:val="22"/>
        </w:rPr>
        <w:t>2</w:t>
      </w:r>
      <w:r w:rsidRPr="009B081F">
        <w:rPr>
          <w:sz w:val="22"/>
          <w:szCs w:val="22"/>
        </w:rPr>
        <w:t xml:space="preserve">(1)(a) of the </w:t>
      </w:r>
      <w:r w:rsidR="00CB4014" w:rsidRPr="009B081F">
        <w:rPr>
          <w:sz w:val="22"/>
          <w:szCs w:val="22"/>
        </w:rPr>
        <w:t xml:space="preserve">Principal </w:t>
      </w:r>
      <w:r w:rsidRPr="009B081F">
        <w:rPr>
          <w:sz w:val="22"/>
          <w:szCs w:val="22"/>
        </w:rPr>
        <w:t xml:space="preserve">Determination to increase the amount of the </w:t>
      </w:r>
      <w:r w:rsidR="00DF2414" w:rsidRPr="009B081F">
        <w:rPr>
          <w:sz w:val="22"/>
          <w:szCs w:val="22"/>
        </w:rPr>
        <w:t xml:space="preserve">Tier 1 </w:t>
      </w:r>
      <w:r w:rsidRPr="009B081F">
        <w:rPr>
          <w:sz w:val="22"/>
          <w:szCs w:val="22"/>
        </w:rPr>
        <w:t xml:space="preserve">AHI fee for ready prepared pharmaceutical benefits </w:t>
      </w:r>
      <w:r w:rsidR="00DF2414" w:rsidRPr="009B081F">
        <w:rPr>
          <w:sz w:val="22"/>
          <w:szCs w:val="22"/>
        </w:rPr>
        <w:t xml:space="preserve">from 1 July </w:t>
      </w:r>
      <w:r w:rsidRPr="009B081F">
        <w:rPr>
          <w:sz w:val="22"/>
          <w:szCs w:val="22"/>
        </w:rPr>
        <w:t>20</w:t>
      </w:r>
      <w:r w:rsidR="00A85D23" w:rsidRPr="009B081F">
        <w:rPr>
          <w:sz w:val="22"/>
          <w:szCs w:val="22"/>
        </w:rPr>
        <w:t>21</w:t>
      </w:r>
      <w:r w:rsidRPr="009B081F">
        <w:rPr>
          <w:sz w:val="22"/>
          <w:szCs w:val="22"/>
        </w:rPr>
        <w:t xml:space="preserve">, </w:t>
      </w:r>
      <w:r w:rsidR="00A10AE3" w:rsidRPr="009B081F">
        <w:rPr>
          <w:sz w:val="22"/>
          <w:szCs w:val="22"/>
        </w:rPr>
        <w:t xml:space="preserve">and </w:t>
      </w:r>
      <w:r w:rsidR="00DF2414" w:rsidRPr="009B081F">
        <w:rPr>
          <w:sz w:val="22"/>
          <w:szCs w:val="22"/>
        </w:rPr>
        <w:t xml:space="preserve">also </w:t>
      </w:r>
      <w:r w:rsidR="00993879" w:rsidRPr="009B081F">
        <w:rPr>
          <w:sz w:val="22"/>
          <w:szCs w:val="22"/>
        </w:rPr>
        <w:t xml:space="preserve">amends the </w:t>
      </w:r>
      <w:r w:rsidR="00DF2414" w:rsidRPr="009B081F">
        <w:rPr>
          <w:sz w:val="22"/>
          <w:szCs w:val="22"/>
        </w:rPr>
        <w:t xml:space="preserve">expression of the </w:t>
      </w:r>
      <w:r w:rsidR="00071500" w:rsidRPr="009B081F">
        <w:rPr>
          <w:sz w:val="22"/>
          <w:szCs w:val="22"/>
        </w:rPr>
        <w:t xml:space="preserve">Tier 2 </w:t>
      </w:r>
      <w:r w:rsidR="00993879" w:rsidRPr="009B081F">
        <w:rPr>
          <w:sz w:val="22"/>
          <w:szCs w:val="22"/>
        </w:rPr>
        <w:t xml:space="preserve">AHI fee to align with how </w:t>
      </w:r>
      <w:r w:rsidR="00DF2414" w:rsidRPr="009B081F">
        <w:rPr>
          <w:sz w:val="22"/>
          <w:szCs w:val="22"/>
        </w:rPr>
        <w:t>this</w:t>
      </w:r>
      <w:r w:rsidR="00993879" w:rsidRPr="009B081F">
        <w:rPr>
          <w:sz w:val="22"/>
          <w:szCs w:val="22"/>
        </w:rPr>
        <w:t xml:space="preserve"> fee is expressed in the Seventh Agreement.</w:t>
      </w:r>
    </w:p>
    <w:p w14:paraId="3E15BA94" w14:textId="776FD88E" w:rsidR="0054689F" w:rsidRPr="009B081F" w:rsidRDefault="0054689F" w:rsidP="0054689F">
      <w:pPr>
        <w:shd w:val="clear" w:color="auto" w:fill="FFFFFF"/>
        <w:spacing w:before="100" w:beforeAutospacing="1" w:after="100" w:afterAutospacing="1"/>
        <w:rPr>
          <w:sz w:val="22"/>
          <w:szCs w:val="22"/>
          <w:lang w:val="en-US"/>
        </w:rPr>
      </w:pPr>
      <w:r w:rsidRPr="009B081F">
        <w:rPr>
          <w:b/>
          <w:bCs/>
          <w:sz w:val="22"/>
          <w:szCs w:val="22"/>
        </w:rPr>
        <w:t xml:space="preserve">Item </w:t>
      </w:r>
      <w:r w:rsidR="00F03745" w:rsidRPr="009B081F">
        <w:rPr>
          <w:b/>
          <w:bCs/>
          <w:sz w:val="22"/>
          <w:szCs w:val="22"/>
        </w:rPr>
        <w:t>3</w:t>
      </w:r>
      <w:r w:rsidR="00F03745" w:rsidRPr="009B081F">
        <w:rPr>
          <w:sz w:val="22"/>
          <w:szCs w:val="22"/>
        </w:rPr>
        <w:t xml:space="preserve">  </w:t>
      </w:r>
    </w:p>
    <w:p w14:paraId="5AA23D2E" w14:textId="41321435" w:rsidR="00DF2414" w:rsidRPr="009B081F" w:rsidRDefault="0054689F" w:rsidP="00A10AE3">
      <w:pPr>
        <w:shd w:val="clear" w:color="auto" w:fill="FFFFFF"/>
        <w:spacing w:before="100" w:beforeAutospacing="1" w:after="100" w:afterAutospacing="1"/>
        <w:rPr>
          <w:sz w:val="22"/>
          <w:szCs w:val="22"/>
        </w:rPr>
      </w:pPr>
      <w:r w:rsidRPr="009B081F">
        <w:rPr>
          <w:sz w:val="22"/>
          <w:szCs w:val="22"/>
        </w:rPr>
        <w:t xml:space="preserve">This item replaces the table </w:t>
      </w:r>
      <w:r w:rsidR="00DF2414" w:rsidRPr="009B081F">
        <w:rPr>
          <w:sz w:val="22"/>
          <w:szCs w:val="22"/>
        </w:rPr>
        <w:t>in Section</w:t>
      </w:r>
      <w:r w:rsidRPr="009B081F">
        <w:rPr>
          <w:sz w:val="22"/>
          <w:szCs w:val="22"/>
        </w:rPr>
        <w:t xml:space="preserve"> </w:t>
      </w:r>
      <w:r w:rsidR="00DF2414" w:rsidRPr="009B081F">
        <w:rPr>
          <w:sz w:val="22"/>
          <w:szCs w:val="22"/>
        </w:rPr>
        <w:t xml:space="preserve">20 </w:t>
      </w:r>
      <w:r w:rsidRPr="009B081F">
        <w:rPr>
          <w:sz w:val="22"/>
          <w:szCs w:val="22"/>
        </w:rPr>
        <w:t xml:space="preserve">of the </w:t>
      </w:r>
      <w:r w:rsidR="00CB4014" w:rsidRPr="009B081F">
        <w:rPr>
          <w:sz w:val="22"/>
          <w:szCs w:val="22"/>
        </w:rPr>
        <w:t xml:space="preserve">Principal </w:t>
      </w:r>
      <w:r w:rsidRPr="009B081F">
        <w:rPr>
          <w:sz w:val="22"/>
          <w:szCs w:val="22"/>
        </w:rPr>
        <w:t xml:space="preserve">Determination </w:t>
      </w:r>
      <w:r w:rsidR="00DF2414" w:rsidRPr="009B081F">
        <w:rPr>
          <w:sz w:val="22"/>
          <w:szCs w:val="22"/>
        </w:rPr>
        <w:t>to increase the amount of the Tier 1 AHI fee for extemporaneously prepared pharmaceutical benefits from 1 July 2021, and also amends the expression of the Tier 2 AHI fee to align with how this fee is expressed in the Seventh Agreement.</w:t>
      </w:r>
    </w:p>
    <w:p w14:paraId="3AB5B08F" w14:textId="77777777" w:rsidR="0054689F" w:rsidRPr="009B081F" w:rsidRDefault="0054689F" w:rsidP="0054689F">
      <w:pPr>
        <w:shd w:val="clear" w:color="auto" w:fill="FFFFFF"/>
        <w:spacing w:before="100" w:beforeAutospacing="1" w:after="100" w:afterAutospacing="1"/>
        <w:rPr>
          <w:sz w:val="22"/>
          <w:szCs w:val="22"/>
          <w:lang w:val="en-US"/>
        </w:rPr>
      </w:pPr>
      <w:r w:rsidRPr="009B081F">
        <w:rPr>
          <w:sz w:val="22"/>
          <w:szCs w:val="22"/>
        </w:rPr>
        <w:br w:type="page"/>
      </w:r>
      <w:r w:rsidRPr="009B081F">
        <w:rPr>
          <w:sz w:val="22"/>
          <w:szCs w:val="22"/>
        </w:rPr>
        <w:lastRenderedPageBreak/>
        <w:t> </w:t>
      </w:r>
    </w:p>
    <w:p w14:paraId="66D3587F" w14:textId="77777777" w:rsidR="00DF2414" w:rsidRPr="009B081F" w:rsidRDefault="00DF2414" w:rsidP="00DF2414">
      <w:pPr>
        <w:spacing w:before="120" w:after="120"/>
        <w:jc w:val="center"/>
        <w:rPr>
          <w:b/>
          <w:sz w:val="28"/>
          <w:szCs w:val="28"/>
        </w:rPr>
      </w:pPr>
      <w:r w:rsidRPr="009B081F">
        <w:rPr>
          <w:b/>
          <w:sz w:val="28"/>
          <w:szCs w:val="28"/>
        </w:rPr>
        <w:t>Statement of Compatibility with Human Rights</w:t>
      </w:r>
    </w:p>
    <w:p w14:paraId="54F6DC4C" w14:textId="77777777" w:rsidR="00DF2414" w:rsidRPr="009B081F" w:rsidRDefault="00DF2414" w:rsidP="00DF2414">
      <w:pPr>
        <w:spacing w:before="120" w:after="120"/>
        <w:jc w:val="center"/>
        <w:rPr>
          <w:i/>
        </w:rPr>
      </w:pPr>
      <w:r w:rsidRPr="009B081F">
        <w:rPr>
          <w:i/>
        </w:rPr>
        <w:t>Prepared in accordance with Part 3 of the Human Rights (Parliamentary Scrutiny) Act 2011</w:t>
      </w:r>
    </w:p>
    <w:p w14:paraId="1D6E397C" w14:textId="57D1BBE8" w:rsidR="00DF2414" w:rsidRPr="009B081F" w:rsidRDefault="00DF2414" w:rsidP="00DF2414">
      <w:pPr>
        <w:spacing w:after="120"/>
        <w:jc w:val="center"/>
        <w:rPr>
          <w:b/>
          <w:bCs/>
          <w:caps/>
        </w:rPr>
      </w:pPr>
      <w:r w:rsidRPr="009B081F">
        <w:rPr>
          <w:b/>
          <w:bCs/>
          <w:iCs/>
        </w:rPr>
        <w:t>Commonwealth price (Pharmaceutical benefits supplied by approved pharmacis</w:t>
      </w:r>
      <w:r w:rsidR="008867C2" w:rsidRPr="009B081F">
        <w:rPr>
          <w:b/>
          <w:bCs/>
          <w:iCs/>
        </w:rPr>
        <w:t>ts) Amendment Determination 2021</w:t>
      </w:r>
    </w:p>
    <w:p w14:paraId="28A016C6" w14:textId="30422F89" w:rsidR="00DF2414" w:rsidRPr="009B081F" w:rsidRDefault="00DF2414" w:rsidP="00DF2414">
      <w:pPr>
        <w:spacing w:before="120" w:after="120"/>
        <w:jc w:val="center"/>
        <w:rPr>
          <w:b/>
          <w:bCs/>
        </w:rPr>
      </w:pPr>
      <w:r w:rsidRPr="009B081F">
        <w:rPr>
          <w:b/>
          <w:bCs/>
        </w:rPr>
        <w:t xml:space="preserve">PB </w:t>
      </w:r>
      <w:r w:rsidR="00D41152" w:rsidRPr="009B081F">
        <w:rPr>
          <w:b/>
          <w:bCs/>
        </w:rPr>
        <w:t>5</w:t>
      </w:r>
      <w:r w:rsidR="00EE328F" w:rsidRPr="009B081F">
        <w:rPr>
          <w:b/>
          <w:bCs/>
        </w:rPr>
        <w:t>7</w:t>
      </w:r>
      <w:r w:rsidR="00D41152" w:rsidRPr="009B081F">
        <w:rPr>
          <w:b/>
          <w:bCs/>
        </w:rPr>
        <w:t xml:space="preserve"> </w:t>
      </w:r>
      <w:r w:rsidR="008867C2" w:rsidRPr="009B081F">
        <w:rPr>
          <w:b/>
          <w:bCs/>
        </w:rPr>
        <w:t>of 2021</w:t>
      </w:r>
    </w:p>
    <w:p w14:paraId="209683C5" w14:textId="2143D83B" w:rsidR="00DF2414" w:rsidRPr="009B081F" w:rsidRDefault="00DF2414" w:rsidP="00EE328F">
      <w:pPr>
        <w:spacing w:after="120"/>
        <w:rPr>
          <w:sz w:val="22"/>
          <w:szCs w:val="22"/>
        </w:rPr>
      </w:pPr>
      <w:r w:rsidRPr="009B081F">
        <w:rPr>
          <w:sz w:val="22"/>
          <w:szCs w:val="22"/>
        </w:rPr>
        <w:t xml:space="preserve">This </w:t>
      </w:r>
      <w:r w:rsidR="00783042" w:rsidRPr="009B081F">
        <w:rPr>
          <w:sz w:val="22"/>
          <w:szCs w:val="22"/>
        </w:rPr>
        <w:t>Disallowable Legislative Instrument</w:t>
      </w:r>
      <w:r w:rsidRPr="009B081F">
        <w:rPr>
          <w:sz w:val="22"/>
          <w:szCs w:val="22"/>
        </w:rPr>
        <w:t xml:space="preserve"> is compatible with the human rights and freedoms recognised or declared in the international instruments listed in section 3 of the </w:t>
      </w:r>
      <w:r w:rsidRPr="009B081F">
        <w:rPr>
          <w:i/>
          <w:sz w:val="22"/>
          <w:szCs w:val="22"/>
        </w:rPr>
        <w:t>Human Rights (Parliamentary Scrutiny) Act 2011</w:t>
      </w:r>
      <w:r w:rsidRPr="009B081F">
        <w:rPr>
          <w:sz w:val="22"/>
          <w:szCs w:val="22"/>
        </w:rPr>
        <w:t>.</w:t>
      </w:r>
    </w:p>
    <w:p w14:paraId="4949EE3D" w14:textId="77777777" w:rsidR="00DF2414" w:rsidRPr="009B081F" w:rsidRDefault="00DF2414" w:rsidP="00DF2414">
      <w:pPr>
        <w:spacing w:after="120"/>
        <w:jc w:val="both"/>
        <w:rPr>
          <w:b/>
          <w:sz w:val="22"/>
          <w:szCs w:val="22"/>
        </w:rPr>
      </w:pPr>
      <w:r w:rsidRPr="009B081F">
        <w:rPr>
          <w:b/>
          <w:sz w:val="22"/>
          <w:szCs w:val="22"/>
        </w:rPr>
        <w:t>Overview of the legislative instrument</w:t>
      </w:r>
    </w:p>
    <w:p w14:paraId="3445738D" w14:textId="42CB1C3D" w:rsidR="00DF2414" w:rsidRPr="009B081F" w:rsidRDefault="00DF2414" w:rsidP="00DF2414">
      <w:pPr>
        <w:spacing w:before="120" w:after="180"/>
        <w:rPr>
          <w:sz w:val="22"/>
          <w:szCs w:val="22"/>
        </w:rPr>
      </w:pPr>
      <w:r w:rsidRPr="009B081F">
        <w:rPr>
          <w:sz w:val="22"/>
          <w:szCs w:val="22"/>
        </w:rPr>
        <w:t xml:space="preserve">The purpose of this </w:t>
      </w:r>
      <w:r w:rsidR="00783042" w:rsidRPr="009B081F">
        <w:rPr>
          <w:sz w:val="22"/>
          <w:szCs w:val="22"/>
        </w:rPr>
        <w:t>Disallowable Legislative Instrument</w:t>
      </w:r>
      <w:r w:rsidRPr="009B081F">
        <w:rPr>
          <w:sz w:val="22"/>
          <w:szCs w:val="22"/>
        </w:rPr>
        <w:t xml:space="preserve">, made under paragraph 98B(1)(a) of the </w:t>
      </w:r>
      <w:r w:rsidRPr="009B081F">
        <w:rPr>
          <w:i/>
          <w:sz w:val="22"/>
          <w:szCs w:val="22"/>
        </w:rPr>
        <w:t>National Health Act 1953</w:t>
      </w:r>
      <w:r w:rsidRPr="009B081F">
        <w:rPr>
          <w:sz w:val="22"/>
          <w:szCs w:val="22"/>
        </w:rPr>
        <w:t xml:space="preserve"> (the Act), is to amend the</w:t>
      </w:r>
      <w:r w:rsidRPr="009B081F">
        <w:rPr>
          <w:i/>
          <w:sz w:val="22"/>
          <w:szCs w:val="22"/>
        </w:rPr>
        <w:t xml:space="preserve"> </w:t>
      </w:r>
      <w:r w:rsidRPr="009B081F">
        <w:rPr>
          <w:bCs/>
          <w:i/>
          <w:iCs/>
          <w:sz w:val="22"/>
          <w:szCs w:val="22"/>
        </w:rPr>
        <w:t>Commonwealth price (Pharmaceutical benefits supplied by approved pharmacists) Determination 2020</w:t>
      </w:r>
      <w:r w:rsidRPr="009B081F">
        <w:rPr>
          <w:sz w:val="22"/>
          <w:szCs w:val="22"/>
        </w:rPr>
        <w:t xml:space="preserve">. This legislative instrument gives effect to increases from 1 July 2021 to the Tier 1 Administration, </w:t>
      </w:r>
      <w:r w:rsidR="007B6CE6" w:rsidRPr="009B081F">
        <w:rPr>
          <w:sz w:val="22"/>
          <w:szCs w:val="22"/>
        </w:rPr>
        <w:t>H</w:t>
      </w:r>
      <w:r w:rsidRPr="009B081F">
        <w:rPr>
          <w:sz w:val="22"/>
          <w:szCs w:val="22"/>
        </w:rPr>
        <w:t>andling and Infrastructure fee</w:t>
      </w:r>
      <w:r w:rsidR="007B6CE6" w:rsidRPr="009B081F">
        <w:rPr>
          <w:sz w:val="22"/>
          <w:szCs w:val="22"/>
        </w:rPr>
        <w:t xml:space="preserve"> (Tier 1 AHI fee), the Dispensing fee for Ready Prepared Pharmaceutical Benefits, the Dispensing fee for Extemporaneously Prepared Pharmaceutical Benefits, and the Dangerous Drug fee as components </w:t>
      </w:r>
      <w:r w:rsidRPr="009B081F">
        <w:rPr>
          <w:sz w:val="22"/>
          <w:szCs w:val="22"/>
        </w:rPr>
        <w:t>of the Commonwealth price paid to approved pharmacists for the supply of pharmaceutical benefits.</w:t>
      </w:r>
    </w:p>
    <w:p w14:paraId="676EB672" w14:textId="46D099BB" w:rsidR="00DF2414" w:rsidRPr="009B081F" w:rsidRDefault="00DF2414" w:rsidP="00DF2414">
      <w:pPr>
        <w:spacing w:before="120" w:after="120"/>
        <w:rPr>
          <w:sz w:val="22"/>
          <w:szCs w:val="22"/>
        </w:rPr>
      </w:pPr>
      <w:r w:rsidRPr="009B081F">
        <w:rPr>
          <w:sz w:val="22"/>
          <w:szCs w:val="22"/>
          <w:lang w:val="en-GB"/>
        </w:rPr>
        <w:t xml:space="preserve">The </w:t>
      </w:r>
      <w:r w:rsidR="00EF71A0" w:rsidRPr="009B081F">
        <w:rPr>
          <w:sz w:val="22"/>
          <w:szCs w:val="22"/>
          <w:lang w:val="en-GB"/>
        </w:rPr>
        <w:t xml:space="preserve">Pharmaceutical Benefits Remuneration </w:t>
      </w:r>
      <w:r w:rsidRPr="009B081F">
        <w:rPr>
          <w:sz w:val="22"/>
          <w:szCs w:val="22"/>
          <w:lang w:val="en-GB"/>
        </w:rPr>
        <w:t>Tribunal</w:t>
      </w:r>
      <w:r w:rsidR="00EF71A0" w:rsidRPr="009B081F">
        <w:rPr>
          <w:sz w:val="22"/>
          <w:szCs w:val="22"/>
          <w:lang w:val="en-GB"/>
        </w:rPr>
        <w:t xml:space="preserve"> (the Tribunal)</w:t>
      </w:r>
      <w:r w:rsidRPr="009B081F">
        <w:rPr>
          <w:sz w:val="22"/>
          <w:szCs w:val="22"/>
          <w:lang w:val="en-GB"/>
        </w:rPr>
        <w:t xml:space="preserve"> is an independent statutory body established under section 98A of the Act. The main functions of the Tribunal are to make a determination to give effect to the terms of an </w:t>
      </w:r>
      <w:r w:rsidRPr="009B081F">
        <w:rPr>
          <w:sz w:val="22"/>
          <w:szCs w:val="22"/>
        </w:rPr>
        <w:t>agreement between the Commonwealth and the Pharmacy Guild of Australia for the purposes of subsection 98BAA(1) of the Act, as currently applies under the Seventh Community Pharmacy Agreement.</w:t>
      </w:r>
    </w:p>
    <w:p w14:paraId="11B6F920" w14:textId="65FF133D" w:rsidR="007B6CE6" w:rsidRPr="009B081F" w:rsidRDefault="007B6CE6" w:rsidP="00CF7E18">
      <w:pPr>
        <w:shd w:val="clear" w:color="auto" w:fill="FFFFFF"/>
        <w:spacing w:before="120" w:after="120"/>
        <w:rPr>
          <w:sz w:val="22"/>
          <w:szCs w:val="22"/>
        </w:rPr>
      </w:pPr>
      <w:r w:rsidRPr="009B081F">
        <w:rPr>
          <w:sz w:val="22"/>
          <w:szCs w:val="22"/>
        </w:rPr>
        <w:t xml:space="preserve">This </w:t>
      </w:r>
      <w:r w:rsidR="00E61C17" w:rsidRPr="009B081F">
        <w:rPr>
          <w:sz w:val="22"/>
          <w:szCs w:val="22"/>
        </w:rPr>
        <w:t>Disallowable L</w:t>
      </w:r>
      <w:r w:rsidRPr="009B081F">
        <w:rPr>
          <w:sz w:val="22"/>
          <w:szCs w:val="22"/>
        </w:rPr>
        <w:t xml:space="preserve">egislative </w:t>
      </w:r>
      <w:r w:rsidR="00E61C17" w:rsidRPr="009B081F">
        <w:rPr>
          <w:sz w:val="22"/>
          <w:szCs w:val="22"/>
        </w:rPr>
        <w:t>I</w:t>
      </w:r>
      <w:r w:rsidRPr="009B081F">
        <w:rPr>
          <w:sz w:val="22"/>
          <w:szCs w:val="22"/>
        </w:rPr>
        <w:t xml:space="preserve">nstrument amends, with effect from 1 July 2021, the Tier 1 AHI fee from $4.28 to </w:t>
      </w:r>
      <w:r w:rsidRPr="009B081F">
        <w:rPr>
          <w:b/>
          <w:bCs/>
          <w:sz w:val="22"/>
          <w:szCs w:val="22"/>
        </w:rPr>
        <w:t>$4.30</w:t>
      </w:r>
      <w:r w:rsidRPr="009B081F">
        <w:rPr>
          <w:sz w:val="22"/>
          <w:szCs w:val="22"/>
        </w:rPr>
        <w:t>, the Dispensing fee for Ready Prepared Pharmaceutical Benefits</w:t>
      </w:r>
      <w:r w:rsidRPr="009B081F" w:rsidDel="007B6CE6">
        <w:rPr>
          <w:sz w:val="22"/>
          <w:szCs w:val="22"/>
        </w:rPr>
        <w:t xml:space="preserve"> </w:t>
      </w:r>
      <w:r w:rsidRPr="009B081F">
        <w:rPr>
          <w:sz w:val="22"/>
          <w:szCs w:val="22"/>
        </w:rPr>
        <w:t xml:space="preserve">from $7.74 to </w:t>
      </w:r>
      <w:r w:rsidRPr="009B081F">
        <w:rPr>
          <w:b/>
          <w:bCs/>
          <w:sz w:val="22"/>
          <w:szCs w:val="22"/>
        </w:rPr>
        <w:t>$7.78</w:t>
      </w:r>
      <w:r w:rsidRPr="009B081F">
        <w:rPr>
          <w:bCs/>
          <w:sz w:val="22"/>
          <w:szCs w:val="22"/>
        </w:rPr>
        <w:t xml:space="preserve">, </w:t>
      </w:r>
      <w:r w:rsidRPr="009B081F">
        <w:rPr>
          <w:sz w:val="22"/>
          <w:szCs w:val="22"/>
        </w:rPr>
        <w:t xml:space="preserve">the Dispensing fee for Extemporaneously Prepared Pharmaceutical Benefits from $9.78 to </w:t>
      </w:r>
      <w:r w:rsidRPr="009B081F">
        <w:rPr>
          <w:b/>
          <w:bCs/>
          <w:sz w:val="22"/>
          <w:szCs w:val="22"/>
        </w:rPr>
        <w:t>$9.82</w:t>
      </w:r>
      <w:r w:rsidRPr="009B081F">
        <w:rPr>
          <w:sz w:val="22"/>
          <w:szCs w:val="22"/>
        </w:rPr>
        <w:t xml:space="preserve"> and the Dangerous Drug fee from $4.80 to </w:t>
      </w:r>
      <w:r w:rsidRPr="009B081F">
        <w:rPr>
          <w:b/>
          <w:bCs/>
          <w:sz w:val="22"/>
          <w:szCs w:val="22"/>
        </w:rPr>
        <w:t>$4.82</w:t>
      </w:r>
      <w:r w:rsidRPr="009B081F">
        <w:rPr>
          <w:sz w:val="22"/>
          <w:szCs w:val="22"/>
        </w:rPr>
        <w:t>.</w:t>
      </w:r>
    </w:p>
    <w:p w14:paraId="5C5CCAB7" w14:textId="77777777" w:rsidR="0054689F" w:rsidRPr="009B081F" w:rsidRDefault="0054689F" w:rsidP="0054689F">
      <w:pPr>
        <w:shd w:val="clear" w:color="auto" w:fill="FFFFFF"/>
        <w:spacing w:before="120" w:after="120"/>
        <w:rPr>
          <w:sz w:val="22"/>
          <w:szCs w:val="22"/>
          <w:lang w:val="en-US"/>
        </w:rPr>
      </w:pPr>
      <w:r w:rsidRPr="009B081F">
        <w:rPr>
          <w:b/>
          <w:bCs/>
          <w:sz w:val="22"/>
          <w:szCs w:val="22"/>
        </w:rPr>
        <w:t>Human rights implications</w:t>
      </w:r>
    </w:p>
    <w:p w14:paraId="0CABDFB5" w14:textId="308E305B" w:rsidR="00C44AD6" w:rsidRPr="009B081F" w:rsidRDefault="00C44AD6" w:rsidP="00C44AD6">
      <w:pPr>
        <w:spacing w:before="180" w:after="180"/>
        <w:rPr>
          <w:sz w:val="22"/>
          <w:szCs w:val="22"/>
        </w:rPr>
      </w:pPr>
      <w:r w:rsidRPr="009B081F">
        <w:rPr>
          <w:sz w:val="22"/>
          <w:szCs w:val="22"/>
        </w:rPr>
        <w:t xml:space="preserve">This </w:t>
      </w:r>
      <w:r w:rsidR="00E61C17" w:rsidRPr="009B081F">
        <w:rPr>
          <w:sz w:val="22"/>
          <w:szCs w:val="22"/>
        </w:rPr>
        <w:t>Disallowable Legislative I</w:t>
      </w:r>
      <w:r w:rsidRPr="009B081F">
        <w:rPr>
          <w:sz w:val="22"/>
          <w:szCs w:val="22"/>
        </w:rPr>
        <w:t>nstrument engages Articles 2, 7 and 12 of the International Covenant on Economic, Social and Cultural Rights (ICESCR). The legislative instrument assists with the provision favourable conditions of work to ensure remuneration for workers with fair wages. In addition it also assists in the progressive realisation by all appropriate means of the right of everyone to the enjoyment of the highest attainable standard of physical and mental health.</w:t>
      </w:r>
    </w:p>
    <w:p w14:paraId="1CAA821F" w14:textId="77777777" w:rsidR="00C44AD6" w:rsidRPr="009B081F" w:rsidRDefault="00C44AD6" w:rsidP="00C44AD6">
      <w:pPr>
        <w:spacing w:before="180" w:after="180"/>
        <w:rPr>
          <w:sz w:val="22"/>
          <w:szCs w:val="22"/>
        </w:rPr>
      </w:pPr>
      <w:r w:rsidRPr="009B081F">
        <w:rPr>
          <w:sz w:val="22"/>
          <w:szCs w:val="22"/>
        </w:rPr>
        <w:t>The Pharmaceutical Benefits Scheme (PBS) is a benefit scheme which assists with providing subsidised access for people to medicines. This is a positive step towards attaining the highest standard of health for all Australians. Efficient operational arrangements for the PBS support effective administration of the scheme.</w:t>
      </w:r>
    </w:p>
    <w:p w14:paraId="7F7BF30F" w14:textId="77777777" w:rsidR="007B6CE6" w:rsidRPr="009B081F" w:rsidRDefault="007B6CE6" w:rsidP="007B6CE6">
      <w:pPr>
        <w:spacing w:before="120" w:after="120"/>
        <w:rPr>
          <w:b/>
          <w:sz w:val="22"/>
          <w:szCs w:val="22"/>
        </w:rPr>
      </w:pPr>
      <w:r w:rsidRPr="009B081F">
        <w:rPr>
          <w:b/>
          <w:sz w:val="22"/>
          <w:szCs w:val="22"/>
        </w:rPr>
        <w:t xml:space="preserve">Conclusion </w:t>
      </w:r>
    </w:p>
    <w:p w14:paraId="55CE26DC" w14:textId="137AE599" w:rsidR="00783042" w:rsidRPr="009B081F" w:rsidRDefault="007B6CE6" w:rsidP="007B6CE6">
      <w:pPr>
        <w:spacing w:before="120" w:after="120"/>
        <w:rPr>
          <w:sz w:val="22"/>
          <w:szCs w:val="22"/>
        </w:rPr>
      </w:pPr>
      <w:r w:rsidRPr="009B081F">
        <w:rPr>
          <w:sz w:val="22"/>
          <w:szCs w:val="22"/>
        </w:rPr>
        <w:t xml:space="preserve">This </w:t>
      </w:r>
      <w:r w:rsidR="00783042" w:rsidRPr="009B081F">
        <w:rPr>
          <w:sz w:val="22"/>
          <w:szCs w:val="22"/>
        </w:rPr>
        <w:t>Disallowable Legislative Instrument</w:t>
      </w:r>
      <w:r w:rsidRPr="009B081F">
        <w:rPr>
          <w:sz w:val="22"/>
          <w:szCs w:val="22"/>
        </w:rPr>
        <w:t xml:space="preserve"> is compatible with human rights because it </w:t>
      </w:r>
      <w:r w:rsidR="00783042" w:rsidRPr="009B081F">
        <w:rPr>
          <w:sz w:val="22"/>
          <w:szCs w:val="22"/>
        </w:rPr>
        <w:t>does not raise any human rights issues</w:t>
      </w:r>
      <w:r w:rsidR="00E61C17" w:rsidRPr="009B081F">
        <w:rPr>
          <w:sz w:val="22"/>
          <w:szCs w:val="22"/>
        </w:rPr>
        <w:t>.</w:t>
      </w:r>
    </w:p>
    <w:p w14:paraId="224A8957" w14:textId="2B7D0A1A" w:rsidR="00E61C17" w:rsidRPr="009B081F" w:rsidRDefault="00E61C17" w:rsidP="00C44AD6">
      <w:pPr>
        <w:spacing w:before="120" w:after="120"/>
        <w:jc w:val="center"/>
        <w:rPr>
          <w:sz w:val="22"/>
          <w:szCs w:val="22"/>
        </w:rPr>
      </w:pPr>
    </w:p>
    <w:p w14:paraId="1C3DF559" w14:textId="64761D2F" w:rsidR="007B6CE6" w:rsidRPr="009B081F" w:rsidRDefault="007B6CE6" w:rsidP="00C44AD6">
      <w:pPr>
        <w:spacing w:before="120" w:after="120"/>
        <w:jc w:val="center"/>
      </w:pPr>
      <w:r w:rsidRPr="009B081F">
        <w:rPr>
          <w:b/>
          <w:bCs/>
        </w:rPr>
        <w:t>Abbeygail Beaumont</w:t>
      </w:r>
    </w:p>
    <w:p w14:paraId="0FFA0A70" w14:textId="77777777" w:rsidR="007B6CE6" w:rsidRPr="009B081F" w:rsidRDefault="007B6CE6" w:rsidP="007B6CE6">
      <w:pPr>
        <w:shd w:val="clear" w:color="auto" w:fill="FFFFFF"/>
        <w:spacing w:after="120"/>
        <w:contextualSpacing/>
        <w:jc w:val="center"/>
        <w:rPr>
          <w:b/>
          <w:bCs/>
        </w:rPr>
      </w:pPr>
      <w:r w:rsidRPr="009B081F">
        <w:rPr>
          <w:b/>
          <w:bCs/>
        </w:rPr>
        <w:t>Chairperson</w:t>
      </w:r>
    </w:p>
    <w:p w14:paraId="066F1986" w14:textId="77777777" w:rsidR="007B6CE6" w:rsidRPr="004C5FAF" w:rsidRDefault="007B6CE6" w:rsidP="007B6CE6">
      <w:pPr>
        <w:spacing w:after="120"/>
        <w:contextualSpacing/>
        <w:jc w:val="center"/>
        <w:rPr>
          <w:b/>
        </w:rPr>
      </w:pPr>
      <w:r w:rsidRPr="009B081F">
        <w:rPr>
          <w:b/>
          <w:bCs/>
        </w:rPr>
        <w:t>Pharmaceutical Benefits Remuneration Tribunal</w:t>
      </w:r>
      <w:bookmarkStart w:id="0" w:name="_GoBack"/>
      <w:bookmarkEnd w:id="0"/>
    </w:p>
    <w:p w14:paraId="42324B00" w14:textId="758A3721" w:rsidR="00DE07DC" w:rsidRPr="004C5FAF" w:rsidRDefault="00DE07DC" w:rsidP="00CF7E18">
      <w:pPr>
        <w:autoSpaceDE w:val="0"/>
        <w:autoSpaceDN w:val="0"/>
        <w:adjustRightInd w:val="0"/>
        <w:rPr>
          <w:b/>
        </w:rPr>
      </w:pPr>
    </w:p>
    <w:sectPr w:rsidR="00DE07DC" w:rsidRPr="004C5FAF" w:rsidSect="00CF7E18">
      <w:headerReference w:type="default" r:id="rId8"/>
      <w:footerReference w:type="even" r:id="rId9"/>
      <w:footerReference w:type="default" r:id="rId10"/>
      <w:pgSz w:w="11906" w:h="16838" w:code="9"/>
      <w:pgMar w:top="1418" w:right="1416" w:bottom="1276" w:left="1418" w:header="705"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5FCA" w14:textId="77777777" w:rsidR="00E709BA" w:rsidRDefault="00E709BA">
      <w:r>
        <w:separator/>
      </w:r>
    </w:p>
  </w:endnote>
  <w:endnote w:type="continuationSeparator" w:id="0">
    <w:p w14:paraId="023AD2D6" w14:textId="77777777" w:rsidR="00E709BA" w:rsidRDefault="00E709BA">
      <w:r>
        <w:continuationSeparator/>
      </w:r>
    </w:p>
  </w:endnote>
  <w:endnote w:type="continuationNotice" w:id="1">
    <w:p w14:paraId="78A7C1D8" w14:textId="77777777" w:rsidR="00E709BA" w:rsidRDefault="00E70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2D57" w14:textId="77777777" w:rsidR="007566DB" w:rsidRDefault="007566DB">
    <w:pPr>
      <w:pStyle w:val="Footer"/>
    </w:pPr>
  </w:p>
  <w:p w14:paraId="0A87400B" w14:textId="77777777" w:rsidR="007566DB" w:rsidRPr="007566DB" w:rsidRDefault="007566DB">
    <w:pPr>
      <w:pStyle w:val="Footer"/>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838F" w14:textId="494CDF01" w:rsidR="00273909" w:rsidRPr="00C95334" w:rsidRDefault="00273909" w:rsidP="00273909">
    <w:pPr>
      <w:pStyle w:val="Footer"/>
      <w:jc w:val="center"/>
      <w:rPr>
        <w:i/>
        <w:sz w:val="22"/>
        <w:szCs w:val="22"/>
      </w:rPr>
    </w:pPr>
    <w:r w:rsidRPr="00C95334">
      <w:rPr>
        <w:i/>
        <w:sz w:val="22"/>
        <w:szCs w:val="22"/>
      </w:rPr>
      <w:t>Explanatory Statement to the</w:t>
    </w:r>
    <w:r w:rsidRPr="00C95334">
      <w:rPr>
        <w:sz w:val="22"/>
        <w:szCs w:val="22"/>
      </w:rPr>
      <w:t xml:space="preserve"> </w:t>
    </w:r>
    <w:r w:rsidR="00C95334" w:rsidRPr="00C95334">
      <w:rPr>
        <w:bCs/>
        <w:i/>
        <w:sz w:val="22"/>
        <w:szCs w:val="22"/>
      </w:rPr>
      <w:t>Commonwealth price (Pharmaceutical benefits supplied by approved pharmacists) Amendment Determination 202</w:t>
    </w:r>
    <w:r w:rsidR="00B40BFE">
      <w:rPr>
        <w:bCs/>
        <w:i/>
        <w:sz w:val="22"/>
        <w:szCs w:val="22"/>
      </w:rPr>
      <w:t>1</w:t>
    </w:r>
    <w:r w:rsidR="00C95334" w:rsidRPr="00C95334">
      <w:rPr>
        <w:bCs/>
        <w:i/>
        <w:sz w:val="22"/>
        <w:szCs w:val="22"/>
      </w:rPr>
      <w:t xml:space="preserve"> (PB </w:t>
    </w:r>
    <w:r w:rsidR="00D41152">
      <w:rPr>
        <w:bCs/>
        <w:i/>
        <w:sz w:val="22"/>
        <w:szCs w:val="22"/>
      </w:rPr>
      <w:t>5</w:t>
    </w:r>
    <w:r w:rsidR="00EE328F">
      <w:rPr>
        <w:bCs/>
        <w:i/>
        <w:sz w:val="22"/>
        <w:szCs w:val="22"/>
      </w:rPr>
      <w:t>7</w:t>
    </w:r>
    <w:r w:rsidR="00D41152" w:rsidRPr="00C95334">
      <w:rPr>
        <w:bCs/>
        <w:i/>
        <w:sz w:val="22"/>
        <w:szCs w:val="22"/>
      </w:rPr>
      <w:t xml:space="preserve"> </w:t>
    </w:r>
    <w:r w:rsidR="00C95334" w:rsidRPr="00C95334">
      <w:rPr>
        <w:bCs/>
        <w:i/>
        <w:sz w:val="22"/>
        <w:szCs w:val="22"/>
      </w:rPr>
      <w:t>of 202</w:t>
    </w:r>
    <w:r w:rsidR="00A10AE3">
      <w:rPr>
        <w:bCs/>
        <w:i/>
        <w:sz w:val="22"/>
        <w:szCs w:val="22"/>
      </w:rPr>
      <w:t>1</w:t>
    </w:r>
    <w:r w:rsidR="00C95334" w:rsidRPr="00C95334">
      <w:rPr>
        <w:bCs/>
        <w:i/>
        <w:sz w:val="22"/>
        <w:szCs w:val="22"/>
      </w:rPr>
      <w:t>)</w:t>
    </w:r>
  </w:p>
  <w:p w14:paraId="5776FE8F" w14:textId="77777777" w:rsidR="0006637E" w:rsidRDefault="0006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467A" w14:textId="77777777" w:rsidR="00E709BA" w:rsidRDefault="00E709BA">
      <w:r>
        <w:separator/>
      </w:r>
    </w:p>
  </w:footnote>
  <w:footnote w:type="continuationSeparator" w:id="0">
    <w:p w14:paraId="47D6D25A" w14:textId="77777777" w:rsidR="00E709BA" w:rsidRDefault="00E709BA">
      <w:r>
        <w:continuationSeparator/>
      </w:r>
    </w:p>
  </w:footnote>
  <w:footnote w:type="continuationNotice" w:id="1">
    <w:p w14:paraId="0ACF7D95" w14:textId="77777777" w:rsidR="00E709BA" w:rsidRDefault="00E709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990F" w14:textId="01A17028" w:rsidR="0006637E" w:rsidRDefault="0006637E" w:rsidP="003E2E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81F">
      <w:rPr>
        <w:rStyle w:val="PageNumber"/>
        <w:noProof/>
      </w:rPr>
      <w:t>4</w:t>
    </w:r>
    <w:r>
      <w:rPr>
        <w:rStyle w:val="PageNumber"/>
      </w:rPr>
      <w:fldChar w:fldCharType="end"/>
    </w:r>
  </w:p>
  <w:p w14:paraId="1AB6B901" w14:textId="77777777" w:rsidR="0006637E" w:rsidRDefault="0006637E" w:rsidP="00DE07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A7720"/>
    <w:multiLevelType w:val="hybridMultilevel"/>
    <w:tmpl w:val="E3189ED0"/>
    <w:lvl w:ilvl="0" w:tplc="21BC89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57"/>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1D"/>
    <w:rsid w:val="00001695"/>
    <w:rsid w:val="0000399D"/>
    <w:rsid w:val="00004FA5"/>
    <w:rsid w:val="00007F3A"/>
    <w:rsid w:val="0001228A"/>
    <w:rsid w:val="00015530"/>
    <w:rsid w:val="00017369"/>
    <w:rsid w:val="00023138"/>
    <w:rsid w:val="000245F0"/>
    <w:rsid w:val="00031F80"/>
    <w:rsid w:val="00034337"/>
    <w:rsid w:val="00036BEF"/>
    <w:rsid w:val="00041759"/>
    <w:rsid w:val="00050665"/>
    <w:rsid w:val="00051F45"/>
    <w:rsid w:val="000655EC"/>
    <w:rsid w:val="0006637E"/>
    <w:rsid w:val="00071500"/>
    <w:rsid w:val="00072662"/>
    <w:rsid w:val="00076C9A"/>
    <w:rsid w:val="000917FE"/>
    <w:rsid w:val="00095684"/>
    <w:rsid w:val="0009596A"/>
    <w:rsid w:val="0009618A"/>
    <w:rsid w:val="0009686C"/>
    <w:rsid w:val="000A24B6"/>
    <w:rsid w:val="000B2D40"/>
    <w:rsid w:val="000B5490"/>
    <w:rsid w:val="000B5D57"/>
    <w:rsid w:val="000B7A5F"/>
    <w:rsid w:val="000C2AEA"/>
    <w:rsid w:val="000C301F"/>
    <w:rsid w:val="000C7E41"/>
    <w:rsid w:val="000D0429"/>
    <w:rsid w:val="000D3120"/>
    <w:rsid w:val="000D34B6"/>
    <w:rsid w:val="000E199B"/>
    <w:rsid w:val="000E2D14"/>
    <w:rsid w:val="000E4311"/>
    <w:rsid w:val="000F3914"/>
    <w:rsid w:val="000F69DF"/>
    <w:rsid w:val="00100CE4"/>
    <w:rsid w:val="00104BCB"/>
    <w:rsid w:val="001061C5"/>
    <w:rsid w:val="001070FF"/>
    <w:rsid w:val="0011238F"/>
    <w:rsid w:val="0011403B"/>
    <w:rsid w:val="00114E65"/>
    <w:rsid w:val="001163AA"/>
    <w:rsid w:val="00117ECC"/>
    <w:rsid w:val="00121EBC"/>
    <w:rsid w:val="001269B1"/>
    <w:rsid w:val="00130D89"/>
    <w:rsid w:val="00132BFA"/>
    <w:rsid w:val="00135BA4"/>
    <w:rsid w:val="0014221E"/>
    <w:rsid w:val="001554E3"/>
    <w:rsid w:val="001650EF"/>
    <w:rsid w:val="00165BD3"/>
    <w:rsid w:val="0017268A"/>
    <w:rsid w:val="00176898"/>
    <w:rsid w:val="00176CEA"/>
    <w:rsid w:val="00177DF5"/>
    <w:rsid w:val="001838BF"/>
    <w:rsid w:val="001839DA"/>
    <w:rsid w:val="001945E0"/>
    <w:rsid w:val="00194ACB"/>
    <w:rsid w:val="00195299"/>
    <w:rsid w:val="00196AE5"/>
    <w:rsid w:val="00196F0F"/>
    <w:rsid w:val="001A24B5"/>
    <w:rsid w:val="001A4984"/>
    <w:rsid w:val="001B247A"/>
    <w:rsid w:val="001B3567"/>
    <w:rsid w:val="001B38EC"/>
    <w:rsid w:val="001B542A"/>
    <w:rsid w:val="001B6547"/>
    <w:rsid w:val="001C0F19"/>
    <w:rsid w:val="001C386A"/>
    <w:rsid w:val="001D1347"/>
    <w:rsid w:val="001D2F2D"/>
    <w:rsid w:val="001E01DD"/>
    <w:rsid w:val="001E35BF"/>
    <w:rsid w:val="001E4B09"/>
    <w:rsid w:val="001E4D94"/>
    <w:rsid w:val="001E6546"/>
    <w:rsid w:val="001E68AF"/>
    <w:rsid w:val="001F4409"/>
    <w:rsid w:val="001F5F67"/>
    <w:rsid w:val="001F6553"/>
    <w:rsid w:val="002071D6"/>
    <w:rsid w:val="00211E75"/>
    <w:rsid w:val="0021411B"/>
    <w:rsid w:val="002152EA"/>
    <w:rsid w:val="002166D6"/>
    <w:rsid w:val="00216E96"/>
    <w:rsid w:val="002176C3"/>
    <w:rsid w:val="00220B22"/>
    <w:rsid w:val="00221598"/>
    <w:rsid w:val="00221E1D"/>
    <w:rsid w:val="00222223"/>
    <w:rsid w:val="002307B1"/>
    <w:rsid w:val="00237A26"/>
    <w:rsid w:val="00237B04"/>
    <w:rsid w:val="00252A3F"/>
    <w:rsid w:val="0026333C"/>
    <w:rsid w:val="00264CC5"/>
    <w:rsid w:val="00265925"/>
    <w:rsid w:val="002660C9"/>
    <w:rsid w:val="00267AF6"/>
    <w:rsid w:val="00271343"/>
    <w:rsid w:val="00273600"/>
    <w:rsid w:val="00273909"/>
    <w:rsid w:val="002772BE"/>
    <w:rsid w:val="0027766A"/>
    <w:rsid w:val="0028106F"/>
    <w:rsid w:val="002968A2"/>
    <w:rsid w:val="002A1B36"/>
    <w:rsid w:val="002B3FB7"/>
    <w:rsid w:val="002B544F"/>
    <w:rsid w:val="002C3DA2"/>
    <w:rsid w:val="002C6B8D"/>
    <w:rsid w:val="002D2719"/>
    <w:rsid w:val="002D6938"/>
    <w:rsid w:val="002D6EA7"/>
    <w:rsid w:val="002E243A"/>
    <w:rsid w:val="002E58F8"/>
    <w:rsid w:val="002E6F89"/>
    <w:rsid w:val="002E7930"/>
    <w:rsid w:val="002F23ED"/>
    <w:rsid w:val="00305B13"/>
    <w:rsid w:val="00307C68"/>
    <w:rsid w:val="00313F64"/>
    <w:rsid w:val="003146E4"/>
    <w:rsid w:val="00316176"/>
    <w:rsid w:val="00321E0C"/>
    <w:rsid w:val="00333DB4"/>
    <w:rsid w:val="00333FCE"/>
    <w:rsid w:val="003454FB"/>
    <w:rsid w:val="00345AB4"/>
    <w:rsid w:val="00347325"/>
    <w:rsid w:val="00361D5B"/>
    <w:rsid w:val="003637DB"/>
    <w:rsid w:val="00363C83"/>
    <w:rsid w:val="00366DDC"/>
    <w:rsid w:val="00367FCA"/>
    <w:rsid w:val="0037564C"/>
    <w:rsid w:val="003861F5"/>
    <w:rsid w:val="00386F9E"/>
    <w:rsid w:val="00392BC0"/>
    <w:rsid w:val="003936F0"/>
    <w:rsid w:val="00394672"/>
    <w:rsid w:val="00397A92"/>
    <w:rsid w:val="003A282C"/>
    <w:rsid w:val="003A5F5B"/>
    <w:rsid w:val="003A6EDD"/>
    <w:rsid w:val="003A7AD8"/>
    <w:rsid w:val="003B7A24"/>
    <w:rsid w:val="003D23A2"/>
    <w:rsid w:val="003E11BC"/>
    <w:rsid w:val="003E2ECA"/>
    <w:rsid w:val="003E547E"/>
    <w:rsid w:val="00402F30"/>
    <w:rsid w:val="00403D23"/>
    <w:rsid w:val="00403D31"/>
    <w:rsid w:val="00407F5B"/>
    <w:rsid w:val="00413151"/>
    <w:rsid w:val="00414111"/>
    <w:rsid w:val="00417100"/>
    <w:rsid w:val="004264CF"/>
    <w:rsid w:val="0042658F"/>
    <w:rsid w:val="00427515"/>
    <w:rsid w:val="00431D0D"/>
    <w:rsid w:val="004373D2"/>
    <w:rsid w:val="004417E7"/>
    <w:rsid w:val="0044353C"/>
    <w:rsid w:val="0044626C"/>
    <w:rsid w:val="004467D9"/>
    <w:rsid w:val="00446B06"/>
    <w:rsid w:val="00447B01"/>
    <w:rsid w:val="00455B44"/>
    <w:rsid w:val="00463633"/>
    <w:rsid w:val="00464D3D"/>
    <w:rsid w:val="00472649"/>
    <w:rsid w:val="00472C06"/>
    <w:rsid w:val="004776DA"/>
    <w:rsid w:val="00477A8B"/>
    <w:rsid w:val="0048149E"/>
    <w:rsid w:val="004814E2"/>
    <w:rsid w:val="00482EC9"/>
    <w:rsid w:val="00484312"/>
    <w:rsid w:val="00485514"/>
    <w:rsid w:val="00487452"/>
    <w:rsid w:val="00487EFD"/>
    <w:rsid w:val="00494450"/>
    <w:rsid w:val="00496F8B"/>
    <w:rsid w:val="004A0B52"/>
    <w:rsid w:val="004A1662"/>
    <w:rsid w:val="004A3667"/>
    <w:rsid w:val="004B40D8"/>
    <w:rsid w:val="004B652E"/>
    <w:rsid w:val="004C0896"/>
    <w:rsid w:val="004C5FAF"/>
    <w:rsid w:val="004C7C30"/>
    <w:rsid w:val="004E0C58"/>
    <w:rsid w:val="004E1DAF"/>
    <w:rsid w:val="004F181F"/>
    <w:rsid w:val="004F7D27"/>
    <w:rsid w:val="00500022"/>
    <w:rsid w:val="00506C84"/>
    <w:rsid w:val="005134C1"/>
    <w:rsid w:val="005137C6"/>
    <w:rsid w:val="00515F9C"/>
    <w:rsid w:val="00517039"/>
    <w:rsid w:val="00517B77"/>
    <w:rsid w:val="00520624"/>
    <w:rsid w:val="00527938"/>
    <w:rsid w:val="00537B6D"/>
    <w:rsid w:val="00537D8B"/>
    <w:rsid w:val="00540241"/>
    <w:rsid w:val="00541364"/>
    <w:rsid w:val="005425AD"/>
    <w:rsid w:val="00544104"/>
    <w:rsid w:val="00545FC4"/>
    <w:rsid w:val="005462A9"/>
    <w:rsid w:val="0054689F"/>
    <w:rsid w:val="0054744B"/>
    <w:rsid w:val="00551BBA"/>
    <w:rsid w:val="00551C68"/>
    <w:rsid w:val="00552CD7"/>
    <w:rsid w:val="00557D42"/>
    <w:rsid w:val="00560C90"/>
    <w:rsid w:val="00565A0D"/>
    <w:rsid w:val="00566786"/>
    <w:rsid w:val="0056707C"/>
    <w:rsid w:val="00570912"/>
    <w:rsid w:val="00573406"/>
    <w:rsid w:val="005756EE"/>
    <w:rsid w:val="005773E4"/>
    <w:rsid w:val="0058073B"/>
    <w:rsid w:val="00583D8D"/>
    <w:rsid w:val="00587DE9"/>
    <w:rsid w:val="00591F0D"/>
    <w:rsid w:val="005929D1"/>
    <w:rsid w:val="0059765F"/>
    <w:rsid w:val="005B0FAE"/>
    <w:rsid w:val="005B2754"/>
    <w:rsid w:val="005C4B14"/>
    <w:rsid w:val="005C5F2D"/>
    <w:rsid w:val="005C683F"/>
    <w:rsid w:val="005C746B"/>
    <w:rsid w:val="005E1393"/>
    <w:rsid w:val="005E1425"/>
    <w:rsid w:val="005E2C65"/>
    <w:rsid w:val="005E4560"/>
    <w:rsid w:val="005E4C63"/>
    <w:rsid w:val="005E56E4"/>
    <w:rsid w:val="005F15A9"/>
    <w:rsid w:val="005F1F1B"/>
    <w:rsid w:val="005F2F66"/>
    <w:rsid w:val="005F4483"/>
    <w:rsid w:val="005F5308"/>
    <w:rsid w:val="00605060"/>
    <w:rsid w:val="00610D67"/>
    <w:rsid w:val="00612CDC"/>
    <w:rsid w:val="00612FC0"/>
    <w:rsid w:val="00613213"/>
    <w:rsid w:val="0062125A"/>
    <w:rsid w:val="00621731"/>
    <w:rsid w:val="00626149"/>
    <w:rsid w:val="0062743B"/>
    <w:rsid w:val="00633325"/>
    <w:rsid w:val="00635114"/>
    <w:rsid w:val="006400F2"/>
    <w:rsid w:val="006522AB"/>
    <w:rsid w:val="006532C6"/>
    <w:rsid w:val="006541DC"/>
    <w:rsid w:val="00654588"/>
    <w:rsid w:val="00655C04"/>
    <w:rsid w:val="00657B81"/>
    <w:rsid w:val="00666FE6"/>
    <w:rsid w:val="006722B7"/>
    <w:rsid w:val="006743DA"/>
    <w:rsid w:val="0068107D"/>
    <w:rsid w:val="00685B97"/>
    <w:rsid w:val="00686765"/>
    <w:rsid w:val="00691A6F"/>
    <w:rsid w:val="00692E69"/>
    <w:rsid w:val="00695101"/>
    <w:rsid w:val="006970DD"/>
    <w:rsid w:val="006A401A"/>
    <w:rsid w:val="006A78F4"/>
    <w:rsid w:val="006B41C1"/>
    <w:rsid w:val="006B5233"/>
    <w:rsid w:val="006C2A9F"/>
    <w:rsid w:val="006C347B"/>
    <w:rsid w:val="006C632D"/>
    <w:rsid w:val="006D70C9"/>
    <w:rsid w:val="006D798C"/>
    <w:rsid w:val="006E1BEE"/>
    <w:rsid w:val="006E53BE"/>
    <w:rsid w:val="006E6AB7"/>
    <w:rsid w:val="006F314B"/>
    <w:rsid w:val="00706E7A"/>
    <w:rsid w:val="00712FAD"/>
    <w:rsid w:val="007152BC"/>
    <w:rsid w:val="00716DD5"/>
    <w:rsid w:val="007241C5"/>
    <w:rsid w:val="007246DA"/>
    <w:rsid w:val="00725D79"/>
    <w:rsid w:val="007265D4"/>
    <w:rsid w:val="00735F2E"/>
    <w:rsid w:val="00740527"/>
    <w:rsid w:val="00741165"/>
    <w:rsid w:val="00741506"/>
    <w:rsid w:val="00741CBA"/>
    <w:rsid w:val="007424D6"/>
    <w:rsid w:val="00745D43"/>
    <w:rsid w:val="007466AA"/>
    <w:rsid w:val="00751E91"/>
    <w:rsid w:val="0075404F"/>
    <w:rsid w:val="007545D0"/>
    <w:rsid w:val="007566DB"/>
    <w:rsid w:val="007675C5"/>
    <w:rsid w:val="007730B5"/>
    <w:rsid w:val="00775D9B"/>
    <w:rsid w:val="00780A39"/>
    <w:rsid w:val="007813E4"/>
    <w:rsid w:val="00783042"/>
    <w:rsid w:val="00784EB3"/>
    <w:rsid w:val="007A42D7"/>
    <w:rsid w:val="007A6AA7"/>
    <w:rsid w:val="007B0489"/>
    <w:rsid w:val="007B4F91"/>
    <w:rsid w:val="007B6CE6"/>
    <w:rsid w:val="007C0C91"/>
    <w:rsid w:val="007C6617"/>
    <w:rsid w:val="007D1408"/>
    <w:rsid w:val="007D5E62"/>
    <w:rsid w:val="007D62DA"/>
    <w:rsid w:val="007D6C5C"/>
    <w:rsid w:val="007D78FB"/>
    <w:rsid w:val="007E1256"/>
    <w:rsid w:val="007E1895"/>
    <w:rsid w:val="007E3185"/>
    <w:rsid w:val="00806EE8"/>
    <w:rsid w:val="0081445B"/>
    <w:rsid w:val="008154E4"/>
    <w:rsid w:val="0082034E"/>
    <w:rsid w:val="008264B4"/>
    <w:rsid w:val="00841CC0"/>
    <w:rsid w:val="00841DEC"/>
    <w:rsid w:val="00846843"/>
    <w:rsid w:val="00846A70"/>
    <w:rsid w:val="00847158"/>
    <w:rsid w:val="0084740D"/>
    <w:rsid w:val="0086186F"/>
    <w:rsid w:val="00870773"/>
    <w:rsid w:val="00871DF0"/>
    <w:rsid w:val="008831A0"/>
    <w:rsid w:val="00883C8E"/>
    <w:rsid w:val="008867C2"/>
    <w:rsid w:val="00887DD3"/>
    <w:rsid w:val="00893B6B"/>
    <w:rsid w:val="00895320"/>
    <w:rsid w:val="008966AB"/>
    <w:rsid w:val="0089694C"/>
    <w:rsid w:val="00897665"/>
    <w:rsid w:val="008B0D51"/>
    <w:rsid w:val="008B1BF4"/>
    <w:rsid w:val="008B3CBA"/>
    <w:rsid w:val="008B4716"/>
    <w:rsid w:val="008C062B"/>
    <w:rsid w:val="008C1993"/>
    <w:rsid w:val="008C36B6"/>
    <w:rsid w:val="008D4ACC"/>
    <w:rsid w:val="008E03BA"/>
    <w:rsid w:val="008E1150"/>
    <w:rsid w:val="008E16A6"/>
    <w:rsid w:val="008E219A"/>
    <w:rsid w:val="008E2E67"/>
    <w:rsid w:val="008E58E9"/>
    <w:rsid w:val="008E5FF3"/>
    <w:rsid w:val="00901815"/>
    <w:rsid w:val="009023CC"/>
    <w:rsid w:val="00906978"/>
    <w:rsid w:val="00913EF5"/>
    <w:rsid w:val="00915E2C"/>
    <w:rsid w:val="009170EA"/>
    <w:rsid w:val="00920AE0"/>
    <w:rsid w:val="00921F7B"/>
    <w:rsid w:val="00925DEF"/>
    <w:rsid w:val="00927D31"/>
    <w:rsid w:val="0093158C"/>
    <w:rsid w:val="00934B2D"/>
    <w:rsid w:val="009451FF"/>
    <w:rsid w:val="009511EE"/>
    <w:rsid w:val="00955825"/>
    <w:rsid w:val="00966E7E"/>
    <w:rsid w:val="00970C0E"/>
    <w:rsid w:val="00973860"/>
    <w:rsid w:val="00976899"/>
    <w:rsid w:val="0098023F"/>
    <w:rsid w:val="0098073E"/>
    <w:rsid w:val="009835B2"/>
    <w:rsid w:val="009873BC"/>
    <w:rsid w:val="00993879"/>
    <w:rsid w:val="00994C88"/>
    <w:rsid w:val="009956E4"/>
    <w:rsid w:val="009959B7"/>
    <w:rsid w:val="009A1753"/>
    <w:rsid w:val="009A2053"/>
    <w:rsid w:val="009A7245"/>
    <w:rsid w:val="009B081F"/>
    <w:rsid w:val="009B1C10"/>
    <w:rsid w:val="009B41F2"/>
    <w:rsid w:val="009B523A"/>
    <w:rsid w:val="009B78D6"/>
    <w:rsid w:val="009B797C"/>
    <w:rsid w:val="009C0969"/>
    <w:rsid w:val="009C0BB0"/>
    <w:rsid w:val="009C4E14"/>
    <w:rsid w:val="009D69F9"/>
    <w:rsid w:val="009E0014"/>
    <w:rsid w:val="009E008C"/>
    <w:rsid w:val="009E375A"/>
    <w:rsid w:val="009E585F"/>
    <w:rsid w:val="009E7434"/>
    <w:rsid w:val="009F1E9F"/>
    <w:rsid w:val="009F6016"/>
    <w:rsid w:val="00A02AA6"/>
    <w:rsid w:val="00A05B13"/>
    <w:rsid w:val="00A10AE3"/>
    <w:rsid w:val="00A11DCE"/>
    <w:rsid w:val="00A121CC"/>
    <w:rsid w:val="00A136A0"/>
    <w:rsid w:val="00A20C38"/>
    <w:rsid w:val="00A20C79"/>
    <w:rsid w:val="00A22995"/>
    <w:rsid w:val="00A300FD"/>
    <w:rsid w:val="00A30BA2"/>
    <w:rsid w:val="00A36B92"/>
    <w:rsid w:val="00A43220"/>
    <w:rsid w:val="00A4580D"/>
    <w:rsid w:val="00A46540"/>
    <w:rsid w:val="00A4662E"/>
    <w:rsid w:val="00A46830"/>
    <w:rsid w:val="00A55F66"/>
    <w:rsid w:val="00A56A33"/>
    <w:rsid w:val="00A64534"/>
    <w:rsid w:val="00A66597"/>
    <w:rsid w:val="00A72A3A"/>
    <w:rsid w:val="00A72F5C"/>
    <w:rsid w:val="00A73FC9"/>
    <w:rsid w:val="00A75607"/>
    <w:rsid w:val="00A76145"/>
    <w:rsid w:val="00A76680"/>
    <w:rsid w:val="00A804BF"/>
    <w:rsid w:val="00A85D23"/>
    <w:rsid w:val="00A916F4"/>
    <w:rsid w:val="00AA15BD"/>
    <w:rsid w:val="00AA3801"/>
    <w:rsid w:val="00AA52A4"/>
    <w:rsid w:val="00AD1649"/>
    <w:rsid w:val="00AD5356"/>
    <w:rsid w:val="00AE7526"/>
    <w:rsid w:val="00AF25F7"/>
    <w:rsid w:val="00B04459"/>
    <w:rsid w:val="00B0778B"/>
    <w:rsid w:val="00B07FAD"/>
    <w:rsid w:val="00B10F45"/>
    <w:rsid w:val="00B11862"/>
    <w:rsid w:val="00B220F2"/>
    <w:rsid w:val="00B26C7C"/>
    <w:rsid w:val="00B27B27"/>
    <w:rsid w:val="00B27C6B"/>
    <w:rsid w:val="00B27FB3"/>
    <w:rsid w:val="00B357D3"/>
    <w:rsid w:val="00B36D39"/>
    <w:rsid w:val="00B40BFE"/>
    <w:rsid w:val="00B47168"/>
    <w:rsid w:val="00B567EA"/>
    <w:rsid w:val="00B66544"/>
    <w:rsid w:val="00B70554"/>
    <w:rsid w:val="00B756A5"/>
    <w:rsid w:val="00B7573B"/>
    <w:rsid w:val="00B76E79"/>
    <w:rsid w:val="00B80820"/>
    <w:rsid w:val="00B816AF"/>
    <w:rsid w:val="00B826EE"/>
    <w:rsid w:val="00B82AE4"/>
    <w:rsid w:val="00B83F5A"/>
    <w:rsid w:val="00B844BD"/>
    <w:rsid w:val="00B911BE"/>
    <w:rsid w:val="00B914DC"/>
    <w:rsid w:val="00BA2BAB"/>
    <w:rsid w:val="00BB0A3A"/>
    <w:rsid w:val="00BB0E04"/>
    <w:rsid w:val="00BB323E"/>
    <w:rsid w:val="00BB329D"/>
    <w:rsid w:val="00BC3B28"/>
    <w:rsid w:val="00BC41C1"/>
    <w:rsid w:val="00BC437A"/>
    <w:rsid w:val="00BC519A"/>
    <w:rsid w:val="00BC53D0"/>
    <w:rsid w:val="00BE0DA2"/>
    <w:rsid w:val="00BE1BBA"/>
    <w:rsid w:val="00BE2FCB"/>
    <w:rsid w:val="00BF105A"/>
    <w:rsid w:val="00BF531A"/>
    <w:rsid w:val="00C00567"/>
    <w:rsid w:val="00C07F86"/>
    <w:rsid w:val="00C13863"/>
    <w:rsid w:val="00C16D69"/>
    <w:rsid w:val="00C2245D"/>
    <w:rsid w:val="00C26086"/>
    <w:rsid w:val="00C44AD6"/>
    <w:rsid w:val="00C46EAF"/>
    <w:rsid w:val="00C5112B"/>
    <w:rsid w:val="00C54648"/>
    <w:rsid w:val="00C60224"/>
    <w:rsid w:val="00C60C9E"/>
    <w:rsid w:val="00C62369"/>
    <w:rsid w:val="00C638FB"/>
    <w:rsid w:val="00C64F79"/>
    <w:rsid w:val="00C65F87"/>
    <w:rsid w:val="00C6757B"/>
    <w:rsid w:val="00C71481"/>
    <w:rsid w:val="00C72134"/>
    <w:rsid w:val="00C8177B"/>
    <w:rsid w:val="00C85599"/>
    <w:rsid w:val="00C85F40"/>
    <w:rsid w:val="00C91548"/>
    <w:rsid w:val="00C94A1D"/>
    <w:rsid w:val="00C95334"/>
    <w:rsid w:val="00C97BB3"/>
    <w:rsid w:val="00CA18B1"/>
    <w:rsid w:val="00CA3680"/>
    <w:rsid w:val="00CA4725"/>
    <w:rsid w:val="00CB1801"/>
    <w:rsid w:val="00CB21B5"/>
    <w:rsid w:val="00CB4014"/>
    <w:rsid w:val="00CC10C9"/>
    <w:rsid w:val="00CC7A32"/>
    <w:rsid w:val="00CD6619"/>
    <w:rsid w:val="00CE4093"/>
    <w:rsid w:val="00CF1E0E"/>
    <w:rsid w:val="00CF7E18"/>
    <w:rsid w:val="00D0042B"/>
    <w:rsid w:val="00D00987"/>
    <w:rsid w:val="00D04B81"/>
    <w:rsid w:val="00D12F32"/>
    <w:rsid w:val="00D213E3"/>
    <w:rsid w:val="00D21BA9"/>
    <w:rsid w:val="00D2226A"/>
    <w:rsid w:val="00D26AE5"/>
    <w:rsid w:val="00D35F72"/>
    <w:rsid w:val="00D3604A"/>
    <w:rsid w:val="00D41152"/>
    <w:rsid w:val="00D43D05"/>
    <w:rsid w:val="00D451C9"/>
    <w:rsid w:val="00D50BF1"/>
    <w:rsid w:val="00D565C3"/>
    <w:rsid w:val="00D60F02"/>
    <w:rsid w:val="00D62022"/>
    <w:rsid w:val="00D62C69"/>
    <w:rsid w:val="00D6463A"/>
    <w:rsid w:val="00D704EA"/>
    <w:rsid w:val="00D72524"/>
    <w:rsid w:val="00D769C0"/>
    <w:rsid w:val="00D778A3"/>
    <w:rsid w:val="00DB0B91"/>
    <w:rsid w:val="00DB22C0"/>
    <w:rsid w:val="00DB5905"/>
    <w:rsid w:val="00DB6214"/>
    <w:rsid w:val="00DC21DB"/>
    <w:rsid w:val="00DC3A30"/>
    <w:rsid w:val="00DD2CF7"/>
    <w:rsid w:val="00DE07DC"/>
    <w:rsid w:val="00DE1022"/>
    <w:rsid w:val="00DE4507"/>
    <w:rsid w:val="00DE54E0"/>
    <w:rsid w:val="00DF2414"/>
    <w:rsid w:val="00E001FF"/>
    <w:rsid w:val="00E0197C"/>
    <w:rsid w:val="00E111C2"/>
    <w:rsid w:val="00E125D0"/>
    <w:rsid w:val="00E164C8"/>
    <w:rsid w:val="00E244A9"/>
    <w:rsid w:val="00E251F7"/>
    <w:rsid w:val="00E256BF"/>
    <w:rsid w:val="00E33701"/>
    <w:rsid w:val="00E377C6"/>
    <w:rsid w:val="00E40DEB"/>
    <w:rsid w:val="00E41CE2"/>
    <w:rsid w:val="00E507B5"/>
    <w:rsid w:val="00E61C17"/>
    <w:rsid w:val="00E709BA"/>
    <w:rsid w:val="00E746AB"/>
    <w:rsid w:val="00E83C17"/>
    <w:rsid w:val="00E85EB8"/>
    <w:rsid w:val="00E8776F"/>
    <w:rsid w:val="00EA3380"/>
    <w:rsid w:val="00EA787D"/>
    <w:rsid w:val="00EB033A"/>
    <w:rsid w:val="00EB5887"/>
    <w:rsid w:val="00EB6166"/>
    <w:rsid w:val="00EC31A8"/>
    <w:rsid w:val="00EC41A0"/>
    <w:rsid w:val="00ED5A72"/>
    <w:rsid w:val="00EE328F"/>
    <w:rsid w:val="00EE548A"/>
    <w:rsid w:val="00EE7984"/>
    <w:rsid w:val="00EF71A0"/>
    <w:rsid w:val="00F0040C"/>
    <w:rsid w:val="00F03745"/>
    <w:rsid w:val="00F041DA"/>
    <w:rsid w:val="00F10F57"/>
    <w:rsid w:val="00F11999"/>
    <w:rsid w:val="00F152A7"/>
    <w:rsid w:val="00F172D5"/>
    <w:rsid w:val="00F2510D"/>
    <w:rsid w:val="00F31F3B"/>
    <w:rsid w:val="00F33BDE"/>
    <w:rsid w:val="00F356D7"/>
    <w:rsid w:val="00F41404"/>
    <w:rsid w:val="00F465AC"/>
    <w:rsid w:val="00F53D4E"/>
    <w:rsid w:val="00F5414B"/>
    <w:rsid w:val="00F56E14"/>
    <w:rsid w:val="00F57A63"/>
    <w:rsid w:val="00F62274"/>
    <w:rsid w:val="00F81362"/>
    <w:rsid w:val="00F82C2B"/>
    <w:rsid w:val="00F83B49"/>
    <w:rsid w:val="00F878BD"/>
    <w:rsid w:val="00F903FE"/>
    <w:rsid w:val="00F97CD4"/>
    <w:rsid w:val="00FA430B"/>
    <w:rsid w:val="00FC0F97"/>
    <w:rsid w:val="00FC3782"/>
    <w:rsid w:val="00FC3A5A"/>
    <w:rsid w:val="00FC747A"/>
    <w:rsid w:val="00FD54A8"/>
    <w:rsid w:val="00FD7BBD"/>
    <w:rsid w:val="00FE52B1"/>
    <w:rsid w:val="00FE76D6"/>
    <w:rsid w:val="00FF088B"/>
    <w:rsid w:val="00FF5AB9"/>
    <w:rsid w:val="00FF6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95035B6"/>
  <w15:docId w15:val="{E9731811-EC62-42D7-9AD4-E083D01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C94A1D"/>
    <w:pPr>
      <w:keepNext/>
      <w:keepLines/>
      <w:suppressAutoHyphens/>
      <w:spacing w:after="120"/>
      <w:jc w:val="both"/>
    </w:pPr>
    <w:rPr>
      <w:b/>
      <w:sz w:val="20"/>
      <w:szCs w:val="20"/>
    </w:rPr>
  </w:style>
  <w:style w:type="character" w:customStyle="1" w:styleId="Heading6Char">
    <w:name w:val="Heading6 Char"/>
    <w:link w:val="Heading6"/>
    <w:locked/>
    <w:rsid w:val="00C94A1D"/>
    <w:rPr>
      <w:b/>
      <w:lang w:val="en-AU" w:eastAsia="en-AU" w:bidi="ar-SA"/>
    </w:rPr>
  </w:style>
  <w:style w:type="paragraph" w:styleId="Footer">
    <w:name w:val="footer"/>
    <w:basedOn w:val="Normal"/>
    <w:link w:val="FooterChar"/>
    <w:uiPriority w:val="99"/>
    <w:rsid w:val="00C94A1D"/>
    <w:pPr>
      <w:tabs>
        <w:tab w:val="center" w:pos="4513"/>
        <w:tab w:val="right" w:pos="9026"/>
      </w:tabs>
    </w:pPr>
  </w:style>
  <w:style w:type="character" w:customStyle="1" w:styleId="FooterChar">
    <w:name w:val="Footer Char"/>
    <w:link w:val="Footer"/>
    <w:uiPriority w:val="99"/>
    <w:rsid w:val="00C94A1D"/>
    <w:rPr>
      <w:sz w:val="24"/>
      <w:szCs w:val="24"/>
      <w:lang w:val="en-AU" w:eastAsia="en-AU" w:bidi="ar-SA"/>
    </w:rPr>
  </w:style>
  <w:style w:type="paragraph" w:styleId="Header">
    <w:name w:val="header"/>
    <w:basedOn w:val="Normal"/>
    <w:link w:val="HeaderChar"/>
    <w:rsid w:val="00DE07DC"/>
    <w:pPr>
      <w:tabs>
        <w:tab w:val="center" w:pos="4513"/>
        <w:tab w:val="right" w:pos="9026"/>
      </w:tabs>
    </w:pPr>
  </w:style>
  <w:style w:type="character" w:customStyle="1" w:styleId="HeaderChar">
    <w:name w:val="Header Char"/>
    <w:link w:val="Header"/>
    <w:rsid w:val="00DE07DC"/>
    <w:rPr>
      <w:sz w:val="24"/>
      <w:szCs w:val="24"/>
    </w:rPr>
  </w:style>
  <w:style w:type="character" w:styleId="PageNumber">
    <w:name w:val="page number"/>
    <w:basedOn w:val="DefaultParagraphFont"/>
  </w:style>
  <w:style w:type="paragraph" w:styleId="BalloonText">
    <w:name w:val="Balloon Text"/>
    <w:basedOn w:val="Normal"/>
    <w:link w:val="BalloonTextChar"/>
    <w:rsid w:val="00612FC0"/>
    <w:rPr>
      <w:rFonts w:ascii="Tahoma" w:hAnsi="Tahoma" w:cs="Tahoma"/>
      <w:sz w:val="16"/>
      <w:szCs w:val="16"/>
    </w:rPr>
  </w:style>
  <w:style w:type="character" w:customStyle="1" w:styleId="BalloonTextChar">
    <w:name w:val="Balloon Text Char"/>
    <w:basedOn w:val="DefaultParagraphFont"/>
    <w:link w:val="BalloonText"/>
    <w:rsid w:val="00612FC0"/>
    <w:rPr>
      <w:rFonts w:ascii="Tahoma" w:hAnsi="Tahoma" w:cs="Tahoma"/>
      <w:sz w:val="16"/>
      <w:szCs w:val="16"/>
    </w:rPr>
  </w:style>
  <w:style w:type="character" w:styleId="CommentReference">
    <w:name w:val="annotation reference"/>
    <w:basedOn w:val="DefaultParagraphFont"/>
    <w:uiPriority w:val="99"/>
    <w:rsid w:val="00537D8B"/>
    <w:rPr>
      <w:sz w:val="16"/>
      <w:szCs w:val="16"/>
    </w:rPr>
  </w:style>
  <w:style w:type="paragraph" w:styleId="CommentText">
    <w:name w:val="annotation text"/>
    <w:basedOn w:val="Normal"/>
    <w:link w:val="CommentTextChar"/>
    <w:uiPriority w:val="99"/>
    <w:rsid w:val="00537D8B"/>
    <w:rPr>
      <w:sz w:val="20"/>
      <w:szCs w:val="20"/>
    </w:rPr>
  </w:style>
  <w:style w:type="character" w:customStyle="1" w:styleId="CommentTextChar">
    <w:name w:val="Comment Text Char"/>
    <w:basedOn w:val="DefaultParagraphFont"/>
    <w:link w:val="CommentText"/>
    <w:uiPriority w:val="99"/>
    <w:rsid w:val="00537D8B"/>
  </w:style>
  <w:style w:type="paragraph" w:styleId="CommentSubject">
    <w:name w:val="annotation subject"/>
    <w:basedOn w:val="CommentText"/>
    <w:next w:val="CommentText"/>
    <w:link w:val="CommentSubjectChar"/>
    <w:rsid w:val="00537D8B"/>
    <w:rPr>
      <w:b/>
      <w:bCs/>
    </w:rPr>
  </w:style>
  <w:style w:type="character" w:customStyle="1" w:styleId="CommentSubjectChar">
    <w:name w:val="Comment Subject Char"/>
    <w:basedOn w:val="CommentTextChar"/>
    <w:link w:val="CommentSubject"/>
    <w:rsid w:val="00537D8B"/>
    <w:rPr>
      <w:b/>
      <w:bCs/>
    </w:rPr>
  </w:style>
  <w:style w:type="paragraph" w:styleId="ListParagraph">
    <w:name w:val="List Paragraph"/>
    <w:basedOn w:val="Normal"/>
    <w:uiPriority w:val="34"/>
    <w:qFormat/>
    <w:rsid w:val="00FE76D6"/>
    <w:pPr>
      <w:ind w:left="720"/>
      <w:contextualSpacing/>
    </w:pPr>
  </w:style>
  <w:style w:type="paragraph" w:customStyle="1" w:styleId="PlainParagraph">
    <w:name w:val="Plain Paragraph"/>
    <w:aliases w:val="PP"/>
    <w:basedOn w:val="Normal"/>
    <w:link w:val="PlainParagraphChar"/>
    <w:qFormat/>
    <w:rsid w:val="003E547E"/>
    <w:pPr>
      <w:spacing w:before="140" w:after="140" w:line="280" w:lineRule="atLeast"/>
    </w:pPr>
    <w:rPr>
      <w:rFonts w:ascii="Arial" w:hAnsi="Arial" w:cs="Arial"/>
      <w:sz w:val="22"/>
      <w:szCs w:val="22"/>
    </w:rPr>
  </w:style>
  <w:style w:type="character" w:customStyle="1" w:styleId="PlainParagraphChar">
    <w:name w:val="Plain Paragraph Char"/>
    <w:aliases w:val="PP Char"/>
    <w:basedOn w:val="DefaultParagraphFont"/>
    <w:link w:val="PlainParagraph"/>
    <w:rsid w:val="003E547E"/>
    <w:rPr>
      <w:rFonts w:ascii="Arial" w:hAnsi="Arial" w:cs="Arial"/>
      <w:sz w:val="22"/>
      <w:szCs w:val="22"/>
    </w:rPr>
  </w:style>
  <w:style w:type="table" w:styleId="PlainTable2">
    <w:name w:val="Plain Table 2"/>
    <w:basedOn w:val="TableNormal"/>
    <w:uiPriority w:val="42"/>
    <w:rsid w:val="009023CC"/>
    <w:rPr>
      <w:rFonts w:ascii="Arial" w:hAnsi="Arial"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60">
    <w:name w:val="heading6"/>
    <w:basedOn w:val="Normal"/>
    <w:rsid w:val="0054689F"/>
    <w:pPr>
      <w:spacing w:before="100" w:beforeAutospacing="1" w:after="100" w:afterAutospacing="1"/>
    </w:pPr>
  </w:style>
  <w:style w:type="paragraph" w:customStyle="1" w:styleId="Item">
    <w:name w:val="Item"/>
    <w:aliases w:val="i"/>
    <w:basedOn w:val="Normal"/>
    <w:next w:val="ItemHead"/>
    <w:rsid w:val="00A85D23"/>
    <w:pPr>
      <w:keepLines/>
      <w:spacing w:before="80"/>
      <w:ind w:left="709"/>
    </w:pPr>
    <w:rPr>
      <w:sz w:val="22"/>
      <w:szCs w:val="20"/>
    </w:rPr>
  </w:style>
  <w:style w:type="paragraph" w:customStyle="1" w:styleId="ItemHead">
    <w:name w:val="ItemHead"/>
    <w:aliases w:val="ih"/>
    <w:basedOn w:val="Normal"/>
    <w:next w:val="Item"/>
    <w:rsid w:val="00A85D23"/>
    <w:pPr>
      <w:keepNext/>
      <w:keepLines/>
      <w:spacing w:before="220"/>
      <w:ind w:left="709" w:hanging="709"/>
    </w:pPr>
    <w:rPr>
      <w:rFonts w:ascii="Arial" w:hAnsi="Arial"/>
      <w:b/>
      <w:kern w:val="28"/>
      <w:szCs w:val="20"/>
    </w:rPr>
  </w:style>
  <w:style w:type="character" w:styleId="Hyperlink">
    <w:name w:val="Hyperlink"/>
    <w:basedOn w:val="DefaultParagraphFont"/>
    <w:unhideWhenUsed/>
    <w:rsid w:val="00100CE4"/>
    <w:rPr>
      <w:color w:val="0000FF" w:themeColor="hyperlink"/>
      <w:u w:val="single"/>
    </w:rPr>
  </w:style>
  <w:style w:type="paragraph" w:styleId="FootnoteText">
    <w:name w:val="footnote text"/>
    <w:basedOn w:val="Normal"/>
    <w:link w:val="FootnoteTextChar"/>
    <w:semiHidden/>
    <w:unhideWhenUsed/>
    <w:rsid w:val="00C72134"/>
    <w:rPr>
      <w:sz w:val="20"/>
      <w:szCs w:val="20"/>
    </w:rPr>
  </w:style>
  <w:style w:type="character" w:customStyle="1" w:styleId="FootnoteTextChar">
    <w:name w:val="Footnote Text Char"/>
    <w:basedOn w:val="DefaultParagraphFont"/>
    <w:link w:val="FootnoteText"/>
    <w:semiHidden/>
    <w:rsid w:val="00C72134"/>
  </w:style>
  <w:style w:type="character" w:styleId="FootnoteReference">
    <w:name w:val="footnote reference"/>
    <w:basedOn w:val="DefaultParagraphFont"/>
    <w:uiPriority w:val="99"/>
    <w:rsid w:val="00C72134"/>
    <w:rPr>
      <w:vertAlign w:val="superscript"/>
    </w:rPr>
  </w:style>
  <w:style w:type="character" w:styleId="FollowedHyperlink">
    <w:name w:val="FollowedHyperlink"/>
    <w:basedOn w:val="DefaultParagraphFont"/>
    <w:semiHidden/>
    <w:unhideWhenUsed/>
    <w:rsid w:val="00EE3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36114">
      <w:bodyDiv w:val="1"/>
      <w:marLeft w:val="0"/>
      <w:marRight w:val="0"/>
      <w:marTop w:val="0"/>
      <w:marBottom w:val="0"/>
      <w:divBdr>
        <w:top w:val="none" w:sz="0" w:space="0" w:color="auto"/>
        <w:left w:val="none" w:sz="0" w:space="0" w:color="auto"/>
        <w:bottom w:val="none" w:sz="0" w:space="0" w:color="auto"/>
        <w:right w:val="none" w:sz="0" w:space="0" w:color="auto"/>
      </w:divBdr>
      <w:divsChild>
        <w:div w:id="1592467082">
          <w:marLeft w:val="0"/>
          <w:marRight w:val="0"/>
          <w:marTop w:val="0"/>
          <w:marBottom w:val="0"/>
          <w:divBdr>
            <w:top w:val="none" w:sz="0" w:space="0" w:color="auto"/>
            <w:left w:val="none" w:sz="0" w:space="0" w:color="auto"/>
            <w:bottom w:val="none" w:sz="0" w:space="0" w:color="auto"/>
            <w:right w:val="none" w:sz="0" w:space="0" w:color="auto"/>
          </w:divBdr>
          <w:divsChild>
            <w:div w:id="1966814217">
              <w:marLeft w:val="0"/>
              <w:marRight w:val="0"/>
              <w:marTop w:val="0"/>
              <w:marBottom w:val="0"/>
              <w:divBdr>
                <w:top w:val="none" w:sz="0" w:space="0" w:color="auto"/>
                <w:left w:val="none" w:sz="0" w:space="0" w:color="auto"/>
                <w:bottom w:val="none" w:sz="0" w:space="0" w:color="auto"/>
                <w:right w:val="none" w:sz="0" w:space="0" w:color="auto"/>
              </w:divBdr>
              <w:divsChild>
                <w:div w:id="490488393">
                  <w:marLeft w:val="0"/>
                  <w:marRight w:val="0"/>
                  <w:marTop w:val="0"/>
                  <w:marBottom w:val="0"/>
                  <w:divBdr>
                    <w:top w:val="none" w:sz="0" w:space="0" w:color="auto"/>
                    <w:left w:val="none" w:sz="0" w:space="0" w:color="auto"/>
                    <w:bottom w:val="none" w:sz="0" w:space="0" w:color="auto"/>
                    <w:right w:val="none" w:sz="0" w:space="0" w:color="auto"/>
                  </w:divBdr>
                  <w:divsChild>
                    <w:div w:id="1197766698">
                      <w:marLeft w:val="0"/>
                      <w:marRight w:val="0"/>
                      <w:marTop w:val="0"/>
                      <w:marBottom w:val="0"/>
                      <w:divBdr>
                        <w:top w:val="none" w:sz="0" w:space="0" w:color="auto"/>
                        <w:left w:val="none" w:sz="0" w:space="0" w:color="auto"/>
                        <w:bottom w:val="none" w:sz="0" w:space="0" w:color="auto"/>
                        <w:right w:val="none" w:sz="0" w:space="0" w:color="auto"/>
                      </w:divBdr>
                      <w:divsChild>
                        <w:div w:id="1425371523">
                          <w:marLeft w:val="0"/>
                          <w:marRight w:val="0"/>
                          <w:marTop w:val="0"/>
                          <w:marBottom w:val="0"/>
                          <w:divBdr>
                            <w:top w:val="none" w:sz="0" w:space="0" w:color="auto"/>
                            <w:left w:val="none" w:sz="0" w:space="0" w:color="auto"/>
                            <w:bottom w:val="none" w:sz="0" w:space="0" w:color="auto"/>
                            <w:right w:val="none" w:sz="0" w:space="0" w:color="auto"/>
                          </w:divBdr>
                          <w:divsChild>
                            <w:div w:id="480462371">
                              <w:marLeft w:val="0"/>
                              <w:marRight w:val="0"/>
                              <w:marTop w:val="0"/>
                              <w:marBottom w:val="0"/>
                              <w:divBdr>
                                <w:top w:val="none" w:sz="0" w:space="0" w:color="auto"/>
                                <w:left w:val="none" w:sz="0" w:space="0" w:color="auto"/>
                                <w:bottom w:val="none" w:sz="0" w:space="0" w:color="auto"/>
                                <w:right w:val="none" w:sz="0" w:space="0" w:color="auto"/>
                              </w:divBdr>
                              <w:divsChild>
                                <w:div w:id="1798448428">
                                  <w:marLeft w:val="0"/>
                                  <w:marRight w:val="0"/>
                                  <w:marTop w:val="0"/>
                                  <w:marBottom w:val="0"/>
                                  <w:divBdr>
                                    <w:top w:val="none" w:sz="0" w:space="0" w:color="auto"/>
                                    <w:left w:val="none" w:sz="0" w:space="0" w:color="auto"/>
                                    <w:bottom w:val="none" w:sz="0" w:space="0" w:color="auto"/>
                                    <w:right w:val="none" w:sz="0" w:space="0" w:color="auto"/>
                                  </w:divBdr>
                                  <w:divsChild>
                                    <w:div w:id="1681354906">
                                      <w:marLeft w:val="0"/>
                                      <w:marRight w:val="0"/>
                                      <w:marTop w:val="0"/>
                                      <w:marBottom w:val="0"/>
                                      <w:divBdr>
                                        <w:top w:val="none" w:sz="0" w:space="0" w:color="auto"/>
                                        <w:left w:val="none" w:sz="0" w:space="0" w:color="auto"/>
                                        <w:bottom w:val="none" w:sz="0" w:space="0" w:color="auto"/>
                                        <w:right w:val="none" w:sz="0" w:space="0" w:color="auto"/>
                                      </w:divBdr>
                                      <w:divsChild>
                                        <w:div w:id="1584682843">
                                          <w:marLeft w:val="0"/>
                                          <w:marRight w:val="0"/>
                                          <w:marTop w:val="0"/>
                                          <w:marBottom w:val="0"/>
                                          <w:divBdr>
                                            <w:top w:val="none" w:sz="0" w:space="0" w:color="auto"/>
                                            <w:left w:val="none" w:sz="0" w:space="0" w:color="auto"/>
                                            <w:bottom w:val="none" w:sz="0" w:space="0" w:color="auto"/>
                                            <w:right w:val="none" w:sz="0" w:space="0" w:color="auto"/>
                                          </w:divBdr>
                                          <w:divsChild>
                                            <w:div w:id="1310785975">
                                              <w:marLeft w:val="0"/>
                                              <w:marRight w:val="0"/>
                                              <w:marTop w:val="0"/>
                                              <w:marBottom w:val="0"/>
                                              <w:divBdr>
                                                <w:top w:val="none" w:sz="0" w:space="0" w:color="auto"/>
                                                <w:left w:val="none" w:sz="0" w:space="0" w:color="auto"/>
                                                <w:bottom w:val="none" w:sz="0" w:space="0" w:color="auto"/>
                                                <w:right w:val="none" w:sz="0" w:space="0" w:color="auto"/>
                                              </w:divBdr>
                                              <w:divsChild>
                                                <w:div w:id="1809973727">
                                                  <w:marLeft w:val="0"/>
                                                  <w:marRight w:val="0"/>
                                                  <w:marTop w:val="0"/>
                                                  <w:marBottom w:val="0"/>
                                                  <w:divBdr>
                                                    <w:top w:val="none" w:sz="0" w:space="0" w:color="auto"/>
                                                    <w:left w:val="none" w:sz="0" w:space="0" w:color="auto"/>
                                                    <w:bottom w:val="none" w:sz="0" w:space="0" w:color="auto"/>
                                                    <w:right w:val="none" w:sz="0" w:space="0" w:color="auto"/>
                                                  </w:divBdr>
                                                  <w:divsChild>
                                                    <w:div w:id="1374816396">
                                                      <w:marLeft w:val="0"/>
                                                      <w:marRight w:val="0"/>
                                                      <w:marTop w:val="0"/>
                                                      <w:marBottom w:val="0"/>
                                                      <w:divBdr>
                                                        <w:top w:val="none" w:sz="0" w:space="0" w:color="auto"/>
                                                        <w:left w:val="none" w:sz="0" w:space="0" w:color="auto"/>
                                                        <w:bottom w:val="none" w:sz="0" w:space="0" w:color="auto"/>
                                                        <w:right w:val="none" w:sz="0" w:space="0" w:color="auto"/>
                                                      </w:divBdr>
                                                      <w:divsChild>
                                                        <w:div w:id="21209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3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5AA01-0047-4CB3-BC3E-757719A2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hanwyn</dc:creator>
  <cp:lastModifiedBy>NG, Jason</cp:lastModifiedBy>
  <cp:revision>3</cp:revision>
  <cp:lastPrinted>2021-05-24T06:52:00Z</cp:lastPrinted>
  <dcterms:created xsi:type="dcterms:W3CDTF">2021-06-22T05:35:00Z</dcterms:created>
  <dcterms:modified xsi:type="dcterms:W3CDTF">2021-06-28T00:51:00Z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