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1069A" w14:textId="77777777" w:rsidR="0048364F" w:rsidRPr="004B1042" w:rsidRDefault="00193461" w:rsidP="0020300C">
      <w:pPr>
        <w:rPr>
          <w:sz w:val="28"/>
        </w:rPr>
      </w:pPr>
      <w:r w:rsidRPr="004B1042">
        <w:rPr>
          <w:noProof/>
          <w:lang w:eastAsia="en-AU"/>
        </w:rPr>
        <w:drawing>
          <wp:inline distT="0" distB="0" distL="0" distR="0" wp14:anchorId="68CD5542" wp14:editId="284CB1A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9F6F101" w14:textId="77777777" w:rsidR="0048364F" w:rsidRPr="004B1042" w:rsidRDefault="0048364F" w:rsidP="0048364F">
      <w:pPr>
        <w:rPr>
          <w:sz w:val="19"/>
        </w:rPr>
      </w:pPr>
    </w:p>
    <w:p w14:paraId="3188698A" w14:textId="77777777" w:rsidR="0048364F" w:rsidRPr="004B1042" w:rsidRDefault="00E753A4" w:rsidP="0048364F">
      <w:pPr>
        <w:pStyle w:val="ShortT"/>
      </w:pPr>
      <w:r w:rsidRPr="004B1042">
        <w:t xml:space="preserve">Home Affairs Legislation Amendment (2021 Measures No. 1) </w:t>
      </w:r>
      <w:r w:rsidR="004B1042" w:rsidRPr="004B1042">
        <w:t>Regulations 2</w:t>
      </w:r>
      <w:r w:rsidRPr="004B1042">
        <w:t>021</w:t>
      </w:r>
    </w:p>
    <w:p w14:paraId="5945931F" w14:textId="77777777" w:rsidR="00A676DB" w:rsidRPr="004B1042" w:rsidRDefault="00A676DB" w:rsidP="00045F60">
      <w:pPr>
        <w:pStyle w:val="SignCoverPageStart"/>
        <w:spacing w:before="240"/>
        <w:rPr>
          <w:szCs w:val="22"/>
        </w:rPr>
      </w:pPr>
      <w:r w:rsidRPr="004B1042">
        <w:rPr>
          <w:szCs w:val="22"/>
        </w:rPr>
        <w:t>I, General the Honourable David Hurley AC DSC (Retd), Governor</w:t>
      </w:r>
      <w:r w:rsidR="004B1042">
        <w:rPr>
          <w:szCs w:val="22"/>
        </w:rPr>
        <w:noBreakHyphen/>
      </w:r>
      <w:r w:rsidRPr="004B1042">
        <w:rPr>
          <w:szCs w:val="22"/>
        </w:rPr>
        <w:t>General of the Commonwealth of Australia, acting with the advice of the Federal Executive Council, make the following regulations.</w:t>
      </w:r>
    </w:p>
    <w:p w14:paraId="5D29EABF" w14:textId="313ABC34" w:rsidR="00A676DB" w:rsidRPr="004B1042" w:rsidRDefault="00A676DB" w:rsidP="00045F60">
      <w:pPr>
        <w:keepNext/>
        <w:spacing w:before="720" w:line="240" w:lineRule="atLeast"/>
        <w:ind w:right="397"/>
        <w:jc w:val="both"/>
        <w:rPr>
          <w:szCs w:val="22"/>
        </w:rPr>
      </w:pPr>
      <w:r w:rsidRPr="004B1042">
        <w:rPr>
          <w:szCs w:val="22"/>
        </w:rPr>
        <w:t xml:space="preserve">Dated </w:t>
      </w:r>
      <w:r w:rsidRPr="004B1042">
        <w:rPr>
          <w:szCs w:val="22"/>
        </w:rPr>
        <w:fldChar w:fldCharType="begin"/>
      </w:r>
      <w:r w:rsidRPr="004B1042">
        <w:rPr>
          <w:szCs w:val="22"/>
        </w:rPr>
        <w:instrText xml:space="preserve"> DOCPROPERTY  DateMade </w:instrText>
      </w:r>
      <w:r w:rsidRPr="004B1042">
        <w:rPr>
          <w:szCs w:val="22"/>
        </w:rPr>
        <w:fldChar w:fldCharType="separate"/>
      </w:r>
      <w:r w:rsidR="00E85755">
        <w:rPr>
          <w:szCs w:val="22"/>
        </w:rPr>
        <w:t>24 June 2021</w:t>
      </w:r>
      <w:r w:rsidRPr="004B1042">
        <w:rPr>
          <w:szCs w:val="22"/>
        </w:rPr>
        <w:fldChar w:fldCharType="end"/>
      </w:r>
    </w:p>
    <w:p w14:paraId="2C1F7D1A" w14:textId="77777777" w:rsidR="00A676DB" w:rsidRPr="004B1042" w:rsidRDefault="00A676DB" w:rsidP="00045F60">
      <w:pPr>
        <w:keepNext/>
        <w:tabs>
          <w:tab w:val="left" w:pos="3402"/>
        </w:tabs>
        <w:spacing w:before="1080" w:line="300" w:lineRule="atLeast"/>
        <w:ind w:left="397" w:right="397"/>
        <w:jc w:val="right"/>
        <w:rPr>
          <w:szCs w:val="22"/>
        </w:rPr>
      </w:pPr>
      <w:r w:rsidRPr="004B1042">
        <w:rPr>
          <w:szCs w:val="22"/>
        </w:rPr>
        <w:t>David Hurley</w:t>
      </w:r>
    </w:p>
    <w:p w14:paraId="4F0F0E82" w14:textId="77777777" w:rsidR="00A676DB" w:rsidRPr="004B1042" w:rsidRDefault="00A676DB" w:rsidP="00045F60">
      <w:pPr>
        <w:keepNext/>
        <w:tabs>
          <w:tab w:val="left" w:pos="3402"/>
        </w:tabs>
        <w:spacing w:line="300" w:lineRule="atLeast"/>
        <w:ind w:left="397" w:right="397"/>
        <w:jc w:val="right"/>
        <w:rPr>
          <w:szCs w:val="22"/>
        </w:rPr>
      </w:pPr>
      <w:r w:rsidRPr="004B1042">
        <w:rPr>
          <w:szCs w:val="22"/>
        </w:rPr>
        <w:t>Governor</w:t>
      </w:r>
      <w:r w:rsidR="004B1042">
        <w:rPr>
          <w:szCs w:val="22"/>
        </w:rPr>
        <w:noBreakHyphen/>
      </w:r>
      <w:r w:rsidRPr="004B1042">
        <w:rPr>
          <w:szCs w:val="22"/>
        </w:rPr>
        <w:t>General</w:t>
      </w:r>
    </w:p>
    <w:p w14:paraId="0FAC76AF" w14:textId="77777777" w:rsidR="00A676DB" w:rsidRPr="004B1042" w:rsidRDefault="00A676DB" w:rsidP="00045F60">
      <w:pPr>
        <w:keepNext/>
        <w:tabs>
          <w:tab w:val="left" w:pos="3402"/>
        </w:tabs>
        <w:spacing w:before="840" w:after="1080" w:line="300" w:lineRule="atLeast"/>
        <w:ind w:right="397"/>
        <w:rPr>
          <w:szCs w:val="22"/>
        </w:rPr>
      </w:pPr>
      <w:r w:rsidRPr="004B1042">
        <w:rPr>
          <w:szCs w:val="22"/>
        </w:rPr>
        <w:t>By His Excellency’s Command</w:t>
      </w:r>
    </w:p>
    <w:p w14:paraId="6651C8CD" w14:textId="77777777" w:rsidR="00A676DB" w:rsidRPr="004B1042" w:rsidRDefault="00A676DB" w:rsidP="00045F60">
      <w:pPr>
        <w:keepNext/>
        <w:tabs>
          <w:tab w:val="left" w:pos="3402"/>
        </w:tabs>
        <w:spacing w:before="480" w:line="300" w:lineRule="atLeast"/>
        <w:ind w:right="397"/>
        <w:rPr>
          <w:szCs w:val="22"/>
        </w:rPr>
      </w:pPr>
      <w:r w:rsidRPr="004B1042">
        <w:rPr>
          <w:szCs w:val="22"/>
        </w:rPr>
        <w:t>Alex Hawke</w:t>
      </w:r>
    </w:p>
    <w:p w14:paraId="6A914746" w14:textId="77777777" w:rsidR="00A676DB" w:rsidRPr="004B1042" w:rsidRDefault="00A676DB" w:rsidP="00045F60">
      <w:pPr>
        <w:pStyle w:val="SignCoverPageEnd"/>
        <w:rPr>
          <w:szCs w:val="22"/>
        </w:rPr>
      </w:pPr>
      <w:r w:rsidRPr="004B1042">
        <w:rPr>
          <w:szCs w:val="22"/>
        </w:rPr>
        <w:t>Minister for Immigration, Citizenship, Migrant Services and Multicultural Affairs</w:t>
      </w:r>
    </w:p>
    <w:p w14:paraId="62682A5C" w14:textId="77777777" w:rsidR="00A676DB" w:rsidRPr="004B1042" w:rsidRDefault="00A676DB" w:rsidP="00045F60"/>
    <w:p w14:paraId="512DF4C5" w14:textId="77777777" w:rsidR="0048364F" w:rsidRPr="00154C09" w:rsidRDefault="0048364F" w:rsidP="0048364F">
      <w:pPr>
        <w:pStyle w:val="Header"/>
        <w:tabs>
          <w:tab w:val="clear" w:pos="4150"/>
          <w:tab w:val="clear" w:pos="8307"/>
        </w:tabs>
      </w:pPr>
      <w:r w:rsidRPr="00154C09">
        <w:rPr>
          <w:rStyle w:val="CharAmSchNo"/>
        </w:rPr>
        <w:t xml:space="preserve"> </w:t>
      </w:r>
      <w:r w:rsidRPr="00154C09">
        <w:rPr>
          <w:rStyle w:val="CharAmSchText"/>
        </w:rPr>
        <w:t xml:space="preserve"> </w:t>
      </w:r>
    </w:p>
    <w:p w14:paraId="6B14123D" w14:textId="77777777" w:rsidR="0048364F" w:rsidRPr="00154C09" w:rsidRDefault="0048364F" w:rsidP="0048364F">
      <w:pPr>
        <w:pStyle w:val="Header"/>
        <w:tabs>
          <w:tab w:val="clear" w:pos="4150"/>
          <w:tab w:val="clear" w:pos="8307"/>
        </w:tabs>
      </w:pPr>
      <w:r w:rsidRPr="00154C09">
        <w:rPr>
          <w:rStyle w:val="CharAmPartNo"/>
        </w:rPr>
        <w:t xml:space="preserve"> </w:t>
      </w:r>
      <w:r w:rsidRPr="00154C09">
        <w:rPr>
          <w:rStyle w:val="CharAmPartText"/>
        </w:rPr>
        <w:t xml:space="preserve"> </w:t>
      </w:r>
    </w:p>
    <w:p w14:paraId="7C0CA4D8" w14:textId="77777777" w:rsidR="0048364F" w:rsidRPr="004B1042" w:rsidRDefault="0048364F" w:rsidP="0048364F">
      <w:pPr>
        <w:sectPr w:rsidR="0048364F" w:rsidRPr="004B1042" w:rsidSect="00E95BCC">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0C1CE7E3" w14:textId="77777777" w:rsidR="00220A0C" w:rsidRPr="004B1042" w:rsidRDefault="0048364F" w:rsidP="0048364F">
      <w:pPr>
        <w:outlineLvl w:val="0"/>
        <w:rPr>
          <w:sz w:val="36"/>
        </w:rPr>
      </w:pPr>
      <w:r w:rsidRPr="004B1042">
        <w:rPr>
          <w:sz w:val="36"/>
        </w:rPr>
        <w:lastRenderedPageBreak/>
        <w:t>Contents</w:t>
      </w:r>
    </w:p>
    <w:p w14:paraId="4BF894DB" w14:textId="7B808071" w:rsidR="000E2DC6" w:rsidRPr="004B1042" w:rsidRDefault="000E2DC6">
      <w:pPr>
        <w:pStyle w:val="TOC5"/>
        <w:rPr>
          <w:rFonts w:asciiTheme="minorHAnsi" w:eastAsiaTheme="minorEastAsia" w:hAnsiTheme="minorHAnsi" w:cstheme="minorBidi"/>
          <w:noProof/>
          <w:kern w:val="0"/>
          <w:sz w:val="22"/>
          <w:szCs w:val="22"/>
        </w:rPr>
      </w:pPr>
      <w:r w:rsidRPr="004B1042">
        <w:fldChar w:fldCharType="begin"/>
      </w:r>
      <w:r w:rsidRPr="004B1042">
        <w:instrText xml:space="preserve"> TOC \o "1-9" </w:instrText>
      </w:r>
      <w:r w:rsidRPr="004B1042">
        <w:fldChar w:fldCharType="separate"/>
      </w:r>
      <w:r w:rsidRPr="004B1042">
        <w:rPr>
          <w:noProof/>
        </w:rPr>
        <w:t>1</w:t>
      </w:r>
      <w:r w:rsidRPr="004B1042">
        <w:rPr>
          <w:noProof/>
        </w:rPr>
        <w:tab/>
        <w:t>Name</w:t>
      </w:r>
      <w:r w:rsidRPr="004B1042">
        <w:rPr>
          <w:noProof/>
        </w:rPr>
        <w:tab/>
      </w:r>
      <w:r w:rsidRPr="004B1042">
        <w:rPr>
          <w:noProof/>
        </w:rPr>
        <w:fldChar w:fldCharType="begin"/>
      </w:r>
      <w:r w:rsidRPr="004B1042">
        <w:rPr>
          <w:noProof/>
        </w:rPr>
        <w:instrText xml:space="preserve"> PAGEREF _Toc72937708 \h </w:instrText>
      </w:r>
      <w:r w:rsidRPr="004B1042">
        <w:rPr>
          <w:noProof/>
        </w:rPr>
      </w:r>
      <w:r w:rsidRPr="004B1042">
        <w:rPr>
          <w:noProof/>
        </w:rPr>
        <w:fldChar w:fldCharType="separate"/>
      </w:r>
      <w:r w:rsidR="00E85755">
        <w:rPr>
          <w:noProof/>
        </w:rPr>
        <w:t>1</w:t>
      </w:r>
      <w:r w:rsidRPr="004B1042">
        <w:rPr>
          <w:noProof/>
        </w:rPr>
        <w:fldChar w:fldCharType="end"/>
      </w:r>
    </w:p>
    <w:p w14:paraId="1A73618A" w14:textId="3B81B19F" w:rsidR="000E2DC6" w:rsidRPr="004B1042" w:rsidRDefault="000E2DC6">
      <w:pPr>
        <w:pStyle w:val="TOC5"/>
        <w:rPr>
          <w:rFonts w:asciiTheme="minorHAnsi" w:eastAsiaTheme="minorEastAsia" w:hAnsiTheme="minorHAnsi" w:cstheme="minorBidi"/>
          <w:noProof/>
          <w:kern w:val="0"/>
          <w:sz w:val="22"/>
          <w:szCs w:val="22"/>
        </w:rPr>
      </w:pPr>
      <w:r w:rsidRPr="004B1042">
        <w:rPr>
          <w:noProof/>
        </w:rPr>
        <w:t>2</w:t>
      </w:r>
      <w:r w:rsidRPr="004B1042">
        <w:rPr>
          <w:noProof/>
        </w:rPr>
        <w:tab/>
        <w:t>Commencement</w:t>
      </w:r>
      <w:r w:rsidRPr="004B1042">
        <w:rPr>
          <w:noProof/>
        </w:rPr>
        <w:tab/>
      </w:r>
      <w:r w:rsidRPr="004B1042">
        <w:rPr>
          <w:noProof/>
        </w:rPr>
        <w:fldChar w:fldCharType="begin"/>
      </w:r>
      <w:r w:rsidRPr="004B1042">
        <w:rPr>
          <w:noProof/>
        </w:rPr>
        <w:instrText xml:space="preserve"> PAGEREF _Toc72937709 \h </w:instrText>
      </w:r>
      <w:r w:rsidRPr="004B1042">
        <w:rPr>
          <w:noProof/>
        </w:rPr>
      </w:r>
      <w:r w:rsidRPr="004B1042">
        <w:rPr>
          <w:noProof/>
        </w:rPr>
        <w:fldChar w:fldCharType="separate"/>
      </w:r>
      <w:r w:rsidR="00E85755">
        <w:rPr>
          <w:noProof/>
        </w:rPr>
        <w:t>1</w:t>
      </w:r>
      <w:r w:rsidRPr="004B1042">
        <w:rPr>
          <w:noProof/>
        </w:rPr>
        <w:fldChar w:fldCharType="end"/>
      </w:r>
    </w:p>
    <w:p w14:paraId="5771A5A7" w14:textId="6FC2A1D5" w:rsidR="000E2DC6" w:rsidRPr="004B1042" w:rsidRDefault="000E2DC6">
      <w:pPr>
        <w:pStyle w:val="TOC5"/>
        <w:rPr>
          <w:rFonts w:asciiTheme="minorHAnsi" w:eastAsiaTheme="minorEastAsia" w:hAnsiTheme="minorHAnsi" w:cstheme="minorBidi"/>
          <w:noProof/>
          <w:kern w:val="0"/>
          <w:sz w:val="22"/>
          <w:szCs w:val="22"/>
        </w:rPr>
      </w:pPr>
      <w:r w:rsidRPr="004B1042">
        <w:rPr>
          <w:noProof/>
        </w:rPr>
        <w:t>3</w:t>
      </w:r>
      <w:r w:rsidRPr="004B1042">
        <w:rPr>
          <w:noProof/>
        </w:rPr>
        <w:tab/>
        <w:t>Authority</w:t>
      </w:r>
      <w:r w:rsidRPr="004B1042">
        <w:rPr>
          <w:noProof/>
        </w:rPr>
        <w:tab/>
      </w:r>
      <w:r w:rsidRPr="004B1042">
        <w:rPr>
          <w:noProof/>
        </w:rPr>
        <w:fldChar w:fldCharType="begin"/>
      </w:r>
      <w:r w:rsidRPr="004B1042">
        <w:rPr>
          <w:noProof/>
        </w:rPr>
        <w:instrText xml:space="preserve"> PAGEREF _Toc72937710 \h </w:instrText>
      </w:r>
      <w:r w:rsidRPr="004B1042">
        <w:rPr>
          <w:noProof/>
        </w:rPr>
      </w:r>
      <w:r w:rsidRPr="004B1042">
        <w:rPr>
          <w:noProof/>
        </w:rPr>
        <w:fldChar w:fldCharType="separate"/>
      </w:r>
      <w:r w:rsidR="00E85755">
        <w:rPr>
          <w:noProof/>
        </w:rPr>
        <w:t>1</w:t>
      </w:r>
      <w:r w:rsidRPr="004B1042">
        <w:rPr>
          <w:noProof/>
        </w:rPr>
        <w:fldChar w:fldCharType="end"/>
      </w:r>
    </w:p>
    <w:p w14:paraId="3DECCC30" w14:textId="32019089" w:rsidR="000E2DC6" w:rsidRPr="004B1042" w:rsidRDefault="000E2DC6">
      <w:pPr>
        <w:pStyle w:val="TOC5"/>
        <w:rPr>
          <w:rFonts w:asciiTheme="minorHAnsi" w:eastAsiaTheme="minorEastAsia" w:hAnsiTheme="minorHAnsi" w:cstheme="minorBidi"/>
          <w:noProof/>
          <w:kern w:val="0"/>
          <w:sz w:val="22"/>
          <w:szCs w:val="22"/>
        </w:rPr>
      </w:pPr>
      <w:r w:rsidRPr="004B1042">
        <w:rPr>
          <w:noProof/>
        </w:rPr>
        <w:t>4</w:t>
      </w:r>
      <w:r w:rsidRPr="004B1042">
        <w:rPr>
          <w:noProof/>
        </w:rPr>
        <w:tab/>
        <w:t>Schedules</w:t>
      </w:r>
      <w:r w:rsidRPr="004B1042">
        <w:rPr>
          <w:noProof/>
        </w:rPr>
        <w:tab/>
      </w:r>
      <w:r w:rsidRPr="004B1042">
        <w:rPr>
          <w:noProof/>
        </w:rPr>
        <w:fldChar w:fldCharType="begin"/>
      </w:r>
      <w:r w:rsidRPr="004B1042">
        <w:rPr>
          <w:noProof/>
        </w:rPr>
        <w:instrText xml:space="preserve"> PAGEREF _Toc72937711 \h </w:instrText>
      </w:r>
      <w:r w:rsidRPr="004B1042">
        <w:rPr>
          <w:noProof/>
        </w:rPr>
      </w:r>
      <w:r w:rsidRPr="004B1042">
        <w:rPr>
          <w:noProof/>
        </w:rPr>
        <w:fldChar w:fldCharType="separate"/>
      </w:r>
      <w:r w:rsidR="00E85755">
        <w:rPr>
          <w:noProof/>
        </w:rPr>
        <w:t>1</w:t>
      </w:r>
      <w:r w:rsidRPr="004B1042">
        <w:rPr>
          <w:noProof/>
        </w:rPr>
        <w:fldChar w:fldCharType="end"/>
      </w:r>
    </w:p>
    <w:p w14:paraId="40622315" w14:textId="44F8220F" w:rsidR="000E2DC6" w:rsidRPr="004B1042" w:rsidRDefault="000E2DC6">
      <w:pPr>
        <w:pStyle w:val="TOC6"/>
        <w:rPr>
          <w:rFonts w:asciiTheme="minorHAnsi" w:eastAsiaTheme="minorEastAsia" w:hAnsiTheme="minorHAnsi" w:cstheme="minorBidi"/>
          <w:b w:val="0"/>
          <w:noProof/>
          <w:kern w:val="0"/>
          <w:sz w:val="22"/>
          <w:szCs w:val="22"/>
        </w:rPr>
      </w:pPr>
      <w:r w:rsidRPr="004B1042">
        <w:rPr>
          <w:noProof/>
        </w:rPr>
        <w:t>Schedule 1—Business Innovation and Investment Program</w:t>
      </w:r>
      <w:r w:rsidRPr="004B1042">
        <w:rPr>
          <w:b w:val="0"/>
          <w:noProof/>
          <w:sz w:val="18"/>
        </w:rPr>
        <w:tab/>
      </w:r>
      <w:r w:rsidRPr="004B1042">
        <w:rPr>
          <w:b w:val="0"/>
          <w:noProof/>
          <w:sz w:val="18"/>
        </w:rPr>
        <w:fldChar w:fldCharType="begin"/>
      </w:r>
      <w:r w:rsidRPr="004B1042">
        <w:rPr>
          <w:b w:val="0"/>
          <w:noProof/>
          <w:sz w:val="18"/>
        </w:rPr>
        <w:instrText xml:space="preserve"> PAGEREF _Toc72937712 \h </w:instrText>
      </w:r>
      <w:r w:rsidRPr="004B1042">
        <w:rPr>
          <w:b w:val="0"/>
          <w:noProof/>
          <w:sz w:val="18"/>
        </w:rPr>
      </w:r>
      <w:r w:rsidRPr="004B1042">
        <w:rPr>
          <w:b w:val="0"/>
          <w:noProof/>
          <w:sz w:val="18"/>
        </w:rPr>
        <w:fldChar w:fldCharType="separate"/>
      </w:r>
      <w:r w:rsidR="00E85755">
        <w:rPr>
          <w:b w:val="0"/>
          <w:noProof/>
          <w:sz w:val="18"/>
        </w:rPr>
        <w:t>2</w:t>
      </w:r>
      <w:r w:rsidRPr="004B1042">
        <w:rPr>
          <w:b w:val="0"/>
          <w:noProof/>
          <w:sz w:val="18"/>
        </w:rPr>
        <w:fldChar w:fldCharType="end"/>
      </w:r>
    </w:p>
    <w:p w14:paraId="0FE8A7B6" w14:textId="649E0ADA" w:rsidR="000E2DC6" w:rsidRPr="004B1042" w:rsidRDefault="000E2DC6">
      <w:pPr>
        <w:pStyle w:val="TOC9"/>
        <w:rPr>
          <w:rFonts w:asciiTheme="minorHAnsi" w:eastAsiaTheme="minorEastAsia" w:hAnsiTheme="minorHAnsi" w:cstheme="minorBidi"/>
          <w:i w:val="0"/>
          <w:noProof/>
          <w:kern w:val="0"/>
          <w:sz w:val="22"/>
          <w:szCs w:val="22"/>
        </w:rPr>
      </w:pPr>
      <w:r w:rsidRPr="004B1042">
        <w:rPr>
          <w:noProof/>
        </w:rPr>
        <w:t>Migration Regulations 1994</w:t>
      </w:r>
      <w:r w:rsidRPr="004B1042">
        <w:rPr>
          <w:i w:val="0"/>
          <w:noProof/>
          <w:sz w:val="18"/>
        </w:rPr>
        <w:tab/>
      </w:r>
      <w:r w:rsidRPr="004B1042">
        <w:rPr>
          <w:i w:val="0"/>
          <w:noProof/>
          <w:sz w:val="18"/>
        </w:rPr>
        <w:fldChar w:fldCharType="begin"/>
      </w:r>
      <w:r w:rsidRPr="004B1042">
        <w:rPr>
          <w:i w:val="0"/>
          <w:noProof/>
          <w:sz w:val="18"/>
        </w:rPr>
        <w:instrText xml:space="preserve"> PAGEREF _Toc72937713 \h </w:instrText>
      </w:r>
      <w:r w:rsidRPr="004B1042">
        <w:rPr>
          <w:i w:val="0"/>
          <w:noProof/>
          <w:sz w:val="18"/>
        </w:rPr>
      </w:r>
      <w:r w:rsidRPr="004B1042">
        <w:rPr>
          <w:i w:val="0"/>
          <w:noProof/>
          <w:sz w:val="18"/>
        </w:rPr>
        <w:fldChar w:fldCharType="separate"/>
      </w:r>
      <w:r w:rsidR="00E85755">
        <w:rPr>
          <w:i w:val="0"/>
          <w:noProof/>
          <w:sz w:val="18"/>
        </w:rPr>
        <w:t>2</w:t>
      </w:r>
      <w:r w:rsidRPr="004B1042">
        <w:rPr>
          <w:i w:val="0"/>
          <w:noProof/>
          <w:sz w:val="18"/>
        </w:rPr>
        <w:fldChar w:fldCharType="end"/>
      </w:r>
    </w:p>
    <w:p w14:paraId="6B76A4BE" w14:textId="61D2BEA9" w:rsidR="000E2DC6" w:rsidRPr="004B1042" w:rsidRDefault="000E2DC6">
      <w:pPr>
        <w:pStyle w:val="TOC6"/>
        <w:rPr>
          <w:rFonts w:asciiTheme="minorHAnsi" w:eastAsiaTheme="minorEastAsia" w:hAnsiTheme="minorHAnsi" w:cstheme="minorBidi"/>
          <w:b w:val="0"/>
          <w:noProof/>
          <w:kern w:val="0"/>
          <w:sz w:val="22"/>
          <w:szCs w:val="22"/>
        </w:rPr>
      </w:pPr>
      <w:r w:rsidRPr="004B1042">
        <w:rPr>
          <w:noProof/>
        </w:rPr>
        <w:t>Schedule 2—Working holiday maker visas</w:t>
      </w:r>
      <w:r w:rsidRPr="004B1042">
        <w:rPr>
          <w:b w:val="0"/>
          <w:noProof/>
          <w:sz w:val="18"/>
        </w:rPr>
        <w:tab/>
      </w:r>
      <w:r w:rsidRPr="004B1042">
        <w:rPr>
          <w:b w:val="0"/>
          <w:noProof/>
          <w:sz w:val="18"/>
        </w:rPr>
        <w:fldChar w:fldCharType="begin"/>
      </w:r>
      <w:r w:rsidRPr="004B1042">
        <w:rPr>
          <w:b w:val="0"/>
          <w:noProof/>
          <w:sz w:val="18"/>
        </w:rPr>
        <w:instrText xml:space="preserve"> PAGEREF _Toc72937720 \h </w:instrText>
      </w:r>
      <w:r w:rsidRPr="004B1042">
        <w:rPr>
          <w:b w:val="0"/>
          <w:noProof/>
          <w:sz w:val="18"/>
        </w:rPr>
      </w:r>
      <w:r w:rsidRPr="004B1042">
        <w:rPr>
          <w:b w:val="0"/>
          <w:noProof/>
          <w:sz w:val="18"/>
        </w:rPr>
        <w:fldChar w:fldCharType="separate"/>
      </w:r>
      <w:r w:rsidR="00E85755">
        <w:rPr>
          <w:b w:val="0"/>
          <w:noProof/>
          <w:sz w:val="18"/>
        </w:rPr>
        <w:t>15</w:t>
      </w:r>
      <w:r w:rsidRPr="004B1042">
        <w:rPr>
          <w:b w:val="0"/>
          <w:noProof/>
          <w:sz w:val="18"/>
        </w:rPr>
        <w:fldChar w:fldCharType="end"/>
      </w:r>
    </w:p>
    <w:p w14:paraId="419AECA2" w14:textId="4D1F6B46" w:rsidR="000E2DC6" w:rsidRPr="004B1042" w:rsidRDefault="000E2DC6">
      <w:pPr>
        <w:pStyle w:val="TOC9"/>
        <w:rPr>
          <w:rFonts w:asciiTheme="minorHAnsi" w:eastAsiaTheme="minorEastAsia" w:hAnsiTheme="minorHAnsi" w:cstheme="minorBidi"/>
          <w:i w:val="0"/>
          <w:noProof/>
          <w:kern w:val="0"/>
          <w:sz w:val="22"/>
          <w:szCs w:val="22"/>
        </w:rPr>
      </w:pPr>
      <w:r w:rsidRPr="004B1042">
        <w:rPr>
          <w:noProof/>
        </w:rPr>
        <w:t>Migration Regulations 1994</w:t>
      </w:r>
      <w:r w:rsidRPr="004B1042">
        <w:rPr>
          <w:i w:val="0"/>
          <w:noProof/>
          <w:sz w:val="18"/>
        </w:rPr>
        <w:tab/>
      </w:r>
      <w:r w:rsidRPr="004B1042">
        <w:rPr>
          <w:i w:val="0"/>
          <w:noProof/>
          <w:sz w:val="18"/>
        </w:rPr>
        <w:fldChar w:fldCharType="begin"/>
      </w:r>
      <w:r w:rsidRPr="004B1042">
        <w:rPr>
          <w:i w:val="0"/>
          <w:noProof/>
          <w:sz w:val="18"/>
        </w:rPr>
        <w:instrText xml:space="preserve"> PAGEREF _Toc72937721 \h </w:instrText>
      </w:r>
      <w:r w:rsidRPr="004B1042">
        <w:rPr>
          <w:i w:val="0"/>
          <w:noProof/>
          <w:sz w:val="18"/>
        </w:rPr>
      </w:r>
      <w:r w:rsidRPr="004B1042">
        <w:rPr>
          <w:i w:val="0"/>
          <w:noProof/>
          <w:sz w:val="18"/>
        </w:rPr>
        <w:fldChar w:fldCharType="separate"/>
      </w:r>
      <w:r w:rsidR="00E85755">
        <w:rPr>
          <w:i w:val="0"/>
          <w:noProof/>
          <w:sz w:val="18"/>
        </w:rPr>
        <w:t>15</w:t>
      </w:r>
      <w:r w:rsidRPr="004B1042">
        <w:rPr>
          <w:i w:val="0"/>
          <w:noProof/>
          <w:sz w:val="18"/>
        </w:rPr>
        <w:fldChar w:fldCharType="end"/>
      </w:r>
    </w:p>
    <w:p w14:paraId="6F74D3FF" w14:textId="7EC6BF7E" w:rsidR="000E2DC6" w:rsidRPr="004B1042" w:rsidRDefault="000E2DC6">
      <w:pPr>
        <w:pStyle w:val="TOC6"/>
        <w:rPr>
          <w:rFonts w:asciiTheme="minorHAnsi" w:eastAsiaTheme="minorEastAsia" w:hAnsiTheme="minorHAnsi" w:cstheme="minorBidi"/>
          <w:b w:val="0"/>
          <w:noProof/>
          <w:kern w:val="0"/>
          <w:sz w:val="22"/>
          <w:szCs w:val="22"/>
        </w:rPr>
      </w:pPr>
      <w:r w:rsidRPr="004B1042">
        <w:rPr>
          <w:noProof/>
        </w:rPr>
        <w:t>Schedule 3—Bridging visa amendments</w:t>
      </w:r>
      <w:r w:rsidRPr="004B1042">
        <w:rPr>
          <w:b w:val="0"/>
          <w:noProof/>
          <w:sz w:val="18"/>
        </w:rPr>
        <w:tab/>
      </w:r>
      <w:r w:rsidRPr="004B1042">
        <w:rPr>
          <w:b w:val="0"/>
          <w:noProof/>
          <w:sz w:val="18"/>
        </w:rPr>
        <w:fldChar w:fldCharType="begin"/>
      </w:r>
      <w:r w:rsidRPr="004B1042">
        <w:rPr>
          <w:b w:val="0"/>
          <w:noProof/>
          <w:sz w:val="18"/>
        </w:rPr>
        <w:instrText xml:space="preserve"> PAGEREF _Toc72937723 \h </w:instrText>
      </w:r>
      <w:r w:rsidRPr="004B1042">
        <w:rPr>
          <w:b w:val="0"/>
          <w:noProof/>
          <w:sz w:val="18"/>
        </w:rPr>
      </w:r>
      <w:r w:rsidRPr="004B1042">
        <w:rPr>
          <w:b w:val="0"/>
          <w:noProof/>
          <w:sz w:val="18"/>
        </w:rPr>
        <w:fldChar w:fldCharType="separate"/>
      </w:r>
      <w:r w:rsidR="00E85755">
        <w:rPr>
          <w:b w:val="0"/>
          <w:noProof/>
          <w:sz w:val="18"/>
        </w:rPr>
        <w:t>18</w:t>
      </w:r>
      <w:r w:rsidRPr="004B1042">
        <w:rPr>
          <w:b w:val="0"/>
          <w:noProof/>
          <w:sz w:val="18"/>
        </w:rPr>
        <w:fldChar w:fldCharType="end"/>
      </w:r>
    </w:p>
    <w:p w14:paraId="6FF5D2F9" w14:textId="7713BE60" w:rsidR="000E2DC6" w:rsidRPr="004B1042" w:rsidRDefault="000E2DC6">
      <w:pPr>
        <w:pStyle w:val="TOC9"/>
        <w:rPr>
          <w:rFonts w:asciiTheme="minorHAnsi" w:eastAsiaTheme="minorEastAsia" w:hAnsiTheme="minorHAnsi" w:cstheme="minorBidi"/>
          <w:i w:val="0"/>
          <w:noProof/>
          <w:kern w:val="0"/>
          <w:sz w:val="22"/>
          <w:szCs w:val="22"/>
        </w:rPr>
      </w:pPr>
      <w:r w:rsidRPr="004B1042">
        <w:rPr>
          <w:noProof/>
        </w:rPr>
        <w:t>Migration Regulations 1994</w:t>
      </w:r>
      <w:r w:rsidRPr="004B1042">
        <w:rPr>
          <w:i w:val="0"/>
          <w:noProof/>
          <w:sz w:val="18"/>
        </w:rPr>
        <w:tab/>
      </w:r>
      <w:r w:rsidRPr="004B1042">
        <w:rPr>
          <w:i w:val="0"/>
          <w:noProof/>
          <w:sz w:val="18"/>
        </w:rPr>
        <w:fldChar w:fldCharType="begin"/>
      </w:r>
      <w:r w:rsidRPr="004B1042">
        <w:rPr>
          <w:i w:val="0"/>
          <w:noProof/>
          <w:sz w:val="18"/>
        </w:rPr>
        <w:instrText xml:space="preserve"> PAGEREF _Toc72937724 \h </w:instrText>
      </w:r>
      <w:r w:rsidRPr="004B1042">
        <w:rPr>
          <w:i w:val="0"/>
          <w:noProof/>
          <w:sz w:val="18"/>
        </w:rPr>
      </w:r>
      <w:r w:rsidRPr="004B1042">
        <w:rPr>
          <w:i w:val="0"/>
          <w:noProof/>
          <w:sz w:val="18"/>
        </w:rPr>
        <w:fldChar w:fldCharType="separate"/>
      </w:r>
      <w:r w:rsidR="00E85755">
        <w:rPr>
          <w:i w:val="0"/>
          <w:noProof/>
          <w:sz w:val="18"/>
        </w:rPr>
        <w:t>18</w:t>
      </w:r>
      <w:r w:rsidRPr="004B1042">
        <w:rPr>
          <w:i w:val="0"/>
          <w:noProof/>
          <w:sz w:val="18"/>
        </w:rPr>
        <w:fldChar w:fldCharType="end"/>
      </w:r>
    </w:p>
    <w:p w14:paraId="44AB85AE" w14:textId="569AEB89" w:rsidR="000E2DC6" w:rsidRPr="004B1042" w:rsidRDefault="000E2DC6">
      <w:pPr>
        <w:pStyle w:val="TOC6"/>
        <w:rPr>
          <w:rFonts w:asciiTheme="minorHAnsi" w:eastAsiaTheme="minorEastAsia" w:hAnsiTheme="minorHAnsi" w:cstheme="minorBidi"/>
          <w:b w:val="0"/>
          <w:noProof/>
          <w:kern w:val="0"/>
          <w:sz w:val="22"/>
          <w:szCs w:val="22"/>
        </w:rPr>
      </w:pPr>
      <w:r w:rsidRPr="004B1042">
        <w:rPr>
          <w:noProof/>
        </w:rPr>
        <w:t>Schedule 4—Manner of reporting on arriving overseas passengers and crew members</w:t>
      </w:r>
      <w:r w:rsidRPr="004B1042">
        <w:rPr>
          <w:b w:val="0"/>
          <w:noProof/>
          <w:sz w:val="18"/>
        </w:rPr>
        <w:tab/>
      </w:r>
      <w:r w:rsidRPr="004B1042">
        <w:rPr>
          <w:b w:val="0"/>
          <w:noProof/>
          <w:sz w:val="18"/>
        </w:rPr>
        <w:fldChar w:fldCharType="begin"/>
      </w:r>
      <w:r w:rsidRPr="004B1042">
        <w:rPr>
          <w:b w:val="0"/>
          <w:noProof/>
          <w:sz w:val="18"/>
        </w:rPr>
        <w:instrText xml:space="preserve"> PAGEREF _Toc72937725 \h </w:instrText>
      </w:r>
      <w:r w:rsidRPr="004B1042">
        <w:rPr>
          <w:b w:val="0"/>
          <w:noProof/>
          <w:sz w:val="18"/>
        </w:rPr>
      </w:r>
      <w:r w:rsidRPr="004B1042">
        <w:rPr>
          <w:b w:val="0"/>
          <w:noProof/>
          <w:sz w:val="18"/>
        </w:rPr>
        <w:fldChar w:fldCharType="separate"/>
      </w:r>
      <w:r w:rsidR="00E85755">
        <w:rPr>
          <w:b w:val="0"/>
          <w:noProof/>
          <w:sz w:val="18"/>
        </w:rPr>
        <w:t>19</w:t>
      </w:r>
      <w:r w:rsidRPr="004B1042">
        <w:rPr>
          <w:b w:val="0"/>
          <w:noProof/>
          <w:sz w:val="18"/>
        </w:rPr>
        <w:fldChar w:fldCharType="end"/>
      </w:r>
    </w:p>
    <w:p w14:paraId="03343B5B" w14:textId="1E619722" w:rsidR="000E2DC6" w:rsidRPr="004B1042" w:rsidRDefault="000E2DC6">
      <w:pPr>
        <w:pStyle w:val="TOC9"/>
        <w:rPr>
          <w:rFonts w:asciiTheme="minorHAnsi" w:eastAsiaTheme="minorEastAsia" w:hAnsiTheme="minorHAnsi" w:cstheme="minorBidi"/>
          <w:i w:val="0"/>
          <w:noProof/>
          <w:kern w:val="0"/>
          <w:sz w:val="22"/>
          <w:szCs w:val="22"/>
        </w:rPr>
      </w:pPr>
      <w:r w:rsidRPr="004B1042">
        <w:rPr>
          <w:noProof/>
        </w:rPr>
        <w:t>Migration Regulations 1994</w:t>
      </w:r>
      <w:r w:rsidRPr="004B1042">
        <w:rPr>
          <w:i w:val="0"/>
          <w:noProof/>
          <w:sz w:val="18"/>
        </w:rPr>
        <w:tab/>
      </w:r>
      <w:r w:rsidRPr="004B1042">
        <w:rPr>
          <w:i w:val="0"/>
          <w:noProof/>
          <w:sz w:val="18"/>
        </w:rPr>
        <w:fldChar w:fldCharType="begin"/>
      </w:r>
      <w:r w:rsidRPr="004B1042">
        <w:rPr>
          <w:i w:val="0"/>
          <w:noProof/>
          <w:sz w:val="18"/>
        </w:rPr>
        <w:instrText xml:space="preserve"> PAGEREF _Toc72937726 \h </w:instrText>
      </w:r>
      <w:r w:rsidRPr="004B1042">
        <w:rPr>
          <w:i w:val="0"/>
          <w:noProof/>
          <w:sz w:val="18"/>
        </w:rPr>
      </w:r>
      <w:r w:rsidRPr="004B1042">
        <w:rPr>
          <w:i w:val="0"/>
          <w:noProof/>
          <w:sz w:val="18"/>
        </w:rPr>
        <w:fldChar w:fldCharType="separate"/>
      </w:r>
      <w:r w:rsidR="00E85755">
        <w:rPr>
          <w:i w:val="0"/>
          <w:noProof/>
          <w:sz w:val="18"/>
        </w:rPr>
        <w:t>19</w:t>
      </w:r>
      <w:r w:rsidRPr="004B1042">
        <w:rPr>
          <w:i w:val="0"/>
          <w:noProof/>
          <w:sz w:val="18"/>
        </w:rPr>
        <w:fldChar w:fldCharType="end"/>
      </w:r>
    </w:p>
    <w:p w14:paraId="05D5CF0E" w14:textId="24A94726" w:rsidR="000E2DC6" w:rsidRPr="004B1042" w:rsidRDefault="000E2DC6">
      <w:pPr>
        <w:pStyle w:val="TOC6"/>
        <w:rPr>
          <w:rFonts w:asciiTheme="minorHAnsi" w:eastAsiaTheme="minorEastAsia" w:hAnsiTheme="minorHAnsi" w:cstheme="minorBidi"/>
          <w:b w:val="0"/>
          <w:noProof/>
          <w:kern w:val="0"/>
          <w:sz w:val="22"/>
          <w:szCs w:val="22"/>
        </w:rPr>
      </w:pPr>
      <w:r w:rsidRPr="004B1042">
        <w:rPr>
          <w:noProof/>
        </w:rPr>
        <w:t>Schedule 5—Changes to citizenship fees</w:t>
      </w:r>
      <w:r w:rsidRPr="004B1042">
        <w:rPr>
          <w:b w:val="0"/>
          <w:noProof/>
          <w:sz w:val="18"/>
        </w:rPr>
        <w:tab/>
      </w:r>
      <w:r w:rsidRPr="004B1042">
        <w:rPr>
          <w:b w:val="0"/>
          <w:noProof/>
          <w:sz w:val="18"/>
        </w:rPr>
        <w:fldChar w:fldCharType="begin"/>
      </w:r>
      <w:r w:rsidRPr="004B1042">
        <w:rPr>
          <w:b w:val="0"/>
          <w:noProof/>
          <w:sz w:val="18"/>
        </w:rPr>
        <w:instrText xml:space="preserve"> PAGEREF _Toc72937727 \h </w:instrText>
      </w:r>
      <w:r w:rsidRPr="004B1042">
        <w:rPr>
          <w:b w:val="0"/>
          <w:noProof/>
          <w:sz w:val="18"/>
        </w:rPr>
      </w:r>
      <w:r w:rsidRPr="004B1042">
        <w:rPr>
          <w:b w:val="0"/>
          <w:noProof/>
          <w:sz w:val="18"/>
        </w:rPr>
        <w:fldChar w:fldCharType="separate"/>
      </w:r>
      <w:r w:rsidR="00E85755">
        <w:rPr>
          <w:b w:val="0"/>
          <w:noProof/>
          <w:sz w:val="18"/>
        </w:rPr>
        <w:t>20</w:t>
      </w:r>
      <w:r w:rsidRPr="004B1042">
        <w:rPr>
          <w:b w:val="0"/>
          <w:noProof/>
          <w:sz w:val="18"/>
        </w:rPr>
        <w:fldChar w:fldCharType="end"/>
      </w:r>
    </w:p>
    <w:p w14:paraId="7674FA04" w14:textId="674329E3" w:rsidR="000E2DC6" w:rsidRPr="004B1042" w:rsidRDefault="000E2DC6">
      <w:pPr>
        <w:pStyle w:val="TOC9"/>
        <w:rPr>
          <w:rFonts w:asciiTheme="minorHAnsi" w:eastAsiaTheme="minorEastAsia" w:hAnsiTheme="minorHAnsi" w:cstheme="minorBidi"/>
          <w:i w:val="0"/>
          <w:noProof/>
          <w:kern w:val="0"/>
          <w:sz w:val="22"/>
          <w:szCs w:val="22"/>
        </w:rPr>
      </w:pPr>
      <w:r w:rsidRPr="004B1042">
        <w:rPr>
          <w:noProof/>
        </w:rPr>
        <w:t>Australian Citizenship Regulation 2016</w:t>
      </w:r>
      <w:r w:rsidRPr="004B1042">
        <w:rPr>
          <w:i w:val="0"/>
          <w:noProof/>
          <w:sz w:val="18"/>
        </w:rPr>
        <w:tab/>
      </w:r>
      <w:r w:rsidRPr="004B1042">
        <w:rPr>
          <w:i w:val="0"/>
          <w:noProof/>
          <w:sz w:val="18"/>
        </w:rPr>
        <w:fldChar w:fldCharType="begin"/>
      </w:r>
      <w:r w:rsidRPr="004B1042">
        <w:rPr>
          <w:i w:val="0"/>
          <w:noProof/>
          <w:sz w:val="18"/>
        </w:rPr>
        <w:instrText xml:space="preserve"> PAGEREF _Toc72937728 \h </w:instrText>
      </w:r>
      <w:r w:rsidRPr="004B1042">
        <w:rPr>
          <w:i w:val="0"/>
          <w:noProof/>
          <w:sz w:val="18"/>
        </w:rPr>
      </w:r>
      <w:r w:rsidRPr="004B1042">
        <w:rPr>
          <w:i w:val="0"/>
          <w:noProof/>
          <w:sz w:val="18"/>
        </w:rPr>
        <w:fldChar w:fldCharType="separate"/>
      </w:r>
      <w:r w:rsidR="00E85755">
        <w:rPr>
          <w:i w:val="0"/>
          <w:noProof/>
          <w:sz w:val="18"/>
        </w:rPr>
        <w:t>20</w:t>
      </w:r>
      <w:r w:rsidRPr="004B1042">
        <w:rPr>
          <w:i w:val="0"/>
          <w:noProof/>
          <w:sz w:val="18"/>
        </w:rPr>
        <w:fldChar w:fldCharType="end"/>
      </w:r>
    </w:p>
    <w:p w14:paraId="00A8698D" w14:textId="323E200D" w:rsidR="000E2DC6" w:rsidRPr="004B1042" w:rsidRDefault="000E2DC6">
      <w:pPr>
        <w:pStyle w:val="TOC6"/>
        <w:rPr>
          <w:rFonts w:asciiTheme="minorHAnsi" w:eastAsiaTheme="minorEastAsia" w:hAnsiTheme="minorHAnsi" w:cstheme="minorBidi"/>
          <w:b w:val="0"/>
          <w:noProof/>
          <w:kern w:val="0"/>
          <w:sz w:val="22"/>
          <w:szCs w:val="22"/>
        </w:rPr>
      </w:pPr>
      <w:r w:rsidRPr="004B1042">
        <w:rPr>
          <w:noProof/>
        </w:rPr>
        <w:t>Schedule 6—Payment of citizenship fees in foreign currencies</w:t>
      </w:r>
      <w:r w:rsidRPr="004B1042">
        <w:rPr>
          <w:b w:val="0"/>
          <w:noProof/>
          <w:sz w:val="18"/>
        </w:rPr>
        <w:tab/>
      </w:r>
      <w:r w:rsidRPr="004B1042">
        <w:rPr>
          <w:b w:val="0"/>
          <w:noProof/>
          <w:sz w:val="18"/>
        </w:rPr>
        <w:fldChar w:fldCharType="begin"/>
      </w:r>
      <w:r w:rsidRPr="004B1042">
        <w:rPr>
          <w:b w:val="0"/>
          <w:noProof/>
          <w:sz w:val="18"/>
        </w:rPr>
        <w:instrText xml:space="preserve"> PAGEREF _Toc72937729 \h </w:instrText>
      </w:r>
      <w:r w:rsidRPr="004B1042">
        <w:rPr>
          <w:b w:val="0"/>
          <w:noProof/>
          <w:sz w:val="18"/>
        </w:rPr>
      </w:r>
      <w:r w:rsidRPr="004B1042">
        <w:rPr>
          <w:b w:val="0"/>
          <w:noProof/>
          <w:sz w:val="18"/>
        </w:rPr>
        <w:fldChar w:fldCharType="separate"/>
      </w:r>
      <w:r w:rsidR="00E85755">
        <w:rPr>
          <w:b w:val="0"/>
          <w:noProof/>
          <w:sz w:val="18"/>
        </w:rPr>
        <w:t>22</w:t>
      </w:r>
      <w:r w:rsidRPr="004B1042">
        <w:rPr>
          <w:b w:val="0"/>
          <w:noProof/>
          <w:sz w:val="18"/>
        </w:rPr>
        <w:fldChar w:fldCharType="end"/>
      </w:r>
    </w:p>
    <w:p w14:paraId="57E60563" w14:textId="4DEA7342" w:rsidR="000E2DC6" w:rsidRPr="004B1042" w:rsidRDefault="000E2DC6">
      <w:pPr>
        <w:pStyle w:val="TOC9"/>
        <w:rPr>
          <w:rFonts w:asciiTheme="minorHAnsi" w:eastAsiaTheme="minorEastAsia" w:hAnsiTheme="minorHAnsi" w:cstheme="minorBidi"/>
          <w:i w:val="0"/>
          <w:noProof/>
          <w:kern w:val="0"/>
          <w:sz w:val="22"/>
          <w:szCs w:val="22"/>
        </w:rPr>
      </w:pPr>
      <w:r w:rsidRPr="004B1042">
        <w:rPr>
          <w:noProof/>
        </w:rPr>
        <w:t>Australian Citizenship Regulation 2016</w:t>
      </w:r>
      <w:r w:rsidRPr="004B1042">
        <w:rPr>
          <w:i w:val="0"/>
          <w:noProof/>
          <w:sz w:val="18"/>
        </w:rPr>
        <w:tab/>
      </w:r>
      <w:r w:rsidRPr="004B1042">
        <w:rPr>
          <w:i w:val="0"/>
          <w:noProof/>
          <w:sz w:val="18"/>
        </w:rPr>
        <w:fldChar w:fldCharType="begin"/>
      </w:r>
      <w:r w:rsidRPr="004B1042">
        <w:rPr>
          <w:i w:val="0"/>
          <w:noProof/>
          <w:sz w:val="18"/>
        </w:rPr>
        <w:instrText xml:space="preserve"> PAGEREF _Toc72937730 \h </w:instrText>
      </w:r>
      <w:r w:rsidRPr="004B1042">
        <w:rPr>
          <w:i w:val="0"/>
          <w:noProof/>
          <w:sz w:val="18"/>
        </w:rPr>
      </w:r>
      <w:r w:rsidRPr="004B1042">
        <w:rPr>
          <w:i w:val="0"/>
          <w:noProof/>
          <w:sz w:val="18"/>
        </w:rPr>
        <w:fldChar w:fldCharType="separate"/>
      </w:r>
      <w:r w:rsidR="00E85755">
        <w:rPr>
          <w:i w:val="0"/>
          <w:noProof/>
          <w:sz w:val="18"/>
        </w:rPr>
        <w:t>22</w:t>
      </w:r>
      <w:r w:rsidRPr="004B1042">
        <w:rPr>
          <w:i w:val="0"/>
          <w:noProof/>
          <w:sz w:val="18"/>
        </w:rPr>
        <w:fldChar w:fldCharType="end"/>
      </w:r>
    </w:p>
    <w:p w14:paraId="2E698587" w14:textId="62FC7D28" w:rsidR="000E2DC6" w:rsidRPr="004B1042" w:rsidRDefault="000E2DC6">
      <w:pPr>
        <w:pStyle w:val="TOC6"/>
        <w:rPr>
          <w:rFonts w:asciiTheme="minorHAnsi" w:eastAsiaTheme="minorEastAsia" w:hAnsiTheme="minorHAnsi" w:cstheme="minorBidi"/>
          <w:b w:val="0"/>
          <w:noProof/>
          <w:kern w:val="0"/>
          <w:sz w:val="22"/>
          <w:szCs w:val="22"/>
        </w:rPr>
      </w:pPr>
      <w:r w:rsidRPr="004B1042">
        <w:rPr>
          <w:noProof/>
        </w:rPr>
        <w:t>Schedule 7—Application, saving and transitional provisions</w:t>
      </w:r>
      <w:r w:rsidRPr="004B1042">
        <w:rPr>
          <w:b w:val="0"/>
          <w:noProof/>
          <w:sz w:val="18"/>
        </w:rPr>
        <w:tab/>
      </w:r>
      <w:r w:rsidRPr="004B1042">
        <w:rPr>
          <w:b w:val="0"/>
          <w:noProof/>
          <w:sz w:val="18"/>
        </w:rPr>
        <w:fldChar w:fldCharType="begin"/>
      </w:r>
      <w:r w:rsidRPr="004B1042">
        <w:rPr>
          <w:b w:val="0"/>
          <w:noProof/>
          <w:sz w:val="18"/>
        </w:rPr>
        <w:instrText xml:space="preserve"> PAGEREF _Toc72937731 \h </w:instrText>
      </w:r>
      <w:r w:rsidRPr="004B1042">
        <w:rPr>
          <w:b w:val="0"/>
          <w:noProof/>
          <w:sz w:val="18"/>
        </w:rPr>
      </w:r>
      <w:r w:rsidRPr="004B1042">
        <w:rPr>
          <w:b w:val="0"/>
          <w:noProof/>
          <w:sz w:val="18"/>
        </w:rPr>
        <w:fldChar w:fldCharType="separate"/>
      </w:r>
      <w:r w:rsidR="00E85755">
        <w:rPr>
          <w:b w:val="0"/>
          <w:noProof/>
          <w:sz w:val="18"/>
        </w:rPr>
        <w:t>23</w:t>
      </w:r>
      <w:r w:rsidRPr="004B1042">
        <w:rPr>
          <w:b w:val="0"/>
          <w:noProof/>
          <w:sz w:val="18"/>
        </w:rPr>
        <w:fldChar w:fldCharType="end"/>
      </w:r>
    </w:p>
    <w:p w14:paraId="213453D4" w14:textId="2408A2F7" w:rsidR="000E2DC6" w:rsidRPr="004B1042" w:rsidRDefault="000E2DC6">
      <w:pPr>
        <w:pStyle w:val="TOC9"/>
        <w:rPr>
          <w:rFonts w:asciiTheme="minorHAnsi" w:eastAsiaTheme="minorEastAsia" w:hAnsiTheme="minorHAnsi" w:cstheme="minorBidi"/>
          <w:i w:val="0"/>
          <w:noProof/>
          <w:kern w:val="0"/>
          <w:sz w:val="22"/>
          <w:szCs w:val="22"/>
        </w:rPr>
      </w:pPr>
      <w:r w:rsidRPr="004B1042">
        <w:rPr>
          <w:noProof/>
        </w:rPr>
        <w:t>Australian Citizenship Regulation 2016</w:t>
      </w:r>
      <w:r w:rsidRPr="004B1042">
        <w:rPr>
          <w:i w:val="0"/>
          <w:noProof/>
          <w:sz w:val="18"/>
        </w:rPr>
        <w:tab/>
      </w:r>
      <w:r w:rsidRPr="004B1042">
        <w:rPr>
          <w:i w:val="0"/>
          <w:noProof/>
          <w:sz w:val="18"/>
        </w:rPr>
        <w:fldChar w:fldCharType="begin"/>
      </w:r>
      <w:r w:rsidRPr="004B1042">
        <w:rPr>
          <w:i w:val="0"/>
          <w:noProof/>
          <w:sz w:val="18"/>
        </w:rPr>
        <w:instrText xml:space="preserve"> PAGEREF _Toc72937732 \h </w:instrText>
      </w:r>
      <w:r w:rsidRPr="004B1042">
        <w:rPr>
          <w:i w:val="0"/>
          <w:noProof/>
          <w:sz w:val="18"/>
        </w:rPr>
      </w:r>
      <w:r w:rsidRPr="004B1042">
        <w:rPr>
          <w:i w:val="0"/>
          <w:noProof/>
          <w:sz w:val="18"/>
        </w:rPr>
        <w:fldChar w:fldCharType="separate"/>
      </w:r>
      <w:r w:rsidR="00E85755">
        <w:rPr>
          <w:i w:val="0"/>
          <w:noProof/>
          <w:sz w:val="18"/>
        </w:rPr>
        <w:t>23</w:t>
      </w:r>
      <w:r w:rsidRPr="004B1042">
        <w:rPr>
          <w:i w:val="0"/>
          <w:noProof/>
          <w:sz w:val="18"/>
        </w:rPr>
        <w:fldChar w:fldCharType="end"/>
      </w:r>
    </w:p>
    <w:p w14:paraId="6F809FF0" w14:textId="69052984" w:rsidR="000E2DC6" w:rsidRPr="004B1042" w:rsidRDefault="000E2DC6">
      <w:pPr>
        <w:pStyle w:val="TOC9"/>
        <w:rPr>
          <w:rFonts w:asciiTheme="minorHAnsi" w:eastAsiaTheme="minorEastAsia" w:hAnsiTheme="minorHAnsi" w:cstheme="minorBidi"/>
          <w:i w:val="0"/>
          <w:noProof/>
          <w:kern w:val="0"/>
          <w:sz w:val="22"/>
          <w:szCs w:val="22"/>
        </w:rPr>
      </w:pPr>
      <w:r w:rsidRPr="004B1042">
        <w:rPr>
          <w:noProof/>
        </w:rPr>
        <w:t>Migration Regulations 1994</w:t>
      </w:r>
      <w:r w:rsidRPr="004B1042">
        <w:rPr>
          <w:i w:val="0"/>
          <w:noProof/>
          <w:sz w:val="18"/>
        </w:rPr>
        <w:tab/>
      </w:r>
      <w:r w:rsidRPr="004B1042">
        <w:rPr>
          <w:i w:val="0"/>
          <w:noProof/>
          <w:sz w:val="18"/>
        </w:rPr>
        <w:fldChar w:fldCharType="begin"/>
      </w:r>
      <w:r w:rsidRPr="004B1042">
        <w:rPr>
          <w:i w:val="0"/>
          <w:noProof/>
          <w:sz w:val="18"/>
        </w:rPr>
        <w:instrText xml:space="preserve"> PAGEREF _Toc72937735 \h </w:instrText>
      </w:r>
      <w:r w:rsidRPr="004B1042">
        <w:rPr>
          <w:i w:val="0"/>
          <w:noProof/>
          <w:sz w:val="18"/>
        </w:rPr>
      </w:r>
      <w:r w:rsidRPr="004B1042">
        <w:rPr>
          <w:i w:val="0"/>
          <w:noProof/>
          <w:sz w:val="18"/>
        </w:rPr>
        <w:fldChar w:fldCharType="separate"/>
      </w:r>
      <w:r w:rsidR="00E85755">
        <w:rPr>
          <w:i w:val="0"/>
          <w:noProof/>
          <w:sz w:val="18"/>
        </w:rPr>
        <w:t>23</w:t>
      </w:r>
      <w:r w:rsidRPr="004B1042">
        <w:rPr>
          <w:i w:val="0"/>
          <w:noProof/>
          <w:sz w:val="18"/>
        </w:rPr>
        <w:fldChar w:fldCharType="end"/>
      </w:r>
    </w:p>
    <w:p w14:paraId="3484B5AC" w14:textId="77777777" w:rsidR="0048364F" w:rsidRPr="004B1042" w:rsidRDefault="000E2DC6" w:rsidP="0048364F">
      <w:r w:rsidRPr="004B1042">
        <w:fldChar w:fldCharType="end"/>
      </w:r>
    </w:p>
    <w:p w14:paraId="623A4825" w14:textId="77777777" w:rsidR="0048364F" w:rsidRPr="004B1042" w:rsidRDefault="0048364F" w:rsidP="0048364F">
      <w:pPr>
        <w:sectPr w:rsidR="0048364F" w:rsidRPr="004B1042" w:rsidSect="00E95BCC">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70EEAA46" w14:textId="77777777" w:rsidR="0048364F" w:rsidRPr="004B1042" w:rsidRDefault="0048364F" w:rsidP="0048364F">
      <w:pPr>
        <w:pStyle w:val="ActHead5"/>
      </w:pPr>
      <w:bookmarkStart w:id="0" w:name="_Toc72937708"/>
      <w:r w:rsidRPr="00154C09">
        <w:rPr>
          <w:rStyle w:val="CharSectno"/>
        </w:rPr>
        <w:lastRenderedPageBreak/>
        <w:t>1</w:t>
      </w:r>
      <w:r w:rsidRPr="004B1042">
        <w:t xml:space="preserve">  </w:t>
      </w:r>
      <w:r w:rsidR="004F676E" w:rsidRPr="004B1042">
        <w:t>Name</w:t>
      </w:r>
      <w:bookmarkEnd w:id="0"/>
    </w:p>
    <w:p w14:paraId="0F0742C8" w14:textId="77777777" w:rsidR="0048364F" w:rsidRPr="004B1042" w:rsidRDefault="0048364F" w:rsidP="0048364F">
      <w:pPr>
        <w:pStyle w:val="subsection"/>
      </w:pPr>
      <w:r w:rsidRPr="004B1042">
        <w:tab/>
      </w:r>
      <w:r w:rsidRPr="004B1042">
        <w:tab/>
      </w:r>
      <w:r w:rsidR="00E753A4" w:rsidRPr="004B1042">
        <w:t>This instrument is</w:t>
      </w:r>
      <w:r w:rsidRPr="004B1042">
        <w:t xml:space="preserve"> the </w:t>
      </w:r>
      <w:r w:rsidR="004B1042" w:rsidRPr="004B1042">
        <w:rPr>
          <w:i/>
          <w:noProof/>
        </w:rPr>
        <w:t>Home Affairs Legislation Amendment (2021 Measures No. 1) Regulations 2021</w:t>
      </w:r>
      <w:r w:rsidRPr="004B1042">
        <w:t>.</w:t>
      </w:r>
    </w:p>
    <w:p w14:paraId="2499B62B" w14:textId="77777777" w:rsidR="004F676E" w:rsidRPr="004B1042" w:rsidRDefault="0048364F" w:rsidP="005452CC">
      <w:pPr>
        <w:pStyle w:val="ActHead5"/>
      </w:pPr>
      <w:bookmarkStart w:id="1" w:name="_Toc72937709"/>
      <w:r w:rsidRPr="00154C09">
        <w:rPr>
          <w:rStyle w:val="CharSectno"/>
        </w:rPr>
        <w:t>2</w:t>
      </w:r>
      <w:r w:rsidRPr="004B1042">
        <w:t xml:space="preserve">  Commencement</w:t>
      </w:r>
      <w:bookmarkEnd w:id="1"/>
    </w:p>
    <w:p w14:paraId="37EE5C59" w14:textId="77777777" w:rsidR="005452CC" w:rsidRPr="004B1042" w:rsidRDefault="005452CC" w:rsidP="00045F60">
      <w:pPr>
        <w:pStyle w:val="subsection"/>
      </w:pPr>
      <w:bookmarkStart w:id="2" w:name="_GoBack"/>
      <w:r w:rsidRPr="004B1042">
        <w:tab/>
        <w:t>(1)</w:t>
      </w:r>
      <w:r w:rsidRPr="004B1042">
        <w:tab/>
        <w:t xml:space="preserve">Each provision of </w:t>
      </w:r>
      <w:r w:rsidR="00E753A4" w:rsidRPr="004B1042">
        <w:t>this instrument</w:t>
      </w:r>
      <w:r w:rsidRPr="004B1042">
        <w:t xml:space="preserve"> specified in column 1 of the table commences, or is taken to have commenced, in accordance with column 2 of the table. Any other statement in column 2 has effect according to its terms.</w:t>
      </w:r>
      <w:bookmarkEnd w:id="2"/>
    </w:p>
    <w:p w14:paraId="4E599C2C" w14:textId="77777777" w:rsidR="005452CC" w:rsidRPr="004B1042" w:rsidRDefault="005452CC" w:rsidP="00045F6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4B1042" w14:paraId="6350A76B" w14:textId="77777777" w:rsidTr="00AD7252">
        <w:trPr>
          <w:tblHeader/>
        </w:trPr>
        <w:tc>
          <w:tcPr>
            <w:tcW w:w="8364" w:type="dxa"/>
            <w:gridSpan w:val="3"/>
            <w:tcBorders>
              <w:top w:val="single" w:sz="12" w:space="0" w:color="auto"/>
              <w:bottom w:val="single" w:sz="6" w:space="0" w:color="auto"/>
            </w:tcBorders>
            <w:shd w:val="clear" w:color="auto" w:fill="auto"/>
            <w:hideMark/>
          </w:tcPr>
          <w:p w14:paraId="5EC915A8" w14:textId="77777777" w:rsidR="005452CC" w:rsidRPr="004B1042" w:rsidRDefault="005452CC" w:rsidP="00045F60">
            <w:pPr>
              <w:pStyle w:val="TableHeading"/>
            </w:pPr>
            <w:r w:rsidRPr="004B1042">
              <w:t>Commencement information</w:t>
            </w:r>
          </w:p>
        </w:tc>
      </w:tr>
      <w:tr w:rsidR="005452CC" w:rsidRPr="004B1042" w14:paraId="5453088B" w14:textId="77777777" w:rsidTr="00AD7252">
        <w:trPr>
          <w:tblHeader/>
        </w:trPr>
        <w:tc>
          <w:tcPr>
            <w:tcW w:w="2127" w:type="dxa"/>
            <w:tcBorders>
              <w:top w:val="single" w:sz="6" w:space="0" w:color="auto"/>
              <w:bottom w:val="single" w:sz="6" w:space="0" w:color="auto"/>
            </w:tcBorders>
            <w:shd w:val="clear" w:color="auto" w:fill="auto"/>
            <w:hideMark/>
          </w:tcPr>
          <w:p w14:paraId="2833A876" w14:textId="77777777" w:rsidR="005452CC" w:rsidRPr="004B1042" w:rsidRDefault="005452CC" w:rsidP="00045F60">
            <w:pPr>
              <w:pStyle w:val="TableHeading"/>
            </w:pPr>
            <w:r w:rsidRPr="004B1042">
              <w:t>Column 1</w:t>
            </w:r>
          </w:p>
        </w:tc>
        <w:tc>
          <w:tcPr>
            <w:tcW w:w="4394" w:type="dxa"/>
            <w:tcBorders>
              <w:top w:val="single" w:sz="6" w:space="0" w:color="auto"/>
              <w:bottom w:val="single" w:sz="6" w:space="0" w:color="auto"/>
            </w:tcBorders>
            <w:shd w:val="clear" w:color="auto" w:fill="auto"/>
            <w:hideMark/>
          </w:tcPr>
          <w:p w14:paraId="60D2829E" w14:textId="77777777" w:rsidR="005452CC" w:rsidRPr="004B1042" w:rsidRDefault="005452CC" w:rsidP="00045F60">
            <w:pPr>
              <w:pStyle w:val="TableHeading"/>
            </w:pPr>
            <w:r w:rsidRPr="004B1042">
              <w:t>Column 2</w:t>
            </w:r>
          </w:p>
        </w:tc>
        <w:tc>
          <w:tcPr>
            <w:tcW w:w="1843" w:type="dxa"/>
            <w:tcBorders>
              <w:top w:val="single" w:sz="6" w:space="0" w:color="auto"/>
              <w:bottom w:val="single" w:sz="6" w:space="0" w:color="auto"/>
            </w:tcBorders>
            <w:shd w:val="clear" w:color="auto" w:fill="auto"/>
            <w:hideMark/>
          </w:tcPr>
          <w:p w14:paraId="06E9D9BE" w14:textId="77777777" w:rsidR="005452CC" w:rsidRPr="004B1042" w:rsidRDefault="005452CC" w:rsidP="00045F60">
            <w:pPr>
              <w:pStyle w:val="TableHeading"/>
            </w:pPr>
            <w:r w:rsidRPr="004B1042">
              <w:t>Column 3</w:t>
            </w:r>
          </w:p>
        </w:tc>
      </w:tr>
      <w:tr w:rsidR="005452CC" w:rsidRPr="004B1042" w14:paraId="3CC21D09" w14:textId="77777777" w:rsidTr="00AD7252">
        <w:trPr>
          <w:tblHeader/>
        </w:trPr>
        <w:tc>
          <w:tcPr>
            <w:tcW w:w="2127" w:type="dxa"/>
            <w:tcBorders>
              <w:top w:val="single" w:sz="6" w:space="0" w:color="auto"/>
              <w:bottom w:val="single" w:sz="12" w:space="0" w:color="auto"/>
            </w:tcBorders>
            <w:shd w:val="clear" w:color="auto" w:fill="auto"/>
            <w:hideMark/>
          </w:tcPr>
          <w:p w14:paraId="107B9105" w14:textId="77777777" w:rsidR="005452CC" w:rsidRPr="004B1042" w:rsidRDefault="005452CC" w:rsidP="00045F60">
            <w:pPr>
              <w:pStyle w:val="TableHeading"/>
            </w:pPr>
            <w:r w:rsidRPr="004B1042">
              <w:t>Provisions</w:t>
            </w:r>
          </w:p>
        </w:tc>
        <w:tc>
          <w:tcPr>
            <w:tcW w:w="4394" w:type="dxa"/>
            <w:tcBorders>
              <w:top w:val="single" w:sz="6" w:space="0" w:color="auto"/>
              <w:bottom w:val="single" w:sz="12" w:space="0" w:color="auto"/>
            </w:tcBorders>
            <w:shd w:val="clear" w:color="auto" w:fill="auto"/>
            <w:hideMark/>
          </w:tcPr>
          <w:p w14:paraId="6F771C18" w14:textId="77777777" w:rsidR="005452CC" w:rsidRPr="004B1042" w:rsidRDefault="005452CC" w:rsidP="00045F60">
            <w:pPr>
              <w:pStyle w:val="TableHeading"/>
            </w:pPr>
            <w:r w:rsidRPr="004B1042">
              <w:t>Commencement</w:t>
            </w:r>
          </w:p>
        </w:tc>
        <w:tc>
          <w:tcPr>
            <w:tcW w:w="1843" w:type="dxa"/>
            <w:tcBorders>
              <w:top w:val="single" w:sz="6" w:space="0" w:color="auto"/>
              <w:bottom w:val="single" w:sz="12" w:space="0" w:color="auto"/>
            </w:tcBorders>
            <w:shd w:val="clear" w:color="auto" w:fill="auto"/>
            <w:hideMark/>
          </w:tcPr>
          <w:p w14:paraId="477DB629" w14:textId="77777777" w:rsidR="005452CC" w:rsidRPr="004B1042" w:rsidRDefault="005452CC" w:rsidP="00045F60">
            <w:pPr>
              <w:pStyle w:val="TableHeading"/>
            </w:pPr>
            <w:r w:rsidRPr="004B1042">
              <w:t>Date/Details</w:t>
            </w:r>
          </w:p>
        </w:tc>
      </w:tr>
      <w:tr w:rsidR="005452CC" w:rsidRPr="004B1042" w14:paraId="0463A588" w14:textId="77777777" w:rsidTr="00AD7252">
        <w:tc>
          <w:tcPr>
            <w:tcW w:w="2127" w:type="dxa"/>
            <w:tcBorders>
              <w:top w:val="single" w:sz="12" w:space="0" w:color="auto"/>
              <w:bottom w:val="single" w:sz="12" w:space="0" w:color="auto"/>
            </w:tcBorders>
            <w:shd w:val="clear" w:color="auto" w:fill="auto"/>
            <w:hideMark/>
          </w:tcPr>
          <w:p w14:paraId="7DE0A973" w14:textId="77777777" w:rsidR="005452CC" w:rsidRPr="004B1042" w:rsidRDefault="005452CC" w:rsidP="00AD7252">
            <w:pPr>
              <w:pStyle w:val="Tabletext"/>
            </w:pPr>
            <w:r w:rsidRPr="004B1042">
              <w:t xml:space="preserve">1.  </w:t>
            </w:r>
            <w:r w:rsidR="00AD7252" w:rsidRPr="004B1042">
              <w:t xml:space="preserve">The whole of </w:t>
            </w:r>
            <w:r w:rsidR="00E753A4" w:rsidRPr="004B1042">
              <w:t>this instrument</w:t>
            </w:r>
          </w:p>
        </w:tc>
        <w:tc>
          <w:tcPr>
            <w:tcW w:w="4394" w:type="dxa"/>
            <w:tcBorders>
              <w:top w:val="single" w:sz="12" w:space="0" w:color="auto"/>
              <w:bottom w:val="single" w:sz="12" w:space="0" w:color="auto"/>
            </w:tcBorders>
            <w:shd w:val="clear" w:color="auto" w:fill="auto"/>
            <w:hideMark/>
          </w:tcPr>
          <w:p w14:paraId="2ED1900C" w14:textId="77777777" w:rsidR="005452CC" w:rsidRPr="004B1042" w:rsidRDefault="00AD234F" w:rsidP="005452CC">
            <w:pPr>
              <w:pStyle w:val="Tabletext"/>
            </w:pPr>
            <w:r w:rsidRPr="004B1042">
              <w:t>1 July</w:t>
            </w:r>
            <w:r w:rsidR="008F44A7" w:rsidRPr="004B1042">
              <w:t xml:space="preserve"> 2021.</w:t>
            </w:r>
          </w:p>
        </w:tc>
        <w:tc>
          <w:tcPr>
            <w:tcW w:w="1843" w:type="dxa"/>
            <w:tcBorders>
              <w:top w:val="single" w:sz="12" w:space="0" w:color="auto"/>
              <w:bottom w:val="single" w:sz="12" w:space="0" w:color="auto"/>
            </w:tcBorders>
            <w:shd w:val="clear" w:color="auto" w:fill="auto"/>
          </w:tcPr>
          <w:p w14:paraId="388FEC29" w14:textId="77777777" w:rsidR="005452CC" w:rsidRPr="004B1042" w:rsidRDefault="00AD234F">
            <w:pPr>
              <w:pStyle w:val="Tabletext"/>
            </w:pPr>
            <w:r w:rsidRPr="004B1042">
              <w:t>1 July</w:t>
            </w:r>
            <w:r w:rsidR="008F44A7" w:rsidRPr="004B1042">
              <w:t xml:space="preserve"> 2021</w:t>
            </w:r>
          </w:p>
        </w:tc>
      </w:tr>
    </w:tbl>
    <w:p w14:paraId="7DD21491" w14:textId="77777777" w:rsidR="005452CC" w:rsidRPr="004B1042" w:rsidRDefault="005452CC" w:rsidP="00045F60">
      <w:pPr>
        <w:pStyle w:val="notetext"/>
      </w:pPr>
      <w:r w:rsidRPr="004B1042">
        <w:rPr>
          <w:snapToGrid w:val="0"/>
          <w:lang w:eastAsia="en-US"/>
        </w:rPr>
        <w:t>Note:</w:t>
      </w:r>
      <w:r w:rsidRPr="004B1042">
        <w:rPr>
          <w:snapToGrid w:val="0"/>
          <w:lang w:eastAsia="en-US"/>
        </w:rPr>
        <w:tab/>
        <w:t xml:space="preserve">This table relates only to the provisions of </w:t>
      </w:r>
      <w:r w:rsidR="00E753A4" w:rsidRPr="004B1042">
        <w:rPr>
          <w:snapToGrid w:val="0"/>
          <w:lang w:eastAsia="en-US"/>
        </w:rPr>
        <w:t>this instrument</w:t>
      </w:r>
      <w:r w:rsidRPr="004B1042">
        <w:t xml:space="preserve"> </w:t>
      </w:r>
      <w:r w:rsidRPr="004B1042">
        <w:rPr>
          <w:snapToGrid w:val="0"/>
          <w:lang w:eastAsia="en-US"/>
        </w:rPr>
        <w:t xml:space="preserve">as originally made. It will not be amended to deal with any later amendments of </w:t>
      </w:r>
      <w:r w:rsidR="00E753A4" w:rsidRPr="004B1042">
        <w:rPr>
          <w:snapToGrid w:val="0"/>
          <w:lang w:eastAsia="en-US"/>
        </w:rPr>
        <w:t>this instrument</w:t>
      </w:r>
      <w:r w:rsidRPr="004B1042">
        <w:rPr>
          <w:snapToGrid w:val="0"/>
          <w:lang w:eastAsia="en-US"/>
        </w:rPr>
        <w:t>.</w:t>
      </w:r>
    </w:p>
    <w:p w14:paraId="7F6BE76C" w14:textId="77777777" w:rsidR="005452CC" w:rsidRPr="004B1042" w:rsidRDefault="005452CC" w:rsidP="004F676E">
      <w:pPr>
        <w:pStyle w:val="subsection"/>
      </w:pPr>
      <w:r w:rsidRPr="004B1042">
        <w:tab/>
        <w:t>(2)</w:t>
      </w:r>
      <w:r w:rsidRPr="004B1042">
        <w:tab/>
        <w:t xml:space="preserve">Any information in column 3 of the table is not part of </w:t>
      </w:r>
      <w:r w:rsidR="00E753A4" w:rsidRPr="004B1042">
        <w:t>this instrument</w:t>
      </w:r>
      <w:r w:rsidRPr="004B1042">
        <w:t xml:space="preserve">. Information may be inserted in this column, or information in it may be edited, in any published version of </w:t>
      </w:r>
      <w:r w:rsidR="00E753A4" w:rsidRPr="004B1042">
        <w:t>this instrument</w:t>
      </w:r>
      <w:r w:rsidRPr="004B1042">
        <w:t>.</w:t>
      </w:r>
    </w:p>
    <w:p w14:paraId="699A1809" w14:textId="77777777" w:rsidR="00BF6650" w:rsidRPr="004B1042" w:rsidRDefault="00BF6650" w:rsidP="00BF6650">
      <w:pPr>
        <w:pStyle w:val="ActHead5"/>
      </w:pPr>
      <w:bookmarkStart w:id="3" w:name="_Toc72937710"/>
      <w:r w:rsidRPr="00154C09">
        <w:rPr>
          <w:rStyle w:val="CharSectno"/>
        </w:rPr>
        <w:t>3</w:t>
      </w:r>
      <w:r w:rsidRPr="004B1042">
        <w:t xml:space="preserve">  Authority</w:t>
      </w:r>
      <w:bookmarkEnd w:id="3"/>
    </w:p>
    <w:p w14:paraId="57991092" w14:textId="77777777" w:rsidR="008F44A7" w:rsidRPr="004B1042" w:rsidRDefault="00BF6650" w:rsidP="00BF6650">
      <w:pPr>
        <w:pStyle w:val="subsection"/>
      </w:pPr>
      <w:r w:rsidRPr="004B1042">
        <w:tab/>
      </w:r>
      <w:r w:rsidRPr="004B1042">
        <w:tab/>
      </w:r>
      <w:r w:rsidR="00E753A4" w:rsidRPr="004B1042">
        <w:t>This instrument is</w:t>
      </w:r>
      <w:r w:rsidRPr="004B1042">
        <w:t xml:space="preserve"> made under the</w:t>
      </w:r>
      <w:r w:rsidR="008F44A7" w:rsidRPr="004B1042">
        <w:t xml:space="preserve"> following:</w:t>
      </w:r>
    </w:p>
    <w:p w14:paraId="261DA22F" w14:textId="77777777" w:rsidR="008F44A7" w:rsidRPr="004B1042" w:rsidRDefault="008F44A7" w:rsidP="008F44A7">
      <w:pPr>
        <w:pStyle w:val="paragraph"/>
        <w:rPr>
          <w:b/>
        </w:rPr>
      </w:pPr>
      <w:r w:rsidRPr="004B1042">
        <w:tab/>
        <w:t>(a)</w:t>
      </w:r>
      <w:r w:rsidRPr="004B1042">
        <w:tab/>
        <w:t xml:space="preserve">the </w:t>
      </w:r>
      <w:r w:rsidRPr="004B1042">
        <w:rPr>
          <w:i/>
        </w:rPr>
        <w:t>Australian Citizenship Act 2007</w:t>
      </w:r>
      <w:r w:rsidRPr="004B1042">
        <w:t>;</w:t>
      </w:r>
    </w:p>
    <w:p w14:paraId="59E3A330" w14:textId="77777777" w:rsidR="00BF6650" w:rsidRPr="004B1042" w:rsidRDefault="008F44A7" w:rsidP="008F44A7">
      <w:pPr>
        <w:pStyle w:val="paragraph"/>
      </w:pPr>
      <w:r w:rsidRPr="004B1042">
        <w:tab/>
        <w:t>(b)</w:t>
      </w:r>
      <w:r w:rsidRPr="004B1042">
        <w:tab/>
        <w:t xml:space="preserve">the </w:t>
      </w:r>
      <w:r w:rsidRPr="004B1042">
        <w:rPr>
          <w:i/>
        </w:rPr>
        <w:t>Migration Act 1958</w:t>
      </w:r>
      <w:r w:rsidR="00546FA3" w:rsidRPr="004B1042">
        <w:t>.</w:t>
      </w:r>
    </w:p>
    <w:p w14:paraId="0CF85889" w14:textId="77777777" w:rsidR="00557C7A" w:rsidRPr="004B1042" w:rsidRDefault="00BF6650" w:rsidP="00557C7A">
      <w:pPr>
        <w:pStyle w:val="ActHead5"/>
      </w:pPr>
      <w:bookmarkStart w:id="4" w:name="_Toc72937711"/>
      <w:r w:rsidRPr="00154C09">
        <w:rPr>
          <w:rStyle w:val="CharSectno"/>
        </w:rPr>
        <w:t>4</w:t>
      </w:r>
      <w:r w:rsidR="00557C7A" w:rsidRPr="004B1042">
        <w:t xml:space="preserve">  </w:t>
      </w:r>
      <w:r w:rsidR="00083F48" w:rsidRPr="004B1042">
        <w:t>Schedules</w:t>
      </w:r>
      <w:bookmarkEnd w:id="4"/>
    </w:p>
    <w:p w14:paraId="2E69290E" w14:textId="77777777" w:rsidR="00557C7A" w:rsidRPr="004B1042" w:rsidRDefault="00557C7A" w:rsidP="00557C7A">
      <w:pPr>
        <w:pStyle w:val="subsection"/>
      </w:pPr>
      <w:r w:rsidRPr="004B1042">
        <w:tab/>
      </w:r>
      <w:r w:rsidRPr="004B1042">
        <w:tab/>
      </w:r>
      <w:r w:rsidR="00083F48" w:rsidRPr="004B1042">
        <w:t xml:space="preserve">Each </w:t>
      </w:r>
      <w:r w:rsidR="00160BD7" w:rsidRPr="004B1042">
        <w:t>instrument</w:t>
      </w:r>
      <w:r w:rsidR="00083F48" w:rsidRPr="004B1042">
        <w:t xml:space="preserve"> that is specified in a Schedule to </w:t>
      </w:r>
      <w:r w:rsidR="00E753A4" w:rsidRPr="004B1042">
        <w:t>this instrument</w:t>
      </w:r>
      <w:r w:rsidR="00083F48" w:rsidRPr="004B1042">
        <w:t xml:space="preserve"> is amended or repealed as set out in the applicable items in the Schedule concerned, and any other item in a Schedule to </w:t>
      </w:r>
      <w:r w:rsidR="00E753A4" w:rsidRPr="004B1042">
        <w:t>this instrument</w:t>
      </w:r>
      <w:r w:rsidR="00083F48" w:rsidRPr="004B1042">
        <w:t xml:space="preserve"> has effect according to its terms.</w:t>
      </w:r>
    </w:p>
    <w:p w14:paraId="1358DB26" w14:textId="77777777" w:rsidR="0048364F" w:rsidRPr="004B1042" w:rsidRDefault="00523181" w:rsidP="009C5989">
      <w:pPr>
        <w:pStyle w:val="ActHead6"/>
        <w:pageBreakBefore/>
      </w:pPr>
      <w:bookmarkStart w:id="5" w:name="_Toc72937712"/>
      <w:bookmarkStart w:id="6" w:name="opcAmSched"/>
      <w:r w:rsidRPr="00154C09">
        <w:rPr>
          <w:rStyle w:val="CharAmSchNo"/>
        </w:rPr>
        <w:t>Schedule 1</w:t>
      </w:r>
      <w:r w:rsidR="0048364F" w:rsidRPr="004B1042">
        <w:t>—</w:t>
      </w:r>
      <w:r w:rsidR="008F44A7" w:rsidRPr="00154C09">
        <w:rPr>
          <w:rStyle w:val="CharAmSchText"/>
        </w:rPr>
        <w:t xml:space="preserve">Business </w:t>
      </w:r>
      <w:r w:rsidR="00664CC8" w:rsidRPr="00154C09">
        <w:rPr>
          <w:rStyle w:val="CharAmSchText"/>
        </w:rPr>
        <w:t xml:space="preserve">Innovation </w:t>
      </w:r>
      <w:r w:rsidR="008F44A7" w:rsidRPr="00154C09">
        <w:rPr>
          <w:rStyle w:val="CharAmSchText"/>
        </w:rPr>
        <w:t xml:space="preserve">and </w:t>
      </w:r>
      <w:r w:rsidR="00664CC8" w:rsidRPr="00154C09">
        <w:rPr>
          <w:rStyle w:val="CharAmSchText"/>
        </w:rPr>
        <w:t>Investment Program</w:t>
      </w:r>
      <w:bookmarkEnd w:id="5"/>
    </w:p>
    <w:bookmarkEnd w:id="6"/>
    <w:p w14:paraId="52DC0B35" w14:textId="77777777" w:rsidR="00A062A4" w:rsidRPr="00154C09" w:rsidRDefault="00A062A4" w:rsidP="00A062A4">
      <w:pPr>
        <w:pStyle w:val="Header"/>
      </w:pPr>
      <w:r w:rsidRPr="00154C09">
        <w:rPr>
          <w:rStyle w:val="CharAmPartNo"/>
        </w:rPr>
        <w:t xml:space="preserve"> </w:t>
      </w:r>
      <w:r w:rsidRPr="00154C09">
        <w:rPr>
          <w:rStyle w:val="CharAmPartText"/>
        </w:rPr>
        <w:t xml:space="preserve"> </w:t>
      </w:r>
    </w:p>
    <w:p w14:paraId="5EA6D841" w14:textId="77777777" w:rsidR="00421885" w:rsidRPr="004B1042" w:rsidRDefault="00421885" w:rsidP="00421885">
      <w:pPr>
        <w:pStyle w:val="ActHead9"/>
      </w:pPr>
      <w:bookmarkStart w:id="7" w:name="_Toc72937713"/>
      <w:r w:rsidRPr="004B1042">
        <w:t xml:space="preserve">Migration </w:t>
      </w:r>
      <w:r w:rsidR="00523181" w:rsidRPr="004B1042">
        <w:t>Regulations 1</w:t>
      </w:r>
      <w:r w:rsidRPr="004B1042">
        <w:t>994</w:t>
      </w:r>
      <w:bookmarkEnd w:id="7"/>
    </w:p>
    <w:p w14:paraId="41C313F3" w14:textId="77777777" w:rsidR="00421885" w:rsidRPr="004B1042" w:rsidRDefault="00421885" w:rsidP="00421885">
      <w:pPr>
        <w:pStyle w:val="ItemHead"/>
      </w:pPr>
      <w:r w:rsidRPr="004B1042">
        <w:t>1  Subregulation 1.11A(1)</w:t>
      </w:r>
    </w:p>
    <w:p w14:paraId="73E11F0D" w14:textId="77777777" w:rsidR="00421885" w:rsidRPr="004B1042" w:rsidRDefault="00421885" w:rsidP="00421885">
      <w:pPr>
        <w:pStyle w:val="Item"/>
      </w:pPr>
      <w:r w:rsidRPr="004B1042">
        <w:t>Omit “132,”.</w:t>
      </w:r>
    </w:p>
    <w:p w14:paraId="1E712465" w14:textId="77777777" w:rsidR="00421885" w:rsidRPr="004B1042" w:rsidRDefault="00421885" w:rsidP="00421885">
      <w:pPr>
        <w:pStyle w:val="ItemHead"/>
      </w:pPr>
      <w:r w:rsidRPr="004B1042">
        <w:t xml:space="preserve">2  </w:t>
      </w:r>
      <w:r w:rsidR="00523181" w:rsidRPr="004B1042">
        <w:t>Paragraph 2</w:t>
      </w:r>
      <w:r w:rsidRPr="004B1042">
        <w:t>.05(4AA)(b)</w:t>
      </w:r>
    </w:p>
    <w:p w14:paraId="758DF51B" w14:textId="77777777" w:rsidR="00421885" w:rsidRPr="004B1042" w:rsidRDefault="00421885" w:rsidP="00421885">
      <w:pPr>
        <w:pStyle w:val="Item"/>
      </w:pPr>
      <w:r w:rsidRPr="004B1042">
        <w:t>Repeal the paragraph.</w:t>
      </w:r>
    </w:p>
    <w:p w14:paraId="6200F269" w14:textId="77777777" w:rsidR="00421885" w:rsidRPr="004B1042" w:rsidRDefault="00421885" w:rsidP="00421885">
      <w:pPr>
        <w:pStyle w:val="ItemHead"/>
      </w:pPr>
      <w:r w:rsidRPr="004B1042">
        <w:t>3  Subparagraph 2.05(5A)(b)(ii)</w:t>
      </w:r>
    </w:p>
    <w:p w14:paraId="59608BAC" w14:textId="77777777" w:rsidR="00421885" w:rsidRPr="004B1042" w:rsidRDefault="00421885" w:rsidP="00421885">
      <w:pPr>
        <w:pStyle w:val="Item"/>
      </w:pPr>
      <w:r w:rsidRPr="004B1042">
        <w:t>Repeal the subparagraph.</w:t>
      </w:r>
    </w:p>
    <w:p w14:paraId="67DB240B" w14:textId="77777777" w:rsidR="00421885" w:rsidRPr="004B1042" w:rsidRDefault="00421885" w:rsidP="00421885">
      <w:pPr>
        <w:pStyle w:val="ItemHead"/>
      </w:pPr>
      <w:r w:rsidRPr="004B1042">
        <w:t xml:space="preserve">4  </w:t>
      </w:r>
      <w:r w:rsidR="00523181" w:rsidRPr="004B1042">
        <w:t>Subregulation 2</w:t>
      </w:r>
      <w:r w:rsidRPr="004B1042">
        <w:t xml:space="preserve">.06AAB(1) (table </w:t>
      </w:r>
      <w:r w:rsidR="00523181" w:rsidRPr="004B1042">
        <w:t>item 1</w:t>
      </w:r>
      <w:r w:rsidRPr="004B1042">
        <w:t>)</w:t>
      </w:r>
    </w:p>
    <w:p w14:paraId="5D029CAD" w14:textId="77777777" w:rsidR="00421885" w:rsidRPr="004B1042" w:rsidRDefault="00421885" w:rsidP="00421885">
      <w:pPr>
        <w:pStyle w:val="Item"/>
      </w:pPr>
      <w:r w:rsidRPr="004B1042">
        <w:t>Repeal the item.</w:t>
      </w:r>
    </w:p>
    <w:p w14:paraId="48417B27" w14:textId="77777777" w:rsidR="00421885" w:rsidRPr="004B1042" w:rsidRDefault="00421885" w:rsidP="00421885">
      <w:pPr>
        <w:pStyle w:val="ItemHead"/>
      </w:pPr>
      <w:r w:rsidRPr="004B1042">
        <w:t>5  Paragraphs 2.07AG(1)(b) and (2)(b)</w:t>
      </w:r>
    </w:p>
    <w:p w14:paraId="131E6D00" w14:textId="77777777" w:rsidR="00421885" w:rsidRPr="004B1042" w:rsidRDefault="00421885" w:rsidP="00421885">
      <w:pPr>
        <w:pStyle w:val="Item"/>
      </w:pPr>
      <w:r w:rsidRPr="004B1042">
        <w:t>Repeal the paragraphs.</w:t>
      </w:r>
    </w:p>
    <w:p w14:paraId="114846B6" w14:textId="77777777" w:rsidR="00421885" w:rsidRPr="004B1042" w:rsidRDefault="00421885" w:rsidP="00421885">
      <w:pPr>
        <w:pStyle w:val="ItemHead"/>
      </w:pPr>
      <w:r w:rsidRPr="004B1042">
        <w:t>6  Subregulations 5.19C(8A) and (8B)</w:t>
      </w:r>
    </w:p>
    <w:p w14:paraId="1CCD5FF4" w14:textId="77777777" w:rsidR="00421885" w:rsidRPr="004B1042" w:rsidRDefault="00421885" w:rsidP="00421885">
      <w:pPr>
        <w:pStyle w:val="Item"/>
      </w:pPr>
      <w:r w:rsidRPr="004B1042">
        <w:t>Repeal the subregulations.</w:t>
      </w:r>
    </w:p>
    <w:p w14:paraId="0DE6D116" w14:textId="77777777" w:rsidR="00421885" w:rsidRPr="004B1042" w:rsidRDefault="00421885" w:rsidP="00421885">
      <w:pPr>
        <w:pStyle w:val="ItemHead"/>
      </w:pPr>
      <w:r w:rsidRPr="004B1042">
        <w:t>7  Subregulation 5.19E(3)</w:t>
      </w:r>
    </w:p>
    <w:p w14:paraId="6AEFEA5E" w14:textId="77777777" w:rsidR="00421885" w:rsidRPr="004B1042" w:rsidRDefault="00421885" w:rsidP="00421885">
      <w:pPr>
        <w:pStyle w:val="Item"/>
      </w:pPr>
      <w:r w:rsidRPr="004B1042">
        <w:t xml:space="preserve">Omit “All”, substitute “If the applicant is invited to apply for the visa before </w:t>
      </w:r>
      <w:r w:rsidR="00AD234F" w:rsidRPr="004B1042">
        <w:t>1 July</w:t>
      </w:r>
      <w:r w:rsidRPr="004B1042">
        <w:t xml:space="preserve"> 2021, all”.</w:t>
      </w:r>
    </w:p>
    <w:p w14:paraId="10FF0CE4" w14:textId="77777777" w:rsidR="00421885" w:rsidRPr="004B1042" w:rsidRDefault="00421885" w:rsidP="00421885">
      <w:pPr>
        <w:pStyle w:val="ItemHead"/>
      </w:pPr>
      <w:r w:rsidRPr="004B1042">
        <w:t>8  At the end of subregulation 5.19E(3)</w:t>
      </w:r>
    </w:p>
    <w:p w14:paraId="239E3A4E" w14:textId="77777777" w:rsidR="00421885" w:rsidRPr="004B1042" w:rsidRDefault="00421885" w:rsidP="00421885">
      <w:pPr>
        <w:pStyle w:val="Item"/>
      </w:pPr>
      <w:r w:rsidRPr="004B1042">
        <w:t>Add:</w:t>
      </w:r>
    </w:p>
    <w:p w14:paraId="082F9403" w14:textId="77777777" w:rsidR="00421885" w:rsidRPr="004B1042" w:rsidRDefault="00421885" w:rsidP="00421885">
      <w:pPr>
        <w:pStyle w:val="paragraph"/>
      </w:pPr>
      <w:r w:rsidRPr="004B1042">
        <w:tab/>
        <w:t>; (g)</w:t>
      </w:r>
      <w:r w:rsidRPr="004B1042">
        <w:tab/>
        <w:t>all of the funding provided or to be provided to the entrepreneurial entity under the agreement or agreements is unencumbered and lawfully acquired.</w:t>
      </w:r>
    </w:p>
    <w:p w14:paraId="244DEA1E" w14:textId="77777777" w:rsidR="00421885" w:rsidRPr="004B1042" w:rsidRDefault="00421885" w:rsidP="00421885">
      <w:pPr>
        <w:pStyle w:val="ItemHead"/>
      </w:pPr>
      <w:r w:rsidRPr="004B1042">
        <w:t>9  Subregulation 5.19E(4)</w:t>
      </w:r>
    </w:p>
    <w:p w14:paraId="5C1B4F1F" w14:textId="77777777" w:rsidR="00421885" w:rsidRPr="004B1042" w:rsidRDefault="00421885" w:rsidP="00421885">
      <w:pPr>
        <w:pStyle w:val="Item"/>
      </w:pPr>
      <w:r w:rsidRPr="004B1042">
        <w:t>Repeal the subregulation.</w:t>
      </w:r>
    </w:p>
    <w:p w14:paraId="1EB74A61" w14:textId="77777777" w:rsidR="00421885" w:rsidRPr="004B1042" w:rsidRDefault="00421885" w:rsidP="00421885">
      <w:pPr>
        <w:pStyle w:val="ItemHead"/>
      </w:pPr>
      <w:bookmarkStart w:id="8" w:name="_Hlk71622526"/>
      <w:r w:rsidRPr="004B1042">
        <w:t xml:space="preserve">10  Item 1104AA of </w:t>
      </w:r>
      <w:r w:rsidR="00523181" w:rsidRPr="004B1042">
        <w:t>Schedule 1</w:t>
      </w:r>
    </w:p>
    <w:p w14:paraId="78AD3736" w14:textId="77777777" w:rsidR="00421885" w:rsidRPr="004B1042" w:rsidRDefault="00421885" w:rsidP="00421885">
      <w:pPr>
        <w:pStyle w:val="Item"/>
      </w:pPr>
      <w:r w:rsidRPr="004B1042">
        <w:t>Repeal the item.</w:t>
      </w:r>
    </w:p>
    <w:p w14:paraId="282C19DD" w14:textId="77777777" w:rsidR="00421885" w:rsidRPr="004B1042" w:rsidRDefault="00421885" w:rsidP="00421885">
      <w:pPr>
        <w:pStyle w:val="ItemHead"/>
      </w:pPr>
      <w:r w:rsidRPr="004B1042">
        <w:t>11  Sub</w:t>
      </w:r>
      <w:r w:rsidR="00523181" w:rsidRPr="004B1042">
        <w:t>item 1</w:t>
      </w:r>
      <w:r w:rsidRPr="004B1042">
        <w:t xml:space="preserve">104BA(4) of </w:t>
      </w:r>
      <w:r w:rsidR="00523181" w:rsidRPr="004B1042">
        <w:t>Schedule 1</w:t>
      </w:r>
      <w:r w:rsidRPr="004B1042">
        <w:t xml:space="preserve"> (before table </w:t>
      </w:r>
      <w:r w:rsidR="00523181" w:rsidRPr="004B1042">
        <w:t>item 1</w:t>
      </w:r>
      <w:r w:rsidRPr="004B1042">
        <w:t>)</w:t>
      </w:r>
    </w:p>
    <w:p w14:paraId="3EE907E1" w14:textId="77777777" w:rsidR="00421885" w:rsidRPr="004B1042" w:rsidRDefault="00421885" w:rsidP="00421885">
      <w:pPr>
        <w:pStyle w:val="Item"/>
      </w:pPr>
      <w:r w:rsidRPr="004B1042">
        <w:t>Insert:</w:t>
      </w:r>
    </w:p>
    <w:tbl>
      <w:tblPr>
        <w:tblW w:w="5000" w:type="pct"/>
        <w:tblLook w:val="04A0" w:firstRow="1" w:lastRow="0" w:firstColumn="1" w:lastColumn="0" w:noHBand="0" w:noVBand="1"/>
      </w:tblPr>
      <w:tblGrid>
        <w:gridCol w:w="814"/>
        <w:gridCol w:w="7715"/>
      </w:tblGrid>
      <w:tr w:rsidR="00421885" w:rsidRPr="004B1042" w14:paraId="008A502F" w14:textId="77777777" w:rsidTr="00706709">
        <w:tc>
          <w:tcPr>
            <w:tcW w:w="477" w:type="pct"/>
            <w:shd w:val="clear" w:color="auto" w:fill="auto"/>
          </w:tcPr>
          <w:p w14:paraId="0CE01F5A" w14:textId="77777777" w:rsidR="00421885" w:rsidRPr="004B1042" w:rsidRDefault="00421885" w:rsidP="00706709">
            <w:pPr>
              <w:pStyle w:val="Tabletext"/>
            </w:pPr>
            <w:r w:rsidRPr="004B1042">
              <w:t>1AA</w:t>
            </w:r>
          </w:p>
        </w:tc>
        <w:tc>
          <w:tcPr>
            <w:tcW w:w="4523" w:type="pct"/>
            <w:shd w:val="clear" w:color="auto" w:fill="auto"/>
          </w:tcPr>
          <w:p w14:paraId="0D1F86A8" w14:textId="77777777" w:rsidR="00421885" w:rsidRPr="004B1042" w:rsidRDefault="00421885" w:rsidP="00706709">
            <w:pPr>
              <w:pStyle w:val="Tablea"/>
            </w:pPr>
            <w:r w:rsidRPr="004B1042">
              <w:t>The applicant:</w:t>
            </w:r>
          </w:p>
          <w:p w14:paraId="0D7D8F09" w14:textId="77777777" w:rsidR="00421885" w:rsidRPr="004B1042" w:rsidRDefault="00421885" w:rsidP="00706709">
            <w:pPr>
              <w:pStyle w:val="Tablea"/>
            </w:pPr>
            <w:r w:rsidRPr="004B1042">
              <w:t>(a) holds a Subclass 188 (Business Innovation and Investment (Provisional)) visa in the Business Innovation stream; and</w:t>
            </w:r>
          </w:p>
          <w:p w14:paraId="24E501FF" w14:textId="77777777" w:rsidR="00421885" w:rsidRPr="004B1042" w:rsidRDefault="00421885" w:rsidP="00706709">
            <w:pPr>
              <w:pStyle w:val="Tablea"/>
            </w:pPr>
            <w:r w:rsidRPr="004B1042">
              <w:t xml:space="preserve">(b) unless the applicant was invited to apply for that visa before </w:t>
            </w:r>
            <w:r w:rsidR="00AD234F" w:rsidRPr="004B1042">
              <w:t>1 July</w:t>
            </w:r>
            <w:r w:rsidRPr="004B1042">
              <w:t xml:space="preserve"> 2021—has held that visa for at least 3 years</w:t>
            </w:r>
          </w:p>
        </w:tc>
      </w:tr>
    </w:tbl>
    <w:p w14:paraId="5532C58F" w14:textId="77777777" w:rsidR="00421885" w:rsidRPr="004B1042" w:rsidRDefault="00421885" w:rsidP="00421885">
      <w:pPr>
        <w:pStyle w:val="ItemHead"/>
      </w:pPr>
      <w:r w:rsidRPr="004B1042">
        <w:t>12  Sub</w:t>
      </w:r>
      <w:r w:rsidR="00523181" w:rsidRPr="004B1042">
        <w:t>item 1</w:t>
      </w:r>
      <w:r w:rsidRPr="004B1042">
        <w:t xml:space="preserve">104BA(4) of </w:t>
      </w:r>
      <w:r w:rsidR="00523181" w:rsidRPr="004B1042">
        <w:t>Schedule 1</w:t>
      </w:r>
      <w:r w:rsidRPr="004B1042">
        <w:t xml:space="preserve"> (table </w:t>
      </w:r>
      <w:r w:rsidR="00523181" w:rsidRPr="004B1042">
        <w:t>item 1</w:t>
      </w:r>
      <w:r w:rsidRPr="004B1042">
        <w:t>)</w:t>
      </w:r>
    </w:p>
    <w:p w14:paraId="17D1D86B" w14:textId="77777777" w:rsidR="00421885" w:rsidRPr="004B1042" w:rsidRDefault="00421885" w:rsidP="00421885">
      <w:pPr>
        <w:pStyle w:val="Item"/>
      </w:pPr>
      <w:r w:rsidRPr="004B1042">
        <w:t>Omit “the Business Innovation stream or”.</w:t>
      </w:r>
    </w:p>
    <w:p w14:paraId="68683B2A" w14:textId="77777777" w:rsidR="00421885" w:rsidRPr="004B1042" w:rsidRDefault="00421885" w:rsidP="00421885">
      <w:pPr>
        <w:pStyle w:val="ItemHead"/>
      </w:pPr>
      <w:r w:rsidRPr="004B1042">
        <w:t>13  Sub</w:t>
      </w:r>
      <w:r w:rsidR="00523181" w:rsidRPr="004B1042">
        <w:t>item 1</w:t>
      </w:r>
      <w:r w:rsidRPr="004B1042">
        <w:t xml:space="preserve">104BA(4) of </w:t>
      </w:r>
      <w:r w:rsidR="00523181" w:rsidRPr="004B1042">
        <w:t>Schedule 1</w:t>
      </w:r>
      <w:r w:rsidRPr="004B1042">
        <w:t xml:space="preserve"> (table item 2)</w:t>
      </w:r>
    </w:p>
    <w:p w14:paraId="01B2A03D" w14:textId="77777777" w:rsidR="00421885" w:rsidRPr="004B1042" w:rsidRDefault="00421885" w:rsidP="00421885">
      <w:pPr>
        <w:pStyle w:val="Item"/>
      </w:pPr>
      <w:r w:rsidRPr="004B1042">
        <w:t>Repeal the item, substitute:</w:t>
      </w:r>
    </w:p>
    <w:tbl>
      <w:tblPr>
        <w:tblW w:w="5000" w:type="pct"/>
        <w:tblLook w:val="04A0" w:firstRow="1" w:lastRow="0" w:firstColumn="1" w:lastColumn="0" w:noHBand="0" w:noVBand="1"/>
      </w:tblPr>
      <w:tblGrid>
        <w:gridCol w:w="814"/>
        <w:gridCol w:w="7715"/>
      </w:tblGrid>
      <w:tr w:rsidR="00421885" w:rsidRPr="004B1042" w14:paraId="199A9E28" w14:textId="77777777" w:rsidTr="00706709">
        <w:tc>
          <w:tcPr>
            <w:tcW w:w="477" w:type="pct"/>
            <w:shd w:val="clear" w:color="auto" w:fill="auto"/>
          </w:tcPr>
          <w:p w14:paraId="3CB9FFCE" w14:textId="77777777" w:rsidR="00421885" w:rsidRPr="004B1042" w:rsidRDefault="00421885" w:rsidP="00706709">
            <w:pPr>
              <w:pStyle w:val="Tabletext"/>
            </w:pPr>
            <w:r w:rsidRPr="004B1042">
              <w:t>2</w:t>
            </w:r>
          </w:p>
        </w:tc>
        <w:tc>
          <w:tcPr>
            <w:tcW w:w="4523" w:type="pct"/>
            <w:shd w:val="clear" w:color="auto" w:fill="auto"/>
          </w:tcPr>
          <w:p w14:paraId="46974BCB" w14:textId="77777777" w:rsidR="00421885" w:rsidRPr="004B1042" w:rsidRDefault="00421885" w:rsidP="00706709">
            <w:pPr>
              <w:pStyle w:val="Tablea"/>
            </w:pPr>
            <w:r w:rsidRPr="004B1042">
              <w:t>The applicant:</w:t>
            </w:r>
          </w:p>
          <w:p w14:paraId="35437FF1" w14:textId="77777777" w:rsidR="00421885" w:rsidRPr="004B1042" w:rsidRDefault="00421885" w:rsidP="00706709">
            <w:pPr>
              <w:pStyle w:val="Tablea"/>
            </w:pPr>
            <w:r w:rsidRPr="004B1042">
              <w:t xml:space="preserve">(a) holds a Subclass 188 (Business Innovation and Investment (Provisional)) visa (a </w:t>
            </w:r>
            <w:r w:rsidRPr="004B1042">
              <w:rPr>
                <w:b/>
                <w:i/>
              </w:rPr>
              <w:t>secondary visa</w:t>
            </w:r>
            <w:r w:rsidRPr="004B1042">
              <w:t xml:space="preserve">) granted on the basis that the applicant was the spouse or de facto partner of a person (the </w:t>
            </w:r>
            <w:r w:rsidRPr="004B1042">
              <w:rPr>
                <w:b/>
                <w:i/>
              </w:rPr>
              <w:t>primary visa holder</w:t>
            </w:r>
            <w:r w:rsidRPr="004B1042">
              <w:t>) who held either:</w:t>
            </w:r>
          </w:p>
          <w:p w14:paraId="7990082E" w14:textId="77777777" w:rsidR="00421885" w:rsidRPr="004B1042" w:rsidRDefault="00421885" w:rsidP="00706709">
            <w:pPr>
              <w:pStyle w:val="Tablei"/>
            </w:pPr>
            <w:r w:rsidRPr="004B1042">
              <w:t>(i) a Subclass 188 (Business Innovation and Investment (Provisional)) visa in the Business Innovation stream; or</w:t>
            </w:r>
          </w:p>
          <w:p w14:paraId="2596BF6E" w14:textId="77777777" w:rsidR="00421885" w:rsidRPr="004B1042" w:rsidRDefault="00421885" w:rsidP="00706709">
            <w:pPr>
              <w:pStyle w:val="Tablei"/>
            </w:pPr>
            <w:r w:rsidRPr="004B1042">
              <w:t>(ii) a Subclass 188 (Business Innovation and Investment (Provisional)) visa in the Business Innovation Extension stream; and</w:t>
            </w:r>
          </w:p>
          <w:p w14:paraId="233A9609" w14:textId="77777777" w:rsidR="00421885" w:rsidRPr="004B1042" w:rsidRDefault="00421885" w:rsidP="00706709">
            <w:pPr>
              <w:pStyle w:val="Tablea"/>
            </w:pPr>
            <w:r w:rsidRPr="004B1042">
              <w:t xml:space="preserve">(b) unless the primary visa holder was invited, before </w:t>
            </w:r>
            <w:r w:rsidR="00AD234F" w:rsidRPr="004B1042">
              <w:t>1 July</w:t>
            </w:r>
            <w:r w:rsidRPr="004B1042">
              <w:t xml:space="preserve"> 2021, to apply for the Subclass 188 (Business Innovation and Investment (Provisional)) visa in the Business Innovation stream held by the primary visa holder—has held a secondary visa for at least 3 years</w:t>
            </w:r>
          </w:p>
        </w:tc>
      </w:tr>
    </w:tbl>
    <w:p w14:paraId="5BB21190" w14:textId="77777777" w:rsidR="00421885" w:rsidRPr="004B1042" w:rsidRDefault="00421885" w:rsidP="00421885">
      <w:pPr>
        <w:pStyle w:val="ItemHead"/>
      </w:pPr>
      <w:r w:rsidRPr="004B1042">
        <w:t>14  Sub</w:t>
      </w:r>
      <w:r w:rsidR="00523181" w:rsidRPr="004B1042">
        <w:t>item 1</w:t>
      </w:r>
      <w:r w:rsidRPr="004B1042">
        <w:t xml:space="preserve">104BA(4) of </w:t>
      </w:r>
      <w:r w:rsidR="00523181" w:rsidRPr="004B1042">
        <w:t>Schedule 1</w:t>
      </w:r>
      <w:r w:rsidRPr="004B1042">
        <w:t xml:space="preserve"> (table item 3)</w:t>
      </w:r>
    </w:p>
    <w:p w14:paraId="5958A185" w14:textId="77777777" w:rsidR="00421885" w:rsidRPr="004B1042" w:rsidRDefault="00421885" w:rsidP="00421885">
      <w:pPr>
        <w:pStyle w:val="Item"/>
      </w:pPr>
      <w:r w:rsidRPr="004B1042">
        <w:t>Repeal the item, substitute:</w:t>
      </w:r>
    </w:p>
    <w:tbl>
      <w:tblPr>
        <w:tblW w:w="5000" w:type="pct"/>
        <w:tblLook w:val="04A0" w:firstRow="1" w:lastRow="0" w:firstColumn="1" w:lastColumn="0" w:noHBand="0" w:noVBand="1"/>
      </w:tblPr>
      <w:tblGrid>
        <w:gridCol w:w="814"/>
        <w:gridCol w:w="7715"/>
      </w:tblGrid>
      <w:tr w:rsidR="00421885" w:rsidRPr="004B1042" w14:paraId="0BCA7329" w14:textId="77777777" w:rsidTr="00706709">
        <w:tc>
          <w:tcPr>
            <w:tcW w:w="477" w:type="pct"/>
            <w:shd w:val="clear" w:color="auto" w:fill="auto"/>
          </w:tcPr>
          <w:p w14:paraId="38394DD9" w14:textId="77777777" w:rsidR="00421885" w:rsidRPr="004B1042" w:rsidRDefault="00421885" w:rsidP="00706709">
            <w:pPr>
              <w:pStyle w:val="Tabletext"/>
            </w:pPr>
            <w:r w:rsidRPr="004B1042">
              <w:t>3</w:t>
            </w:r>
          </w:p>
        </w:tc>
        <w:tc>
          <w:tcPr>
            <w:tcW w:w="4523" w:type="pct"/>
            <w:shd w:val="clear" w:color="auto" w:fill="auto"/>
          </w:tcPr>
          <w:p w14:paraId="096C5234" w14:textId="77777777" w:rsidR="00421885" w:rsidRPr="004B1042" w:rsidRDefault="00421885" w:rsidP="00706709">
            <w:pPr>
              <w:pStyle w:val="Tablea"/>
            </w:pPr>
            <w:r w:rsidRPr="004B1042">
              <w:t>The applicant:</w:t>
            </w:r>
          </w:p>
          <w:p w14:paraId="1B9A5C99" w14:textId="77777777" w:rsidR="00421885" w:rsidRPr="004B1042" w:rsidRDefault="00421885" w:rsidP="00706709">
            <w:pPr>
              <w:pStyle w:val="Tablea"/>
            </w:pPr>
            <w:r w:rsidRPr="004B1042">
              <w:t>(a) holds a Subclass 444 (Special Category) visa; and</w:t>
            </w:r>
          </w:p>
          <w:p w14:paraId="0BDF2CE8" w14:textId="77777777" w:rsidR="00421885" w:rsidRPr="004B1042" w:rsidRDefault="00421885" w:rsidP="00706709">
            <w:pPr>
              <w:pStyle w:val="Tablea"/>
            </w:pPr>
            <w:r w:rsidRPr="004B1042">
              <w:t xml:space="preserve">(b) unless that visa was granted before </w:t>
            </w:r>
            <w:r w:rsidR="00AD234F" w:rsidRPr="004B1042">
              <w:t>1 July</w:t>
            </w:r>
            <w:r w:rsidRPr="004B1042">
              <w:t xml:space="preserve"> 2021—has held that visa for at least 3 years</w:t>
            </w:r>
          </w:p>
        </w:tc>
      </w:tr>
    </w:tbl>
    <w:p w14:paraId="70B0AC2E" w14:textId="77777777" w:rsidR="00421885" w:rsidRPr="004B1042" w:rsidRDefault="00421885" w:rsidP="00421885">
      <w:pPr>
        <w:pStyle w:val="ItemHead"/>
      </w:pPr>
      <w:r w:rsidRPr="004B1042">
        <w:t>15  Sub</w:t>
      </w:r>
      <w:r w:rsidR="00523181" w:rsidRPr="004B1042">
        <w:t>item 1</w:t>
      </w:r>
      <w:r w:rsidRPr="004B1042">
        <w:t xml:space="preserve">104BA(5) of </w:t>
      </w:r>
      <w:r w:rsidR="00523181" w:rsidRPr="004B1042">
        <w:t>Schedule 1</w:t>
      </w:r>
      <w:r w:rsidRPr="004B1042">
        <w:t xml:space="preserve"> (table </w:t>
      </w:r>
      <w:r w:rsidR="00523181" w:rsidRPr="004B1042">
        <w:t>items 1</w:t>
      </w:r>
      <w:r w:rsidRPr="004B1042">
        <w:t xml:space="preserve"> and 2)</w:t>
      </w:r>
    </w:p>
    <w:p w14:paraId="44CA5B12" w14:textId="77777777" w:rsidR="00421885" w:rsidRPr="004B1042" w:rsidRDefault="00421885" w:rsidP="00421885">
      <w:pPr>
        <w:pStyle w:val="Item"/>
      </w:pPr>
      <w:r w:rsidRPr="004B1042">
        <w:t>Repeal the items, substitute:</w:t>
      </w:r>
    </w:p>
    <w:tbl>
      <w:tblPr>
        <w:tblW w:w="5000" w:type="pct"/>
        <w:tblLook w:val="04A0" w:firstRow="1" w:lastRow="0" w:firstColumn="1" w:lastColumn="0" w:noHBand="0" w:noVBand="1"/>
      </w:tblPr>
      <w:tblGrid>
        <w:gridCol w:w="814"/>
        <w:gridCol w:w="7715"/>
      </w:tblGrid>
      <w:tr w:rsidR="00421885" w:rsidRPr="004B1042" w14:paraId="6C67FA4D" w14:textId="77777777" w:rsidTr="00706709">
        <w:tc>
          <w:tcPr>
            <w:tcW w:w="477" w:type="pct"/>
            <w:tcBorders>
              <w:bottom w:val="single" w:sz="4" w:space="0" w:color="auto"/>
            </w:tcBorders>
            <w:shd w:val="clear" w:color="auto" w:fill="auto"/>
          </w:tcPr>
          <w:p w14:paraId="22148CD8" w14:textId="77777777" w:rsidR="00421885" w:rsidRPr="004B1042" w:rsidRDefault="00421885" w:rsidP="00706709">
            <w:pPr>
              <w:pStyle w:val="Tabletext"/>
            </w:pPr>
            <w:r w:rsidRPr="004B1042">
              <w:t>1</w:t>
            </w:r>
          </w:p>
        </w:tc>
        <w:tc>
          <w:tcPr>
            <w:tcW w:w="4523" w:type="pct"/>
            <w:tcBorders>
              <w:bottom w:val="single" w:sz="4" w:space="0" w:color="auto"/>
            </w:tcBorders>
            <w:shd w:val="clear" w:color="auto" w:fill="auto"/>
          </w:tcPr>
          <w:p w14:paraId="096C0301" w14:textId="77777777" w:rsidR="00421885" w:rsidRPr="004B1042" w:rsidRDefault="00421885" w:rsidP="00706709">
            <w:pPr>
              <w:pStyle w:val="Tablea"/>
            </w:pPr>
            <w:r w:rsidRPr="004B1042">
              <w:t>The applicant:</w:t>
            </w:r>
          </w:p>
          <w:p w14:paraId="0FBBEA40" w14:textId="77777777" w:rsidR="00421885" w:rsidRPr="004B1042" w:rsidRDefault="00421885" w:rsidP="00706709">
            <w:pPr>
              <w:pStyle w:val="Tablea"/>
            </w:pPr>
            <w:r w:rsidRPr="004B1042">
              <w:t>(a) holds a Subclass 188 (Business Innovation and Investment (Provisional)) visa in the Investor stream; and</w:t>
            </w:r>
          </w:p>
          <w:p w14:paraId="37164529" w14:textId="77777777" w:rsidR="00421885" w:rsidRPr="004B1042" w:rsidRDefault="00421885" w:rsidP="00706709">
            <w:pPr>
              <w:pStyle w:val="Tablea"/>
            </w:pPr>
            <w:r w:rsidRPr="004B1042">
              <w:t xml:space="preserve">(b) unless the applicant was invited to apply for that visa before </w:t>
            </w:r>
            <w:r w:rsidR="00AD234F" w:rsidRPr="004B1042">
              <w:t>1 July</w:t>
            </w:r>
            <w:r w:rsidRPr="004B1042">
              <w:t xml:space="preserve"> 2021—has held that visa for at least 3 years</w:t>
            </w:r>
          </w:p>
        </w:tc>
      </w:tr>
      <w:tr w:rsidR="00421885" w:rsidRPr="004B1042" w14:paraId="1F132093" w14:textId="77777777" w:rsidTr="00706709">
        <w:tc>
          <w:tcPr>
            <w:tcW w:w="477" w:type="pct"/>
            <w:tcBorders>
              <w:top w:val="single" w:sz="4" w:space="0" w:color="auto"/>
            </w:tcBorders>
            <w:shd w:val="clear" w:color="auto" w:fill="auto"/>
          </w:tcPr>
          <w:p w14:paraId="6BFA55F4" w14:textId="77777777" w:rsidR="00421885" w:rsidRPr="004B1042" w:rsidRDefault="00421885" w:rsidP="00706709">
            <w:pPr>
              <w:pStyle w:val="Tabletext"/>
            </w:pPr>
            <w:r w:rsidRPr="004B1042">
              <w:t>2</w:t>
            </w:r>
          </w:p>
        </w:tc>
        <w:tc>
          <w:tcPr>
            <w:tcW w:w="4523" w:type="pct"/>
            <w:tcBorders>
              <w:top w:val="single" w:sz="4" w:space="0" w:color="auto"/>
            </w:tcBorders>
            <w:shd w:val="clear" w:color="auto" w:fill="auto"/>
          </w:tcPr>
          <w:p w14:paraId="7DC066C0" w14:textId="77777777" w:rsidR="00421885" w:rsidRPr="004B1042" w:rsidRDefault="00421885" w:rsidP="00706709">
            <w:pPr>
              <w:pStyle w:val="Tablea"/>
            </w:pPr>
            <w:r w:rsidRPr="004B1042">
              <w:t>The applicant:</w:t>
            </w:r>
          </w:p>
          <w:p w14:paraId="5932D05B" w14:textId="77777777" w:rsidR="00421885" w:rsidRPr="004B1042" w:rsidRDefault="00421885" w:rsidP="00706709">
            <w:pPr>
              <w:pStyle w:val="Tablea"/>
            </w:pPr>
            <w:r w:rsidRPr="004B1042">
              <w:t xml:space="preserve">(a) holds a Subclass 188 (Business Innovation and Investment (Provisional)) visa (the </w:t>
            </w:r>
            <w:r w:rsidRPr="004B1042">
              <w:rPr>
                <w:b/>
                <w:i/>
              </w:rPr>
              <w:t>secondary visa</w:t>
            </w:r>
            <w:r w:rsidRPr="004B1042">
              <w:t xml:space="preserve">) granted on the basis that the applicant was the spouse or de facto partner of a person (the </w:t>
            </w:r>
            <w:r w:rsidRPr="004B1042">
              <w:rPr>
                <w:b/>
                <w:i/>
              </w:rPr>
              <w:t>primary visa holder</w:t>
            </w:r>
            <w:r w:rsidRPr="004B1042">
              <w:t xml:space="preserve">) who held a Subclass 188 (Business Innovation and Investment (Provisional)) visa (the </w:t>
            </w:r>
            <w:r w:rsidRPr="004B1042">
              <w:rPr>
                <w:b/>
                <w:i/>
              </w:rPr>
              <w:t>primary visa</w:t>
            </w:r>
            <w:r w:rsidRPr="004B1042">
              <w:t>) in the Investor stream; and</w:t>
            </w:r>
          </w:p>
          <w:p w14:paraId="0D700F99" w14:textId="77777777" w:rsidR="00421885" w:rsidRPr="004B1042" w:rsidRDefault="00421885" w:rsidP="00706709">
            <w:pPr>
              <w:pStyle w:val="Tablea"/>
            </w:pPr>
            <w:r w:rsidRPr="004B1042">
              <w:t xml:space="preserve">(b) unless the primary visa holder was invited to apply for the primary visa before </w:t>
            </w:r>
            <w:r w:rsidR="00AD234F" w:rsidRPr="004B1042">
              <w:t>1 July</w:t>
            </w:r>
            <w:r w:rsidRPr="004B1042">
              <w:t xml:space="preserve"> 2021—has held the secondary visa for at least 3 years</w:t>
            </w:r>
          </w:p>
        </w:tc>
      </w:tr>
    </w:tbl>
    <w:p w14:paraId="3BD55F86" w14:textId="77777777" w:rsidR="00421885" w:rsidRPr="004B1042" w:rsidRDefault="00421885" w:rsidP="00421885">
      <w:pPr>
        <w:pStyle w:val="ItemHead"/>
      </w:pPr>
      <w:r w:rsidRPr="004B1042">
        <w:t>16  Sub</w:t>
      </w:r>
      <w:r w:rsidR="00523181" w:rsidRPr="004B1042">
        <w:t>item 1</w:t>
      </w:r>
      <w:r w:rsidRPr="004B1042">
        <w:t xml:space="preserve">104BA(5A) of </w:t>
      </w:r>
      <w:r w:rsidR="00523181" w:rsidRPr="004B1042">
        <w:t>Schedule 1</w:t>
      </w:r>
      <w:r w:rsidRPr="004B1042">
        <w:t xml:space="preserve"> (before table </w:t>
      </w:r>
      <w:r w:rsidR="00523181" w:rsidRPr="004B1042">
        <w:t>item 1</w:t>
      </w:r>
      <w:r w:rsidRPr="004B1042">
        <w:t>)</w:t>
      </w:r>
    </w:p>
    <w:p w14:paraId="03BE7365" w14:textId="77777777" w:rsidR="00421885" w:rsidRPr="004B1042" w:rsidRDefault="00421885" w:rsidP="00421885">
      <w:pPr>
        <w:pStyle w:val="Item"/>
      </w:pPr>
      <w:r w:rsidRPr="004B1042">
        <w:t>Insert:</w:t>
      </w:r>
    </w:p>
    <w:tbl>
      <w:tblPr>
        <w:tblW w:w="5000" w:type="pct"/>
        <w:tblLook w:val="04A0" w:firstRow="1" w:lastRow="0" w:firstColumn="1" w:lastColumn="0" w:noHBand="0" w:noVBand="1"/>
      </w:tblPr>
      <w:tblGrid>
        <w:gridCol w:w="814"/>
        <w:gridCol w:w="7715"/>
      </w:tblGrid>
      <w:tr w:rsidR="00421885" w:rsidRPr="004B1042" w14:paraId="2F6E21AB" w14:textId="77777777" w:rsidTr="00706709">
        <w:tc>
          <w:tcPr>
            <w:tcW w:w="477" w:type="pct"/>
            <w:shd w:val="clear" w:color="auto" w:fill="auto"/>
          </w:tcPr>
          <w:p w14:paraId="3C5DA9C1" w14:textId="77777777" w:rsidR="00421885" w:rsidRPr="004B1042" w:rsidRDefault="00421885" w:rsidP="00706709">
            <w:pPr>
              <w:pStyle w:val="Tabletext"/>
            </w:pPr>
            <w:r w:rsidRPr="004B1042">
              <w:t>1A</w:t>
            </w:r>
          </w:p>
        </w:tc>
        <w:tc>
          <w:tcPr>
            <w:tcW w:w="4523" w:type="pct"/>
            <w:shd w:val="clear" w:color="auto" w:fill="auto"/>
          </w:tcPr>
          <w:p w14:paraId="70463690" w14:textId="77777777" w:rsidR="00421885" w:rsidRPr="004B1042" w:rsidRDefault="00421885" w:rsidP="00706709">
            <w:pPr>
              <w:pStyle w:val="Tablea"/>
            </w:pPr>
            <w:r w:rsidRPr="004B1042">
              <w:t>The applicant:</w:t>
            </w:r>
          </w:p>
          <w:p w14:paraId="50A83044" w14:textId="77777777" w:rsidR="00421885" w:rsidRPr="004B1042" w:rsidRDefault="00421885" w:rsidP="00706709">
            <w:pPr>
              <w:pStyle w:val="Tablea"/>
            </w:pPr>
            <w:r w:rsidRPr="004B1042">
              <w:t>(a) holds a Subclass 188 (Business Innovation and Investment (Provisional)) visa in the Significant Investor stream; and</w:t>
            </w:r>
          </w:p>
          <w:p w14:paraId="5F508794" w14:textId="77777777" w:rsidR="00421885" w:rsidRPr="004B1042" w:rsidRDefault="00421885" w:rsidP="00706709">
            <w:pPr>
              <w:pStyle w:val="Tablea"/>
            </w:pPr>
            <w:r w:rsidRPr="004B1042">
              <w:t xml:space="preserve">(b) unless the applicant was invited to apply for that visa before </w:t>
            </w:r>
            <w:r w:rsidR="00AD234F" w:rsidRPr="004B1042">
              <w:t>1 July</w:t>
            </w:r>
            <w:r w:rsidRPr="004B1042">
              <w:t xml:space="preserve"> 2021—has held that visa for at least 3 years</w:t>
            </w:r>
          </w:p>
        </w:tc>
      </w:tr>
    </w:tbl>
    <w:p w14:paraId="2F0E5BFD" w14:textId="77777777" w:rsidR="00421885" w:rsidRPr="004B1042" w:rsidRDefault="00421885" w:rsidP="00421885">
      <w:pPr>
        <w:pStyle w:val="ItemHead"/>
      </w:pPr>
      <w:r w:rsidRPr="004B1042">
        <w:t>17  Sub</w:t>
      </w:r>
      <w:r w:rsidR="00523181" w:rsidRPr="004B1042">
        <w:t>item 1</w:t>
      </w:r>
      <w:r w:rsidRPr="004B1042">
        <w:t xml:space="preserve">104BA(5A) of </w:t>
      </w:r>
      <w:r w:rsidR="00523181" w:rsidRPr="004B1042">
        <w:t>Schedule 1</w:t>
      </w:r>
      <w:r w:rsidRPr="004B1042">
        <w:t xml:space="preserve"> (table </w:t>
      </w:r>
      <w:r w:rsidR="00523181" w:rsidRPr="004B1042">
        <w:t>item 1</w:t>
      </w:r>
      <w:r w:rsidRPr="004B1042">
        <w:t>)</w:t>
      </w:r>
    </w:p>
    <w:p w14:paraId="54EBBB98" w14:textId="77777777" w:rsidR="00421885" w:rsidRPr="004B1042" w:rsidRDefault="00421885" w:rsidP="00421885">
      <w:pPr>
        <w:pStyle w:val="Item"/>
      </w:pPr>
      <w:r w:rsidRPr="004B1042">
        <w:t>Omit “the Significant Investor stream or”.</w:t>
      </w:r>
    </w:p>
    <w:p w14:paraId="7288A961" w14:textId="77777777" w:rsidR="00421885" w:rsidRPr="004B1042" w:rsidRDefault="00421885" w:rsidP="00421885">
      <w:pPr>
        <w:pStyle w:val="ItemHead"/>
      </w:pPr>
      <w:r w:rsidRPr="004B1042">
        <w:t>18  Sub</w:t>
      </w:r>
      <w:r w:rsidR="00523181" w:rsidRPr="004B1042">
        <w:t>item 1</w:t>
      </w:r>
      <w:r w:rsidRPr="004B1042">
        <w:t xml:space="preserve">104BA(5A) of </w:t>
      </w:r>
      <w:r w:rsidR="00523181" w:rsidRPr="004B1042">
        <w:t>Schedule 1</w:t>
      </w:r>
      <w:r w:rsidRPr="004B1042">
        <w:t xml:space="preserve"> (table item 2)</w:t>
      </w:r>
    </w:p>
    <w:p w14:paraId="7FD6F568" w14:textId="77777777" w:rsidR="00421885" w:rsidRPr="004B1042" w:rsidRDefault="00421885" w:rsidP="00421885">
      <w:pPr>
        <w:pStyle w:val="Item"/>
      </w:pPr>
      <w:r w:rsidRPr="004B1042">
        <w:t>Repeal the item, substitute:</w:t>
      </w:r>
    </w:p>
    <w:tbl>
      <w:tblPr>
        <w:tblW w:w="5000" w:type="pct"/>
        <w:tblLook w:val="04A0" w:firstRow="1" w:lastRow="0" w:firstColumn="1" w:lastColumn="0" w:noHBand="0" w:noVBand="1"/>
      </w:tblPr>
      <w:tblGrid>
        <w:gridCol w:w="814"/>
        <w:gridCol w:w="7715"/>
      </w:tblGrid>
      <w:tr w:rsidR="00421885" w:rsidRPr="004B1042" w14:paraId="51ED19D8" w14:textId="77777777" w:rsidTr="00706709">
        <w:tc>
          <w:tcPr>
            <w:tcW w:w="477" w:type="pct"/>
            <w:shd w:val="clear" w:color="auto" w:fill="auto"/>
          </w:tcPr>
          <w:p w14:paraId="74918AB1" w14:textId="77777777" w:rsidR="00421885" w:rsidRPr="004B1042" w:rsidRDefault="00421885" w:rsidP="00706709">
            <w:pPr>
              <w:pStyle w:val="Tabletext"/>
            </w:pPr>
            <w:r w:rsidRPr="004B1042">
              <w:t>2</w:t>
            </w:r>
          </w:p>
        </w:tc>
        <w:tc>
          <w:tcPr>
            <w:tcW w:w="4523" w:type="pct"/>
            <w:shd w:val="clear" w:color="auto" w:fill="auto"/>
          </w:tcPr>
          <w:p w14:paraId="0E82A882" w14:textId="77777777" w:rsidR="00421885" w:rsidRPr="004B1042" w:rsidRDefault="00421885" w:rsidP="00706709">
            <w:pPr>
              <w:pStyle w:val="Tablea"/>
            </w:pPr>
            <w:r w:rsidRPr="004B1042">
              <w:t>All of the following apply:</w:t>
            </w:r>
          </w:p>
          <w:p w14:paraId="45872E9C" w14:textId="77777777" w:rsidR="00421885" w:rsidRPr="004B1042" w:rsidRDefault="00421885" w:rsidP="00706709">
            <w:pPr>
              <w:pStyle w:val="Tablea"/>
            </w:pPr>
            <w:r w:rsidRPr="004B1042">
              <w:t xml:space="preserve">(a) the applicant holds a Subclass 188 (Business Innovation and Investment (Provisional)) visa (a </w:t>
            </w:r>
            <w:r w:rsidRPr="004B1042">
              <w:rPr>
                <w:b/>
                <w:i/>
              </w:rPr>
              <w:t>secondary visa</w:t>
            </w:r>
            <w:r w:rsidRPr="004B1042">
              <w:t xml:space="preserve">) granted on the basis that the applicant was the spouse or de facto partner of a person (the </w:t>
            </w:r>
            <w:r w:rsidRPr="004B1042">
              <w:rPr>
                <w:b/>
                <w:i/>
              </w:rPr>
              <w:t>primary visa holder</w:t>
            </w:r>
            <w:r w:rsidRPr="004B1042">
              <w:t>) who held either:</w:t>
            </w:r>
          </w:p>
          <w:p w14:paraId="6E13F707" w14:textId="77777777" w:rsidR="00421885" w:rsidRPr="004B1042" w:rsidRDefault="00421885" w:rsidP="00706709">
            <w:pPr>
              <w:pStyle w:val="Tablei"/>
            </w:pPr>
            <w:r w:rsidRPr="004B1042">
              <w:t>(i) a Subclass 188 (Business Innovation and Investment (Provisional)) visa in the Significant Investor stream; or</w:t>
            </w:r>
          </w:p>
          <w:p w14:paraId="0EF8B803" w14:textId="77777777" w:rsidR="00421885" w:rsidRPr="004B1042" w:rsidRDefault="00421885" w:rsidP="00706709">
            <w:pPr>
              <w:pStyle w:val="Tablei"/>
            </w:pPr>
            <w:r w:rsidRPr="004B1042">
              <w:t>(ii) a Subclass 188 (Business Innovation and Investment (Provisional)) visa in the Significant Investor Extension stream;</w:t>
            </w:r>
          </w:p>
          <w:p w14:paraId="76B8174A" w14:textId="77777777" w:rsidR="00421885" w:rsidRPr="004B1042" w:rsidRDefault="00421885" w:rsidP="00706709">
            <w:pPr>
              <w:pStyle w:val="Tablea"/>
            </w:pPr>
            <w:r w:rsidRPr="004B1042">
              <w:t>(b) either:</w:t>
            </w:r>
          </w:p>
          <w:p w14:paraId="0F6267AC" w14:textId="77777777" w:rsidR="00421885" w:rsidRPr="004B1042" w:rsidRDefault="00421885" w:rsidP="00706709">
            <w:pPr>
              <w:pStyle w:val="Tablei"/>
            </w:pPr>
            <w:r w:rsidRPr="004B1042">
              <w:t>(i) the applicant has ceased to be the spouse or de facto partner of the primary visa holder; or</w:t>
            </w:r>
          </w:p>
          <w:p w14:paraId="4D2FF9A4" w14:textId="77777777" w:rsidR="00421885" w:rsidRPr="004B1042" w:rsidRDefault="00421885" w:rsidP="00706709">
            <w:pPr>
              <w:pStyle w:val="Tablei"/>
            </w:pPr>
            <w:r w:rsidRPr="004B1042">
              <w:t>(ii) the primary visa holder has since died;</w:t>
            </w:r>
          </w:p>
          <w:p w14:paraId="4488DF58" w14:textId="77777777" w:rsidR="00421885" w:rsidRPr="004B1042" w:rsidRDefault="00421885" w:rsidP="00706709">
            <w:pPr>
              <w:pStyle w:val="Tablea"/>
            </w:pPr>
            <w:r w:rsidRPr="004B1042">
              <w:t xml:space="preserve">(c) unless the primary visa holder was invited, before </w:t>
            </w:r>
            <w:r w:rsidR="00AD234F" w:rsidRPr="004B1042">
              <w:t>1 July</w:t>
            </w:r>
            <w:r w:rsidRPr="004B1042">
              <w:t xml:space="preserve"> 2021, to apply for the Subclass 188 (Business Innovation and Investment (Provisional)) visa in the Significant Investor stream held by the primary visa holder—the applicant has held a secondary visa for at least 3 years</w:t>
            </w:r>
          </w:p>
        </w:tc>
      </w:tr>
    </w:tbl>
    <w:p w14:paraId="10055C5F" w14:textId="77777777" w:rsidR="00421885" w:rsidRPr="004B1042" w:rsidRDefault="00421885" w:rsidP="00421885">
      <w:pPr>
        <w:pStyle w:val="ItemHead"/>
      </w:pPr>
      <w:r w:rsidRPr="004B1042">
        <w:t xml:space="preserve">19  Paragraph 1104BA(5C)(a) of </w:t>
      </w:r>
      <w:r w:rsidR="00523181" w:rsidRPr="004B1042">
        <w:t>Schedule 1</w:t>
      </w:r>
    </w:p>
    <w:p w14:paraId="38B56761" w14:textId="77777777" w:rsidR="00421885" w:rsidRPr="004B1042" w:rsidRDefault="00421885" w:rsidP="00421885">
      <w:pPr>
        <w:pStyle w:val="Item"/>
      </w:pPr>
      <w:r w:rsidRPr="004B1042">
        <w:t>Repeal the paragraph, substitute:</w:t>
      </w:r>
    </w:p>
    <w:p w14:paraId="224BB6ED" w14:textId="77777777" w:rsidR="00421885" w:rsidRPr="004B1042" w:rsidRDefault="00421885" w:rsidP="00421885">
      <w:pPr>
        <w:pStyle w:val="paragraph"/>
      </w:pPr>
      <w:r w:rsidRPr="004B1042">
        <w:tab/>
        <w:t>(a)</w:t>
      </w:r>
      <w:r w:rsidRPr="004B1042">
        <w:tab/>
        <w:t>the applicant:</w:t>
      </w:r>
    </w:p>
    <w:p w14:paraId="4DB56EE6" w14:textId="77777777" w:rsidR="00421885" w:rsidRPr="004B1042" w:rsidRDefault="00421885" w:rsidP="00421885">
      <w:pPr>
        <w:pStyle w:val="paragraphsub"/>
      </w:pPr>
      <w:r w:rsidRPr="004B1042">
        <w:tab/>
        <w:t>(i)</w:t>
      </w:r>
      <w:r w:rsidRPr="004B1042">
        <w:tab/>
        <w:t>must hold a Subclass 188 (Business Innovation and Investment (Provisional)) visa in the Entrepreneur stream; and</w:t>
      </w:r>
    </w:p>
    <w:p w14:paraId="446C4E5D" w14:textId="77777777" w:rsidR="00421885" w:rsidRPr="004B1042" w:rsidRDefault="00421885" w:rsidP="00421885">
      <w:pPr>
        <w:pStyle w:val="paragraphsub"/>
      </w:pPr>
      <w:r w:rsidRPr="004B1042">
        <w:tab/>
        <w:t>(ii)</w:t>
      </w:r>
      <w:r w:rsidRPr="004B1042">
        <w:tab/>
        <w:t xml:space="preserve">unless the applicant was invited to apply for that visa before </w:t>
      </w:r>
      <w:r w:rsidR="00AD234F" w:rsidRPr="004B1042">
        <w:t>1 July</w:t>
      </w:r>
      <w:r w:rsidRPr="004B1042">
        <w:t xml:space="preserve"> 2021—must have held that visa for at least 3 years;</w:t>
      </w:r>
    </w:p>
    <w:p w14:paraId="0A071357" w14:textId="77777777" w:rsidR="00421885" w:rsidRPr="004B1042" w:rsidRDefault="00421885" w:rsidP="00421885">
      <w:pPr>
        <w:pStyle w:val="ItemHead"/>
      </w:pPr>
      <w:r w:rsidRPr="004B1042">
        <w:t xml:space="preserve">20  Subparagraph 1202B(2)(a)(ib) of </w:t>
      </w:r>
      <w:r w:rsidR="00523181" w:rsidRPr="004B1042">
        <w:t>Schedule 1</w:t>
      </w:r>
    </w:p>
    <w:p w14:paraId="4C7DA401" w14:textId="77777777" w:rsidR="00421885" w:rsidRPr="004B1042" w:rsidRDefault="00421885" w:rsidP="00421885">
      <w:pPr>
        <w:pStyle w:val="Item"/>
      </w:pPr>
      <w:r w:rsidRPr="004B1042">
        <w:t>Repeal the subparagraph.</w:t>
      </w:r>
    </w:p>
    <w:bookmarkEnd w:id="8"/>
    <w:p w14:paraId="0B09AB6F" w14:textId="77777777" w:rsidR="00421885" w:rsidRPr="004B1042" w:rsidRDefault="00421885" w:rsidP="00421885">
      <w:pPr>
        <w:pStyle w:val="ItemHead"/>
      </w:pPr>
      <w:r w:rsidRPr="004B1042">
        <w:t>21  Sub</w:t>
      </w:r>
      <w:r w:rsidR="00523181" w:rsidRPr="004B1042">
        <w:t>item 1</w:t>
      </w:r>
      <w:r w:rsidRPr="004B1042">
        <w:t xml:space="preserve">202B(6C) of </w:t>
      </w:r>
      <w:r w:rsidR="00523181" w:rsidRPr="004B1042">
        <w:t>Schedule 1</w:t>
      </w:r>
    </w:p>
    <w:p w14:paraId="0D02787A" w14:textId="77777777" w:rsidR="00421885" w:rsidRPr="004B1042" w:rsidRDefault="00421885" w:rsidP="00421885">
      <w:pPr>
        <w:pStyle w:val="Item"/>
      </w:pPr>
      <w:r w:rsidRPr="004B1042">
        <w:t>Repeal the subitem.</w:t>
      </w:r>
    </w:p>
    <w:p w14:paraId="32D487CF" w14:textId="77777777" w:rsidR="00421885" w:rsidRPr="004B1042" w:rsidRDefault="00421885" w:rsidP="00421885">
      <w:pPr>
        <w:pStyle w:val="ItemHead"/>
      </w:pPr>
      <w:r w:rsidRPr="004B1042">
        <w:t xml:space="preserve">22  Part 132 of </w:t>
      </w:r>
      <w:r w:rsidR="00523181" w:rsidRPr="004B1042">
        <w:t>Schedule 2</w:t>
      </w:r>
    </w:p>
    <w:p w14:paraId="1E6ADF7A" w14:textId="77777777" w:rsidR="00421885" w:rsidRPr="004B1042" w:rsidRDefault="00421885" w:rsidP="00421885">
      <w:pPr>
        <w:pStyle w:val="Item"/>
      </w:pPr>
      <w:r w:rsidRPr="004B1042">
        <w:t>Repeal the Part.</w:t>
      </w:r>
    </w:p>
    <w:p w14:paraId="050C058B" w14:textId="77777777" w:rsidR="00421885" w:rsidRPr="004B1042" w:rsidRDefault="00421885" w:rsidP="00421885">
      <w:pPr>
        <w:pStyle w:val="ItemHead"/>
      </w:pPr>
      <w:r w:rsidRPr="004B1042">
        <w:t xml:space="preserve">23  Clause 188.113 of </w:t>
      </w:r>
      <w:r w:rsidR="00523181" w:rsidRPr="004B1042">
        <w:t>Schedule 2</w:t>
      </w:r>
      <w:r w:rsidRPr="004B1042">
        <w:t xml:space="preserve"> (paragraph (e) of note 2)</w:t>
      </w:r>
    </w:p>
    <w:p w14:paraId="393D5E25" w14:textId="77777777" w:rsidR="00421885" w:rsidRPr="004B1042" w:rsidRDefault="00421885" w:rsidP="00421885">
      <w:pPr>
        <w:pStyle w:val="Item"/>
      </w:pPr>
      <w:r w:rsidRPr="004B1042">
        <w:t>Repeal the paragraph.</w:t>
      </w:r>
    </w:p>
    <w:p w14:paraId="02517136" w14:textId="77777777" w:rsidR="00421885" w:rsidRPr="004B1042" w:rsidRDefault="00421885" w:rsidP="00421885">
      <w:pPr>
        <w:pStyle w:val="ItemHead"/>
      </w:pPr>
      <w:r w:rsidRPr="004B1042">
        <w:t xml:space="preserve">24  Division 188.2 of </w:t>
      </w:r>
      <w:r w:rsidR="00523181" w:rsidRPr="004B1042">
        <w:t>Schedule 2</w:t>
      </w:r>
      <w:r w:rsidRPr="004B1042">
        <w:t xml:space="preserve"> (note)</w:t>
      </w:r>
    </w:p>
    <w:p w14:paraId="0970C7D6" w14:textId="77777777" w:rsidR="00421885" w:rsidRPr="004B1042" w:rsidRDefault="00421885" w:rsidP="00421885">
      <w:pPr>
        <w:pStyle w:val="Item"/>
      </w:pPr>
      <w:r w:rsidRPr="004B1042">
        <w:t>Omit “If an applicant applies for a Subclass 188 visa in the Premium Investor stream, the criteria in Subdivisions 188.21 and 188.27 are the primary criteria.”.</w:t>
      </w:r>
    </w:p>
    <w:p w14:paraId="46AF1E75" w14:textId="77777777" w:rsidR="00421885" w:rsidRPr="004B1042" w:rsidRDefault="00421885" w:rsidP="00421885">
      <w:pPr>
        <w:pStyle w:val="ItemHead"/>
      </w:pPr>
      <w:r w:rsidRPr="004B1042">
        <w:t xml:space="preserve">25  Subclause 188.225(1) of </w:t>
      </w:r>
      <w:r w:rsidR="00523181" w:rsidRPr="004B1042">
        <w:t>Schedule 2</w:t>
      </w:r>
    </w:p>
    <w:p w14:paraId="47304470" w14:textId="77777777" w:rsidR="00421885" w:rsidRPr="004B1042" w:rsidRDefault="00421885" w:rsidP="00421885">
      <w:pPr>
        <w:pStyle w:val="Item"/>
      </w:pPr>
      <w:r w:rsidRPr="004B1042">
        <w:t>Omit “of at least AUD500 000 in each of those years.”, substitute:</w:t>
      </w:r>
    </w:p>
    <w:p w14:paraId="21BE545B" w14:textId="77777777" w:rsidR="00421885" w:rsidRPr="004B1042" w:rsidRDefault="00421885" w:rsidP="00421885">
      <w:pPr>
        <w:pStyle w:val="Item"/>
      </w:pPr>
      <w:r w:rsidRPr="004B1042">
        <w:t>, in each of those years, of:</w:t>
      </w:r>
    </w:p>
    <w:p w14:paraId="1DB6EE78" w14:textId="77777777" w:rsidR="00421885" w:rsidRPr="004B1042" w:rsidRDefault="00421885" w:rsidP="00421885">
      <w:pPr>
        <w:pStyle w:val="paragraph"/>
      </w:pPr>
      <w:r w:rsidRPr="004B1042">
        <w:tab/>
        <w:t>(a)</w:t>
      </w:r>
      <w:r w:rsidRPr="004B1042">
        <w:tab/>
        <w:t xml:space="preserve">if the time of invitation was before </w:t>
      </w:r>
      <w:r w:rsidR="00AD234F" w:rsidRPr="004B1042">
        <w:t>1 July</w:t>
      </w:r>
      <w:r w:rsidRPr="004B1042">
        <w:t xml:space="preserve"> 2021—at least AUD500,000; or</w:t>
      </w:r>
    </w:p>
    <w:p w14:paraId="0DE7290B" w14:textId="77777777" w:rsidR="00421885" w:rsidRPr="004B1042" w:rsidRDefault="00421885" w:rsidP="00421885">
      <w:pPr>
        <w:pStyle w:val="paragraph"/>
      </w:pPr>
      <w:r w:rsidRPr="004B1042">
        <w:tab/>
        <w:t>(b)</w:t>
      </w:r>
      <w:r w:rsidRPr="004B1042">
        <w:tab/>
        <w:t xml:space="preserve">if the time of invitation was on or after </w:t>
      </w:r>
      <w:r w:rsidR="00AD234F" w:rsidRPr="004B1042">
        <w:t>1 July</w:t>
      </w:r>
      <w:r w:rsidRPr="004B1042">
        <w:t xml:space="preserve"> 2021—at least AUD750,000.</w:t>
      </w:r>
    </w:p>
    <w:p w14:paraId="781E4E5B" w14:textId="77777777" w:rsidR="00421885" w:rsidRPr="004B1042" w:rsidRDefault="00421885" w:rsidP="00421885">
      <w:pPr>
        <w:pStyle w:val="ItemHead"/>
      </w:pPr>
      <w:r w:rsidRPr="004B1042">
        <w:t xml:space="preserve">26  Clause 188.226 of </w:t>
      </w:r>
      <w:r w:rsidR="00523181" w:rsidRPr="004B1042">
        <w:t>Schedule 2</w:t>
      </w:r>
    </w:p>
    <w:p w14:paraId="3DB0DE36" w14:textId="77777777" w:rsidR="00421885" w:rsidRPr="004B1042" w:rsidRDefault="00421885" w:rsidP="00421885">
      <w:pPr>
        <w:pStyle w:val="Item"/>
      </w:pPr>
      <w:r w:rsidRPr="004B1042">
        <w:t>Omit “net value of at least AUD800 000.”, substitute:</w:t>
      </w:r>
    </w:p>
    <w:p w14:paraId="45499FD9" w14:textId="77777777" w:rsidR="00421885" w:rsidRPr="004B1042" w:rsidRDefault="00421885" w:rsidP="00421885">
      <w:pPr>
        <w:pStyle w:val="Item"/>
      </w:pPr>
      <w:r w:rsidRPr="004B1042">
        <w:t>net value of:</w:t>
      </w:r>
    </w:p>
    <w:p w14:paraId="348626B1" w14:textId="77777777" w:rsidR="00421885" w:rsidRPr="004B1042" w:rsidRDefault="00421885" w:rsidP="00421885">
      <w:pPr>
        <w:pStyle w:val="paragraph"/>
      </w:pPr>
      <w:r w:rsidRPr="004B1042">
        <w:tab/>
        <w:t>(a)</w:t>
      </w:r>
      <w:r w:rsidRPr="004B1042">
        <w:tab/>
        <w:t xml:space="preserve">if the time of invitation was before </w:t>
      </w:r>
      <w:r w:rsidR="00AD234F" w:rsidRPr="004B1042">
        <w:t>1 July</w:t>
      </w:r>
      <w:r w:rsidRPr="004B1042">
        <w:t xml:space="preserve"> 2021—at least AUD800,000; or</w:t>
      </w:r>
    </w:p>
    <w:p w14:paraId="19872C7E" w14:textId="77777777" w:rsidR="00421885" w:rsidRPr="004B1042" w:rsidRDefault="00421885" w:rsidP="00421885">
      <w:pPr>
        <w:pStyle w:val="paragraph"/>
      </w:pPr>
      <w:r w:rsidRPr="004B1042">
        <w:tab/>
        <w:t>(b)</w:t>
      </w:r>
      <w:r w:rsidRPr="004B1042">
        <w:tab/>
        <w:t xml:space="preserve">if the time of invitation was on or after </w:t>
      </w:r>
      <w:r w:rsidR="00AD234F" w:rsidRPr="004B1042">
        <w:t>1 July</w:t>
      </w:r>
      <w:r w:rsidRPr="004B1042">
        <w:t xml:space="preserve"> 2021—at least AUD1,</w:t>
      </w:r>
      <w:r w:rsidR="00D40286" w:rsidRPr="004B1042">
        <w:t>25</w:t>
      </w:r>
      <w:r w:rsidRPr="004B1042">
        <w:t>0,000.</w:t>
      </w:r>
    </w:p>
    <w:p w14:paraId="71C2AF98" w14:textId="77777777" w:rsidR="00421885" w:rsidRPr="004B1042" w:rsidRDefault="00421885" w:rsidP="00421885">
      <w:pPr>
        <w:pStyle w:val="ItemHead"/>
      </w:pPr>
      <w:r w:rsidRPr="004B1042">
        <w:t xml:space="preserve">27  Clause 188.244 of </w:t>
      </w:r>
      <w:r w:rsidR="00523181" w:rsidRPr="004B1042">
        <w:t>Schedule 2</w:t>
      </w:r>
    </w:p>
    <w:p w14:paraId="54D7418B" w14:textId="77777777" w:rsidR="00421885" w:rsidRPr="004B1042" w:rsidRDefault="00421885" w:rsidP="00421885">
      <w:pPr>
        <w:pStyle w:val="Item"/>
      </w:pPr>
      <w:r w:rsidRPr="004B1042">
        <w:t>Before “For”, insert “(1)”.</w:t>
      </w:r>
    </w:p>
    <w:p w14:paraId="60FA5DEA" w14:textId="77777777" w:rsidR="00421885" w:rsidRPr="004B1042" w:rsidRDefault="00421885" w:rsidP="00421885">
      <w:pPr>
        <w:pStyle w:val="ItemHead"/>
      </w:pPr>
      <w:r w:rsidRPr="004B1042">
        <w:t xml:space="preserve">28  Paragraph 188.244(b) of </w:t>
      </w:r>
      <w:r w:rsidR="00523181" w:rsidRPr="004B1042">
        <w:t>Schedule 2</w:t>
      </w:r>
    </w:p>
    <w:p w14:paraId="7FF1D3D6" w14:textId="77777777" w:rsidR="00421885" w:rsidRPr="004B1042" w:rsidRDefault="00421885" w:rsidP="00421885">
      <w:pPr>
        <w:pStyle w:val="Item"/>
      </w:pPr>
      <w:r w:rsidRPr="004B1042">
        <w:t>Repeal the paragraph, substitute:</w:t>
      </w:r>
    </w:p>
    <w:p w14:paraId="7B58C647" w14:textId="77777777" w:rsidR="00421885" w:rsidRPr="004B1042" w:rsidRDefault="00421885" w:rsidP="00421885">
      <w:pPr>
        <w:pStyle w:val="paragraph"/>
      </w:pPr>
      <w:r w:rsidRPr="004B1042">
        <w:tab/>
        <w:t>(b)</w:t>
      </w:r>
      <w:r w:rsidRPr="004B1042">
        <w:tab/>
        <w:t>subclause (2) applies.</w:t>
      </w:r>
    </w:p>
    <w:p w14:paraId="17BB96A5" w14:textId="77777777" w:rsidR="00421885" w:rsidRPr="004B1042" w:rsidRDefault="00421885" w:rsidP="00421885">
      <w:pPr>
        <w:pStyle w:val="ItemHead"/>
      </w:pPr>
      <w:r w:rsidRPr="004B1042">
        <w:t xml:space="preserve">29  At the end of clause 188.244 of </w:t>
      </w:r>
      <w:r w:rsidR="00523181" w:rsidRPr="004B1042">
        <w:t>Schedule 2</w:t>
      </w:r>
    </w:p>
    <w:p w14:paraId="128EED5E" w14:textId="77777777" w:rsidR="00421885" w:rsidRPr="004B1042" w:rsidRDefault="00421885" w:rsidP="00421885">
      <w:pPr>
        <w:pStyle w:val="Item"/>
      </w:pPr>
      <w:r w:rsidRPr="004B1042">
        <w:t>Add:</w:t>
      </w:r>
    </w:p>
    <w:p w14:paraId="1034F62F" w14:textId="77777777" w:rsidR="00421885" w:rsidRPr="004B1042" w:rsidRDefault="00421885" w:rsidP="00421885">
      <w:pPr>
        <w:pStyle w:val="subsection"/>
      </w:pPr>
      <w:r w:rsidRPr="004B1042">
        <w:tab/>
        <w:t>(2)</w:t>
      </w:r>
      <w:r w:rsidRPr="004B1042">
        <w:tab/>
        <w:t>This subclause applies if:</w:t>
      </w:r>
    </w:p>
    <w:p w14:paraId="5AD5240B" w14:textId="77777777" w:rsidR="00421885" w:rsidRPr="004B1042" w:rsidRDefault="00421885" w:rsidP="00421885">
      <w:pPr>
        <w:pStyle w:val="paragraph"/>
      </w:pPr>
      <w:r w:rsidRPr="004B1042">
        <w:tab/>
        <w:t>(a)</w:t>
      </w:r>
      <w:r w:rsidRPr="004B1042">
        <w:tab/>
        <w:t>the applicant maintained direct involvement in managing eligible investments of the applicant, the applicant’s spouse or de facto partner, or the applicant and the applicant’s spouse or de facto partner together; and</w:t>
      </w:r>
    </w:p>
    <w:p w14:paraId="3DD491F6" w14:textId="77777777" w:rsidR="00421885" w:rsidRPr="004B1042" w:rsidRDefault="00421885" w:rsidP="00421885">
      <w:pPr>
        <w:pStyle w:val="paragraph"/>
      </w:pPr>
      <w:r w:rsidRPr="004B1042">
        <w:tab/>
        <w:t>(b)</w:t>
      </w:r>
      <w:r w:rsidRPr="004B1042">
        <w:tab/>
        <w:t>the total net value of the eligible investments was:</w:t>
      </w:r>
    </w:p>
    <w:p w14:paraId="1EF06DA6" w14:textId="77777777" w:rsidR="00421885" w:rsidRPr="004B1042" w:rsidRDefault="00421885" w:rsidP="00421885">
      <w:pPr>
        <w:pStyle w:val="paragraphsub"/>
      </w:pPr>
      <w:r w:rsidRPr="004B1042">
        <w:tab/>
        <w:t>(i)</w:t>
      </w:r>
      <w:r w:rsidRPr="004B1042">
        <w:tab/>
        <w:t xml:space="preserve">if the time of invitation to apply for the visa was before </w:t>
      </w:r>
      <w:r w:rsidR="00AD234F" w:rsidRPr="004B1042">
        <w:t>1 July</w:t>
      </w:r>
      <w:r w:rsidRPr="004B1042">
        <w:t xml:space="preserve"> 2021—at least AUD1,500,000; or</w:t>
      </w:r>
    </w:p>
    <w:p w14:paraId="08AB46A2" w14:textId="77777777" w:rsidR="00421885" w:rsidRPr="004B1042" w:rsidRDefault="00421885" w:rsidP="00421885">
      <w:pPr>
        <w:pStyle w:val="paragraphsub"/>
      </w:pPr>
      <w:r w:rsidRPr="004B1042">
        <w:tab/>
        <w:t xml:space="preserve">(ii) </w:t>
      </w:r>
      <w:r w:rsidRPr="004B1042">
        <w:tab/>
        <w:t xml:space="preserve">if the time of invitation to apply for the visa was on or after </w:t>
      </w:r>
      <w:r w:rsidR="00AD234F" w:rsidRPr="004B1042">
        <w:t>1 July</w:t>
      </w:r>
      <w:r w:rsidRPr="004B1042">
        <w:t xml:space="preserve"> 2021—at least AUD2,500,000.</w:t>
      </w:r>
    </w:p>
    <w:p w14:paraId="2DC179B6" w14:textId="77777777" w:rsidR="00421885" w:rsidRPr="004B1042" w:rsidRDefault="00421885" w:rsidP="00421885">
      <w:pPr>
        <w:pStyle w:val="ItemHead"/>
      </w:pPr>
      <w:r w:rsidRPr="004B1042">
        <w:t xml:space="preserve">30  Clause 188.245 of </w:t>
      </w:r>
      <w:r w:rsidR="00523181" w:rsidRPr="004B1042">
        <w:t>Schedule 2</w:t>
      </w:r>
    </w:p>
    <w:p w14:paraId="7267122E" w14:textId="77777777" w:rsidR="00421885" w:rsidRPr="004B1042" w:rsidRDefault="00421885" w:rsidP="00421885">
      <w:pPr>
        <w:pStyle w:val="Item"/>
      </w:pPr>
      <w:r w:rsidRPr="004B1042">
        <w:t>Omit “net value of at least AUD2 250 000.”, substitute:</w:t>
      </w:r>
    </w:p>
    <w:p w14:paraId="77317175" w14:textId="77777777" w:rsidR="00421885" w:rsidRPr="004B1042" w:rsidRDefault="00421885" w:rsidP="00421885">
      <w:pPr>
        <w:pStyle w:val="Item"/>
      </w:pPr>
      <w:r w:rsidRPr="004B1042">
        <w:t>net value of:</w:t>
      </w:r>
    </w:p>
    <w:p w14:paraId="3EDA945C" w14:textId="77777777" w:rsidR="00421885" w:rsidRPr="004B1042" w:rsidRDefault="00421885" w:rsidP="00421885">
      <w:pPr>
        <w:pStyle w:val="paragraph"/>
      </w:pPr>
      <w:r w:rsidRPr="004B1042">
        <w:tab/>
        <w:t>(a)</w:t>
      </w:r>
      <w:r w:rsidRPr="004B1042">
        <w:tab/>
        <w:t xml:space="preserve">if the time of invitation was before </w:t>
      </w:r>
      <w:r w:rsidR="00AD234F" w:rsidRPr="004B1042">
        <w:t>1 July</w:t>
      </w:r>
      <w:r w:rsidRPr="004B1042">
        <w:t xml:space="preserve"> 2021—at least AUD2,250,000; or</w:t>
      </w:r>
    </w:p>
    <w:p w14:paraId="627A54D4" w14:textId="77777777" w:rsidR="00421885" w:rsidRPr="004B1042" w:rsidRDefault="00421885" w:rsidP="00421885">
      <w:pPr>
        <w:pStyle w:val="paragraph"/>
      </w:pPr>
      <w:r w:rsidRPr="004B1042">
        <w:tab/>
        <w:t>(b)</w:t>
      </w:r>
      <w:r w:rsidRPr="004B1042">
        <w:tab/>
        <w:t xml:space="preserve">if the time of invitation was on or after </w:t>
      </w:r>
      <w:r w:rsidR="00AD234F" w:rsidRPr="004B1042">
        <w:t>1 July</w:t>
      </w:r>
      <w:r w:rsidRPr="004B1042">
        <w:t xml:space="preserve"> 2021—at least AUD2,500,000.</w:t>
      </w:r>
    </w:p>
    <w:p w14:paraId="0A1526D4" w14:textId="77777777" w:rsidR="00421885" w:rsidRPr="004B1042" w:rsidRDefault="00421885" w:rsidP="00421885">
      <w:pPr>
        <w:pStyle w:val="ItemHead"/>
      </w:pPr>
      <w:r w:rsidRPr="004B1042">
        <w:t xml:space="preserve">31  Before subclause 188.246(1) of </w:t>
      </w:r>
      <w:r w:rsidR="00523181" w:rsidRPr="004B1042">
        <w:t>Schedule 2</w:t>
      </w:r>
    </w:p>
    <w:p w14:paraId="687F5660" w14:textId="77777777" w:rsidR="00421885" w:rsidRPr="004B1042" w:rsidRDefault="00421885" w:rsidP="00421885">
      <w:pPr>
        <w:pStyle w:val="Item"/>
      </w:pPr>
      <w:r w:rsidRPr="004B1042">
        <w:t>Insert:</w:t>
      </w:r>
    </w:p>
    <w:p w14:paraId="78218606" w14:textId="77777777" w:rsidR="00421885" w:rsidRPr="004B1042" w:rsidRDefault="00421885" w:rsidP="00421885">
      <w:pPr>
        <w:pStyle w:val="subsection"/>
      </w:pPr>
      <w:r w:rsidRPr="004B1042">
        <w:tab/>
        <w:t>(1A)</w:t>
      </w:r>
      <w:r w:rsidRPr="004B1042">
        <w:tab/>
        <w:t xml:space="preserve">If the time of invitation to apply for the visa was before </w:t>
      </w:r>
      <w:r w:rsidR="00AD234F" w:rsidRPr="004B1042">
        <w:t>1 July</w:t>
      </w:r>
      <w:r w:rsidRPr="004B1042">
        <w:t xml:space="preserve"> 2021, the requirements in subclauses (1) and (2) are met.</w:t>
      </w:r>
    </w:p>
    <w:p w14:paraId="391F9CA0" w14:textId="77777777" w:rsidR="00421885" w:rsidRPr="004B1042" w:rsidRDefault="00421885" w:rsidP="00421885">
      <w:pPr>
        <w:pStyle w:val="ItemHead"/>
      </w:pPr>
      <w:r w:rsidRPr="004B1042">
        <w:t xml:space="preserve">32  After clause 188.246 of </w:t>
      </w:r>
      <w:r w:rsidR="00523181" w:rsidRPr="004B1042">
        <w:t>Schedule 2</w:t>
      </w:r>
    </w:p>
    <w:p w14:paraId="0CC87720" w14:textId="77777777" w:rsidR="00421885" w:rsidRPr="004B1042" w:rsidRDefault="00421885" w:rsidP="00421885">
      <w:pPr>
        <w:pStyle w:val="Item"/>
      </w:pPr>
      <w:r w:rsidRPr="004B1042">
        <w:t>Insert:</w:t>
      </w:r>
    </w:p>
    <w:p w14:paraId="018EC7AB" w14:textId="77777777" w:rsidR="00421885" w:rsidRPr="004B1042" w:rsidRDefault="00421885" w:rsidP="00421885">
      <w:pPr>
        <w:pStyle w:val="ActHead5"/>
      </w:pPr>
      <w:bookmarkStart w:id="9" w:name="_Toc72937714"/>
      <w:r w:rsidRPr="00154C09">
        <w:rPr>
          <w:rStyle w:val="CharSectno"/>
        </w:rPr>
        <w:t>188.246A</w:t>
      </w:r>
      <w:bookmarkEnd w:id="9"/>
      <w:r w:rsidR="0092219F" w:rsidRPr="004B1042">
        <w:t xml:space="preserve">  </w:t>
      </w:r>
    </w:p>
    <w:p w14:paraId="5D8E91B5" w14:textId="77777777" w:rsidR="00421885" w:rsidRPr="004B1042" w:rsidRDefault="00421885" w:rsidP="00421885">
      <w:pPr>
        <w:pStyle w:val="subsection"/>
      </w:pPr>
      <w:r w:rsidRPr="004B1042">
        <w:tab/>
        <w:t>(1)</w:t>
      </w:r>
      <w:r w:rsidRPr="004B1042">
        <w:tab/>
        <w:t xml:space="preserve">If the time of invitation to apply for the visa was on or after </w:t>
      </w:r>
      <w:r w:rsidR="00AD234F" w:rsidRPr="004B1042">
        <w:t>1 July</w:t>
      </w:r>
      <w:r w:rsidRPr="004B1042">
        <w:t xml:space="preserve"> 2021, the requirements in subclauses (2), (3) and (4) are met.</w:t>
      </w:r>
    </w:p>
    <w:p w14:paraId="4178BB80" w14:textId="77777777" w:rsidR="00421885" w:rsidRPr="004B1042" w:rsidRDefault="00421885" w:rsidP="00421885">
      <w:pPr>
        <w:pStyle w:val="subsection"/>
      </w:pPr>
      <w:r w:rsidRPr="004B1042">
        <w:tab/>
        <w:t>(2)</w:t>
      </w:r>
      <w:r w:rsidRPr="004B1042">
        <w:tab/>
        <w:t>The applicant:</w:t>
      </w:r>
    </w:p>
    <w:p w14:paraId="4FBDEE46" w14:textId="77777777" w:rsidR="00421885" w:rsidRPr="004B1042" w:rsidRDefault="00421885" w:rsidP="00421885">
      <w:pPr>
        <w:pStyle w:val="paragraph"/>
      </w:pPr>
      <w:r w:rsidRPr="004B1042">
        <w:tab/>
        <w:t>(a)</w:t>
      </w:r>
      <w:r w:rsidRPr="004B1042">
        <w:tab/>
        <w:t>has made a complying significant investment of at least AUD2,500,000; and</w:t>
      </w:r>
    </w:p>
    <w:p w14:paraId="446AC5ED" w14:textId="77777777" w:rsidR="00421885" w:rsidRPr="004B1042" w:rsidRDefault="00421885" w:rsidP="00421885">
      <w:pPr>
        <w:pStyle w:val="paragraph"/>
      </w:pPr>
      <w:r w:rsidRPr="004B1042">
        <w:tab/>
        <w:t>(b)</w:t>
      </w:r>
      <w:r w:rsidRPr="004B1042">
        <w:tab/>
        <w:t>has a genuine intention to hold the complying significant investment for the whole of the visa period.</w:t>
      </w:r>
    </w:p>
    <w:p w14:paraId="4F37EE69" w14:textId="77777777" w:rsidR="00421885" w:rsidRPr="004B1042" w:rsidRDefault="00421885" w:rsidP="00421885">
      <w:pPr>
        <w:pStyle w:val="subsection"/>
      </w:pPr>
      <w:r w:rsidRPr="004B1042">
        <w:tab/>
        <w:t>(3)</w:t>
      </w:r>
      <w:r w:rsidRPr="004B1042">
        <w:tab/>
        <w:t>The funds used to make the complying significant investment mentioned in subclause (2) were accumulated from either or both of the following:</w:t>
      </w:r>
    </w:p>
    <w:p w14:paraId="2FC21FC4" w14:textId="77777777" w:rsidR="00421885" w:rsidRPr="004B1042" w:rsidRDefault="00421885" w:rsidP="00421885">
      <w:pPr>
        <w:pStyle w:val="paragraph"/>
      </w:pPr>
      <w:r w:rsidRPr="004B1042">
        <w:tab/>
        <w:t>(a)</w:t>
      </w:r>
      <w:r w:rsidRPr="004B1042">
        <w:tab/>
        <w:t>one or more qualifying businesses conducted by the applicant, the applicant’s spouse or de facto partner, or the applicant and the applicant’s spouse or de facto partner together;</w:t>
      </w:r>
    </w:p>
    <w:p w14:paraId="45497214" w14:textId="77777777" w:rsidR="00421885" w:rsidRPr="004B1042" w:rsidRDefault="00421885" w:rsidP="00421885">
      <w:pPr>
        <w:pStyle w:val="paragraph"/>
      </w:pPr>
      <w:r w:rsidRPr="004B1042">
        <w:tab/>
        <w:t>(b)</w:t>
      </w:r>
      <w:r w:rsidRPr="004B1042">
        <w:tab/>
        <w:t>eligible investment activities of the applicant, the applicant’s spouse or de facto partner, or the applicant and the applicant’s spouse or de facto partner together.</w:t>
      </w:r>
    </w:p>
    <w:p w14:paraId="2DAA34DF" w14:textId="77777777" w:rsidR="00421885" w:rsidRPr="004B1042" w:rsidRDefault="00421885" w:rsidP="00421885">
      <w:pPr>
        <w:pStyle w:val="subsection"/>
      </w:pPr>
      <w:r w:rsidRPr="004B1042">
        <w:tab/>
        <w:t>(4)</w:t>
      </w:r>
      <w:r w:rsidRPr="004B1042">
        <w:tab/>
        <w:t>The applicant has given the Minister:</w:t>
      </w:r>
    </w:p>
    <w:p w14:paraId="75BB0D0D" w14:textId="77777777" w:rsidR="00421885" w:rsidRPr="004B1042" w:rsidRDefault="00421885" w:rsidP="00421885">
      <w:pPr>
        <w:pStyle w:val="paragraph"/>
      </w:pPr>
      <w:r w:rsidRPr="004B1042">
        <w:tab/>
        <w:t>(a)</w:t>
      </w:r>
      <w:r w:rsidRPr="004B1042">
        <w:tab/>
        <w:t>evidence that the complying significant investment mentioned in subclause (2) complies with the requirements set out in regulation 5.19C as in force at the time of application; and</w:t>
      </w:r>
    </w:p>
    <w:p w14:paraId="23F094D9" w14:textId="77777777" w:rsidR="00421885" w:rsidRPr="004B1042" w:rsidRDefault="00421885" w:rsidP="00421885">
      <w:pPr>
        <w:pStyle w:val="paragraph"/>
      </w:pPr>
      <w:r w:rsidRPr="004B1042">
        <w:tab/>
        <w:t>(b)</w:t>
      </w:r>
      <w:r w:rsidRPr="004B1042">
        <w:tab/>
        <w:t>a completed copy of approved form 1412, signed by the applicant and each other applicant aged at least 18.</w:t>
      </w:r>
    </w:p>
    <w:p w14:paraId="5F8B1CAD" w14:textId="77777777" w:rsidR="00421885" w:rsidRPr="004B1042" w:rsidRDefault="00421885" w:rsidP="00421885">
      <w:pPr>
        <w:pStyle w:val="notetext"/>
      </w:pPr>
      <w:r w:rsidRPr="004B1042">
        <w:t>Note:</w:t>
      </w:r>
      <w:r w:rsidRPr="004B1042">
        <w:tab/>
        <w:t>Approved form 1412 is a deed of acknowledgement, undertaking and release, signed by each person mentioned in paragraph (b), under which they:</w:t>
      </w:r>
    </w:p>
    <w:p w14:paraId="76D7FC80" w14:textId="77777777" w:rsidR="00421885" w:rsidRPr="004B1042" w:rsidRDefault="00421885" w:rsidP="00421885">
      <w:pPr>
        <w:pStyle w:val="notepara"/>
      </w:pPr>
      <w:r w:rsidRPr="004B1042">
        <w:t>(a)</w:t>
      </w:r>
      <w:r w:rsidRPr="004B1042">
        <w:tab/>
        <w:t>acknowledge that they are responsible for their financial and legal affairs; and</w:t>
      </w:r>
    </w:p>
    <w:p w14:paraId="56FEAAAB" w14:textId="77777777" w:rsidR="00421885" w:rsidRPr="004B1042" w:rsidRDefault="00421885" w:rsidP="00421885">
      <w:pPr>
        <w:pStyle w:val="notepara"/>
      </w:pPr>
      <w:r w:rsidRPr="004B1042">
        <w:t>(b)</w:t>
      </w:r>
      <w:r w:rsidRPr="004B1042">
        <w:tab/>
        <w:t>undertake not to bring an action against the Commonwealth in relation to any loss relating to the complying significant investment; and</w:t>
      </w:r>
    </w:p>
    <w:p w14:paraId="02E638D1" w14:textId="77777777" w:rsidR="00421885" w:rsidRPr="004B1042" w:rsidRDefault="00421885" w:rsidP="00421885">
      <w:pPr>
        <w:pStyle w:val="notepara"/>
      </w:pPr>
      <w:r w:rsidRPr="004B1042">
        <w:t>(c)</w:t>
      </w:r>
      <w:r w:rsidRPr="004B1042">
        <w:tab/>
        <w:t>release the Commonwealth from any liabilities in relation to any loss relating to the complying significant investment.</w:t>
      </w:r>
    </w:p>
    <w:p w14:paraId="551E6378" w14:textId="77777777" w:rsidR="00421885" w:rsidRPr="004B1042" w:rsidRDefault="00421885" w:rsidP="00421885">
      <w:pPr>
        <w:pStyle w:val="ItemHead"/>
      </w:pPr>
      <w:r w:rsidRPr="004B1042">
        <w:t xml:space="preserve">33  Subclause 188.248(1) of </w:t>
      </w:r>
      <w:r w:rsidR="00523181" w:rsidRPr="004B1042">
        <w:t>Schedule 2</w:t>
      </w:r>
    </w:p>
    <w:p w14:paraId="09DADF9F" w14:textId="77777777" w:rsidR="00421885" w:rsidRPr="004B1042" w:rsidRDefault="00421885" w:rsidP="00421885">
      <w:pPr>
        <w:pStyle w:val="Item"/>
      </w:pPr>
      <w:r w:rsidRPr="004B1042">
        <w:t>Omit “after the designated investment made by the applicant, or by the applicant and his or her spouse or de facto partner, matures.”, substitute:</w:t>
      </w:r>
    </w:p>
    <w:p w14:paraId="2CC185E5" w14:textId="77777777" w:rsidR="00421885" w:rsidRPr="004B1042" w:rsidRDefault="00421885" w:rsidP="00421885">
      <w:pPr>
        <w:pStyle w:val="Item"/>
      </w:pPr>
      <w:r w:rsidRPr="004B1042">
        <w:t>after:</w:t>
      </w:r>
    </w:p>
    <w:p w14:paraId="173A5F56" w14:textId="77777777" w:rsidR="00421885" w:rsidRPr="004B1042" w:rsidRDefault="00421885" w:rsidP="00421885">
      <w:pPr>
        <w:pStyle w:val="paragraph"/>
      </w:pPr>
      <w:r w:rsidRPr="004B1042">
        <w:tab/>
        <w:t>(a)</w:t>
      </w:r>
      <w:r w:rsidRPr="004B1042">
        <w:tab/>
        <w:t>if subclause 188.246(1) applies to the applicant—the designated investment mentioned in that subclause matures; or</w:t>
      </w:r>
    </w:p>
    <w:p w14:paraId="3568221C" w14:textId="77777777" w:rsidR="00421885" w:rsidRPr="004B1042" w:rsidRDefault="00421885" w:rsidP="00421885">
      <w:pPr>
        <w:pStyle w:val="paragraph"/>
      </w:pPr>
      <w:r w:rsidRPr="004B1042">
        <w:tab/>
        <w:t>(b)</w:t>
      </w:r>
      <w:r w:rsidRPr="004B1042">
        <w:tab/>
        <w:t>if subclause 188.246A(2) applies to the applicant—the complying significant investment mentioned in that subclause matures.</w:t>
      </w:r>
    </w:p>
    <w:p w14:paraId="76F16B07" w14:textId="77777777" w:rsidR="00421885" w:rsidRPr="004B1042" w:rsidRDefault="00421885" w:rsidP="00421885">
      <w:pPr>
        <w:pStyle w:val="ItemHead"/>
      </w:pPr>
      <w:r w:rsidRPr="004B1042">
        <w:t xml:space="preserve">34  Subclause 188.248(2) of </w:t>
      </w:r>
      <w:r w:rsidR="00523181" w:rsidRPr="004B1042">
        <w:t>Schedule 2</w:t>
      </w:r>
    </w:p>
    <w:p w14:paraId="26A3EA19" w14:textId="77777777" w:rsidR="00421885" w:rsidRPr="004B1042" w:rsidRDefault="00421885" w:rsidP="00421885">
      <w:pPr>
        <w:pStyle w:val="Item"/>
      </w:pPr>
      <w:r w:rsidRPr="004B1042">
        <w:t>Omit “he or she made the designated investment application”, substitute “the nominating State or Territory government agency is located”.</w:t>
      </w:r>
    </w:p>
    <w:p w14:paraId="795892FA" w14:textId="77777777" w:rsidR="00421885" w:rsidRPr="004B1042" w:rsidRDefault="00421885" w:rsidP="00421885">
      <w:pPr>
        <w:pStyle w:val="ItemHead"/>
      </w:pPr>
      <w:r w:rsidRPr="004B1042">
        <w:t xml:space="preserve">35  Subclause 188.252(2) of </w:t>
      </w:r>
      <w:r w:rsidR="00523181" w:rsidRPr="004B1042">
        <w:t>Schedule 2</w:t>
      </w:r>
    </w:p>
    <w:p w14:paraId="560B6F1D" w14:textId="77777777" w:rsidR="00421885" w:rsidRPr="004B1042" w:rsidRDefault="00421885" w:rsidP="00421885">
      <w:pPr>
        <w:pStyle w:val="Item"/>
      </w:pPr>
      <w:r w:rsidRPr="004B1042">
        <w:t xml:space="preserve">Omit “The”, substitute “If the time of invitation to apply for the visa was before </w:t>
      </w:r>
      <w:r w:rsidR="00AD234F" w:rsidRPr="004B1042">
        <w:t>1 July</w:t>
      </w:r>
      <w:r w:rsidRPr="004B1042">
        <w:t xml:space="preserve"> 2021, the”.</w:t>
      </w:r>
    </w:p>
    <w:p w14:paraId="0FB293C4" w14:textId="77777777" w:rsidR="00421885" w:rsidRPr="004B1042" w:rsidRDefault="00421885" w:rsidP="00421885">
      <w:pPr>
        <w:pStyle w:val="ItemHead"/>
      </w:pPr>
      <w:r w:rsidRPr="004B1042">
        <w:t xml:space="preserve">36  After subclause 188.252(2) of </w:t>
      </w:r>
      <w:r w:rsidR="00523181" w:rsidRPr="004B1042">
        <w:t>Schedule 2</w:t>
      </w:r>
      <w:r w:rsidRPr="004B1042">
        <w:t xml:space="preserve"> (before the note)</w:t>
      </w:r>
    </w:p>
    <w:p w14:paraId="50DB6CB7" w14:textId="77777777" w:rsidR="00421885" w:rsidRPr="004B1042" w:rsidRDefault="00421885" w:rsidP="00421885">
      <w:pPr>
        <w:pStyle w:val="Item"/>
      </w:pPr>
      <w:r w:rsidRPr="004B1042">
        <w:t>Insert:</w:t>
      </w:r>
    </w:p>
    <w:p w14:paraId="0CE69042" w14:textId="77777777" w:rsidR="00421885" w:rsidRPr="004B1042" w:rsidRDefault="00421885" w:rsidP="00421885">
      <w:pPr>
        <w:pStyle w:val="paragraph"/>
      </w:pPr>
      <w:r w:rsidRPr="004B1042">
        <w:tab/>
        <w:t>(3)</w:t>
      </w:r>
      <w:r w:rsidRPr="004B1042">
        <w:tab/>
        <w:t xml:space="preserve">If the time of invitation to apply for the visa was on or after </w:t>
      </w:r>
      <w:r w:rsidR="00AD234F" w:rsidRPr="004B1042">
        <w:t>1 July</w:t>
      </w:r>
      <w:r w:rsidRPr="004B1042">
        <w:t xml:space="preserve"> 2021, the applicant has a genuine intention to hold the complying significant investment for the whole of the visa period.</w:t>
      </w:r>
    </w:p>
    <w:p w14:paraId="0438FD69" w14:textId="77777777" w:rsidR="00421885" w:rsidRPr="004B1042" w:rsidRDefault="00421885" w:rsidP="00421885">
      <w:pPr>
        <w:pStyle w:val="ItemHead"/>
      </w:pPr>
      <w:r w:rsidRPr="004B1042">
        <w:t xml:space="preserve">37  Paragraph 188.261(1B)(b) of </w:t>
      </w:r>
      <w:r w:rsidR="00523181" w:rsidRPr="004B1042">
        <w:t>Schedule 2</w:t>
      </w:r>
    </w:p>
    <w:p w14:paraId="195E58EC" w14:textId="77777777" w:rsidR="00421885" w:rsidRPr="004B1042" w:rsidRDefault="00421885" w:rsidP="00421885">
      <w:pPr>
        <w:pStyle w:val="Item"/>
      </w:pPr>
      <w:r w:rsidRPr="004B1042">
        <w:t>Repeal the paragraph, substitute:</w:t>
      </w:r>
    </w:p>
    <w:p w14:paraId="53861CEA" w14:textId="77777777" w:rsidR="00421885" w:rsidRPr="004B1042" w:rsidRDefault="00421885" w:rsidP="00421885">
      <w:pPr>
        <w:pStyle w:val="paragraph"/>
      </w:pPr>
      <w:r w:rsidRPr="004B1042">
        <w:tab/>
        <w:t>(b)</w:t>
      </w:r>
      <w:r w:rsidRPr="004B1042">
        <w:tab/>
        <w:t>the applicant continues to hold a complying significant investment within the meaning of regulation 5.19C as in force at the time the application mentioned in paragraph (a) was made.</w:t>
      </w:r>
    </w:p>
    <w:p w14:paraId="5B102C46" w14:textId="77777777" w:rsidR="00421885" w:rsidRPr="004B1042" w:rsidRDefault="00421885" w:rsidP="00421885">
      <w:pPr>
        <w:pStyle w:val="ItemHead"/>
      </w:pPr>
      <w:r w:rsidRPr="004B1042">
        <w:t xml:space="preserve">38  Subdivision 188.27 of </w:t>
      </w:r>
      <w:r w:rsidR="00523181" w:rsidRPr="004B1042">
        <w:t>Schedule 2</w:t>
      </w:r>
    </w:p>
    <w:p w14:paraId="167F6F85" w14:textId="77777777" w:rsidR="00421885" w:rsidRPr="004B1042" w:rsidRDefault="00421885" w:rsidP="00421885">
      <w:pPr>
        <w:pStyle w:val="Item"/>
      </w:pPr>
      <w:r w:rsidRPr="004B1042">
        <w:t>Repeal the Subdivision.</w:t>
      </w:r>
    </w:p>
    <w:p w14:paraId="31E5FEFC" w14:textId="77777777" w:rsidR="00421885" w:rsidRPr="004B1042" w:rsidRDefault="00421885" w:rsidP="00421885">
      <w:pPr>
        <w:pStyle w:val="ItemHead"/>
      </w:pPr>
      <w:r w:rsidRPr="004B1042">
        <w:t xml:space="preserve">39  After paragraph 188.282(a) of </w:t>
      </w:r>
      <w:r w:rsidR="00523181" w:rsidRPr="004B1042">
        <w:t>Schedule 2</w:t>
      </w:r>
    </w:p>
    <w:p w14:paraId="5F73CFD4" w14:textId="77777777" w:rsidR="00421885" w:rsidRPr="004B1042" w:rsidRDefault="00421885" w:rsidP="00421885">
      <w:pPr>
        <w:pStyle w:val="Item"/>
      </w:pPr>
      <w:r w:rsidRPr="004B1042">
        <w:t>Insert:</w:t>
      </w:r>
    </w:p>
    <w:p w14:paraId="78F8E063" w14:textId="77777777" w:rsidR="00421885" w:rsidRPr="004B1042" w:rsidRDefault="00421885" w:rsidP="00421885">
      <w:pPr>
        <w:pStyle w:val="paragraph"/>
      </w:pPr>
      <w:r w:rsidRPr="004B1042">
        <w:tab/>
        <w:t>(ab)</w:t>
      </w:r>
      <w:r w:rsidRPr="004B1042">
        <w:tab/>
        <w:t>has a genuine intention to undertake, and continue to undertake, the complying entrepreneur activity in Australia; and</w:t>
      </w:r>
    </w:p>
    <w:p w14:paraId="7EC53723" w14:textId="77777777" w:rsidR="00421885" w:rsidRPr="004B1042" w:rsidRDefault="00421885" w:rsidP="00421885">
      <w:pPr>
        <w:pStyle w:val="ItemHead"/>
      </w:pPr>
      <w:r w:rsidRPr="004B1042">
        <w:t xml:space="preserve">40  Paragraph 188.282(b) of </w:t>
      </w:r>
      <w:r w:rsidR="00523181" w:rsidRPr="004B1042">
        <w:t>Schedule 2</w:t>
      </w:r>
    </w:p>
    <w:p w14:paraId="6EE13F9C" w14:textId="77777777" w:rsidR="00421885" w:rsidRPr="004B1042" w:rsidRDefault="00421885" w:rsidP="00421885">
      <w:pPr>
        <w:pStyle w:val="Item"/>
      </w:pPr>
      <w:r w:rsidRPr="004B1042">
        <w:t xml:space="preserve">Before “has”, insert “if the time of invitation to apply for the visa was before </w:t>
      </w:r>
      <w:r w:rsidR="00AD234F" w:rsidRPr="004B1042">
        <w:t>1 July</w:t>
      </w:r>
      <w:r w:rsidRPr="004B1042">
        <w:t xml:space="preserve"> 2021,”.</w:t>
      </w:r>
    </w:p>
    <w:p w14:paraId="5252344A" w14:textId="77777777" w:rsidR="00421885" w:rsidRPr="004B1042" w:rsidRDefault="00421885" w:rsidP="00421885">
      <w:pPr>
        <w:pStyle w:val="ItemHead"/>
      </w:pPr>
      <w:r w:rsidRPr="004B1042">
        <w:t xml:space="preserve">41  Paragraph 188.282(b) of </w:t>
      </w:r>
      <w:r w:rsidR="00523181" w:rsidRPr="004B1042">
        <w:t>Schedule 2</w:t>
      </w:r>
    </w:p>
    <w:p w14:paraId="36ACD506" w14:textId="77777777" w:rsidR="00421885" w:rsidRPr="004B1042" w:rsidRDefault="00421885" w:rsidP="00421885">
      <w:pPr>
        <w:pStyle w:val="Item"/>
      </w:pPr>
      <w:r w:rsidRPr="004B1042">
        <w:t>Omit “in Australia”.</w:t>
      </w:r>
    </w:p>
    <w:p w14:paraId="1F750E5D" w14:textId="77777777" w:rsidR="00421885" w:rsidRPr="004B1042" w:rsidRDefault="00421885" w:rsidP="00421885">
      <w:pPr>
        <w:pStyle w:val="ItemHead"/>
      </w:pPr>
      <w:r w:rsidRPr="004B1042">
        <w:t xml:space="preserve">42  Clause 188.311A of </w:t>
      </w:r>
      <w:r w:rsidR="00523181" w:rsidRPr="004B1042">
        <w:t>Schedule 2</w:t>
      </w:r>
    </w:p>
    <w:p w14:paraId="68B4CEB0" w14:textId="77777777" w:rsidR="00421885" w:rsidRPr="004B1042" w:rsidRDefault="00421885" w:rsidP="00421885">
      <w:pPr>
        <w:pStyle w:val="Item"/>
      </w:pPr>
      <w:r w:rsidRPr="004B1042">
        <w:t>Before “If”, insert “(1)”.</w:t>
      </w:r>
    </w:p>
    <w:p w14:paraId="7B6A2C05" w14:textId="77777777" w:rsidR="00421885" w:rsidRPr="004B1042" w:rsidRDefault="00421885" w:rsidP="00421885">
      <w:pPr>
        <w:pStyle w:val="ItemHead"/>
      </w:pPr>
      <w:r w:rsidRPr="004B1042">
        <w:t xml:space="preserve">43  Paragraph 188.311A(b) of </w:t>
      </w:r>
      <w:r w:rsidR="00523181" w:rsidRPr="004B1042">
        <w:t>Schedule 2</w:t>
      </w:r>
    </w:p>
    <w:p w14:paraId="3327C636" w14:textId="77777777" w:rsidR="00421885" w:rsidRPr="004B1042" w:rsidRDefault="00421885" w:rsidP="00421885">
      <w:pPr>
        <w:pStyle w:val="Item"/>
      </w:pPr>
      <w:r w:rsidRPr="004B1042">
        <w:t>After “visa in”, insert “the Investor stream,”.</w:t>
      </w:r>
    </w:p>
    <w:p w14:paraId="17EBCBFA" w14:textId="77777777" w:rsidR="00421885" w:rsidRPr="004B1042" w:rsidRDefault="00421885" w:rsidP="00421885">
      <w:pPr>
        <w:pStyle w:val="ItemHead"/>
      </w:pPr>
      <w:r w:rsidRPr="004B1042">
        <w:t xml:space="preserve">44  At the end of clause 188.311A of </w:t>
      </w:r>
      <w:r w:rsidR="00523181" w:rsidRPr="004B1042">
        <w:t>Schedule 2</w:t>
      </w:r>
    </w:p>
    <w:p w14:paraId="4BFCFECD" w14:textId="77777777" w:rsidR="00421885" w:rsidRPr="004B1042" w:rsidRDefault="00421885" w:rsidP="00421885">
      <w:pPr>
        <w:pStyle w:val="Item"/>
      </w:pPr>
      <w:r w:rsidRPr="004B1042">
        <w:t>Add:</w:t>
      </w:r>
    </w:p>
    <w:p w14:paraId="43C7D52A" w14:textId="77777777" w:rsidR="00421885" w:rsidRPr="004B1042" w:rsidRDefault="00421885" w:rsidP="00421885">
      <w:pPr>
        <w:pStyle w:val="subsection"/>
      </w:pPr>
      <w:r w:rsidRPr="004B1042">
        <w:tab/>
        <w:t>(2)</w:t>
      </w:r>
      <w:r w:rsidRPr="004B1042">
        <w:tab/>
        <w:t>Subclause (1) does not apply if the primary applicant:</w:t>
      </w:r>
    </w:p>
    <w:p w14:paraId="64498C2A" w14:textId="77777777" w:rsidR="00421885" w:rsidRPr="004B1042" w:rsidRDefault="00421885" w:rsidP="00421885">
      <w:pPr>
        <w:pStyle w:val="paragraph"/>
      </w:pPr>
      <w:r w:rsidRPr="004B1042">
        <w:tab/>
        <w:t>(a)</w:t>
      </w:r>
      <w:r w:rsidRPr="004B1042">
        <w:tab/>
        <w:t>holds a Subclass 188 visa in the Investor stream; and</w:t>
      </w:r>
    </w:p>
    <w:p w14:paraId="74931447" w14:textId="77777777" w:rsidR="00421885" w:rsidRPr="004B1042" w:rsidRDefault="00421885" w:rsidP="00421885">
      <w:pPr>
        <w:pStyle w:val="paragraph"/>
      </w:pPr>
      <w:r w:rsidRPr="004B1042">
        <w:tab/>
        <w:t>(b)</w:t>
      </w:r>
      <w:r w:rsidRPr="004B1042">
        <w:tab/>
        <w:t xml:space="preserve">was invited to apply for that visa before </w:t>
      </w:r>
      <w:r w:rsidR="00AD234F" w:rsidRPr="004B1042">
        <w:t>1 July</w:t>
      </w:r>
      <w:r w:rsidRPr="004B1042">
        <w:t xml:space="preserve"> 2021.</w:t>
      </w:r>
    </w:p>
    <w:p w14:paraId="497DCCA5" w14:textId="77777777" w:rsidR="00421885" w:rsidRPr="004B1042" w:rsidRDefault="00421885" w:rsidP="00421885">
      <w:pPr>
        <w:pStyle w:val="ItemHead"/>
      </w:pPr>
      <w:r w:rsidRPr="004B1042">
        <w:t xml:space="preserve">45  Clause 188.511 of </w:t>
      </w:r>
      <w:r w:rsidR="00523181" w:rsidRPr="004B1042">
        <w:t>Schedule 2</w:t>
      </w:r>
    </w:p>
    <w:p w14:paraId="7A20C2A9" w14:textId="77777777" w:rsidR="00421885" w:rsidRPr="004B1042" w:rsidRDefault="00421885" w:rsidP="00421885">
      <w:pPr>
        <w:pStyle w:val="Item"/>
      </w:pPr>
      <w:r w:rsidRPr="004B1042">
        <w:t>Omit “, the Premium Investor stream”.</w:t>
      </w:r>
    </w:p>
    <w:p w14:paraId="55D8BCBD" w14:textId="77777777" w:rsidR="00421885" w:rsidRPr="004B1042" w:rsidRDefault="00421885" w:rsidP="00421885">
      <w:pPr>
        <w:pStyle w:val="ItemHead"/>
      </w:pPr>
      <w:r w:rsidRPr="004B1042">
        <w:t xml:space="preserve">46  Clause 188.511 of </w:t>
      </w:r>
      <w:r w:rsidR="00523181" w:rsidRPr="004B1042">
        <w:t>Schedule 2</w:t>
      </w:r>
    </w:p>
    <w:p w14:paraId="76CD7580" w14:textId="77777777" w:rsidR="00421885" w:rsidRPr="004B1042" w:rsidRDefault="00421885" w:rsidP="00421885">
      <w:pPr>
        <w:pStyle w:val="Item"/>
      </w:pPr>
      <w:r w:rsidRPr="004B1042">
        <w:t>Omit “in Australia for 4 years and 3 months from the date of grant.”, substitute:</w:t>
      </w:r>
    </w:p>
    <w:p w14:paraId="43219D58" w14:textId="77777777" w:rsidR="00421885" w:rsidRPr="004B1042" w:rsidRDefault="00421885" w:rsidP="00421885">
      <w:pPr>
        <w:pStyle w:val="subsection"/>
      </w:pPr>
      <w:r w:rsidRPr="004B1042">
        <w:tab/>
      </w:r>
      <w:r w:rsidRPr="004B1042">
        <w:tab/>
        <w:t>in Australia:</w:t>
      </w:r>
    </w:p>
    <w:p w14:paraId="7B9E1DE5" w14:textId="77777777" w:rsidR="00421885" w:rsidRPr="004B1042" w:rsidRDefault="00421885" w:rsidP="00421885">
      <w:pPr>
        <w:pStyle w:val="paragraph"/>
      </w:pPr>
      <w:r w:rsidRPr="004B1042">
        <w:tab/>
        <w:t>(a)</w:t>
      </w:r>
      <w:r w:rsidRPr="004B1042">
        <w:tab/>
        <w:t xml:space="preserve">if the time of invitation to apply for the visa was before </w:t>
      </w:r>
      <w:r w:rsidR="00AD234F" w:rsidRPr="004B1042">
        <w:t>1 July</w:t>
      </w:r>
      <w:r w:rsidRPr="004B1042">
        <w:t xml:space="preserve"> 2021—for 4 years and 3 months from the date of grant; or</w:t>
      </w:r>
    </w:p>
    <w:p w14:paraId="7BEDCDBA" w14:textId="77777777" w:rsidR="00421885" w:rsidRPr="004B1042" w:rsidRDefault="00421885" w:rsidP="00421885">
      <w:pPr>
        <w:pStyle w:val="paragraph"/>
      </w:pPr>
      <w:r w:rsidRPr="004B1042">
        <w:tab/>
        <w:t>(b)</w:t>
      </w:r>
      <w:r w:rsidRPr="004B1042">
        <w:tab/>
        <w:t xml:space="preserve">if the time of invitation to apply for the visa was on or after </w:t>
      </w:r>
      <w:r w:rsidR="00AD234F" w:rsidRPr="004B1042">
        <w:t>1 July</w:t>
      </w:r>
      <w:r w:rsidRPr="004B1042">
        <w:t xml:space="preserve"> 2021—for 5 years from the date of grant.</w:t>
      </w:r>
    </w:p>
    <w:p w14:paraId="6CFA5C5E" w14:textId="77777777" w:rsidR="00421885" w:rsidRPr="004B1042" w:rsidRDefault="00421885" w:rsidP="00421885">
      <w:pPr>
        <w:pStyle w:val="ItemHead"/>
      </w:pPr>
      <w:r w:rsidRPr="004B1042">
        <w:t xml:space="preserve">47  Paragraph 188.512(a) of </w:t>
      </w:r>
      <w:r w:rsidR="00523181" w:rsidRPr="004B1042">
        <w:t>Schedule 2</w:t>
      </w:r>
    </w:p>
    <w:p w14:paraId="5BB66F78" w14:textId="77777777" w:rsidR="00421885" w:rsidRPr="004B1042" w:rsidRDefault="00421885" w:rsidP="00421885">
      <w:pPr>
        <w:pStyle w:val="Item"/>
      </w:pPr>
      <w:r w:rsidRPr="004B1042">
        <w:t>Repeal the paragraph, substitute:</w:t>
      </w:r>
    </w:p>
    <w:p w14:paraId="00DF2909" w14:textId="77777777" w:rsidR="00421885" w:rsidRPr="004B1042" w:rsidRDefault="00421885" w:rsidP="00421885">
      <w:pPr>
        <w:pStyle w:val="paragraph"/>
      </w:pPr>
      <w:r w:rsidRPr="004B1042">
        <w:tab/>
        <w:t>(a)</w:t>
      </w:r>
      <w:r w:rsidRPr="004B1042">
        <w:tab/>
        <w:t>if:</w:t>
      </w:r>
    </w:p>
    <w:p w14:paraId="0C35FAF7" w14:textId="77777777" w:rsidR="00421885" w:rsidRPr="004B1042" w:rsidRDefault="00421885" w:rsidP="00421885">
      <w:pPr>
        <w:pStyle w:val="paragraphsub"/>
      </w:pPr>
      <w:r w:rsidRPr="004B1042">
        <w:tab/>
        <w:t>(i)</w:t>
      </w:r>
      <w:r w:rsidRPr="004B1042">
        <w:tab/>
        <w:t>the last Subclass 188 visa held by the applicant was a Subclass 188 visa in the Business Innovation stream; and</w:t>
      </w:r>
    </w:p>
    <w:p w14:paraId="0DE98E28" w14:textId="77777777" w:rsidR="00421885" w:rsidRPr="004B1042" w:rsidRDefault="00421885" w:rsidP="00421885">
      <w:pPr>
        <w:pStyle w:val="paragraphsub"/>
      </w:pPr>
      <w:r w:rsidRPr="004B1042">
        <w:tab/>
        <w:t>(ii)</w:t>
      </w:r>
      <w:r w:rsidRPr="004B1042">
        <w:tab/>
        <w:t xml:space="preserve">the time of the invitation to apply for that visa was before </w:t>
      </w:r>
      <w:r w:rsidR="00AD234F" w:rsidRPr="004B1042">
        <w:t>1 July</w:t>
      </w:r>
      <w:r w:rsidRPr="004B1042">
        <w:t xml:space="preserve"> 2021;</w:t>
      </w:r>
    </w:p>
    <w:p w14:paraId="53FF4AE4" w14:textId="77777777" w:rsidR="00421885" w:rsidRPr="004B1042" w:rsidRDefault="00421885" w:rsidP="00421885">
      <w:pPr>
        <w:pStyle w:val="paragraph"/>
      </w:pPr>
      <w:r w:rsidRPr="004B1042">
        <w:tab/>
      </w:r>
      <w:r w:rsidRPr="004B1042">
        <w:tab/>
        <w:t>for 6 years after the date of the grant of that visa; or</w:t>
      </w:r>
    </w:p>
    <w:p w14:paraId="03E8F16C" w14:textId="77777777" w:rsidR="00421885" w:rsidRPr="004B1042" w:rsidRDefault="00421885" w:rsidP="00421885">
      <w:pPr>
        <w:pStyle w:val="paragraph"/>
      </w:pPr>
      <w:r w:rsidRPr="004B1042">
        <w:tab/>
        <w:t>(ab)</w:t>
      </w:r>
      <w:r w:rsidRPr="004B1042">
        <w:tab/>
        <w:t>if:</w:t>
      </w:r>
    </w:p>
    <w:p w14:paraId="1A827D46" w14:textId="77777777" w:rsidR="00421885" w:rsidRPr="004B1042" w:rsidRDefault="00421885" w:rsidP="00421885">
      <w:pPr>
        <w:pStyle w:val="paragraphsub"/>
      </w:pPr>
      <w:r w:rsidRPr="004B1042">
        <w:tab/>
        <w:t>(i)</w:t>
      </w:r>
      <w:r w:rsidRPr="004B1042">
        <w:tab/>
        <w:t>the last Subclass 188 visa held by the applicant was a Subclass 188 visa in the Business Innovation stream; and</w:t>
      </w:r>
    </w:p>
    <w:p w14:paraId="1B0CB362" w14:textId="77777777" w:rsidR="00421885" w:rsidRPr="004B1042" w:rsidRDefault="00421885" w:rsidP="00421885">
      <w:pPr>
        <w:pStyle w:val="paragraphsub"/>
      </w:pPr>
      <w:r w:rsidRPr="004B1042">
        <w:tab/>
        <w:t>(ii)</w:t>
      </w:r>
      <w:r w:rsidRPr="004B1042">
        <w:tab/>
        <w:t xml:space="preserve">the time of the invitation to apply for that visa was on or after </w:t>
      </w:r>
      <w:r w:rsidR="00AD234F" w:rsidRPr="004B1042">
        <w:t>1 July</w:t>
      </w:r>
      <w:r w:rsidRPr="004B1042">
        <w:t xml:space="preserve"> 2021;</w:t>
      </w:r>
    </w:p>
    <w:p w14:paraId="514A7EFB" w14:textId="77777777" w:rsidR="00421885" w:rsidRPr="004B1042" w:rsidRDefault="00421885" w:rsidP="00421885">
      <w:pPr>
        <w:pStyle w:val="paragraph"/>
      </w:pPr>
      <w:r w:rsidRPr="004B1042">
        <w:tab/>
      </w:r>
      <w:r w:rsidRPr="004B1042">
        <w:tab/>
        <w:t>for 7 years after the date of the grant of that visa; or</w:t>
      </w:r>
    </w:p>
    <w:p w14:paraId="31F64EDB" w14:textId="77777777" w:rsidR="00421885" w:rsidRPr="004B1042" w:rsidRDefault="00421885" w:rsidP="00421885">
      <w:pPr>
        <w:pStyle w:val="ItemHead"/>
      </w:pPr>
      <w:r w:rsidRPr="004B1042">
        <w:t xml:space="preserve">48  Paragraphs 188.512A(a) and (b) of </w:t>
      </w:r>
      <w:r w:rsidR="00523181" w:rsidRPr="004B1042">
        <w:t>Schedule 2</w:t>
      </w:r>
    </w:p>
    <w:p w14:paraId="513C0212" w14:textId="77777777" w:rsidR="00421885" w:rsidRPr="004B1042" w:rsidRDefault="00421885" w:rsidP="00421885">
      <w:pPr>
        <w:pStyle w:val="Item"/>
      </w:pPr>
      <w:r w:rsidRPr="004B1042">
        <w:t>Repeal the paragraphs, substitute:</w:t>
      </w:r>
    </w:p>
    <w:p w14:paraId="06285691" w14:textId="77777777" w:rsidR="00421885" w:rsidRPr="004B1042" w:rsidRDefault="00421885" w:rsidP="00421885">
      <w:pPr>
        <w:pStyle w:val="paragraph"/>
      </w:pPr>
      <w:r w:rsidRPr="004B1042">
        <w:tab/>
        <w:t>(a)</w:t>
      </w:r>
      <w:r w:rsidRPr="004B1042">
        <w:tab/>
        <w:t>if:</w:t>
      </w:r>
    </w:p>
    <w:p w14:paraId="548DACFA" w14:textId="77777777" w:rsidR="00421885" w:rsidRPr="004B1042" w:rsidRDefault="00421885" w:rsidP="00421885">
      <w:pPr>
        <w:pStyle w:val="paragraphsub"/>
      </w:pPr>
      <w:r w:rsidRPr="004B1042">
        <w:tab/>
        <w:t>(i)</w:t>
      </w:r>
      <w:r w:rsidRPr="004B1042">
        <w:tab/>
        <w:t>the applicant held a Subclass 188 visa in the Significant Investor stream at the time of application; and</w:t>
      </w:r>
    </w:p>
    <w:p w14:paraId="5A31C46A" w14:textId="77777777" w:rsidR="00421885" w:rsidRPr="004B1042" w:rsidRDefault="00421885" w:rsidP="00421885">
      <w:pPr>
        <w:pStyle w:val="paragraphsub"/>
      </w:pPr>
      <w:r w:rsidRPr="004B1042">
        <w:tab/>
        <w:t>(ii)</w:t>
      </w:r>
      <w:r w:rsidRPr="004B1042">
        <w:tab/>
        <w:t xml:space="preserve">the time of the invitation to apply for that visa was before </w:t>
      </w:r>
      <w:r w:rsidR="00AD234F" w:rsidRPr="004B1042">
        <w:t>1 July</w:t>
      </w:r>
      <w:r w:rsidRPr="004B1042">
        <w:t xml:space="preserve"> 2021;</w:t>
      </w:r>
    </w:p>
    <w:p w14:paraId="42490F4B" w14:textId="77777777" w:rsidR="00421885" w:rsidRPr="004B1042" w:rsidRDefault="00421885" w:rsidP="00421885">
      <w:pPr>
        <w:pStyle w:val="paragraph"/>
      </w:pPr>
      <w:r w:rsidRPr="004B1042">
        <w:tab/>
      </w:r>
      <w:r w:rsidRPr="004B1042">
        <w:tab/>
        <w:t>for 6 years after the date of the grant of that visa; or</w:t>
      </w:r>
    </w:p>
    <w:p w14:paraId="07DC8299" w14:textId="77777777" w:rsidR="00421885" w:rsidRPr="004B1042" w:rsidRDefault="00421885" w:rsidP="00421885">
      <w:pPr>
        <w:pStyle w:val="paragraph"/>
      </w:pPr>
      <w:r w:rsidRPr="004B1042">
        <w:tab/>
        <w:t>(b)</w:t>
      </w:r>
      <w:r w:rsidRPr="004B1042">
        <w:tab/>
        <w:t>if:</w:t>
      </w:r>
    </w:p>
    <w:p w14:paraId="318ACC99" w14:textId="77777777" w:rsidR="00421885" w:rsidRPr="004B1042" w:rsidRDefault="00421885" w:rsidP="00421885">
      <w:pPr>
        <w:pStyle w:val="paragraphsub"/>
      </w:pPr>
      <w:r w:rsidRPr="004B1042">
        <w:tab/>
        <w:t>(i)</w:t>
      </w:r>
      <w:r w:rsidRPr="004B1042">
        <w:tab/>
        <w:t>the applicant held a Subclass 188 visa in the Significant Investor stream at the time of application; and</w:t>
      </w:r>
    </w:p>
    <w:p w14:paraId="34D7D915" w14:textId="77777777" w:rsidR="00421885" w:rsidRPr="004B1042" w:rsidRDefault="00421885" w:rsidP="00421885">
      <w:pPr>
        <w:pStyle w:val="paragraphsub"/>
      </w:pPr>
      <w:r w:rsidRPr="004B1042">
        <w:tab/>
        <w:t>(ii)</w:t>
      </w:r>
      <w:r w:rsidRPr="004B1042">
        <w:tab/>
        <w:t xml:space="preserve">the time of the invitation to apply for that visa was on or after </w:t>
      </w:r>
      <w:r w:rsidR="00AD234F" w:rsidRPr="004B1042">
        <w:t>1 July</w:t>
      </w:r>
      <w:r w:rsidRPr="004B1042">
        <w:t xml:space="preserve"> 2021;</w:t>
      </w:r>
    </w:p>
    <w:p w14:paraId="57AFC9C1" w14:textId="77777777" w:rsidR="00421885" w:rsidRPr="004B1042" w:rsidRDefault="00421885" w:rsidP="00421885">
      <w:pPr>
        <w:pStyle w:val="paragraph"/>
      </w:pPr>
      <w:r w:rsidRPr="004B1042">
        <w:tab/>
      </w:r>
      <w:r w:rsidRPr="004B1042">
        <w:tab/>
        <w:t>for 7 years after the date of the grant of that visa; or</w:t>
      </w:r>
    </w:p>
    <w:p w14:paraId="0DDBC3C3" w14:textId="77777777" w:rsidR="00421885" w:rsidRPr="004B1042" w:rsidRDefault="00421885" w:rsidP="00421885">
      <w:pPr>
        <w:pStyle w:val="paragraph"/>
      </w:pPr>
      <w:r w:rsidRPr="004B1042">
        <w:tab/>
        <w:t>(c)</w:t>
      </w:r>
      <w:r w:rsidRPr="004B1042">
        <w:tab/>
        <w:t>if:</w:t>
      </w:r>
    </w:p>
    <w:p w14:paraId="42F1D0BA" w14:textId="77777777" w:rsidR="00421885" w:rsidRPr="004B1042" w:rsidRDefault="00421885" w:rsidP="00421885">
      <w:pPr>
        <w:pStyle w:val="paragraphsub"/>
      </w:pPr>
      <w:r w:rsidRPr="004B1042">
        <w:tab/>
        <w:t>(i)</w:t>
      </w:r>
      <w:r w:rsidRPr="004B1042">
        <w:tab/>
        <w:t>the applicant held a Subclass 188 visa in the Significant Investor Extension stream at the time of application; and</w:t>
      </w:r>
    </w:p>
    <w:p w14:paraId="51E154F3" w14:textId="77777777" w:rsidR="00421885" w:rsidRPr="004B1042" w:rsidRDefault="00421885" w:rsidP="00421885">
      <w:pPr>
        <w:pStyle w:val="paragraphsub"/>
      </w:pPr>
      <w:r w:rsidRPr="004B1042">
        <w:tab/>
        <w:t>(ii)</w:t>
      </w:r>
      <w:r w:rsidRPr="004B1042">
        <w:tab/>
        <w:t xml:space="preserve">the time of the invitation to apply for the Subclass 188 visa in the Significant Investor stream held by the applicant was before </w:t>
      </w:r>
      <w:r w:rsidR="00AD234F" w:rsidRPr="004B1042">
        <w:t>1 July</w:t>
      </w:r>
      <w:r w:rsidRPr="004B1042">
        <w:t xml:space="preserve"> 2021;</w:t>
      </w:r>
    </w:p>
    <w:p w14:paraId="4C84BEE6" w14:textId="77777777" w:rsidR="00421885" w:rsidRPr="004B1042" w:rsidRDefault="00421885" w:rsidP="00421885">
      <w:pPr>
        <w:pStyle w:val="paragraph"/>
      </w:pPr>
      <w:r w:rsidRPr="004B1042">
        <w:tab/>
      </w:r>
      <w:r w:rsidRPr="004B1042">
        <w:tab/>
        <w:t xml:space="preserve">for 8 years after the date of the grant of the visa mentioned in </w:t>
      </w:r>
      <w:r w:rsidR="000E2DC6" w:rsidRPr="004B1042">
        <w:t>subparagraph (</w:t>
      </w:r>
      <w:r w:rsidRPr="004B1042">
        <w:t>ii); or</w:t>
      </w:r>
    </w:p>
    <w:p w14:paraId="1B9C687B" w14:textId="77777777" w:rsidR="00421885" w:rsidRPr="004B1042" w:rsidRDefault="00421885" w:rsidP="00421885">
      <w:pPr>
        <w:pStyle w:val="paragraph"/>
      </w:pPr>
      <w:r w:rsidRPr="004B1042">
        <w:tab/>
        <w:t>(d)</w:t>
      </w:r>
      <w:r w:rsidRPr="004B1042">
        <w:tab/>
        <w:t>if:</w:t>
      </w:r>
    </w:p>
    <w:p w14:paraId="5A60F1E0" w14:textId="77777777" w:rsidR="00421885" w:rsidRPr="004B1042" w:rsidRDefault="00421885" w:rsidP="00421885">
      <w:pPr>
        <w:pStyle w:val="paragraphsub"/>
      </w:pPr>
      <w:r w:rsidRPr="004B1042">
        <w:tab/>
        <w:t>(i)</w:t>
      </w:r>
      <w:r w:rsidRPr="004B1042">
        <w:tab/>
        <w:t>the applicant held a Subclass 188 visa in the Significant Investor Extension stream at the time of application; and</w:t>
      </w:r>
    </w:p>
    <w:p w14:paraId="542C0B3F" w14:textId="77777777" w:rsidR="00421885" w:rsidRPr="004B1042" w:rsidRDefault="00421885" w:rsidP="00421885">
      <w:pPr>
        <w:pStyle w:val="paragraphsub"/>
      </w:pPr>
      <w:r w:rsidRPr="004B1042">
        <w:tab/>
        <w:t>(ii)</w:t>
      </w:r>
      <w:r w:rsidRPr="004B1042">
        <w:tab/>
        <w:t xml:space="preserve">the time of the invitation to apply for the Subclass 188 visa in the Significant Investor stream held by the applicant was on or after </w:t>
      </w:r>
      <w:r w:rsidR="00AD234F" w:rsidRPr="004B1042">
        <w:t>1 July</w:t>
      </w:r>
      <w:r w:rsidRPr="004B1042">
        <w:t xml:space="preserve"> 2021;</w:t>
      </w:r>
    </w:p>
    <w:p w14:paraId="38B846CE" w14:textId="77777777" w:rsidR="00421885" w:rsidRPr="004B1042" w:rsidRDefault="00421885" w:rsidP="00421885">
      <w:pPr>
        <w:pStyle w:val="paragraph"/>
      </w:pPr>
      <w:r w:rsidRPr="004B1042">
        <w:tab/>
      </w:r>
      <w:r w:rsidRPr="004B1042">
        <w:tab/>
        <w:t xml:space="preserve">for 9 years after the date of the grant of the visa mentioned in </w:t>
      </w:r>
      <w:r w:rsidR="000E2DC6" w:rsidRPr="004B1042">
        <w:t>subparagraph (</w:t>
      </w:r>
      <w:r w:rsidRPr="004B1042">
        <w:t>ii).</w:t>
      </w:r>
    </w:p>
    <w:p w14:paraId="10811B4A" w14:textId="77777777" w:rsidR="00421885" w:rsidRPr="004B1042" w:rsidRDefault="00421885" w:rsidP="00421885">
      <w:pPr>
        <w:pStyle w:val="ItemHead"/>
      </w:pPr>
      <w:r w:rsidRPr="004B1042">
        <w:t xml:space="preserve">49  After clause 188.611 of </w:t>
      </w:r>
      <w:r w:rsidR="00523181" w:rsidRPr="004B1042">
        <w:t>Schedule 2</w:t>
      </w:r>
    </w:p>
    <w:p w14:paraId="4400A02D" w14:textId="77777777" w:rsidR="00421885" w:rsidRPr="004B1042" w:rsidRDefault="00421885" w:rsidP="00A67BB2">
      <w:pPr>
        <w:pStyle w:val="Item"/>
      </w:pPr>
      <w:r w:rsidRPr="004B1042">
        <w:t>Insert:</w:t>
      </w:r>
    </w:p>
    <w:p w14:paraId="670DC453" w14:textId="77777777" w:rsidR="00421885" w:rsidRPr="004B1042" w:rsidRDefault="00421885" w:rsidP="00A67BB2">
      <w:pPr>
        <w:pStyle w:val="ActHead5"/>
      </w:pPr>
      <w:bookmarkStart w:id="10" w:name="_Toc72937715"/>
      <w:r w:rsidRPr="00154C09">
        <w:rPr>
          <w:rStyle w:val="CharSectno"/>
        </w:rPr>
        <w:t>188.611A</w:t>
      </w:r>
      <w:bookmarkEnd w:id="10"/>
      <w:r w:rsidR="0092219F" w:rsidRPr="004B1042">
        <w:t xml:space="preserve">  </w:t>
      </w:r>
    </w:p>
    <w:p w14:paraId="16318629" w14:textId="77777777" w:rsidR="00421885" w:rsidRPr="004B1042" w:rsidRDefault="00421885" w:rsidP="00A67BB2">
      <w:pPr>
        <w:pStyle w:val="subsection"/>
      </w:pPr>
      <w:r w:rsidRPr="004B1042">
        <w:tab/>
      </w:r>
      <w:r w:rsidRPr="004B1042">
        <w:tab/>
        <w:t xml:space="preserve">If a Subclass 188 visa in the Investor stream is granted to an applicant who was invited to apply for the visa on or after </w:t>
      </w:r>
      <w:r w:rsidR="00AD234F" w:rsidRPr="004B1042">
        <w:t>1 July</w:t>
      </w:r>
      <w:r w:rsidRPr="004B1042">
        <w:t xml:space="preserve"> 2021, condition 8557 must be imposed.</w:t>
      </w:r>
    </w:p>
    <w:p w14:paraId="04F49CDA" w14:textId="77777777" w:rsidR="00421885" w:rsidRPr="004B1042" w:rsidRDefault="00421885" w:rsidP="00A67BB2">
      <w:pPr>
        <w:pStyle w:val="ItemHead"/>
      </w:pPr>
      <w:r w:rsidRPr="004B1042">
        <w:t xml:space="preserve">50  Clause 188.612 of </w:t>
      </w:r>
      <w:r w:rsidR="00523181" w:rsidRPr="004B1042">
        <w:t>Schedule 2</w:t>
      </w:r>
    </w:p>
    <w:p w14:paraId="37321563" w14:textId="77777777" w:rsidR="00421885" w:rsidRPr="004B1042" w:rsidRDefault="00421885" w:rsidP="00421885">
      <w:pPr>
        <w:pStyle w:val="Item"/>
      </w:pPr>
      <w:r w:rsidRPr="004B1042">
        <w:t>Omit “, the Significant Investor Extension stream or the Premium Investor stream”, substitute “or the Significant Investor Extension stream”.</w:t>
      </w:r>
    </w:p>
    <w:p w14:paraId="176B47AA" w14:textId="77777777" w:rsidR="00421885" w:rsidRPr="004B1042" w:rsidRDefault="00421885" w:rsidP="00421885">
      <w:pPr>
        <w:pStyle w:val="ItemHead"/>
      </w:pPr>
      <w:r w:rsidRPr="004B1042">
        <w:t xml:space="preserve">51  Subclause 888.221(1) of </w:t>
      </w:r>
      <w:r w:rsidR="00523181" w:rsidRPr="004B1042">
        <w:t>Schedule 2</w:t>
      </w:r>
    </w:p>
    <w:p w14:paraId="09A9104A" w14:textId="77777777" w:rsidR="00421885" w:rsidRPr="004B1042" w:rsidRDefault="00421885" w:rsidP="00421885">
      <w:pPr>
        <w:pStyle w:val="Item"/>
      </w:pPr>
      <w:r w:rsidRPr="004B1042">
        <w:t>Repeal the subclause, substitute:</w:t>
      </w:r>
    </w:p>
    <w:p w14:paraId="35E29DF5" w14:textId="77777777" w:rsidR="00421885" w:rsidRPr="004B1042" w:rsidRDefault="00421885" w:rsidP="00421885">
      <w:pPr>
        <w:pStyle w:val="subsection"/>
      </w:pPr>
      <w:r w:rsidRPr="004B1042">
        <w:tab/>
        <w:t>(1)</w:t>
      </w:r>
      <w:r w:rsidRPr="004B1042">
        <w:tab/>
        <w:t>The applicant has been in Australia, as the holder of one or more visas mentioned in the table in sub</w:t>
      </w:r>
      <w:r w:rsidR="00523181" w:rsidRPr="004B1042">
        <w:t>item 1</w:t>
      </w:r>
      <w:r w:rsidRPr="004B1042">
        <w:t xml:space="preserve">104BA(4) of </w:t>
      </w:r>
      <w:r w:rsidR="00523181" w:rsidRPr="004B1042">
        <w:t>Schedule 1</w:t>
      </w:r>
      <w:r w:rsidRPr="004B1042">
        <w:t xml:space="preserve"> (the </w:t>
      </w:r>
      <w:r w:rsidRPr="004B1042">
        <w:rPr>
          <w:b/>
          <w:i/>
        </w:rPr>
        <w:t>relevant table</w:t>
      </w:r>
      <w:r w:rsidRPr="004B1042">
        <w:t>):</w:t>
      </w:r>
    </w:p>
    <w:p w14:paraId="51D286E3" w14:textId="77777777" w:rsidR="00421885" w:rsidRPr="004B1042" w:rsidRDefault="00421885" w:rsidP="00421885">
      <w:pPr>
        <w:pStyle w:val="paragraph"/>
      </w:pPr>
      <w:r w:rsidRPr="004B1042">
        <w:tab/>
        <w:t>(a)</w:t>
      </w:r>
      <w:r w:rsidRPr="004B1042">
        <w:tab/>
        <w:t>if the applicant is covered by any of subclauses (1A) to (1F)—for a total period of at least one year in the 2 years immediately before the application was made; or</w:t>
      </w:r>
    </w:p>
    <w:p w14:paraId="148D85DD" w14:textId="77777777" w:rsidR="00421885" w:rsidRPr="004B1042" w:rsidRDefault="00421885" w:rsidP="00421885">
      <w:pPr>
        <w:pStyle w:val="paragraph"/>
      </w:pPr>
      <w:r w:rsidRPr="004B1042">
        <w:tab/>
        <w:t>(b)</w:t>
      </w:r>
      <w:r w:rsidRPr="004B1042">
        <w:tab/>
        <w:t>otherwise—for a total period of at least one year in the 3 years immediately before the application was made.</w:t>
      </w:r>
    </w:p>
    <w:p w14:paraId="14552922" w14:textId="77777777" w:rsidR="00421885" w:rsidRPr="004B1042" w:rsidRDefault="00421885" w:rsidP="00421885">
      <w:pPr>
        <w:pStyle w:val="subsection"/>
      </w:pPr>
      <w:r w:rsidRPr="004B1042">
        <w:tab/>
        <w:t>(1A)</w:t>
      </w:r>
      <w:r w:rsidRPr="004B1042">
        <w:tab/>
        <w:t>The applicant is covered by this subclause if:</w:t>
      </w:r>
    </w:p>
    <w:p w14:paraId="2217B985" w14:textId="77777777" w:rsidR="00421885" w:rsidRPr="004B1042" w:rsidRDefault="00421885" w:rsidP="00421885">
      <w:pPr>
        <w:pStyle w:val="paragraph"/>
      </w:pPr>
      <w:r w:rsidRPr="004B1042">
        <w:tab/>
        <w:t>(a)</w:t>
      </w:r>
      <w:r w:rsidRPr="004B1042">
        <w:tab/>
        <w:t xml:space="preserve">at the time of application, the applicant held the visa mentioned in </w:t>
      </w:r>
      <w:r w:rsidR="00523181" w:rsidRPr="004B1042">
        <w:t>item 1</w:t>
      </w:r>
      <w:r w:rsidRPr="004B1042">
        <w:t>AA of the relevant table; and</w:t>
      </w:r>
    </w:p>
    <w:p w14:paraId="0334F7B1" w14:textId="77777777" w:rsidR="00421885" w:rsidRPr="004B1042" w:rsidRDefault="00421885" w:rsidP="00421885">
      <w:pPr>
        <w:pStyle w:val="paragraph"/>
      </w:pPr>
      <w:r w:rsidRPr="004B1042">
        <w:tab/>
        <w:t>(b)</w:t>
      </w:r>
      <w:r w:rsidRPr="004B1042">
        <w:tab/>
        <w:t xml:space="preserve">the applicant was invited to apply for that visa before </w:t>
      </w:r>
      <w:r w:rsidR="00AD234F" w:rsidRPr="004B1042">
        <w:t>1 July</w:t>
      </w:r>
      <w:r w:rsidRPr="004B1042">
        <w:t xml:space="preserve"> 2021.</w:t>
      </w:r>
    </w:p>
    <w:p w14:paraId="220EE2A5" w14:textId="77777777" w:rsidR="00421885" w:rsidRPr="004B1042" w:rsidRDefault="00421885" w:rsidP="00421885">
      <w:pPr>
        <w:pStyle w:val="subsection"/>
      </w:pPr>
      <w:r w:rsidRPr="004B1042">
        <w:tab/>
        <w:t>(1B)</w:t>
      </w:r>
      <w:r w:rsidRPr="004B1042">
        <w:tab/>
        <w:t>The applicant is covered by this subclause if:</w:t>
      </w:r>
    </w:p>
    <w:p w14:paraId="3019A744" w14:textId="77777777" w:rsidR="00421885" w:rsidRPr="004B1042" w:rsidRDefault="00421885" w:rsidP="00421885">
      <w:pPr>
        <w:pStyle w:val="paragraph"/>
      </w:pPr>
      <w:r w:rsidRPr="004B1042">
        <w:tab/>
        <w:t>(a)</w:t>
      </w:r>
      <w:r w:rsidRPr="004B1042">
        <w:tab/>
        <w:t xml:space="preserve">at the time of application, the applicant held the visa mentioned in </w:t>
      </w:r>
      <w:r w:rsidR="00523181" w:rsidRPr="004B1042">
        <w:t>item 1</w:t>
      </w:r>
      <w:r w:rsidRPr="004B1042">
        <w:t xml:space="preserve"> of the relevant table; and</w:t>
      </w:r>
    </w:p>
    <w:p w14:paraId="6332A595" w14:textId="77777777" w:rsidR="00421885" w:rsidRPr="004B1042" w:rsidRDefault="00421885" w:rsidP="00421885">
      <w:pPr>
        <w:pStyle w:val="paragraph"/>
      </w:pPr>
      <w:r w:rsidRPr="004B1042">
        <w:tab/>
        <w:t>(b)</w:t>
      </w:r>
      <w:r w:rsidRPr="004B1042">
        <w:tab/>
        <w:t xml:space="preserve">the applicant was invited, before </w:t>
      </w:r>
      <w:r w:rsidR="00AD234F" w:rsidRPr="004B1042">
        <w:t>1 July</w:t>
      </w:r>
      <w:r w:rsidRPr="004B1042">
        <w:t xml:space="preserve"> 2021, to apply for the Subclass 188 (Business Innovation and Investment (Provisional)) visa in the Business Innovation stream held by the applicant.</w:t>
      </w:r>
    </w:p>
    <w:p w14:paraId="290722B7" w14:textId="77777777" w:rsidR="00421885" w:rsidRPr="004B1042" w:rsidRDefault="00421885" w:rsidP="00421885">
      <w:pPr>
        <w:pStyle w:val="subsection"/>
      </w:pPr>
      <w:r w:rsidRPr="004B1042">
        <w:tab/>
        <w:t>(1C)</w:t>
      </w:r>
      <w:r w:rsidRPr="004B1042">
        <w:tab/>
        <w:t xml:space="preserve">The applicant is covered by this subclause if, at the time of application, the applicant met the requirements in </w:t>
      </w:r>
      <w:r w:rsidR="00523181" w:rsidRPr="004B1042">
        <w:t>item 1</w:t>
      </w:r>
      <w:r w:rsidRPr="004B1042">
        <w:t>A of the relevant table.</w:t>
      </w:r>
    </w:p>
    <w:p w14:paraId="11CB9B4D" w14:textId="77777777" w:rsidR="00421885" w:rsidRPr="004B1042" w:rsidRDefault="00421885" w:rsidP="00421885">
      <w:pPr>
        <w:pStyle w:val="subsection"/>
      </w:pPr>
      <w:r w:rsidRPr="004B1042">
        <w:tab/>
        <w:t>(1D)</w:t>
      </w:r>
      <w:r w:rsidRPr="004B1042">
        <w:tab/>
        <w:t>The applicant is covered by this subclause if:</w:t>
      </w:r>
    </w:p>
    <w:p w14:paraId="4B11A420" w14:textId="77777777" w:rsidR="00421885" w:rsidRPr="004B1042" w:rsidRDefault="00421885" w:rsidP="00421885">
      <w:pPr>
        <w:pStyle w:val="paragraph"/>
      </w:pPr>
      <w:r w:rsidRPr="004B1042">
        <w:tab/>
        <w:t>(a)</w:t>
      </w:r>
      <w:r w:rsidRPr="004B1042">
        <w:tab/>
        <w:t>at the time of application, the applicant held the secondary visa mentioned in item 2 of the relevant table; and</w:t>
      </w:r>
    </w:p>
    <w:p w14:paraId="7ED24094" w14:textId="77777777" w:rsidR="00421885" w:rsidRPr="004B1042" w:rsidRDefault="00421885" w:rsidP="00421885">
      <w:pPr>
        <w:pStyle w:val="paragraph"/>
      </w:pPr>
      <w:r w:rsidRPr="004B1042">
        <w:tab/>
        <w:t>(b)</w:t>
      </w:r>
      <w:r w:rsidRPr="004B1042">
        <w:tab/>
        <w:t xml:space="preserve">the primary visa holder mentioned in that item was invited, before </w:t>
      </w:r>
      <w:r w:rsidR="00AD234F" w:rsidRPr="004B1042">
        <w:t>1 July</w:t>
      </w:r>
      <w:r w:rsidRPr="004B1042">
        <w:t xml:space="preserve"> 2021, to apply for the Subclass 188 (Business Innovation and Investment (Provisional)) visa in the Business Innovation stream held by the primary visa holder.</w:t>
      </w:r>
    </w:p>
    <w:p w14:paraId="63046F9D" w14:textId="77777777" w:rsidR="00421885" w:rsidRPr="004B1042" w:rsidRDefault="00421885" w:rsidP="00421885">
      <w:pPr>
        <w:pStyle w:val="subsection"/>
      </w:pPr>
      <w:r w:rsidRPr="004B1042">
        <w:tab/>
        <w:t>(1E)</w:t>
      </w:r>
      <w:r w:rsidRPr="004B1042">
        <w:tab/>
        <w:t>The applicant is covered by this subclause if, at the time of application, the applicant met the requirements in item 2A of the relevant table.</w:t>
      </w:r>
    </w:p>
    <w:p w14:paraId="3C3AD1FF" w14:textId="77777777" w:rsidR="00421885" w:rsidRPr="004B1042" w:rsidRDefault="00421885" w:rsidP="00421885">
      <w:pPr>
        <w:pStyle w:val="subsection"/>
      </w:pPr>
      <w:r w:rsidRPr="004B1042">
        <w:tab/>
        <w:t>(1F)</w:t>
      </w:r>
      <w:r w:rsidRPr="004B1042">
        <w:tab/>
        <w:t>The applicant is covered by this subclause if:</w:t>
      </w:r>
    </w:p>
    <w:p w14:paraId="3796F60F" w14:textId="77777777" w:rsidR="00421885" w:rsidRPr="004B1042" w:rsidRDefault="00421885" w:rsidP="00421885">
      <w:pPr>
        <w:pStyle w:val="paragraph"/>
      </w:pPr>
      <w:r w:rsidRPr="004B1042">
        <w:tab/>
        <w:t>(a)</w:t>
      </w:r>
      <w:r w:rsidRPr="004B1042">
        <w:tab/>
        <w:t>at the time of application, the applicant held the visa mentioned in item 3 or 4 of the relevant table; and</w:t>
      </w:r>
    </w:p>
    <w:p w14:paraId="356A6FCC" w14:textId="77777777" w:rsidR="00421885" w:rsidRPr="004B1042" w:rsidRDefault="00421885" w:rsidP="00421885">
      <w:pPr>
        <w:pStyle w:val="paragraph"/>
      </w:pPr>
      <w:r w:rsidRPr="004B1042">
        <w:tab/>
        <w:t>(b)</w:t>
      </w:r>
      <w:r w:rsidRPr="004B1042">
        <w:tab/>
        <w:t xml:space="preserve">if the applicant held the visa mentioned in item 3 of the relevant table—the visa was granted before </w:t>
      </w:r>
      <w:r w:rsidR="00AD234F" w:rsidRPr="004B1042">
        <w:t>1 July</w:t>
      </w:r>
      <w:r w:rsidRPr="004B1042">
        <w:t xml:space="preserve"> 2021.</w:t>
      </w:r>
    </w:p>
    <w:p w14:paraId="4F4FB07D" w14:textId="77777777" w:rsidR="00421885" w:rsidRPr="004B1042" w:rsidRDefault="00421885" w:rsidP="00421885">
      <w:pPr>
        <w:pStyle w:val="ItemHead"/>
      </w:pPr>
      <w:r w:rsidRPr="004B1042">
        <w:t xml:space="preserve">52  Paragraph 888.221(2)(b) of </w:t>
      </w:r>
      <w:r w:rsidR="00523181" w:rsidRPr="004B1042">
        <w:t>Schedule 2</w:t>
      </w:r>
    </w:p>
    <w:p w14:paraId="3F327AE9" w14:textId="77777777" w:rsidR="00421885" w:rsidRPr="004B1042" w:rsidRDefault="00421885" w:rsidP="00421885">
      <w:pPr>
        <w:pStyle w:val="Item"/>
      </w:pPr>
      <w:r w:rsidRPr="004B1042">
        <w:t>Omit “</w:t>
      </w:r>
      <w:r w:rsidR="00523181" w:rsidRPr="004B1042">
        <w:t>item 1</w:t>
      </w:r>
      <w:r w:rsidRPr="004B1042">
        <w:t xml:space="preserve"> or 2”, substitute “</w:t>
      </w:r>
      <w:r w:rsidR="00523181" w:rsidRPr="004B1042">
        <w:t>item 1</w:t>
      </w:r>
      <w:r w:rsidRPr="004B1042">
        <w:t>AA, 1 or 2”.</w:t>
      </w:r>
    </w:p>
    <w:p w14:paraId="0EA20BC6" w14:textId="77777777" w:rsidR="00421885" w:rsidRPr="004B1042" w:rsidRDefault="00421885" w:rsidP="00421885">
      <w:pPr>
        <w:pStyle w:val="ItemHead"/>
      </w:pPr>
      <w:r w:rsidRPr="004B1042">
        <w:t xml:space="preserve">53  Subclause 888.231(1) of </w:t>
      </w:r>
      <w:r w:rsidR="00523181" w:rsidRPr="004B1042">
        <w:t>Schedule 2</w:t>
      </w:r>
    </w:p>
    <w:p w14:paraId="79AA5736" w14:textId="77777777" w:rsidR="00421885" w:rsidRPr="004B1042" w:rsidRDefault="00421885" w:rsidP="00421885">
      <w:pPr>
        <w:pStyle w:val="Item"/>
      </w:pPr>
      <w:r w:rsidRPr="004B1042">
        <w:t>Repeal the subclause, substitute:</w:t>
      </w:r>
    </w:p>
    <w:p w14:paraId="16E099DF" w14:textId="77777777" w:rsidR="00421885" w:rsidRPr="004B1042" w:rsidRDefault="00421885" w:rsidP="00421885">
      <w:pPr>
        <w:pStyle w:val="subsection"/>
      </w:pPr>
      <w:r w:rsidRPr="004B1042">
        <w:tab/>
        <w:t>(1)</w:t>
      </w:r>
      <w:r w:rsidRPr="004B1042">
        <w:tab/>
        <w:t>The applicant has been in Australia, as the holder of a visa mentioned in the table in sub</w:t>
      </w:r>
      <w:r w:rsidR="00523181" w:rsidRPr="004B1042">
        <w:t>item 1</w:t>
      </w:r>
      <w:r w:rsidRPr="004B1042">
        <w:t xml:space="preserve">104BA(5) of </w:t>
      </w:r>
      <w:r w:rsidR="00523181" w:rsidRPr="004B1042">
        <w:t>Schedule 1</w:t>
      </w:r>
      <w:r w:rsidRPr="004B1042">
        <w:t xml:space="preserve"> (the </w:t>
      </w:r>
      <w:r w:rsidRPr="004B1042">
        <w:rPr>
          <w:b/>
          <w:i/>
        </w:rPr>
        <w:t>relevant table</w:t>
      </w:r>
      <w:r w:rsidRPr="004B1042">
        <w:t>):</w:t>
      </w:r>
    </w:p>
    <w:p w14:paraId="417BBF2D" w14:textId="77777777" w:rsidR="00421885" w:rsidRPr="004B1042" w:rsidRDefault="00421885" w:rsidP="00421885">
      <w:pPr>
        <w:pStyle w:val="paragraph"/>
      </w:pPr>
      <w:r w:rsidRPr="004B1042">
        <w:tab/>
        <w:t>(a)</w:t>
      </w:r>
      <w:r w:rsidRPr="004B1042">
        <w:tab/>
        <w:t>if the applicant is covered by any of subclauses (1A) to (1C)—for a total period of at least 2 years in the 4 years immediately before the application was made; or</w:t>
      </w:r>
    </w:p>
    <w:p w14:paraId="4361FFE8" w14:textId="77777777" w:rsidR="00421885" w:rsidRPr="004B1042" w:rsidRDefault="00421885" w:rsidP="00421885">
      <w:pPr>
        <w:pStyle w:val="paragraph"/>
      </w:pPr>
      <w:r w:rsidRPr="004B1042">
        <w:tab/>
        <w:t>(b)</w:t>
      </w:r>
      <w:r w:rsidRPr="004B1042">
        <w:tab/>
        <w:t>otherwise—for a total period of at least 2 years in the 3 years immediately before the application was made.</w:t>
      </w:r>
    </w:p>
    <w:p w14:paraId="21A349F7" w14:textId="77777777" w:rsidR="00421885" w:rsidRPr="004B1042" w:rsidRDefault="00421885" w:rsidP="00421885">
      <w:pPr>
        <w:pStyle w:val="subsection"/>
      </w:pPr>
      <w:r w:rsidRPr="004B1042">
        <w:tab/>
        <w:t>(1A)</w:t>
      </w:r>
      <w:r w:rsidRPr="004B1042">
        <w:tab/>
        <w:t>The applicant is covered by this subclause if:</w:t>
      </w:r>
    </w:p>
    <w:p w14:paraId="105944AD" w14:textId="77777777" w:rsidR="00421885" w:rsidRPr="004B1042" w:rsidRDefault="00421885" w:rsidP="00421885">
      <w:pPr>
        <w:pStyle w:val="paragraph"/>
      </w:pPr>
      <w:r w:rsidRPr="004B1042">
        <w:tab/>
        <w:t>(a)</w:t>
      </w:r>
      <w:r w:rsidRPr="004B1042">
        <w:tab/>
        <w:t xml:space="preserve">at the time of application, the applicant held the visa mentioned in </w:t>
      </w:r>
      <w:r w:rsidR="00523181" w:rsidRPr="004B1042">
        <w:t>item 1</w:t>
      </w:r>
      <w:r w:rsidRPr="004B1042">
        <w:t xml:space="preserve"> of the relevant table; and</w:t>
      </w:r>
    </w:p>
    <w:p w14:paraId="4BAC6050" w14:textId="77777777" w:rsidR="00421885" w:rsidRPr="004B1042" w:rsidRDefault="00421885" w:rsidP="00421885">
      <w:pPr>
        <w:pStyle w:val="paragraph"/>
      </w:pPr>
      <w:r w:rsidRPr="004B1042">
        <w:tab/>
        <w:t>(b)</w:t>
      </w:r>
      <w:r w:rsidRPr="004B1042">
        <w:tab/>
        <w:t xml:space="preserve">the applicant was invited to apply for that visa before </w:t>
      </w:r>
      <w:r w:rsidR="00AD234F" w:rsidRPr="004B1042">
        <w:t>1 July</w:t>
      </w:r>
      <w:r w:rsidRPr="004B1042">
        <w:t xml:space="preserve"> 2021.</w:t>
      </w:r>
    </w:p>
    <w:p w14:paraId="2EF7B122" w14:textId="77777777" w:rsidR="00421885" w:rsidRPr="004B1042" w:rsidRDefault="00421885" w:rsidP="00421885">
      <w:pPr>
        <w:pStyle w:val="subsection"/>
      </w:pPr>
      <w:r w:rsidRPr="004B1042">
        <w:tab/>
        <w:t>(1B)</w:t>
      </w:r>
      <w:r w:rsidRPr="004B1042">
        <w:tab/>
        <w:t>The applicant is covered by this subclause if:</w:t>
      </w:r>
    </w:p>
    <w:p w14:paraId="6F53378C" w14:textId="77777777" w:rsidR="00421885" w:rsidRPr="004B1042" w:rsidRDefault="00421885" w:rsidP="00421885">
      <w:pPr>
        <w:pStyle w:val="paragraph"/>
      </w:pPr>
      <w:r w:rsidRPr="004B1042">
        <w:tab/>
        <w:t>(a)</w:t>
      </w:r>
      <w:r w:rsidRPr="004B1042">
        <w:tab/>
        <w:t>at the time of application, the applicant held the secondary visa mentioned in item 2 of the relevant table; and</w:t>
      </w:r>
    </w:p>
    <w:p w14:paraId="6686D9A9" w14:textId="77777777" w:rsidR="00421885" w:rsidRPr="004B1042" w:rsidRDefault="00421885" w:rsidP="00421885">
      <w:pPr>
        <w:pStyle w:val="paragraph"/>
      </w:pPr>
      <w:r w:rsidRPr="004B1042">
        <w:tab/>
        <w:t>(b)</w:t>
      </w:r>
      <w:r w:rsidRPr="004B1042">
        <w:tab/>
        <w:t xml:space="preserve">the primary visa holder mentioned in that item was invited to apply for the primary visa mentioned in that item before </w:t>
      </w:r>
      <w:r w:rsidR="00AD234F" w:rsidRPr="004B1042">
        <w:t>1 July</w:t>
      </w:r>
      <w:r w:rsidRPr="004B1042">
        <w:t xml:space="preserve"> 2021.</w:t>
      </w:r>
    </w:p>
    <w:p w14:paraId="5E59267F" w14:textId="77777777" w:rsidR="00421885" w:rsidRPr="004B1042" w:rsidRDefault="00421885" w:rsidP="00421885">
      <w:pPr>
        <w:pStyle w:val="subsection"/>
      </w:pPr>
      <w:r w:rsidRPr="004B1042">
        <w:tab/>
        <w:t>(1C)</w:t>
      </w:r>
      <w:r w:rsidRPr="004B1042">
        <w:tab/>
        <w:t>The applicant is covered by this subclause if, at the time of application, the applicant met the requirements in item 3 or 4 of the relevant table.</w:t>
      </w:r>
    </w:p>
    <w:p w14:paraId="1D26CAE1" w14:textId="77777777" w:rsidR="00421885" w:rsidRPr="004B1042" w:rsidRDefault="00421885" w:rsidP="00421885">
      <w:pPr>
        <w:pStyle w:val="ItemHead"/>
      </w:pPr>
      <w:r w:rsidRPr="004B1042">
        <w:t xml:space="preserve">54  </w:t>
      </w:r>
      <w:r w:rsidR="00523181" w:rsidRPr="004B1042">
        <w:t>Clause 8</w:t>
      </w:r>
      <w:r w:rsidRPr="004B1042">
        <w:t xml:space="preserve">88.232 of </w:t>
      </w:r>
      <w:r w:rsidR="00523181" w:rsidRPr="004B1042">
        <w:t>Schedule 2</w:t>
      </w:r>
    </w:p>
    <w:p w14:paraId="7441CD10" w14:textId="77777777" w:rsidR="00421885" w:rsidRPr="004B1042" w:rsidRDefault="00421885" w:rsidP="00421885">
      <w:pPr>
        <w:pStyle w:val="Item"/>
      </w:pPr>
      <w:r w:rsidRPr="004B1042">
        <w:t>Omit “Either”, substitute “If the applicant is covered by any of subclauses 888.231(1A) to (1C), either”.</w:t>
      </w:r>
    </w:p>
    <w:p w14:paraId="1B64C8EA" w14:textId="77777777" w:rsidR="00421885" w:rsidRPr="004B1042" w:rsidRDefault="00421885" w:rsidP="00421885">
      <w:pPr>
        <w:pStyle w:val="ItemHead"/>
      </w:pPr>
      <w:r w:rsidRPr="004B1042">
        <w:t xml:space="preserve">55  At the end of Division 888.23 of </w:t>
      </w:r>
      <w:r w:rsidR="00523181" w:rsidRPr="004B1042">
        <w:t>Schedule 2</w:t>
      </w:r>
    </w:p>
    <w:p w14:paraId="047C7448" w14:textId="77777777" w:rsidR="00421885" w:rsidRPr="004B1042" w:rsidRDefault="00421885" w:rsidP="00421885">
      <w:pPr>
        <w:pStyle w:val="Item"/>
      </w:pPr>
      <w:r w:rsidRPr="004B1042">
        <w:t>Add:</w:t>
      </w:r>
    </w:p>
    <w:p w14:paraId="35859545" w14:textId="77777777" w:rsidR="00421885" w:rsidRPr="004B1042" w:rsidRDefault="00421885" w:rsidP="00421885">
      <w:pPr>
        <w:pStyle w:val="ActHead5"/>
      </w:pPr>
      <w:bookmarkStart w:id="11" w:name="_Toc72937716"/>
      <w:r w:rsidRPr="00154C09">
        <w:rPr>
          <w:rStyle w:val="CharSectno"/>
        </w:rPr>
        <w:t>888.233</w:t>
      </w:r>
      <w:bookmarkEnd w:id="11"/>
      <w:r w:rsidR="0092219F" w:rsidRPr="004B1042">
        <w:t xml:space="preserve">  </w:t>
      </w:r>
    </w:p>
    <w:p w14:paraId="60BC4ADC" w14:textId="77777777" w:rsidR="00421885" w:rsidRPr="004B1042" w:rsidRDefault="00421885" w:rsidP="00421885">
      <w:pPr>
        <w:pStyle w:val="subsection"/>
      </w:pPr>
      <w:r w:rsidRPr="004B1042">
        <w:tab/>
      </w:r>
      <w:r w:rsidRPr="004B1042">
        <w:tab/>
        <w:t>Unless the applicant is covered by any of subclauses 888.231(1A) to (1C), the applicant has held a complying significant investment for the whole of the period during which the applicant held a Subclass 188 visa.</w:t>
      </w:r>
    </w:p>
    <w:p w14:paraId="3290CF1C" w14:textId="77777777" w:rsidR="00421885" w:rsidRPr="004B1042" w:rsidRDefault="00421885" w:rsidP="00421885">
      <w:pPr>
        <w:pStyle w:val="ItemHead"/>
      </w:pPr>
      <w:r w:rsidRPr="004B1042">
        <w:t xml:space="preserve">56  Subclause 888.241(1) of </w:t>
      </w:r>
      <w:r w:rsidR="00523181" w:rsidRPr="004B1042">
        <w:t>Schedule 2</w:t>
      </w:r>
    </w:p>
    <w:p w14:paraId="7866424E" w14:textId="77777777" w:rsidR="00421885" w:rsidRPr="004B1042" w:rsidRDefault="00421885" w:rsidP="00421885">
      <w:pPr>
        <w:pStyle w:val="Item"/>
      </w:pPr>
      <w:r w:rsidRPr="004B1042">
        <w:t>Omit “At”, substitute “If the applicant is covered by any of subclauses (1A) to (1D), at”.</w:t>
      </w:r>
    </w:p>
    <w:p w14:paraId="060AA213" w14:textId="77777777" w:rsidR="00421885" w:rsidRPr="004B1042" w:rsidRDefault="00421885" w:rsidP="00421885">
      <w:pPr>
        <w:pStyle w:val="ItemHead"/>
      </w:pPr>
      <w:r w:rsidRPr="004B1042">
        <w:t xml:space="preserve">57  After subclause 888.241(1) of </w:t>
      </w:r>
      <w:r w:rsidR="00523181" w:rsidRPr="004B1042">
        <w:t>Schedule 2</w:t>
      </w:r>
    </w:p>
    <w:p w14:paraId="60F87091" w14:textId="77777777" w:rsidR="00421885" w:rsidRPr="004B1042" w:rsidRDefault="00421885" w:rsidP="00421885">
      <w:pPr>
        <w:pStyle w:val="Item"/>
      </w:pPr>
      <w:r w:rsidRPr="004B1042">
        <w:t>Insert:</w:t>
      </w:r>
    </w:p>
    <w:p w14:paraId="36035753" w14:textId="77777777" w:rsidR="00421885" w:rsidRPr="004B1042" w:rsidRDefault="00421885" w:rsidP="00421885">
      <w:pPr>
        <w:pStyle w:val="subsection"/>
      </w:pPr>
      <w:r w:rsidRPr="004B1042">
        <w:tab/>
        <w:t>(1AA)</w:t>
      </w:r>
      <w:r w:rsidRPr="004B1042">
        <w:tab/>
        <w:t>If, at the time of application, the applicant met the requirements in item 2 or 4 of the table in sub</w:t>
      </w:r>
      <w:r w:rsidR="00523181" w:rsidRPr="004B1042">
        <w:t>item 1</w:t>
      </w:r>
      <w:r w:rsidRPr="004B1042">
        <w:t xml:space="preserve">104BA(5A) of </w:t>
      </w:r>
      <w:r w:rsidR="00523181" w:rsidRPr="004B1042">
        <w:t>Schedule 1</w:t>
      </w:r>
      <w:r w:rsidRPr="004B1042">
        <w:t xml:space="preserve"> (the </w:t>
      </w:r>
      <w:r w:rsidRPr="004B1042">
        <w:rPr>
          <w:b/>
          <w:i/>
        </w:rPr>
        <w:t>relevant table</w:t>
      </w:r>
      <w:r w:rsidRPr="004B1042">
        <w:t>), a reference in subclause (1), (2A) or (2B) to a Subclass 188 (Business Innovation and Investment (Provisional)) visa in the Significant Investor stream or the Significant Investor Extension stream is taken to be a reference to a Subclass 188 (Business Innovation and Investment (Provisional)) visa granted on the basis that the applicant was the spouse or de facto partner of a person who held a Subclass 188 (Business Innovation and Investment (Provisional)) visa in the Significant Investor stream or the Significant Investor Extension stream.</w:t>
      </w:r>
    </w:p>
    <w:p w14:paraId="3939CD2A" w14:textId="77777777" w:rsidR="00421885" w:rsidRPr="004B1042" w:rsidRDefault="00421885" w:rsidP="00421885">
      <w:pPr>
        <w:pStyle w:val="subsection"/>
      </w:pPr>
      <w:r w:rsidRPr="004B1042">
        <w:tab/>
        <w:t>(1A)</w:t>
      </w:r>
      <w:r w:rsidRPr="004B1042">
        <w:tab/>
        <w:t>The applicant is covered by this subclause if:</w:t>
      </w:r>
    </w:p>
    <w:p w14:paraId="79809F11" w14:textId="77777777" w:rsidR="00421885" w:rsidRPr="004B1042" w:rsidRDefault="00421885" w:rsidP="00421885">
      <w:pPr>
        <w:pStyle w:val="paragraph"/>
      </w:pPr>
      <w:r w:rsidRPr="004B1042">
        <w:tab/>
        <w:t>(a)</w:t>
      </w:r>
      <w:r w:rsidRPr="004B1042">
        <w:tab/>
        <w:t xml:space="preserve">at the time of application, the applicant held the visa mentioned in </w:t>
      </w:r>
      <w:r w:rsidR="00523181" w:rsidRPr="004B1042">
        <w:t>item 1</w:t>
      </w:r>
      <w:r w:rsidRPr="004B1042">
        <w:t>A of the relevant table; and</w:t>
      </w:r>
    </w:p>
    <w:p w14:paraId="56635512" w14:textId="77777777" w:rsidR="00421885" w:rsidRPr="004B1042" w:rsidRDefault="00421885" w:rsidP="00421885">
      <w:pPr>
        <w:pStyle w:val="paragraph"/>
      </w:pPr>
      <w:r w:rsidRPr="004B1042">
        <w:tab/>
        <w:t>(b)</w:t>
      </w:r>
      <w:r w:rsidRPr="004B1042">
        <w:tab/>
        <w:t xml:space="preserve">the applicant was invited to apply for that visa before </w:t>
      </w:r>
      <w:r w:rsidR="00AD234F" w:rsidRPr="004B1042">
        <w:t>1 July</w:t>
      </w:r>
      <w:r w:rsidRPr="004B1042">
        <w:t xml:space="preserve"> 2021.</w:t>
      </w:r>
    </w:p>
    <w:p w14:paraId="3BC38428" w14:textId="77777777" w:rsidR="00421885" w:rsidRPr="004B1042" w:rsidRDefault="00421885" w:rsidP="00421885">
      <w:pPr>
        <w:pStyle w:val="subsection"/>
      </w:pPr>
      <w:r w:rsidRPr="004B1042">
        <w:tab/>
        <w:t>(1B)</w:t>
      </w:r>
      <w:r w:rsidRPr="004B1042">
        <w:tab/>
        <w:t>The applicant is covered by this subclause if:</w:t>
      </w:r>
    </w:p>
    <w:p w14:paraId="56B1CC98" w14:textId="77777777" w:rsidR="00421885" w:rsidRPr="004B1042" w:rsidRDefault="00421885" w:rsidP="00421885">
      <w:pPr>
        <w:pStyle w:val="paragraph"/>
      </w:pPr>
      <w:r w:rsidRPr="004B1042">
        <w:tab/>
        <w:t>(a)</w:t>
      </w:r>
      <w:r w:rsidRPr="004B1042">
        <w:tab/>
        <w:t xml:space="preserve">at the time of application, the applicant held the visa mentioned in </w:t>
      </w:r>
      <w:r w:rsidR="00523181" w:rsidRPr="004B1042">
        <w:t>item 1</w:t>
      </w:r>
      <w:r w:rsidRPr="004B1042">
        <w:t xml:space="preserve"> of the relevant table; and</w:t>
      </w:r>
    </w:p>
    <w:p w14:paraId="7E02C9CB" w14:textId="77777777" w:rsidR="00421885" w:rsidRPr="004B1042" w:rsidRDefault="00421885" w:rsidP="00421885">
      <w:pPr>
        <w:pStyle w:val="paragraph"/>
      </w:pPr>
      <w:r w:rsidRPr="004B1042">
        <w:tab/>
        <w:t>(b)</w:t>
      </w:r>
      <w:r w:rsidRPr="004B1042">
        <w:tab/>
        <w:t xml:space="preserve">the applicant was invited, before </w:t>
      </w:r>
      <w:r w:rsidR="00AD234F" w:rsidRPr="004B1042">
        <w:t>1 July</w:t>
      </w:r>
      <w:r w:rsidRPr="004B1042">
        <w:t xml:space="preserve"> 2021, to apply for the Subclass 188 (Business Innovation and Investment (Provisional)) visa in the Significant Investor stream held by the applicant.</w:t>
      </w:r>
    </w:p>
    <w:p w14:paraId="4C046423" w14:textId="77777777" w:rsidR="00421885" w:rsidRPr="004B1042" w:rsidRDefault="00421885" w:rsidP="00421885">
      <w:pPr>
        <w:pStyle w:val="subsection"/>
      </w:pPr>
      <w:r w:rsidRPr="004B1042">
        <w:tab/>
        <w:t>(1C)</w:t>
      </w:r>
      <w:r w:rsidRPr="004B1042">
        <w:tab/>
        <w:t>The applicant is covered by this subclause if:</w:t>
      </w:r>
    </w:p>
    <w:p w14:paraId="5F826210" w14:textId="77777777" w:rsidR="00421885" w:rsidRPr="004B1042" w:rsidRDefault="00421885" w:rsidP="00421885">
      <w:pPr>
        <w:pStyle w:val="paragraph"/>
      </w:pPr>
      <w:r w:rsidRPr="004B1042">
        <w:tab/>
        <w:t>(a)</w:t>
      </w:r>
      <w:r w:rsidRPr="004B1042">
        <w:tab/>
        <w:t>at the time of application, the applicant held the secondary visa mentioned in item 2 of the relevant table; and</w:t>
      </w:r>
    </w:p>
    <w:p w14:paraId="27F8E75D" w14:textId="77777777" w:rsidR="00421885" w:rsidRPr="004B1042" w:rsidRDefault="00421885" w:rsidP="00421885">
      <w:pPr>
        <w:pStyle w:val="paragraph"/>
      </w:pPr>
      <w:r w:rsidRPr="004B1042">
        <w:tab/>
        <w:t>(b)</w:t>
      </w:r>
      <w:r w:rsidRPr="004B1042">
        <w:tab/>
        <w:t xml:space="preserve">the primary visa holder mentioned in that item was invited, before </w:t>
      </w:r>
      <w:r w:rsidR="00AD234F" w:rsidRPr="004B1042">
        <w:t>1 July</w:t>
      </w:r>
      <w:r w:rsidRPr="004B1042">
        <w:t xml:space="preserve"> 2021, to apply for the Subclass 188 (Business Innovation and Investment (Provisional)) visa in the Significant Investor stream held by the primary visa holder.</w:t>
      </w:r>
    </w:p>
    <w:p w14:paraId="12D0B5AD" w14:textId="77777777" w:rsidR="00421885" w:rsidRPr="004B1042" w:rsidRDefault="00421885" w:rsidP="00421885">
      <w:pPr>
        <w:pStyle w:val="subsection"/>
      </w:pPr>
      <w:r w:rsidRPr="004B1042">
        <w:tab/>
        <w:t>(1D)</w:t>
      </w:r>
      <w:r w:rsidRPr="004B1042">
        <w:tab/>
        <w:t>The applicant is covered by this subclause if, at the time of application, the applicant met the requirements in item 3 or 4 of the relevant table.</w:t>
      </w:r>
    </w:p>
    <w:p w14:paraId="6BD66DFC" w14:textId="77777777" w:rsidR="00421885" w:rsidRPr="004B1042" w:rsidRDefault="00421885" w:rsidP="00421885">
      <w:pPr>
        <w:pStyle w:val="ItemHead"/>
      </w:pPr>
      <w:r w:rsidRPr="004B1042">
        <w:t xml:space="preserve">58  Subclause 888.241(2) of </w:t>
      </w:r>
      <w:r w:rsidR="00523181" w:rsidRPr="004B1042">
        <w:t>Schedule 2</w:t>
      </w:r>
    </w:p>
    <w:p w14:paraId="1C4648F8" w14:textId="77777777" w:rsidR="00421885" w:rsidRPr="004B1042" w:rsidRDefault="00421885" w:rsidP="00421885">
      <w:pPr>
        <w:pStyle w:val="Item"/>
      </w:pPr>
      <w:r w:rsidRPr="004B1042">
        <w:t>Omit “, (2B) or (2C)”, substitute “or (2B)”.</w:t>
      </w:r>
    </w:p>
    <w:p w14:paraId="4F6A25A3" w14:textId="77777777" w:rsidR="00421885" w:rsidRPr="004B1042" w:rsidRDefault="00421885" w:rsidP="00421885">
      <w:pPr>
        <w:pStyle w:val="ItemHead"/>
      </w:pPr>
      <w:r w:rsidRPr="004B1042">
        <w:t xml:space="preserve">59  Paragraph 888.241(2B)(b) of </w:t>
      </w:r>
      <w:r w:rsidR="00523181" w:rsidRPr="004B1042">
        <w:t>Schedule 2</w:t>
      </w:r>
    </w:p>
    <w:p w14:paraId="3632CC5C" w14:textId="77777777" w:rsidR="00421885" w:rsidRPr="004B1042" w:rsidRDefault="00421885" w:rsidP="00421885">
      <w:pPr>
        <w:pStyle w:val="Item"/>
      </w:pPr>
      <w:r w:rsidRPr="004B1042">
        <w:t>Repeal the paragraph, substitute:</w:t>
      </w:r>
    </w:p>
    <w:p w14:paraId="55D6BFB6" w14:textId="77777777" w:rsidR="00421885" w:rsidRPr="004B1042" w:rsidRDefault="00421885" w:rsidP="00421885">
      <w:pPr>
        <w:pStyle w:val="paragraph"/>
      </w:pPr>
      <w:r w:rsidRPr="004B1042">
        <w:tab/>
        <w:t>(b)</w:t>
      </w:r>
      <w:r w:rsidRPr="004B1042">
        <w:tab/>
        <w:t>the applicant has held a complying significant investment (within the meaning of regulation 5.19C as in force at the time the application mentioned in paragraph (a) was made) for:</w:t>
      </w:r>
    </w:p>
    <w:p w14:paraId="2A857E3D" w14:textId="77777777" w:rsidR="00421885" w:rsidRPr="004B1042" w:rsidRDefault="00421885" w:rsidP="00421885">
      <w:pPr>
        <w:pStyle w:val="paragraphsub"/>
      </w:pPr>
      <w:r w:rsidRPr="004B1042">
        <w:tab/>
        <w:t>(i)</w:t>
      </w:r>
      <w:r w:rsidRPr="004B1042">
        <w:tab/>
        <w:t>if the applicant is covered by any of subclauses (1A) to (1D)—the whole of the period during which the applicant has held the visas or visa mentioned in subclause (1); or</w:t>
      </w:r>
    </w:p>
    <w:p w14:paraId="5E48AAD2" w14:textId="77777777" w:rsidR="00421885" w:rsidRPr="004B1042" w:rsidRDefault="00421885" w:rsidP="00421885">
      <w:pPr>
        <w:pStyle w:val="paragraphsub"/>
      </w:pPr>
      <w:r w:rsidRPr="004B1042">
        <w:tab/>
        <w:t>(ii)</w:t>
      </w:r>
      <w:r w:rsidRPr="004B1042">
        <w:tab/>
        <w:t>otherwise—the whole of the period during which the applicant has held the visa on the basis of which the applicant met the requirements in an item of the relevant table.</w:t>
      </w:r>
    </w:p>
    <w:p w14:paraId="24CE3121" w14:textId="77777777" w:rsidR="00421885" w:rsidRPr="004B1042" w:rsidRDefault="00421885" w:rsidP="00421885">
      <w:pPr>
        <w:pStyle w:val="ItemHead"/>
      </w:pPr>
      <w:r w:rsidRPr="004B1042">
        <w:t xml:space="preserve">60  Subclause 888.241(2C) of </w:t>
      </w:r>
      <w:r w:rsidR="00523181" w:rsidRPr="004B1042">
        <w:t>Schedule 2</w:t>
      </w:r>
    </w:p>
    <w:p w14:paraId="153F759D" w14:textId="77777777" w:rsidR="00421885" w:rsidRPr="004B1042" w:rsidRDefault="00421885" w:rsidP="00421885">
      <w:pPr>
        <w:pStyle w:val="Item"/>
      </w:pPr>
      <w:r w:rsidRPr="004B1042">
        <w:t>Repeal the subclause.</w:t>
      </w:r>
    </w:p>
    <w:p w14:paraId="3E8FCB79" w14:textId="77777777" w:rsidR="00421885" w:rsidRPr="004B1042" w:rsidRDefault="00421885" w:rsidP="00421885">
      <w:pPr>
        <w:pStyle w:val="ItemHead"/>
      </w:pPr>
      <w:r w:rsidRPr="004B1042">
        <w:t xml:space="preserve">61  Paragraph 888.241(4)(b) of </w:t>
      </w:r>
      <w:r w:rsidR="00523181" w:rsidRPr="004B1042">
        <w:t>Schedule 2</w:t>
      </w:r>
    </w:p>
    <w:p w14:paraId="2D7DA6B7" w14:textId="77777777" w:rsidR="00421885" w:rsidRPr="004B1042" w:rsidRDefault="00421885" w:rsidP="00421885">
      <w:pPr>
        <w:pStyle w:val="Item"/>
      </w:pPr>
      <w:r w:rsidRPr="004B1042">
        <w:t>Omit “or (2C)”.</w:t>
      </w:r>
    </w:p>
    <w:p w14:paraId="48719871" w14:textId="77777777" w:rsidR="00576F9F" w:rsidRPr="004B1042" w:rsidRDefault="00576F9F" w:rsidP="00576F9F">
      <w:pPr>
        <w:pStyle w:val="ItemHead"/>
      </w:pPr>
      <w:r w:rsidRPr="004B1042">
        <w:t>62  Paragraphs 888.261(1)(a) and (b) of Schedule 2</w:t>
      </w:r>
    </w:p>
    <w:p w14:paraId="48F1F859" w14:textId="77777777" w:rsidR="00576F9F" w:rsidRPr="004B1042" w:rsidRDefault="00576F9F" w:rsidP="00576F9F">
      <w:pPr>
        <w:pStyle w:val="Item"/>
      </w:pPr>
      <w:r w:rsidRPr="004B1042">
        <w:t>Repeal the paragraphs, substitute:</w:t>
      </w:r>
    </w:p>
    <w:p w14:paraId="05D14B3F" w14:textId="77777777" w:rsidR="00576F9F" w:rsidRPr="004B1042" w:rsidRDefault="00576F9F" w:rsidP="00576F9F">
      <w:pPr>
        <w:pStyle w:val="paragraph"/>
      </w:pPr>
      <w:r w:rsidRPr="004B1042">
        <w:tab/>
        <w:t>(a)</w:t>
      </w:r>
      <w:r w:rsidRPr="004B1042">
        <w:tab/>
        <w:t>holds a Subclass 188 (Business Innovation and Investment (Provisional)) visa in the Entrepreneur stream and has done so for a continuous period of at least:</w:t>
      </w:r>
    </w:p>
    <w:p w14:paraId="49406C5B" w14:textId="77777777" w:rsidR="00576F9F" w:rsidRPr="004B1042" w:rsidRDefault="00576F9F" w:rsidP="00576F9F">
      <w:pPr>
        <w:pStyle w:val="paragraphsub"/>
      </w:pPr>
      <w:r w:rsidRPr="004B1042">
        <w:tab/>
        <w:t>(i)</w:t>
      </w:r>
      <w:r w:rsidRPr="004B1042">
        <w:tab/>
        <w:t xml:space="preserve">if the applicant was invited to apply for that visa before </w:t>
      </w:r>
      <w:r w:rsidR="00AD234F" w:rsidRPr="004B1042">
        <w:t>1 July</w:t>
      </w:r>
      <w:r w:rsidRPr="004B1042">
        <w:t xml:space="preserve"> 2021—4 years; or</w:t>
      </w:r>
    </w:p>
    <w:p w14:paraId="4789A8F0" w14:textId="77777777" w:rsidR="00576F9F" w:rsidRPr="004B1042" w:rsidRDefault="00576F9F" w:rsidP="00576F9F">
      <w:pPr>
        <w:pStyle w:val="paragraphsub"/>
      </w:pPr>
      <w:r w:rsidRPr="004B1042">
        <w:tab/>
        <w:t>(ii)</w:t>
      </w:r>
      <w:r w:rsidRPr="004B1042">
        <w:tab/>
        <w:t>otherwise—3 years; and</w:t>
      </w:r>
    </w:p>
    <w:p w14:paraId="0722DCC7" w14:textId="77777777" w:rsidR="00576F9F" w:rsidRPr="004B1042" w:rsidRDefault="00576F9F" w:rsidP="00576F9F">
      <w:pPr>
        <w:pStyle w:val="paragraph"/>
      </w:pPr>
      <w:r w:rsidRPr="004B1042">
        <w:tab/>
        <w:t>(b)</w:t>
      </w:r>
      <w:r w:rsidRPr="004B1042">
        <w:tab/>
        <w:t>either:</w:t>
      </w:r>
    </w:p>
    <w:p w14:paraId="5F7C6CBF" w14:textId="77777777" w:rsidR="00576F9F" w:rsidRPr="004B1042" w:rsidRDefault="00576F9F" w:rsidP="00576F9F">
      <w:pPr>
        <w:pStyle w:val="paragraphsub"/>
      </w:pPr>
      <w:r w:rsidRPr="004B1042">
        <w:tab/>
        <w:t>(i)</w:t>
      </w:r>
      <w:r w:rsidRPr="004B1042">
        <w:tab/>
        <w:t xml:space="preserve">if the applicant was invited to apply for that visa before </w:t>
      </w:r>
      <w:r w:rsidR="00AD234F" w:rsidRPr="004B1042">
        <w:t>1 July</w:t>
      </w:r>
      <w:r w:rsidRPr="004B1042">
        <w:t xml:space="preserve"> 2021—has resided in Australia for at least 2 years of the 4 years mentioned in </w:t>
      </w:r>
      <w:r w:rsidR="000E2DC6" w:rsidRPr="004B1042">
        <w:t>subparagraph (</w:t>
      </w:r>
      <w:r w:rsidRPr="004B1042">
        <w:t>a)(i); or</w:t>
      </w:r>
    </w:p>
    <w:p w14:paraId="4364CCE7" w14:textId="77777777" w:rsidR="00576F9F" w:rsidRPr="004B1042" w:rsidRDefault="00576F9F" w:rsidP="00576F9F">
      <w:pPr>
        <w:pStyle w:val="paragraphsub"/>
      </w:pPr>
      <w:r w:rsidRPr="004B1042">
        <w:tab/>
        <w:t>(ii)</w:t>
      </w:r>
      <w:r w:rsidRPr="004B1042">
        <w:tab/>
        <w:t>otherwise—has resided in Australia for at least 2 years while holding a Subclass 188 (Business Innovation and Investment (Provisional)) visa in the Entrepreneur stream.</w:t>
      </w:r>
    </w:p>
    <w:p w14:paraId="0D159AE1" w14:textId="77777777" w:rsidR="00421885" w:rsidRPr="004B1042" w:rsidRDefault="00421885" w:rsidP="00421885">
      <w:pPr>
        <w:pStyle w:val="ItemHead"/>
      </w:pPr>
      <w:r w:rsidRPr="004B1042">
        <w:t xml:space="preserve">63  At the end of subclause 888.261(3) of </w:t>
      </w:r>
      <w:r w:rsidR="00523181" w:rsidRPr="004B1042">
        <w:t>Schedule 2</w:t>
      </w:r>
    </w:p>
    <w:p w14:paraId="10E35EDE" w14:textId="77777777" w:rsidR="00421885" w:rsidRPr="004B1042" w:rsidRDefault="00421885" w:rsidP="00421885">
      <w:pPr>
        <w:pStyle w:val="Item"/>
      </w:pPr>
      <w:r w:rsidRPr="004B1042">
        <w:t>Add:</w:t>
      </w:r>
    </w:p>
    <w:p w14:paraId="7DBB15CE" w14:textId="77777777" w:rsidR="00421885" w:rsidRPr="004B1042" w:rsidRDefault="00421885" w:rsidP="00421885">
      <w:pPr>
        <w:pStyle w:val="paragraph"/>
      </w:pPr>
      <w:r w:rsidRPr="004B1042">
        <w:tab/>
        <w:t>; (d)</w:t>
      </w:r>
      <w:r w:rsidRPr="004B1042">
        <w:tab/>
        <w:t>any endorsement of the applicant’s record by a body recognised by the nominating State or Territory government agency as a start</w:t>
      </w:r>
      <w:r w:rsidR="004B1042">
        <w:noBreakHyphen/>
      </w:r>
      <w:r w:rsidRPr="004B1042">
        <w:t>up incubator, start</w:t>
      </w:r>
      <w:r w:rsidR="004B1042">
        <w:noBreakHyphen/>
      </w:r>
      <w:r w:rsidRPr="004B1042">
        <w:t>up accelerator or other body that assists start</w:t>
      </w:r>
      <w:r w:rsidR="004B1042">
        <w:noBreakHyphen/>
      </w:r>
      <w:r w:rsidRPr="004B1042">
        <w:t>up businesses.</w:t>
      </w:r>
    </w:p>
    <w:p w14:paraId="0D4071A8" w14:textId="77777777" w:rsidR="00421885" w:rsidRPr="004B1042" w:rsidRDefault="00421885" w:rsidP="00421885">
      <w:pPr>
        <w:pStyle w:val="ItemHead"/>
      </w:pPr>
      <w:r w:rsidRPr="004B1042">
        <w:t xml:space="preserve">64  Parts 7A.6 to 7A.8 of </w:t>
      </w:r>
      <w:r w:rsidR="00523181" w:rsidRPr="004B1042">
        <w:t>Schedule 7</w:t>
      </w:r>
      <w:r w:rsidRPr="004B1042">
        <w:t>A</w:t>
      </w:r>
    </w:p>
    <w:p w14:paraId="7C54EA35" w14:textId="77777777" w:rsidR="00421885" w:rsidRPr="004B1042" w:rsidRDefault="00421885" w:rsidP="00421885">
      <w:pPr>
        <w:pStyle w:val="Item"/>
      </w:pPr>
      <w:r w:rsidRPr="004B1042">
        <w:t>Repeal the Parts, substitute:</w:t>
      </w:r>
    </w:p>
    <w:p w14:paraId="60A9EB96" w14:textId="77777777" w:rsidR="00421885" w:rsidRPr="004B1042" w:rsidRDefault="00421885" w:rsidP="00421885">
      <w:pPr>
        <w:pStyle w:val="ActHead2"/>
      </w:pPr>
      <w:bookmarkStart w:id="12" w:name="f_Check_Lines_above"/>
      <w:bookmarkStart w:id="13" w:name="_Toc72937717"/>
      <w:bookmarkEnd w:id="12"/>
      <w:r w:rsidRPr="00154C09">
        <w:rPr>
          <w:rStyle w:val="CharPartNo"/>
        </w:rPr>
        <w:t>Part 7A.6</w:t>
      </w:r>
      <w:r w:rsidRPr="004B1042">
        <w:t>—</w:t>
      </w:r>
      <w:r w:rsidRPr="00154C09">
        <w:rPr>
          <w:rStyle w:val="CharPartText"/>
        </w:rPr>
        <w:t>Investor experience qualifications—Investor stream only</w:t>
      </w:r>
      <w:bookmarkEnd w:id="13"/>
    </w:p>
    <w:p w14:paraId="71BFCEE7" w14:textId="77777777" w:rsidR="00421885" w:rsidRPr="004B1042" w:rsidRDefault="00421885" w:rsidP="0092219F">
      <w:pPr>
        <w:pStyle w:val="Tabletext"/>
      </w:pPr>
    </w:p>
    <w:tbl>
      <w:tblPr>
        <w:tblW w:w="5000" w:type="pct"/>
        <w:tblLook w:val="0000" w:firstRow="0" w:lastRow="0" w:firstColumn="0" w:lastColumn="0" w:noHBand="0" w:noVBand="0"/>
      </w:tblPr>
      <w:tblGrid>
        <w:gridCol w:w="1305"/>
        <w:gridCol w:w="5880"/>
        <w:gridCol w:w="10"/>
        <w:gridCol w:w="1324"/>
        <w:gridCol w:w="10"/>
      </w:tblGrid>
      <w:tr w:rsidR="00421885" w:rsidRPr="004B1042" w14:paraId="0FDF55AB" w14:textId="77777777" w:rsidTr="00706709">
        <w:trPr>
          <w:gridAfter w:val="1"/>
          <w:wAfter w:w="6" w:type="pct"/>
          <w:cantSplit/>
          <w:tblHeader/>
        </w:trPr>
        <w:tc>
          <w:tcPr>
            <w:tcW w:w="765" w:type="pct"/>
            <w:tcBorders>
              <w:top w:val="single" w:sz="12" w:space="0" w:color="auto"/>
              <w:bottom w:val="single" w:sz="12" w:space="0" w:color="auto"/>
            </w:tcBorders>
          </w:tcPr>
          <w:p w14:paraId="667165F5" w14:textId="77777777" w:rsidR="00421885" w:rsidRPr="004B1042" w:rsidRDefault="00421885" w:rsidP="00706709">
            <w:pPr>
              <w:pStyle w:val="TableHeading"/>
            </w:pPr>
            <w:r w:rsidRPr="004B1042">
              <w:t>Item</w:t>
            </w:r>
          </w:p>
        </w:tc>
        <w:tc>
          <w:tcPr>
            <w:tcW w:w="3453" w:type="pct"/>
            <w:gridSpan w:val="2"/>
            <w:tcBorders>
              <w:top w:val="single" w:sz="12" w:space="0" w:color="auto"/>
              <w:bottom w:val="single" w:sz="12" w:space="0" w:color="auto"/>
            </w:tcBorders>
          </w:tcPr>
          <w:p w14:paraId="27615387" w14:textId="77777777" w:rsidR="00421885" w:rsidRPr="004B1042" w:rsidRDefault="00421885" w:rsidP="00706709">
            <w:pPr>
              <w:pStyle w:val="TableHeading"/>
            </w:pPr>
            <w:r w:rsidRPr="004B1042">
              <w:t>The applicant</w:t>
            </w:r>
            <w:r w:rsidR="00664CC8" w:rsidRPr="004B1042">
              <w:t xml:space="preserve"> </w:t>
            </w:r>
            <w:r w:rsidRPr="004B1042">
              <w:t>...</w:t>
            </w:r>
          </w:p>
        </w:tc>
        <w:tc>
          <w:tcPr>
            <w:tcW w:w="776" w:type="pct"/>
            <w:tcBorders>
              <w:top w:val="single" w:sz="12" w:space="0" w:color="auto"/>
              <w:bottom w:val="single" w:sz="12" w:space="0" w:color="auto"/>
            </w:tcBorders>
          </w:tcPr>
          <w:p w14:paraId="5BCE2E9E" w14:textId="77777777" w:rsidR="00421885" w:rsidRPr="004B1042" w:rsidRDefault="00421885" w:rsidP="00706709">
            <w:pPr>
              <w:pStyle w:val="TableHeading"/>
            </w:pPr>
            <w:r w:rsidRPr="004B1042">
              <w:t>Number of points</w:t>
            </w:r>
          </w:p>
        </w:tc>
      </w:tr>
      <w:tr w:rsidR="00421885" w:rsidRPr="004B1042" w14:paraId="4EB565B8" w14:textId="77777777" w:rsidTr="00706709">
        <w:trPr>
          <w:cantSplit/>
        </w:trPr>
        <w:tc>
          <w:tcPr>
            <w:tcW w:w="765" w:type="pct"/>
            <w:tcBorders>
              <w:bottom w:val="single" w:sz="4" w:space="0" w:color="auto"/>
            </w:tcBorders>
          </w:tcPr>
          <w:p w14:paraId="05E634AD" w14:textId="77777777" w:rsidR="00421885" w:rsidRPr="004B1042" w:rsidRDefault="00421885" w:rsidP="00706709">
            <w:pPr>
              <w:pStyle w:val="Tabletext"/>
            </w:pPr>
            <w:r w:rsidRPr="004B1042">
              <w:t>7A61</w:t>
            </w:r>
          </w:p>
        </w:tc>
        <w:tc>
          <w:tcPr>
            <w:tcW w:w="3447" w:type="pct"/>
            <w:tcBorders>
              <w:bottom w:val="single" w:sz="4" w:space="0" w:color="auto"/>
            </w:tcBorders>
          </w:tcPr>
          <w:p w14:paraId="6B7F831F" w14:textId="77777777" w:rsidR="00421885" w:rsidRPr="004B1042" w:rsidRDefault="00421885" w:rsidP="00706709">
            <w:pPr>
              <w:pStyle w:val="Tablea"/>
            </w:pPr>
            <w:r w:rsidRPr="004B1042">
              <w:t xml:space="preserve">(a) if the applicant was invited to apply for the visa before </w:t>
            </w:r>
            <w:r w:rsidR="00AD234F" w:rsidRPr="004B1042">
              <w:t>1 July</w:t>
            </w:r>
            <w:r w:rsidRPr="004B1042">
              <w:t xml:space="preserve"> 2021—held eligible investments which had a value of not less than AUD100,000 for not less than 4 years immediately before the time of invitation; or</w:t>
            </w:r>
          </w:p>
          <w:p w14:paraId="15D637E5" w14:textId="77777777" w:rsidR="00421885" w:rsidRPr="004B1042" w:rsidRDefault="00421885" w:rsidP="00706709">
            <w:pPr>
              <w:pStyle w:val="Tablea"/>
            </w:pPr>
            <w:r w:rsidRPr="004B1042">
              <w:t xml:space="preserve">(b) if the applicant was invited to apply for the visa on or after </w:t>
            </w:r>
            <w:r w:rsidR="00AD234F" w:rsidRPr="004B1042">
              <w:t>1 July</w:t>
            </w:r>
            <w:r w:rsidRPr="004B1042">
              <w:t xml:space="preserve"> 2021—held eligible investments which had a value of not less than AUD250,000 for not less than 4 years immediately before the time of invitation</w:t>
            </w:r>
          </w:p>
        </w:tc>
        <w:tc>
          <w:tcPr>
            <w:tcW w:w="788" w:type="pct"/>
            <w:gridSpan w:val="3"/>
            <w:tcBorders>
              <w:bottom w:val="single" w:sz="4" w:space="0" w:color="auto"/>
            </w:tcBorders>
          </w:tcPr>
          <w:p w14:paraId="562B1AF1" w14:textId="77777777" w:rsidR="00421885" w:rsidRPr="004B1042" w:rsidRDefault="00421885" w:rsidP="00706709">
            <w:pPr>
              <w:pStyle w:val="Tabletext"/>
            </w:pPr>
            <w:r w:rsidRPr="004B1042">
              <w:t>10</w:t>
            </w:r>
          </w:p>
        </w:tc>
      </w:tr>
      <w:tr w:rsidR="00421885" w:rsidRPr="004B1042" w14:paraId="1F19282B" w14:textId="77777777" w:rsidTr="00706709">
        <w:trPr>
          <w:cantSplit/>
        </w:trPr>
        <w:tc>
          <w:tcPr>
            <w:tcW w:w="765" w:type="pct"/>
            <w:tcBorders>
              <w:top w:val="single" w:sz="4" w:space="0" w:color="auto"/>
              <w:bottom w:val="single" w:sz="12" w:space="0" w:color="auto"/>
            </w:tcBorders>
          </w:tcPr>
          <w:p w14:paraId="200C1957" w14:textId="77777777" w:rsidR="00421885" w:rsidRPr="004B1042" w:rsidRDefault="00421885" w:rsidP="00706709">
            <w:pPr>
              <w:pStyle w:val="Tabletext"/>
            </w:pPr>
            <w:r w:rsidRPr="004B1042">
              <w:t>7A62</w:t>
            </w:r>
          </w:p>
        </w:tc>
        <w:tc>
          <w:tcPr>
            <w:tcW w:w="3447" w:type="pct"/>
            <w:tcBorders>
              <w:top w:val="single" w:sz="4" w:space="0" w:color="auto"/>
              <w:bottom w:val="single" w:sz="12" w:space="0" w:color="auto"/>
            </w:tcBorders>
          </w:tcPr>
          <w:p w14:paraId="0B34DBC0" w14:textId="77777777" w:rsidR="00421885" w:rsidRPr="004B1042" w:rsidRDefault="00421885" w:rsidP="00706709">
            <w:pPr>
              <w:pStyle w:val="Tablea"/>
            </w:pPr>
            <w:r w:rsidRPr="004B1042">
              <w:t xml:space="preserve">(a) if the applicant was invited to apply for the visa before </w:t>
            </w:r>
            <w:r w:rsidR="00AD234F" w:rsidRPr="004B1042">
              <w:t>1 July</w:t>
            </w:r>
            <w:r w:rsidRPr="004B1042">
              <w:t xml:space="preserve"> 2021—held eligible investments which had a value of not less than AUD100,000 for not less than 7 years immediately before the time of invitation; or</w:t>
            </w:r>
          </w:p>
          <w:p w14:paraId="05DF109F" w14:textId="77777777" w:rsidR="00421885" w:rsidRPr="004B1042" w:rsidRDefault="00421885" w:rsidP="00706709">
            <w:pPr>
              <w:pStyle w:val="Tablea"/>
            </w:pPr>
            <w:r w:rsidRPr="004B1042">
              <w:t xml:space="preserve">(b) if the applicant was invited to apply for the visa on or after </w:t>
            </w:r>
            <w:r w:rsidR="00AD234F" w:rsidRPr="004B1042">
              <w:t>1 July</w:t>
            </w:r>
            <w:r w:rsidRPr="004B1042">
              <w:t xml:space="preserve"> 2021—held eligible investments which had a value of not less than AUD250,000 for not less than 7 years immediately before the time of invitation</w:t>
            </w:r>
          </w:p>
        </w:tc>
        <w:tc>
          <w:tcPr>
            <w:tcW w:w="788" w:type="pct"/>
            <w:gridSpan w:val="3"/>
            <w:tcBorders>
              <w:top w:val="single" w:sz="4" w:space="0" w:color="auto"/>
              <w:bottom w:val="single" w:sz="12" w:space="0" w:color="auto"/>
            </w:tcBorders>
          </w:tcPr>
          <w:p w14:paraId="598D5C42" w14:textId="77777777" w:rsidR="00421885" w:rsidRPr="004B1042" w:rsidRDefault="00421885" w:rsidP="00706709">
            <w:pPr>
              <w:pStyle w:val="Tabletext"/>
            </w:pPr>
            <w:r w:rsidRPr="004B1042">
              <w:t>15</w:t>
            </w:r>
          </w:p>
        </w:tc>
      </w:tr>
    </w:tbl>
    <w:p w14:paraId="2326CB72" w14:textId="77777777" w:rsidR="00421885" w:rsidRPr="004B1042" w:rsidRDefault="00421885" w:rsidP="00421885">
      <w:pPr>
        <w:pStyle w:val="notemargin"/>
      </w:pPr>
      <w:r w:rsidRPr="004B1042">
        <w:t>Note:</w:t>
      </w:r>
      <w:r w:rsidRPr="004B1042">
        <w:tab/>
        <w:t>Points are accumulated under item 7A61 or 7A62, not both.</w:t>
      </w:r>
    </w:p>
    <w:p w14:paraId="22579561" w14:textId="77777777" w:rsidR="00421885" w:rsidRPr="004B1042" w:rsidRDefault="00421885" w:rsidP="00421885">
      <w:pPr>
        <w:pStyle w:val="ActHead2"/>
      </w:pPr>
      <w:bookmarkStart w:id="14" w:name="_Toc72937718"/>
      <w:r w:rsidRPr="00154C09">
        <w:rPr>
          <w:rStyle w:val="CharPartNo"/>
        </w:rPr>
        <w:t>Part 7A.7</w:t>
      </w:r>
      <w:r w:rsidRPr="004B1042">
        <w:t>—</w:t>
      </w:r>
      <w:r w:rsidRPr="00154C09">
        <w:rPr>
          <w:rStyle w:val="CharPartText"/>
        </w:rPr>
        <w:t>Financial asset qualifications</w:t>
      </w:r>
      <w:bookmarkEnd w:id="14"/>
    </w:p>
    <w:p w14:paraId="150A7039" w14:textId="77777777" w:rsidR="00421885" w:rsidRPr="004B1042" w:rsidRDefault="00421885" w:rsidP="0051228C">
      <w:pPr>
        <w:pStyle w:val="Tabletext"/>
        <w:keepNext/>
        <w:keepLines/>
      </w:pPr>
    </w:p>
    <w:tbl>
      <w:tblPr>
        <w:tblW w:w="5000" w:type="pct"/>
        <w:tblLook w:val="0000" w:firstRow="0" w:lastRow="0" w:firstColumn="0" w:lastColumn="0" w:noHBand="0" w:noVBand="0"/>
      </w:tblPr>
      <w:tblGrid>
        <w:gridCol w:w="965"/>
        <w:gridCol w:w="6219"/>
        <w:gridCol w:w="12"/>
        <w:gridCol w:w="1324"/>
        <w:gridCol w:w="9"/>
      </w:tblGrid>
      <w:tr w:rsidR="00421885" w:rsidRPr="004B1042" w14:paraId="190F3E3F" w14:textId="77777777" w:rsidTr="00706709">
        <w:trPr>
          <w:gridAfter w:val="1"/>
          <w:wAfter w:w="5" w:type="pct"/>
          <w:cantSplit/>
          <w:tblHeader/>
        </w:trPr>
        <w:tc>
          <w:tcPr>
            <w:tcW w:w="566" w:type="pct"/>
            <w:tcBorders>
              <w:top w:val="single" w:sz="12" w:space="0" w:color="auto"/>
              <w:bottom w:val="single" w:sz="12" w:space="0" w:color="auto"/>
            </w:tcBorders>
          </w:tcPr>
          <w:p w14:paraId="4C800735" w14:textId="77777777" w:rsidR="00421885" w:rsidRPr="004B1042" w:rsidRDefault="00421885" w:rsidP="00706709">
            <w:pPr>
              <w:pStyle w:val="TableHeading"/>
            </w:pPr>
            <w:r w:rsidRPr="004B1042">
              <w:t>Item</w:t>
            </w:r>
          </w:p>
        </w:tc>
        <w:tc>
          <w:tcPr>
            <w:tcW w:w="3652" w:type="pct"/>
            <w:gridSpan w:val="2"/>
            <w:tcBorders>
              <w:top w:val="single" w:sz="12" w:space="0" w:color="auto"/>
              <w:bottom w:val="single" w:sz="12" w:space="0" w:color="auto"/>
            </w:tcBorders>
          </w:tcPr>
          <w:p w14:paraId="66A1678D" w14:textId="77777777" w:rsidR="00421885" w:rsidRPr="004B1042" w:rsidRDefault="00421885" w:rsidP="00706709">
            <w:pPr>
              <w:pStyle w:val="TableHeading"/>
            </w:pPr>
            <w:r w:rsidRPr="004B1042">
              <w:t>The net value of the business and personal assets of the applicant, the applicant’s spouse or de facto partner, or the applicant and the applicant’s spouse or de facto partner together, was ...</w:t>
            </w:r>
          </w:p>
        </w:tc>
        <w:tc>
          <w:tcPr>
            <w:tcW w:w="776" w:type="pct"/>
            <w:tcBorders>
              <w:top w:val="single" w:sz="12" w:space="0" w:color="auto"/>
              <w:bottom w:val="single" w:sz="12" w:space="0" w:color="auto"/>
            </w:tcBorders>
          </w:tcPr>
          <w:p w14:paraId="590E6A42" w14:textId="77777777" w:rsidR="00421885" w:rsidRPr="004B1042" w:rsidRDefault="00421885" w:rsidP="00706709">
            <w:pPr>
              <w:pStyle w:val="TableHeading"/>
            </w:pPr>
            <w:r w:rsidRPr="004B1042">
              <w:t>Number of points</w:t>
            </w:r>
          </w:p>
        </w:tc>
      </w:tr>
      <w:tr w:rsidR="00421885" w:rsidRPr="004B1042" w14:paraId="4404E854" w14:textId="77777777" w:rsidTr="00706709">
        <w:trPr>
          <w:cantSplit/>
        </w:trPr>
        <w:tc>
          <w:tcPr>
            <w:tcW w:w="566" w:type="pct"/>
            <w:tcBorders>
              <w:bottom w:val="single" w:sz="4" w:space="0" w:color="auto"/>
            </w:tcBorders>
          </w:tcPr>
          <w:p w14:paraId="78D3A94F" w14:textId="77777777" w:rsidR="00421885" w:rsidRPr="004B1042" w:rsidRDefault="00421885" w:rsidP="00706709">
            <w:pPr>
              <w:pStyle w:val="Tabletext"/>
            </w:pPr>
            <w:r w:rsidRPr="004B1042">
              <w:t>7A71</w:t>
            </w:r>
          </w:p>
        </w:tc>
        <w:tc>
          <w:tcPr>
            <w:tcW w:w="3645" w:type="pct"/>
            <w:tcBorders>
              <w:bottom w:val="single" w:sz="4" w:space="0" w:color="auto"/>
            </w:tcBorders>
          </w:tcPr>
          <w:p w14:paraId="6B134544" w14:textId="77777777" w:rsidR="00421885" w:rsidRPr="004B1042" w:rsidRDefault="00421885" w:rsidP="00706709">
            <w:pPr>
              <w:pStyle w:val="Tablea"/>
            </w:pPr>
            <w:r w:rsidRPr="004B1042">
              <w:t xml:space="preserve">(a) if the applicant was invited to apply for the visa before </w:t>
            </w:r>
            <w:r w:rsidR="00AD234F" w:rsidRPr="004B1042">
              <w:t>1 July</w:t>
            </w:r>
            <w:r w:rsidRPr="004B1042">
              <w:t xml:space="preserve"> 2021—not less than AUD800,000 in each of the 2 fiscal years immediately before the time of invitation; or</w:t>
            </w:r>
          </w:p>
          <w:p w14:paraId="5D552E6C" w14:textId="77777777" w:rsidR="00421885" w:rsidRPr="004B1042" w:rsidRDefault="00421885" w:rsidP="00706709">
            <w:pPr>
              <w:pStyle w:val="Tablea"/>
            </w:pPr>
            <w:r w:rsidRPr="004B1042">
              <w:t xml:space="preserve">(b) if the applicant was invited to apply for the visa on or after </w:t>
            </w:r>
            <w:r w:rsidR="00AD234F" w:rsidRPr="004B1042">
              <w:t>1 July</w:t>
            </w:r>
            <w:r w:rsidRPr="004B1042">
              <w:t xml:space="preserve"> 2021—not less than AUD1,250,000 in each of the 2 fiscal years immediately before the time of invitation</w:t>
            </w:r>
          </w:p>
        </w:tc>
        <w:tc>
          <w:tcPr>
            <w:tcW w:w="788" w:type="pct"/>
            <w:gridSpan w:val="3"/>
            <w:tcBorders>
              <w:bottom w:val="single" w:sz="4" w:space="0" w:color="auto"/>
            </w:tcBorders>
          </w:tcPr>
          <w:p w14:paraId="27E2D4A8" w14:textId="77777777" w:rsidR="00421885" w:rsidRPr="004B1042" w:rsidRDefault="00421885" w:rsidP="00706709">
            <w:pPr>
              <w:pStyle w:val="Tabletext"/>
            </w:pPr>
            <w:r w:rsidRPr="004B1042">
              <w:t>5</w:t>
            </w:r>
          </w:p>
        </w:tc>
      </w:tr>
      <w:tr w:rsidR="00421885" w:rsidRPr="004B1042" w14:paraId="2C6E4D96" w14:textId="77777777" w:rsidTr="00706709">
        <w:trPr>
          <w:cantSplit/>
        </w:trPr>
        <w:tc>
          <w:tcPr>
            <w:tcW w:w="566" w:type="pct"/>
            <w:tcBorders>
              <w:top w:val="single" w:sz="4" w:space="0" w:color="auto"/>
              <w:bottom w:val="single" w:sz="4" w:space="0" w:color="auto"/>
            </w:tcBorders>
          </w:tcPr>
          <w:p w14:paraId="0B51BA4E" w14:textId="77777777" w:rsidR="00421885" w:rsidRPr="004B1042" w:rsidRDefault="00421885" w:rsidP="00706709">
            <w:pPr>
              <w:pStyle w:val="Tabletext"/>
            </w:pPr>
            <w:r w:rsidRPr="004B1042">
              <w:t>7A72</w:t>
            </w:r>
          </w:p>
        </w:tc>
        <w:tc>
          <w:tcPr>
            <w:tcW w:w="3645" w:type="pct"/>
            <w:tcBorders>
              <w:top w:val="single" w:sz="4" w:space="0" w:color="auto"/>
              <w:bottom w:val="single" w:sz="4" w:space="0" w:color="auto"/>
            </w:tcBorders>
          </w:tcPr>
          <w:p w14:paraId="5965095E" w14:textId="77777777" w:rsidR="00421885" w:rsidRPr="004B1042" w:rsidRDefault="00421885" w:rsidP="00706709">
            <w:pPr>
              <w:pStyle w:val="Tablea"/>
            </w:pPr>
            <w:r w:rsidRPr="004B1042">
              <w:t xml:space="preserve">(a) if the applicant was invited to apply for the visa before </w:t>
            </w:r>
            <w:r w:rsidR="00AD234F" w:rsidRPr="004B1042">
              <w:t>1 July</w:t>
            </w:r>
            <w:r w:rsidRPr="004B1042">
              <w:t xml:space="preserve"> 2021—not less than AUD1,300,000 in each of the 2 fiscal years immediately before the time of invitation; or</w:t>
            </w:r>
          </w:p>
          <w:p w14:paraId="14253C7C" w14:textId="77777777" w:rsidR="00421885" w:rsidRPr="004B1042" w:rsidRDefault="00421885" w:rsidP="00706709">
            <w:pPr>
              <w:pStyle w:val="Tablea"/>
            </w:pPr>
            <w:r w:rsidRPr="004B1042">
              <w:t xml:space="preserve">(b) if the applicant was invited to apply for the visa on or after </w:t>
            </w:r>
            <w:r w:rsidR="00AD234F" w:rsidRPr="004B1042">
              <w:t>1 July</w:t>
            </w:r>
            <w:r w:rsidRPr="004B1042">
              <w:t xml:space="preserve"> 2021—not less than AUD1,750,000 in each of the 2 fiscal years immediately before the time of invitation</w:t>
            </w:r>
          </w:p>
        </w:tc>
        <w:tc>
          <w:tcPr>
            <w:tcW w:w="788" w:type="pct"/>
            <w:gridSpan w:val="3"/>
            <w:tcBorders>
              <w:top w:val="single" w:sz="4" w:space="0" w:color="auto"/>
              <w:bottom w:val="single" w:sz="4" w:space="0" w:color="auto"/>
            </w:tcBorders>
          </w:tcPr>
          <w:p w14:paraId="738E12A6" w14:textId="77777777" w:rsidR="00421885" w:rsidRPr="004B1042" w:rsidRDefault="00421885" w:rsidP="00706709">
            <w:pPr>
              <w:pStyle w:val="Tabletext"/>
            </w:pPr>
            <w:r w:rsidRPr="004B1042">
              <w:t>15</w:t>
            </w:r>
          </w:p>
        </w:tc>
      </w:tr>
      <w:tr w:rsidR="00421885" w:rsidRPr="004B1042" w14:paraId="589ADCB5" w14:textId="77777777" w:rsidTr="00706709">
        <w:trPr>
          <w:cantSplit/>
        </w:trPr>
        <w:tc>
          <w:tcPr>
            <w:tcW w:w="566" w:type="pct"/>
            <w:tcBorders>
              <w:top w:val="single" w:sz="4" w:space="0" w:color="auto"/>
              <w:bottom w:val="single" w:sz="4" w:space="0" w:color="auto"/>
            </w:tcBorders>
          </w:tcPr>
          <w:p w14:paraId="1EA340E5" w14:textId="77777777" w:rsidR="00421885" w:rsidRPr="004B1042" w:rsidRDefault="00421885" w:rsidP="00706709">
            <w:pPr>
              <w:pStyle w:val="Tabletext"/>
            </w:pPr>
            <w:r w:rsidRPr="004B1042">
              <w:t>7A73</w:t>
            </w:r>
          </w:p>
        </w:tc>
        <w:tc>
          <w:tcPr>
            <w:tcW w:w="3645" w:type="pct"/>
            <w:tcBorders>
              <w:top w:val="single" w:sz="4" w:space="0" w:color="auto"/>
              <w:bottom w:val="single" w:sz="4" w:space="0" w:color="auto"/>
            </w:tcBorders>
          </w:tcPr>
          <w:p w14:paraId="77FD5D04" w14:textId="77777777" w:rsidR="00421885" w:rsidRPr="004B1042" w:rsidRDefault="00421885" w:rsidP="00706709">
            <w:pPr>
              <w:pStyle w:val="Tablea"/>
            </w:pPr>
            <w:r w:rsidRPr="004B1042">
              <w:t xml:space="preserve">(a) if the applicant was invited to apply for the visa before </w:t>
            </w:r>
            <w:r w:rsidR="00AD234F" w:rsidRPr="004B1042">
              <w:t>1 July</w:t>
            </w:r>
            <w:r w:rsidRPr="004B1042">
              <w:t xml:space="preserve"> 2021—not less than AUD1,800,000 in each of the 2 fiscal years immediately before the time of invitation; or</w:t>
            </w:r>
          </w:p>
          <w:p w14:paraId="4DE65BC3" w14:textId="77777777" w:rsidR="00421885" w:rsidRPr="004B1042" w:rsidRDefault="00421885" w:rsidP="00706709">
            <w:pPr>
              <w:pStyle w:val="Tablea"/>
            </w:pPr>
            <w:r w:rsidRPr="004B1042">
              <w:t xml:space="preserve">(b) if the applicant was invited to apply for the visa on or after </w:t>
            </w:r>
            <w:r w:rsidR="00AD234F" w:rsidRPr="004B1042">
              <w:t>1 July</w:t>
            </w:r>
            <w:r w:rsidRPr="004B1042">
              <w:t xml:space="preserve"> 2021—not less than AUD2,250,000 in each of the 2 fiscal years immediately before the time of invitation</w:t>
            </w:r>
          </w:p>
        </w:tc>
        <w:tc>
          <w:tcPr>
            <w:tcW w:w="788" w:type="pct"/>
            <w:gridSpan w:val="3"/>
            <w:tcBorders>
              <w:top w:val="single" w:sz="4" w:space="0" w:color="auto"/>
              <w:bottom w:val="single" w:sz="4" w:space="0" w:color="auto"/>
            </w:tcBorders>
          </w:tcPr>
          <w:p w14:paraId="195B24AE" w14:textId="77777777" w:rsidR="00421885" w:rsidRPr="004B1042" w:rsidRDefault="00421885" w:rsidP="00706709">
            <w:pPr>
              <w:pStyle w:val="Tabletext"/>
            </w:pPr>
            <w:r w:rsidRPr="004B1042">
              <w:t>25</w:t>
            </w:r>
          </w:p>
        </w:tc>
      </w:tr>
      <w:tr w:rsidR="00421885" w:rsidRPr="004B1042" w14:paraId="13BD984A" w14:textId="77777777" w:rsidTr="00706709">
        <w:trPr>
          <w:cantSplit/>
        </w:trPr>
        <w:tc>
          <w:tcPr>
            <w:tcW w:w="566" w:type="pct"/>
            <w:tcBorders>
              <w:top w:val="single" w:sz="4" w:space="0" w:color="auto"/>
              <w:bottom w:val="single" w:sz="12" w:space="0" w:color="auto"/>
            </w:tcBorders>
          </w:tcPr>
          <w:p w14:paraId="4812001E" w14:textId="77777777" w:rsidR="00421885" w:rsidRPr="004B1042" w:rsidRDefault="00421885" w:rsidP="00706709">
            <w:pPr>
              <w:pStyle w:val="Tabletext"/>
            </w:pPr>
            <w:r w:rsidRPr="004B1042">
              <w:t>7A74</w:t>
            </w:r>
          </w:p>
        </w:tc>
        <w:tc>
          <w:tcPr>
            <w:tcW w:w="3645" w:type="pct"/>
            <w:tcBorders>
              <w:top w:val="single" w:sz="4" w:space="0" w:color="auto"/>
              <w:bottom w:val="single" w:sz="12" w:space="0" w:color="auto"/>
            </w:tcBorders>
          </w:tcPr>
          <w:p w14:paraId="759B5C1B" w14:textId="77777777" w:rsidR="00421885" w:rsidRPr="004B1042" w:rsidRDefault="00421885" w:rsidP="00706709">
            <w:pPr>
              <w:pStyle w:val="Tablea"/>
            </w:pPr>
            <w:r w:rsidRPr="004B1042">
              <w:t xml:space="preserve">(a) if the applicant was invited to apply for the visa before </w:t>
            </w:r>
            <w:r w:rsidR="00AD234F" w:rsidRPr="004B1042">
              <w:t>1 July</w:t>
            </w:r>
            <w:r w:rsidRPr="004B1042">
              <w:t xml:space="preserve"> 2021—not less than AUD2,250,000 in each of the 2 fiscal years immediately before the time of invitation; or</w:t>
            </w:r>
          </w:p>
          <w:p w14:paraId="64297683" w14:textId="77777777" w:rsidR="00421885" w:rsidRPr="004B1042" w:rsidRDefault="00421885" w:rsidP="00706709">
            <w:pPr>
              <w:pStyle w:val="Tablea"/>
            </w:pPr>
            <w:r w:rsidRPr="004B1042">
              <w:t xml:space="preserve">(b) if the applicant was invited to apply for the visa on or after </w:t>
            </w:r>
            <w:r w:rsidR="00AD234F" w:rsidRPr="004B1042">
              <w:t>1 July</w:t>
            </w:r>
            <w:r w:rsidRPr="004B1042">
              <w:t xml:space="preserve"> 2021—not less than AUD2,750,000 in each of the 2 fiscal years immediately before the time of invitation</w:t>
            </w:r>
          </w:p>
        </w:tc>
        <w:tc>
          <w:tcPr>
            <w:tcW w:w="788" w:type="pct"/>
            <w:gridSpan w:val="3"/>
            <w:tcBorders>
              <w:top w:val="single" w:sz="4" w:space="0" w:color="auto"/>
              <w:bottom w:val="single" w:sz="12" w:space="0" w:color="auto"/>
            </w:tcBorders>
          </w:tcPr>
          <w:p w14:paraId="25B45F6D" w14:textId="77777777" w:rsidR="00421885" w:rsidRPr="004B1042" w:rsidRDefault="00421885" w:rsidP="00706709">
            <w:pPr>
              <w:pStyle w:val="Tabletext"/>
            </w:pPr>
            <w:r w:rsidRPr="004B1042">
              <w:t>35</w:t>
            </w:r>
          </w:p>
        </w:tc>
      </w:tr>
    </w:tbl>
    <w:p w14:paraId="6B88117E" w14:textId="77777777" w:rsidR="00421885" w:rsidRPr="004B1042" w:rsidRDefault="00421885" w:rsidP="00421885">
      <w:pPr>
        <w:pStyle w:val="notemargin"/>
      </w:pPr>
      <w:r w:rsidRPr="004B1042">
        <w:t>Note:</w:t>
      </w:r>
      <w:r w:rsidRPr="004B1042">
        <w:tab/>
        <w:t>Points are accumulated under one item in Part 7A.7, not more than one.</w:t>
      </w:r>
    </w:p>
    <w:p w14:paraId="5E13FAF8" w14:textId="77777777" w:rsidR="00421885" w:rsidRPr="004B1042" w:rsidRDefault="00421885" w:rsidP="00421885">
      <w:pPr>
        <w:pStyle w:val="ActHead2"/>
      </w:pPr>
      <w:bookmarkStart w:id="15" w:name="_Toc72937719"/>
      <w:r w:rsidRPr="00154C09">
        <w:rPr>
          <w:rStyle w:val="CharPartNo"/>
        </w:rPr>
        <w:t>Part 7A.8</w:t>
      </w:r>
      <w:r w:rsidRPr="004B1042">
        <w:t>—</w:t>
      </w:r>
      <w:r w:rsidRPr="00154C09">
        <w:rPr>
          <w:rStyle w:val="CharPartText"/>
        </w:rPr>
        <w:t>Business turnover qualifications</w:t>
      </w:r>
      <w:bookmarkEnd w:id="15"/>
    </w:p>
    <w:p w14:paraId="3F8FE106" w14:textId="77777777" w:rsidR="00421885" w:rsidRPr="004B1042" w:rsidRDefault="00421885" w:rsidP="0092219F">
      <w:pPr>
        <w:pStyle w:val="Tabletext"/>
      </w:pPr>
    </w:p>
    <w:tbl>
      <w:tblPr>
        <w:tblW w:w="5000" w:type="pct"/>
        <w:tblLook w:val="0000" w:firstRow="0" w:lastRow="0" w:firstColumn="0" w:lastColumn="0" w:noHBand="0" w:noVBand="0"/>
      </w:tblPr>
      <w:tblGrid>
        <w:gridCol w:w="965"/>
        <w:gridCol w:w="6219"/>
        <w:gridCol w:w="12"/>
        <w:gridCol w:w="1324"/>
        <w:gridCol w:w="9"/>
      </w:tblGrid>
      <w:tr w:rsidR="00421885" w:rsidRPr="004B1042" w14:paraId="5631A26E" w14:textId="77777777" w:rsidTr="00706709">
        <w:trPr>
          <w:gridAfter w:val="1"/>
          <w:wAfter w:w="5" w:type="pct"/>
          <w:cantSplit/>
          <w:tblHeader/>
        </w:trPr>
        <w:tc>
          <w:tcPr>
            <w:tcW w:w="566" w:type="pct"/>
            <w:tcBorders>
              <w:top w:val="single" w:sz="12" w:space="0" w:color="auto"/>
              <w:bottom w:val="single" w:sz="12" w:space="0" w:color="auto"/>
            </w:tcBorders>
          </w:tcPr>
          <w:p w14:paraId="0DB8705C" w14:textId="77777777" w:rsidR="00421885" w:rsidRPr="004B1042" w:rsidRDefault="00421885" w:rsidP="00706709">
            <w:pPr>
              <w:pStyle w:val="TableHeading"/>
            </w:pPr>
            <w:r w:rsidRPr="004B1042">
              <w:t>Item</w:t>
            </w:r>
          </w:p>
        </w:tc>
        <w:tc>
          <w:tcPr>
            <w:tcW w:w="3652" w:type="pct"/>
            <w:gridSpan w:val="2"/>
            <w:tcBorders>
              <w:top w:val="single" w:sz="12" w:space="0" w:color="auto"/>
              <w:bottom w:val="single" w:sz="12" w:space="0" w:color="auto"/>
            </w:tcBorders>
          </w:tcPr>
          <w:p w14:paraId="77BB3057" w14:textId="77777777" w:rsidR="00421885" w:rsidRPr="004B1042" w:rsidRDefault="00421885" w:rsidP="00706709">
            <w:pPr>
              <w:pStyle w:val="TableHeading"/>
            </w:pPr>
            <w:r w:rsidRPr="004B1042">
              <w:t>The applicant had an ownership interest in one or more main businesses that had an annual turnover of ...</w:t>
            </w:r>
          </w:p>
        </w:tc>
        <w:tc>
          <w:tcPr>
            <w:tcW w:w="776" w:type="pct"/>
            <w:tcBorders>
              <w:top w:val="single" w:sz="12" w:space="0" w:color="auto"/>
              <w:bottom w:val="single" w:sz="12" w:space="0" w:color="auto"/>
            </w:tcBorders>
          </w:tcPr>
          <w:p w14:paraId="633A7F47" w14:textId="77777777" w:rsidR="00421885" w:rsidRPr="004B1042" w:rsidRDefault="00421885" w:rsidP="00706709">
            <w:pPr>
              <w:pStyle w:val="TableHeading"/>
            </w:pPr>
            <w:r w:rsidRPr="004B1042">
              <w:t>Number of points</w:t>
            </w:r>
          </w:p>
        </w:tc>
      </w:tr>
      <w:tr w:rsidR="00421885" w:rsidRPr="004B1042" w14:paraId="34F6E8BD" w14:textId="77777777" w:rsidTr="00706709">
        <w:trPr>
          <w:cantSplit/>
        </w:trPr>
        <w:tc>
          <w:tcPr>
            <w:tcW w:w="566" w:type="pct"/>
            <w:tcBorders>
              <w:top w:val="single" w:sz="4" w:space="0" w:color="auto"/>
              <w:bottom w:val="single" w:sz="4" w:space="0" w:color="auto"/>
            </w:tcBorders>
          </w:tcPr>
          <w:p w14:paraId="4931356B" w14:textId="77777777" w:rsidR="00421885" w:rsidRPr="004B1042" w:rsidRDefault="00421885" w:rsidP="00706709">
            <w:pPr>
              <w:pStyle w:val="Tabletext"/>
            </w:pPr>
            <w:r w:rsidRPr="004B1042">
              <w:t>7A81</w:t>
            </w:r>
          </w:p>
        </w:tc>
        <w:tc>
          <w:tcPr>
            <w:tcW w:w="3645" w:type="pct"/>
            <w:tcBorders>
              <w:top w:val="single" w:sz="4" w:space="0" w:color="auto"/>
              <w:bottom w:val="single" w:sz="4" w:space="0" w:color="auto"/>
            </w:tcBorders>
          </w:tcPr>
          <w:p w14:paraId="7FDB3371" w14:textId="77777777" w:rsidR="00421885" w:rsidRPr="004B1042" w:rsidRDefault="00421885" w:rsidP="00706709">
            <w:pPr>
              <w:pStyle w:val="Tablea"/>
            </w:pPr>
            <w:r w:rsidRPr="004B1042">
              <w:t xml:space="preserve">(a) if the applicant was invited to apply for the visa before </w:t>
            </w:r>
            <w:r w:rsidR="00AD234F" w:rsidRPr="004B1042">
              <w:t>1 July</w:t>
            </w:r>
            <w:r w:rsidRPr="004B1042">
              <w:t xml:space="preserve"> 2021—not less than AUD500,000 in at least 2 of the 4 fiscal years immediately before the time of invitation; or</w:t>
            </w:r>
          </w:p>
          <w:p w14:paraId="175173A2" w14:textId="77777777" w:rsidR="00421885" w:rsidRPr="004B1042" w:rsidRDefault="00421885" w:rsidP="00706709">
            <w:pPr>
              <w:pStyle w:val="Tablea"/>
            </w:pPr>
            <w:r w:rsidRPr="004B1042">
              <w:t xml:space="preserve">(b) if the applicant was invited to apply for the visa on or after </w:t>
            </w:r>
            <w:r w:rsidR="00AD234F" w:rsidRPr="004B1042">
              <w:t>1 July</w:t>
            </w:r>
            <w:r w:rsidRPr="004B1042">
              <w:t xml:space="preserve"> 2021—not less than AUD750,000 in at least 2 of the 4 fiscal years immediately before the time of invitation</w:t>
            </w:r>
          </w:p>
        </w:tc>
        <w:tc>
          <w:tcPr>
            <w:tcW w:w="788" w:type="pct"/>
            <w:gridSpan w:val="3"/>
            <w:tcBorders>
              <w:top w:val="single" w:sz="4" w:space="0" w:color="auto"/>
              <w:bottom w:val="single" w:sz="4" w:space="0" w:color="auto"/>
            </w:tcBorders>
          </w:tcPr>
          <w:p w14:paraId="2ACDD1D0" w14:textId="77777777" w:rsidR="00421885" w:rsidRPr="004B1042" w:rsidRDefault="00421885" w:rsidP="00706709">
            <w:pPr>
              <w:pStyle w:val="Tabletext"/>
            </w:pPr>
            <w:r w:rsidRPr="004B1042">
              <w:t>5</w:t>
            </w:r>
          </w:p>
        </w:tc>
      </w:tr>
      <w:tr w:rsidR="00421885" w:rsidRPr="004B1042" w14:paraId="2D784B6E" w14:textId="77777777" w:rsidTr="00706709">
        <w:trPr>
          <w:cantSplit/>
        </w:trPr>
        <w:tc>
          <w:tcPr>
            <w:tcW w:w="566" w:type="pct"/>
            <w:tcBorders>
              <w:top w:val="single" w:sz="4" w:space="0" w:color="auto"/>
              <w:bottom w:val="single" w:sz="4" w:space="0" w:color="auto"/>
            </w:tcBorders>
          </w:tcPr>
          <w:p w14:paraId="7F4B5BC5" w14:textId="77777777" w:rsidR="00421885" w:rsidRPr="004B1042" w:rsidRDefault="00421885" w:rsidP="00706709">
            <w:pPr>
              <w:pStyle w:val="Tabletext"/>
            </w:pPr>
            <w:r w:rsidRPr="004B1042">
              <w:t>7A82</w:t>
            </w:r>
          </w:p>
        </w:tc>
        <w:tc>
          <w:tcPr>
            <w:tcW w:w="3645" w:type="pct"/>
            <w:tcBorders>
              <w:top w:val="single" w:sz="4" w:space="0" w:color="auto"/>
              <w:bottom w:val="single" w:sz="4" w:space="0" w:color="auto"/>
            </w:tcBorders>
          </w:tcPr>
          <w:p w14:paraId="090C8EDA" w14:textId="77777777" w:rsidR="00421885" w:rsidRPr="004B1042" w:rsidRDefault="00421885" w:rsidP="00706709">
            <w:pPr>
              <w:pStyle w:val="Tablea"/>
            </w:pPr>
            <w:r w:rsidRPr="004B1042">
              <w:t xml:space="preserve">(a) if the applicant was invited to apply for the visa before </w:t>
            </w:r>
            <w:r w:rsidR="00AD234F" w:rsidRPr="004B1042">
              <w:t>1 July</w:t>
            </w:r>
            <w:r w:rsidRPr="004B1042">
              <w:t xml:space="preserve"> 2021—not less than AUD1,000,000 in at least 2 of the 4 fiscal years immediately before the time of invitation; or</w:t>
            </w:r>
          </w:p>
          <w:p w14:paraId="41D10575" w14:textId="77777777" w:rsidR="00421885" w:rsidRPr="004B1042" w:rsidRDefault="00421885" w:rsidP="00706709">
            <w:pPr>
              <w:pStyle w:val="Tablea"/>
            </w:pPr>
            <w:r w:rsidRPr="004B1042">
              <w:t xml:space="preserve">(b) if the applicant was invited to apply for the visa on or after </w:t>
            </w:r>
            <w:r w:rsidR="00AD234F" w:rsidRPr="004B1042">
              <w:t>1 July</w:t>
            </w:r>
            <w:r w:rsidRPr="004B1042">
              <w:t xml:space="preserve"> 2021—not less than AUD1,250,000 in at least 2 of the 4 fiscal years immediately before the time of invitation</w:t>
            </w:r>
          </w:p>
        </w:tc>
        <w:tc>
          <w:tcPr>
            <w:tcW w:w="788" w:type="pct"/>
            <w:gridSpan w:val="3"/>
            <w:tcBorders>
              <w:top w:val="single" w:sz="4" w:space="0" w:color="auto"/>
              <w:bottom w:val="single" w:sz="4" w:space="0" w:color="auto"/>
            </w:tcBorders>
          </w:tcPr>
          <w:p w14:paraId="0ACB1F31" w14:textId="77777777" w:rsidR="00421885" w:rsidRPr="004B1042" w:rsidRDefault="00421885" w:rsidP="00706709">
            <w:pPr>
              <w:pStyle w:val="Tabletext"/>
            </w:pPr>
            <w:r w:rsidRPr="004B1042">
              <w:t>15</w:t>
            </w:r>
          </w:p>
        </w:tc>
      </w:tr>
      <w:tr w:rsidR="00421885" w:rsidRPr="004B1042" w14:paraId="39930C2F" w14:textId="77777777" w:rsidTr="00706709">
        <w:trPr>
          <w:cantSplit/>
        </w:trPr>
        <w:tc>
          <w:tcPr>
            <w:tcW w:w="566" w:type="pct"/>
            <w:tcBorders>
              <w:top w:val="single" w:sz="4" w:space="0" w:color="auto"/>
              <w:bottom w:val="single" w:sz="4" w:space="0" w:color="auto"/>
            </w:tcBorders>
          </w:tcPr>
          <w:p w14:paraId="7AF29060" w14:textId="77777777" w:rsidR="00421885" w:rsidRPr="004B1042" w:rsidRDefault="00421885" w:rsidP="00706709">
            <w:pPr>
              <w:pStyle w:val="Tabletext"/>
            </w:pPr>
            <w:r w:rsidRPr="004B1042">
              <w:t>7A83</w:t>
            </w:r>
          </w:p>
        </w:tc>
        <w:tc>
          <w:tcPr>
            <w:tcW w:w="3645" w:type="pct"/>
            <w:tcBorders>
              <w:top w:val="single" w:sz="4" w:space="0" w:color="auto"/>
              <w:bottom w:val="single" w:sz="4" w:space="0" w:color="auto"/>
            </w:tcBorders>
          </w:tcPr>
          <w:p w14:paraId="4699B5C6" w14:textId="77777777" w:rsidR="00421885" w:rsidRPr="004B1042" w:rsidRDefault="00421885" w:rsidP="00706709">
            <w:pPr>
              <w:pStyle w:val="Tablea"/>
            </w:pPr>
            <w:r w:rsidRPr="004B1042">
              <w:t xml:space="preserve">(a) if the applicant was invited to apply for the visa before </w:t>
            </w:r>
            <w:r w:rsidR="00AD234F" w:rsidRPr="004B1042">
              <w:t>1 July</w:t>
            </w:r>
            <w:r w:rsidRPr="004B1042">
              <w:t xml:space="preserve"> 2021—not less than AUD1,500,000 in at least 2 of the 4 fiscal years immediately before the time of invitation; or</w:t>
            </w:r>
          </w:p>
          <w:p w14:paraId="11DF535C" w14:textId="77777777" w:rsidR="00421885" w:rsidRPr="004B1042" w:rsidRDefault="00421885" w:rsidP="00706709">
            <w:pPr>
              <w:pStyle w:val="Tablea"/>
            </w:pPr>
            <w:r w:rsidRPr="004B1042">
              <w:t xml:space="preserve">(b) if the applicant was invited to apply for the visa on or after </w:t>
            </w:r>
            <w:r w:rsidR="00AD234F" w:rsidRPr="004B1042">
              <w:t>1 July</w:t>
            </w:r>
            <w:r w:rsidRPr="004B1042">
              <w:t xml:space="preserve"> 2021—not less than AUD1,750,0000 in at least 2 of the 4 fiscal years immediately before the time of invitation</w:t>
            </w:r>
          </w:p>
        </w:tc>
        <w:tc>
          <w:tcPr>
            <w:tcW w:w="788" w:type="pct"/>
            <w:gridSpan w:val="3"/>
            <w:tcBorders>
              <w:top w:val="single" w:sz="4" w:space="0" w:color="auto"/>
              <w:bottom w:val="single" w:sz="4" w:space="0" w:color="auto"/>
            </w:tcBorders>
          </w:tcPr>
          <w:p w14:paraId="3F8DAF83" w14:textId="77777777" w:rsidR="00421885" w:rsidRPr="004B1042" w:rsidRDefault="00421885" w:rsidP="00706709">
            <w:pPr>
              <w:pStyle w:val="Tabletext"/>
            </w:pPr>
            <w:r w:rsidRPr="004B1042">
              <w:t>25</w:t>
            </w:r>
          </w:p>
        </w:tc>
      </w:tr>
      <w:tr w:rsidR="00421885" w:rsidRPr="004B1042" w14:paraId="69E141A6" w14:textId="77777777" w:rsidTr="00706709">
        <w:trPr>
          <w:cantSplit/>
        </w:trPr>
        <w:tc>
          <w:tcPr>
            <w:tcW w:w="566" w:type="pct"/>
            <w:tcBorders>
              <w:top w:val="single" w:sz="4" w:space="0" w:color="auto"/>
              <w:bottom w:val="single" w:sz="12" w:space="0" w:color="auto"/>
            </w:tcBorders>
          </w:tcPr>
          <w:p w14:paraId="59472783" w14:textId="77777777" w:rsidR="00421885" w:rsidRPr="004B1042" w:rsidRDefault="00421885" w:rsidP="00706709">
            <w:pPr>
              <w:pStyle w:val="Tabletext"/>
            </w:pPr>
            <w:r w:rsidRPr="004B1042">
              <w:t>7A84</w:t>
            </w:r>
          </w:p>
        </w:tc>
        <w:tc>
          <w:tcPr>
            <w:tcW w:w="3645" w:type="pct"/>
            <w:tcBorders>
              <w:top w:val="single" w:sz="4" w:space="0" w:color="auto"/>
              <w:bottom w:val="single" w:sz="12" w:space="0" w:color="auto"/>
            </w:tcBorders>
          </w:tcPr>
          <w:p w14:paraId="19C3AE86" w14:textId="77777777" w:rsidR="00421885" w:rsidRPr="004B1042" w:rsidRDefault="00421885" w:rsidP="00706709">
            <w:pPr>
              <w:pStyle w:val="Tablea"/>
            </w:pPr>
            <w:r w:rsidRPr="004B1042">
              <w:t xml:space="preserve">(a) if the applicant was invited to apply for the visa before </w:t>
            </w:r>
            <w:r w:rsidR="00AD234F" w:rsidRPr="004B1042">
              <w:t>1 July</w:t>
            </w:r>
            <w:r w:rsidRPr="004B1042">
              <w:t xml:space="preserve"> 2021—not less than AUD2,000,000 in at least 2 of the 4 fiscal years immediately before the time of invitation; or</w:t>
            </w:r>
          </w:p>
          <w:p w14:paraId="030B0DAB" w14:textId="77777777" w:rsidR="00421885" w:rsidRPr="004B1042" w:rsidRDefault="00421885" w:rsidP="00706709">
            <w:pPr>
              <w:pStyle w:val="Tablea"/>
            </w:pPr>
            <w:r w:rsidRPr="004B1042">
              <w:t xml:space="preserve">(b) if the applicant was invited to apply for the visa on or after </w:t>
            </w:r>
            <w:r w:rsidR="00AD234F" w:rsidRPr="004B1042">
              <w:t>1 July</w:t>
            </w:r>
            <w:r w:rsidRPr="004B1042">
              <w:t xml:space="preserve"> 2021—not less than AUD2,250,000 in at least 2 of the 4 fiscal years immediately before the time of invitation</w:t>
            </w:r>
          </w:p>
        </w:tc>
        <w:tc>
          <w:tcPr>
            <w:tcW w:w="788" w:type="pct"/>
            <w:gridSpan w:val="3"/>
            <w:tcBorders>
              <w:top w:val="single" w:sz="4" w:space="0" w:color="auto"/>
              <w:bottom w:val="single" w:sz="12" w:space="0" w:color="auto"/>
            </w:tcBorders>
          </w:tcPr>
          <w:p w14:paraId="5A181B6E" w14:textId="77777777" w:rsidR="00421885" w:rsidRPr="004B1042" w:rsidRDefault="00421885" w:rsidP="00706709">
            <w:pPr>
              <w:pStyle w:val="Tabletext"/>
            </w:pPr>
            <w:r w:rsidRPr="004B1042">
              <w:t>35</w:t>
            </w:r>
          </w:p>
        </w:tc>
      </w:tr>
    </w:tbl>
    <w:p w14:paraId="01A0635C" w14:textId="77777777" w:rsidR="00421885" w:rsidRPr="004B1042" w:rsidRDefault="00421885" w:rsidP="00421885">
      <w:pPr>
        <w:pStyle w:val="notemargin"/>
      </w:pPr>
      <w:r w:rsidRPr="004B1042">
        <w:t>Note:</w:t>
      </w:r>
      <w:r w:rsidRPr="004B1042">
        <w:tab/>
        <w:t>Points are accumulated under one item in Part 7A.8, not more than one.</w:t>
      </w:r>
    </w:p>
    <w:p w14:paraId="0110830A" w14:textId="77777777" w:rsidR="008F44A7" w:rsidRPr="004B1042" w:rsidRDefault="00523181" w:rsidP="008F44A7">
      <w:pPr>
        <w:pStyle w:val="ActHead6"/>
        <w:pageBreakBefore/>
      </w:pPr>
      <w:bookmarkStart w:id="16" w:name="_Toc72937720"/>
      <w:r w:rsidRPr="00154C09">
        <w:rPr>
          <w:rStyle w:val="CharAmSchNo"/>
        </w:rPr>
        <w:t>Schedule 2</w:t>
      </w:r>
      <w:r w:rsidR="008F44A7" w:rsidRPr="004B1042">
        <w:t>—</w:t>
      </w:r>
      <w:r w:rsidR="008F44A7" w:rsidRPr="00154C09">
        <w:rPr>
          <w:rStyle w:val="CharAmSchText"/>
        </w:rPr>
        <w:t>Working holiday maker visas</w:t>
      </w:r>
      <w:bookmarkEnd w:id="16"/>
    </w:p>
    <w:p w14:paraId="717FB61A" w14:textId="77777777" w:rsidR="00A062A4" w:rsidRPr="00154C09" w:rsidRDefault="00A062A4" w:rsidP="00A062A4">
      <w:pPr>
        <w:pStyle w:val="Header"/>
      </w:pPr>
      <w:r w:rsidRPr="00154C09">
        <w:rPr>
          <w:rStyle w:val="CharAmPartNo"/>
        </w:rPr>
        <w:t xml:space="preserve"> </w:t>
      </w:r>
      <w:r w:rsidRPr="00154C09">
        <w:rPr>
          <w:rStyle w:val="CharAmPartText"/>
        </w:rPr>
        <w:t xml:space="preserve"> </w:t>
      </w:r>
    </w:p>
    <w:p w14:paraId="4B79F3DF" w14:textId="77777777" w:rsidR="00421885" w:rsidRPr="004B1042" w:rsidRDefault="00421885" w:rsidP="00421885">
      <w:pPr>
        <w:pStyle w:val="ActHead9"/>
      </w:pPr>
      <w:bookmarkStart w:id="17" w:name="_Toc72937721"/>
      <w:r w:rsidRPr="004B1042">
        <w:t xml:space="preserve">Migration </w:t>
      </w:r>
      <w:r w:rsidR="00523181" w:rsidRPr="004B1042">
        <w:t>Regulations 1</w:t>
      </w:r>
      <w:r w:rsidRPr="004B1042">
        <w:t>994</w:t>
      </w:r>
      <w:bookmarkEnd w:id="17"/>
    </w:p>
    <w:p w14:paraId="208D9D3D" w14:textId="77777777" w:rsidR="00421885" w:rsidRPr="004B1042" w:rsidRDefault="00421885" w:rsidP="00421885">
      <w:pPr>
        <w:pStyle w:val="ItemHead"/>
      </w:pPr>
      <w:r w:rsidRPr="004B1042">
        <w:t>1  Regulation 1.03</w:t>
      </w:r>
    </w:p>
    <w:p w14:paraId="73D5DDDC" w14:textId="77777777" w:rsidR="00421885" w:rsidRPr="004B1042" w:rsidRDefault="00421885" w:rsidP="00421885">
      <w:pPr>
        <w:pStyle w:val="Item"/>
      </w:pPr>
      <w:r w:rsidRPr="004B1042">
        <w:t>Insert:</w:t>
      </w:r>
    </w:p>
    <w:p w14:paraId="6EAD43AB" w14:textId="77777777" w:rsidR="00421885" w:rsidRPr="004B1042" w:rsidRDefault="00421885" w:rsidP="00421885">
      <w:pPr>
        <w:pStyle w:val="Definition"/>
      </w:pPr>
      <w:r w:rsidRPr="004B1042">
        <w:rPr>
          <w:b/>
          <w:i/>
        </w:rPr>
        <w:t>COVID</w:t>
      </w:r>
      <w:r w:rsidR="004B1042">
        <w:rPr>
          <w:b/>
          <w:i/>
        </w:rPr>
        <w:noBreakHyphen/>
      </w:r>
      <w:r w:rsidRPr="004B1042">
        <w:rPr>
          <w:b/>
          <w:i/>
        </w:rPr>
        <w:t>19 affected visa</w:t>
      </w:r>
      <w:r w:rsidRPr="004B1042">
        <w:t xml:space="preserve"> means:</w:t>
      </w:r>
    </w:p>
    <w:p w14:paraId="0809F5FA" w14:textId="77777777" w:rsidR="00421885" w:rsidRPr="004B1042" w:rsidRDefault="00421885" w:rsidP="00421885">
      <w:pPr>
        <w:pStyle w:val="paragraph"/>
      </w:pPr>
      <w:r w:rsidRPr="004B1042">
        <w:tab/>
        <w:t>(a)</w:t>
      </w:r>
      <w:r w:rsidRPr="004B1042">
        <w:tab/>
        <w:t>a Subclass 417 (Working Holiday) visa, or a Subclass 462 (Work and Holiday) visa, covered by subregulation 1.15P(1); or</w:t>
      </w:r>
    </w:p>
    <w:p w14:paraId="012E3F3B" w14:textId="77777777" w:rsidR="00421885" w:rsidRPr="004B1042" w:rsidRDefault="00421885" w:rsidP="00421885">
      <w:pPr>
        <w:pStyle w:val="paragraph"/>
      </w:pPr>
      <w:r w:rsidRPr="004B1042">
        <w:tab/>
        <w:t>(b)</w:t>
      </w:r>
      <w:r w:rsidRPr="004B1042">
        <w:tab/>
        <w:t>a Subclass 417 (Working Holiday) visa, or a Subclass 462 (Work and Holiday) visa, of a kind specified for the purposes of this definition by the Minister under subregulation 1.15P(2).</w:t>
      </w:r>
    </w:p>
    <w:p w14:paraId="663C71E1" w14:textId="77777777" w:rsidR="00421885" w:rsidRPr="004B1042" w:rsidRDefault="00421885" w:rsidP="00421885">
      <w:pPr>
        <w:pStyle w:val="ItemHead"/>
      </w:pPr>
      <w:r w:rsidRPr="004B1042">
        <w:t>2  At the end of Division 1.2 of Part 1</w:t>
      </w:r>
    </w:p>
    <w:p w14:paraId="37E9AE77" w14:textId="77777777" w:rsidR="00421885" w:rsidRPr="004B1042" w:rsidRDefault="00421885" w:rsidP="00421885">
      <w:pPr>
        <w:pStyle w:val="Item"/>
      </w:pPr>
      <w:r w:rsidRPr="004B1042">
        <w:t>Add:</w:t>
      </w:r>
    </w:p>
    <w:p w14:paraId="1AD6D57D" w14:textId="77777777" w:rsidR="00421885" w:rsidRPr="004B1042" w:rsidRDefault="00421885" w:rsidP="00421885">
      <w:pPr>
        <w:pStyle w:val="ActHead5"/>
      </w:pPr>
      <w:bookmarkStart w:id="18" w:name="_Toc72937722"/>
      <w:r w:rsidRPr="00154C09">
        <w:rPr>
          <w:rStyle w:val="CharSectno"/>
        </w:rPr>
        <w:t>1.15P</w:t>
      </w:r>
      <w:r w:rsidRPr="004B1042">
        <w:t xml:space="preserve">  COVID</w:t>
      </w:r>
      <w:r w:rsidR="004B1042">
        <w:noBreakHyphen/>
      </w:r>
      <w:r w:rsidRPr="004B1042">
        <w:t>19 affected visas</w:t>
      </w:r>
      <w:bookmarkEnd w:id="18"/>
    </w:p>
    <w:p w14:paraId="3EC8D01C" w14:textId="77777777" w:rsidR="00421885" w:rsidRPr="004B1042" w:rsidRDefault="00421885" w:rsidP="00421885">
      <w:pPr>
        <w:pStyle w:val="subsection"/>
      </w:pPr>
      <w:r w:rsidRPr="004B1042">
        <w:tab/>
        <w:t>(1)</w:t>
      </w:r>
      <w:r w:rsidRPr="004B1042">
        <w:tab/>
        <w:t xml:space="preserve">A Subclass 417 (Working Holiday) visa or a Subclass 462 (Work and Holiday) visa (the </w:t>
      </w:r>
      <w:r w:rsidRPr="004B1042">
        <w:rPr>
          <w:b/>
          <w:i/>
        </w:rPr>
        <w:t>covered visa</w:t>
      </w:r>
      <w:r w:rsidRPr="004B1042">
        <w:t>) is covered by this subregulation if:</w:t>
      </w:r>
    </w:p>
    <w:p w14:paraId="38E4A8C0" w14:textId="77777777" w:rsidR="00421885" w:rsidRPr="004B1042" w:rsidRDefault="00421885" w:rsidP="00421885">
      <w:pPr>
        <w:pStyle w:val="paragraph"/>
      </w:pPr>
      <w:r w:rsidRPr="004B1042">
        <w:tab/>
        <w:t>(a)</w:t>
      </w:r>
      <w:r w:rsidRPr="004B1042">
        <w:tab/>
        <w:t>the covered visa is granted to a person before 20 March 2020; and</w:t>
      </w:r>
    </w:p>
    <w:p w14:paraId="372A9AC7" w14:textId="77777777" w:rsidR="00421885" w:rsidRPr="004B1042" w:rsidRDefault="00421885" w:rsidP="00421885">
      <w:pPr>
        <w:pStyle w:val="paragraph"/>
      </w:pPr>
      <w:r w:rsidRPr="004B1042">
        <w:tab/>
        <w:t>(b)</w:t>
      </w:r>
      <w:r w:rsidRPr="004B1042">
        <w:tab/>
        <w:t>the covered visa is in effect on 20 March 2020; and</w:t>
      </w:r>
    </w:p>
    <w:p w14:paraId="788093A4" w14:textId="77777777" w:rsidR="00421885" w:rsidRPr="004B1042" w:rsidRDefault="00421885" w:rsidP="00421885">
      <w:pPr>
        <w:pStyle w:val="paragraph"/>
      </w:pPr>
      <w:r w:rsidRPr="004B1042">
        <w:tab/>
        <w:t>(c)</w:t>
      </w:r>
      <w:r w:rsidRPr="004B1042">
        <w:tab/>
        <w:t xml:space="preserve">between </w:t>
      </w:r>
      <w:r w:rsidR="00AD234F" w:rsidRPr="004B1042">
        <w:t>1 July</w:t>
      </w:r>
      <w:r w:rsidRPr="004B1042">
        <w:t xml:space="preserve"> 2021 and 31 December 2022, the person applies for a Subclass 417 (Working Holiday) visa or a Subclass 462 (Work and Holiday) visa; and</w:t>
      </w:r>
    </w:p>
    <w:p w14:paraId="77ACE220" w14:textId="77777777" w:rsidR="00421885" w:rsidRPr="004B1042" w:rsidRDefault="00421885" w:rsidP="00421885">
      <w:pPr>
        <w:pStyle w:val="paragraph"/>
      </w:pPr>
      <w:r w:rsidRPr="004B1042">
        <w:tab/>
        <w:t>(d)</w:t>
      </w:r>
      <w:r w:rsidRPr="004B1042">
        <w:tab/>
        <w:t>the person is outside Australia when the application is made; and</w:t>
      </w:r>
    </w:p>
    <w:p w14:paraId="3E6BE707" w14:textId="77777777" w:rsidR="00421885" w:rsidRPr="004B1042" w:rsidRDefault="00421885" w:rsidP="00421885">
      <w:pPr>
        <w:pStyle w:val="paragraph"/>
      </w:pPr>
      <w:r w:rsidRPr="004B1042">
        <w:tab/>
        <w:t>(e)</w:t>
      </w:r>
      <w:r w:rsidRPr="004B1042">
        <w:tab/>
        <w:t>if the covered visa is in effect when the application is made—the covered visa did not, when granted, permit the person to travel to, enter or remain in Australia after 31 December 2021; and</w:t>
      </w:r>
    </w:p>
    <w:p w14:paraId="4C8AC5B1" w14:textId="77777777" w:rsidR="00421885" w:rsidRPr="004B1042" w:rsidRDefault="00421885" w:rsidP="00421885">
      <w:pPr>
        <w:pStyle w:val="paragraph"/>
      </w:pPr>
      <w:r w:rsidRPr="004B1042">
        <w:tab/>
        <w:t>(f)</w:t>
      </w:r>
      <w:r w:rsidRPr="004B1042">
        <w:tab/>
        <w:t>if the covered visa is not in effect when the application is made:</w:t>
      </w:r>
    </w:p>
    <w:p w14:paraId="02CF0274" w14:textId="77777777" w:rsidR="00421885" w:rsidRPr="004B1042" w:rsidRDefault="00421885" w:rsidP="00421885">
      <w:pPr>
        <w:pStyle w:val="paragraphsub"/>
      </w:pPr>
      <w:r w:rsidRPr="004B1042">
        <w:tab/>
        <w:t>(i)</w:t>
      </w:r>
      <w:r w:rsidRPr="004B1042">
        <w:tab/>
        <w:t>the covered visa ceased to be in effect on or before 31 December 2021; and</w:t>
      </w:r>
    </w:p>
    <w:p w14:paraId="5A9DC5E0" w14:textId="77777777" w:rsidR="00421885" w:rsidRPr="004B1042" w:rsidRDefault="00421885" w:rsidP="00421885">
      <w:pPr>
        <w:pStyle w:val="paragraphsub"/>
      </w:pPr>
      <w:r w:rsidRPr="004B1042">
        <w:tab/>
        <w:t>(ii)</w:t>
      </w:r>
      <w:r w:rsidRPr="004B1042">
        <w:tab/>
        <w:t>the person was outside Australia when the covered visa ceased to be in effect; and</w:t>
      </w:r>
    </w:p>
    <w:p w14:paraId="71BD02E2" w14:textId="77777777" w:rsidR="00421885" w:rsidRPr="004B1042" w:rsidRDefault="00421885" w:rsidP="00421885">
      <w:pPr>
        <w:pStyle w:val="paragraphsub"/>
      </w:pPr>
      <w:r w:rsidRPr="004B1042">
        <w:tab/>
        <w:t>(iii)</w:t>
      </w:r>
      <w:r w:rsidRPr="004B1042">
        <w:tab/>
        <w:t>if the covered visa was cancelled—it was cancelled on the ground specified in paragraph 2.43(1)(g).</w:t>
      </w:r>
    </w:p>
    <w:p w14:paraId="7B248724" w14:textId="77777777" w:rsidR="00421885" w:rsidRPr="004B1042" w:rsidRDefault="00421885" w:rsidP="00421885">
      <w:pPr>
        <w:pStyle w:val="subsection"/>
      </w:pPr>
      <w:r w:rsidRPr="004B1042">
        <w:tab/>
        <w:t>(2)</w:t>
      </w:r>
      <w:r w:rsidRPr="004B1042">
        <w:tab/>
        <w:t xml:space="preserve">The Minister may, by legislative instrument, specify kinds of Subclass 417 (Working Holiday) visas and Subclass 462 (Work and Holiday) visas for the purposes of the definition of </w:t>
      </w:r>
      <w:r w:rsidRPr="004B1042">
        <w:rPr>
          <w:b/>
          <w:i/>
        </w:rPr>
        <w:t>COVID</w:t>
      </w:r>
      <w:r w:rsidR="004B1042">
        <w:rPr>
          <w:b/>
          <w:i/>
        </w:rPr>
        <w:noBreakHyphen/>
      </w:r>
      <w:r w:rsidRPr="004B1042">
        <w:rPr>
          <w:b/>
          <w:i/>
        </w:rPr>
        <w:t>19 affected visa</w:t>
      </w:r>
      <w:r w:rsidRPr="004B1042">
        <w:t xml:space="preserve"> in regulation 1.03.</w:t>
      </w:r>
    </w:p>
    <w:p w14:paraId="436177C6" w14:textId="77777777" w:rsidR="00421885" w:rsidRPr="004B1042" w:rsidRDefault="00421885" w:rsidP="00421885">
      <w:pPr>
        <w:pStyle w:val="subsection"/>
      </w:pPr>
      <w:r w:rsidRPr="004B1042">
        <w:tab/>
        <w:t>(3)</w:t>
      </w:r>
      <w:r w:rsidRPr="004B1042">
        <w:tab/>
        <w:t>Without limiting subregulation (2), a legislative instrument under that subregulation may specify a kind of Subclass 417 (Working Holiday) visa or Subclass 462 (Work and Holiday) visa by reference to circumstances relating to a person who holds or held the visa.</w:t>
      </w:r>
    </w:p>
    <w:p w14:paraId="0D3CBEF9" w14:textId="77777777" w:rsidR="00421885" w:rsidRPr="004B1042" w:rsidRDefault="00421885" w:rsidP="00421885">
      <w:pPr>
        <w:pStyle w:val="ItemHead"/>
      </w:pPr>
      <w:r w:rsidRPr="004B1042">
        <w:t xml:space="preserve">3  Paragraph 1224A(2)(a) of </w:t>
      </w:r>
      <w:r w:rsidR="00523181" w:rsidRPr="004B1042">
        <w:t>Schedule 1</w:t>
      </w:r>
    </w:p>
    <w:p w14:paraId="6E771A57" w14:textId="77777777" w:rsidR="00421885" w:rsidRPr="004B1042" w:rsidRDefault="00421885" w:rsidP="00421885">
      <w:pPr>
        <w:pStyle w:val="Item"/>
      </w:pPr>
      <w:r w:rsidRPr="004B1042">
        <w:t>Repeal the paragraph, substitute:</w:t>
      </w:r>
    </w:p>
    <w:p w14:paraId="6A3A6B2C" w14:textId="77777777" w:rsidR="00421885" w:rsidRPr="004B1042" w:rsidRDefault="00421885" w:rsidP="00421885">
      <w:pPr>
        <w:pStyle w:val="paragraph"/>
      </w:pPr>
      <w:r w:rsidRPr="004B1042">
        <w:tab/>
        <w:t>(a)</w:t>
      </w:r>
      <w:r w:rsidRPr="004B1042">
        <w:tab/>
        <w:t>the base application charge (payable at the time the application is made) is:</w:t>
      </w:r>
    </w:p>
    <w:p w14:paraId="5E2E62A8" w14:textId="77777777" w:rsidR="00421885" w:rsidRPr="004B1042" w:rsidRDefault="00421885" w:rsidP="00421885">
      <w:pPr>
        <w:pStyle w:val="paragraphsub"/>
      </w:pPr>
      <w:r w:rsidRPr="004B1042">
        <w:tab/>
        <w:t>(i)</w:t>
      </w:r>
      <w:r w:rsidRPr="004B1042">
        <w:tab/>
        <w:t>for an applicant in a class of persons specified in a legislative instrument made for the purposes of this subparagraph under sub</w:t>
      </w:r>
      <w:r w:rsidR="00523181" w:rsidRPr="004B1042">
        <w:t>regulation 2</w:t>
      </w:r>
      <w:r w:rsidRPr="004B1042">
        <w:t>.07(5)—nil; or</w:t>
      </w:r>
    </w:p>
    <w:p w14:paraId="348BA18C" w14:textId="77777777" w:rsidR="00421885" w:rsidRPr="004B1042" w:rsidRDefault="00421885" w:rsidP="00421885">
      <w:pPr>
        <w:pStyle w:val="paragraphsub"/>
      </w:pPr>
      <w:r w:rsidRPr="004B1042">
        <w:tab/>
        <w:t>(ii)</w:t>
      </w:r>
      <w:r w:rsidRPr="004B1042">
        <w:tab/>
        <w:t>in any other case—$495; and</w:t>
      </w:r>
    </w:p>
    <w:p w14:paraId="6BC13B84" w14:textId="77777777" w:rsidR="00421885" w:rsidRPr="004B1042" w:rsidRDefault="00421885" w:rsidP="00421885">
      <w:pPr>
        <w:pStyle w:val="ItemHead"/>
      </w:pPr>
      <w:r w:rsidRPr="004B1042">
        <w:t>4  At the end of sub</w:t>
      </w:r>
      <w:r w:rsidR="00523181" w:rsidRPr="004B1042">
        <w:t>item 1</w:t>
      </w:r>
      <w:r w:rsidRPr="004B1042">
        <w:t xml:space="preserve">224A(3) of </w:t>
      </w:r>
      <w:r w:rsidR="00523181" w:rsidRPr="004B1042">
        <w:t>Schedule 1</w:t>
      </w:r>
    </w:p>
    <w:p w14:paraId="6F1537FA" w14:textId="77777777" w:rsidR="00421885" w:rsidRPr="004B1042" w:rsidRDefault="00421885" w:rsidP="00421885">
      <w:pPr>
        <w:pStyle w:val="Item"/>
      </w:pPr>
      <w:r w:rsidRPr="004B1042">
        <w:t>Add:</w:t>
      </w:r>
    </w:p>
    <w:p w14:paraId="1C1169EF" w14:textId="77777777" w:rsidR="00421885" w:rsidRPr="004B1042" w:rsidRDefault="00421885" w:rsidP="00421885">
      <w:pPr>
        <w:pStyle w:val="paragraph"/>
      </w:pPr>
      <w:r w:rsidRPr="004B1042">
        <w:tab/>
        <w:t>(d)</w:t>
      </w:r>
      <w:r w:rsidRPr="004B1042">
        <w:tab/>
        <w:t>A reference in paragraph (b) or (c) to a Subclass 462 (Work and Holiday) visa does not include a reference to a COVID</w:t>
      </w:r>
      <w:r w:rsidR="004B1042">
        <w:noBreakHyphen/>
      </w:r>
      <w:r w:rsidRPr="004B1042">
        <w:t>19 affected visa.</w:t>
      </w:r>
    </w:p>
    <w:p w14:paraId="6319AFE4" w14:textId="77777777" w:rsidR="00421885" w:rsidRPr="004B1042" w:rsidRDefault="00421885" w:rsidP="00421885">
      <w:pPr>
        <w:pStyle w:val="ItemHead"/>
      </w:pPr>
      <w:r w:rsidRPr="004B1042">
        <w:t xml:space="preserve">5  Paragraph 1225(2)(a) of </w:t>
      </w:r>
      <w:r w:rsidR="00523181" w:rsidRPr="004B1042">
        <w:t>Schedule 1</w:t>
      </w:r>
    </w:p>
    <w:p w14:paraId="6B7DB543" w14:textId="77777777" w:rsidR="00421885" w:rsidRPr="004B1042" w:rsidRDefault="00421885" w:rsidP="00421885">
      <w:pPr>
        <w:pStyle w:val="Item"/>
      </w:pPr>
      <w:r w:rsidRPr="004B1042">
        <w:t>Repeal the paragraph, substitute:</w:t>
      </w:r>
    </w:p>
    <w:p w14:paraId="509FB9B5" w14:textId="77777777" w:rsidR="00421885" w:rsidRPr="004B1042" w:rsidRDefault="00421885" w:rsidP="00421885">
      <w:pPr>
        <w:pStyle w:val="paragraph"/>
      </w:pPr>
      <w:r w:rsidRPr="004B1042">
        <w:tab/>
        <w:t>(a)</w:t>
      </w:r>
      <w:r w:rsidRPr="004B1042">
        <w:tab/>
        <w:t>the base application charge (payable at the time the application is made) is:</w:t>
      </w:r>
    </w:p>
    <w:p w14:paraId="1AA44406" w14:textId="77777777" w:rsidR="00421885" w:rsidRPr="004B1042" w:rsidRDefault="00421885" w:rsidP="00421885">
      <w:pPr>
        <w:pStyle w:val="paragraphsub"/>
      </w:pPr>
      <w:r w:rsidRPr="004B1042">
        <w:tab/>
        <w:t>(i)</w:t>
      </w:r>
      <w:r w:rsidRPr="004B1042">
        <w:tab/>
        <w:t>for an applicant in a class of persons specified in a legislative instrument made for the purposes of this subparagraph under sub</w:t>
      </w:r>
      <w:r w:rsidR="00523181" w:rsidRPr="004B1042">
        <w:t>regulation 2</w:t>
      </w:r>
      <w:r w:rsidRPr="004B1042">
        <w:t>.07(5)—nil; or</w:t>
      </w:r>
    </w:p>
    <w:p w14:paraId="2AD269E8" w14:textId="77777777" w:rsidR="00421885" w:rsidRPr="004B1042" w:rsidRDefault="00421885" w:rsidP="00421885">
      <w:pPr>
        <w:pStyle w:val="paragraphsub"/>
      </w:pPr>
      <w:r w:rsidRPr="004B1042">
        <w:tab/>
        <w:t>(ii)</w:t>
      </w:r>
      <w:r w:rsidRPr="004B1042">
        <w:tab/>
        <w:t>in any other case—$495; and</w:t>
      </w:r>
    </w:p>
    <w:p w14:paraId="6535A6F2" w14:textId="77777777" w:rsidR="00421885" w:rsidRPr="004B1042" w:rsidRDefault="00421885" w:rsidP="00421885">
      <w:pPr>
        <w:pStyle w:val="ItemHead"/>
      </w:pPr>
      <w:r w:rsidRPr="004B1042">
        <w:t>6  After sub</w:t>
      </w:r>
      <w:r w:rsidR="00523181" w:rsidRPr="004B1042">
        <w:t>item 1</w:t>
      </w:r>
      <w:r w:rsidRPr="004B1042">
        <w:t xml:space="preserve">225(3B) of </w:t>
      </w:r>
      <w:r w:rsidR="00523181" w:rsidRPr="004B1042">
        <w:t>Schedule 1</w:t>
      </w:r>
    </w:p>
    <w:p w14:paraId="56527E8F" w14:textId="77777777" w:rsidR="00421885" w:rsidRPr="004B1042" w:rsidRDefault="00421885" w:rsidP="00421885">
      <w:pPr>
        <w:pStyle w:val="Item"/>
      </w:pPr>
      <w:r w:rsidRPr="004B1042">
        <w:t>Insert:</w:t>
      </w:r>
    </w:p>
    <w:p w14:paraId="35CE1C53" w14:textId="77777777" w:rsidR="00421885" w:rsidRPr="004B1042" w:rsidRDefault="00421885" w:rsidP="00421885">
      <w:pPr>
        <w:pStyle w:val="subsection"/>
      </w:pPr>
      <w:r w:rsidRPr="004B1042">
        <w:tab/>
        <w:t>(3BA)</w:t>
      </w:r>
      <w:r w:rsidRPr="004B1042">
        <w:tab/>
        <w:t>A reference in subitem (3A) or (3B) to a Subclass 417 (Working Holiday) visa does not include a reference to a COVID</w:t>
      </w:r>
      <w:r w:rsidR="004B1042">
        <w:noBreakHyphen/>
      </w:r>
      <w:r w:rsidRPr="004B1042">
        <w:t>19 affected visa.</w:t>
      </w:r>
    </w:p>
    <w:p w14:paraId="3F2176F7" w14:textId="77777777" w:rsidR="00421885" w:rsidRPr="004B1042" w:rsidRDefault="00421885" w:rsidP="00421885">
      <w:pPr>
        <w:pStyle w:val="ItemHead"/>
      </w:pPr>
      <w:r w:rsidRPr="004B1042">
        <w:t xml:space="preserve">7  At the end of clause 417.211 of </w:t>
      </w:r>
      <w:r w:rsidR="00523181" w:rsidRPr="004B1042">
        <w:t>Schedule 2</w:t>
      </w:r>
    </w:p>
    <w:p w14:paraId="01DDC145" w14:textId="77777777" w:rsidR="00421885" w:rsidRPr="004B1042" w:rsidRDefault="00421885" w:rsidP="00421885">
      <w:pPr>
        <w:pStyle w:val="Item"/>
      </w:pPr>
      <w:r w:rsidRPr="004B1042">
        <w:t>Add:</w:t>
      </w:r>
    </w:p>
    <w:p w14:paraId="334C17E2" w14:textId="77777777" w:rsidR="00421885" w:rsidRPr="004B1042" w:rsidRDefault="00421885" w:rsidP="00421885">
      <w:pPr>
        <w:pStyle w:val="subsection"/>
      </w:pPr>
      <w:r w:rsidRPr="004B1042">
        <w:tab/>
        <w:t>(7)</w:t>
      </w:r>
      <w:r w:rsidRPr="004B1042">
        <w:tab/>
        <w:t>A reference in subclause (5) or (6) to a Subclass 417 visa does not include a reference to a COVID</w:t>
      </w:r>
      <w:r w:rsidR="004B1042">
        <w:noBreakHyphen/>
      </w:r>
      <w:r w:rsidRPr="004B1042">
        <w:t>19 affected visa.</w:t>
      </w:r>
    </w:p>
    <w:p w14:paraId="093D0C34" w14:textId="77777777" w:rsidR="00421885" w:rsidRPr="004B1042" w:rsidRDefault="00421885" w:rsidP="00421885">
      <w:pPr>
        <w:pStyle w:val="ItemHead"/>
      </w:pPr>
      <w:r w:rsidRPr="004B1042">
        <w:t xml:space="preserve">8  Clause 417.222 of </w:t>
      </w:r>
      <w:r w:rsidR="00523181" w:rsidRPr="004B1042">
        <w:t>Schedule 2</w:t>
      </w:r>
    </w:p>
    <w:p w14:paraId="0609DBDE" w14:textId="77777777" w:rsidR="00421885" w:rsidRPr="004B1042" w:rsidRDefault="00421885" w:rsidP="00421885">
      <w:pPr>
        <w:pStyle w:val="Item"/>
      </w:pPr>
      <w:r w:rsidRPr="004B1042">
        <w:t>Before “If”, insert “(1)”.</w:t>
      </w:r>
    </w:p>
    <w:p w14:paraId="4344973C" w14:textId="77777777" w:rsidR="00421885" w:rsidRPr="004B1042" w:rsidRDefault="00421885" w:rsidP="00421885">
      <w:pPr>
        <w:pStyle w:val="ItemHead"/>
      </w:pPr>
      <w:r w:rsidRPr="004B1042">
        <w:t xml:space="preserve">9  Paragraph 417.222(b) of </w:t>
      </w:r>
      <w:r w:rsidR="00523181" w:rsidRPr="004B1042">
        <w:t>Schedule 2</w:t>
      </w:r>
    </w:p>
    <w:p w14:paraId="396AAC7E" w14:textId="77777777" w:rsidR="00421885" w:rsidRPr="004B1042" w:rsidRDefault="00421885" w:rsidP="00421885">
      <w:pPr>
        <w:pStyle w:val="Item"/>
      </w:pPr>
      <w:r w:rsidRPr="004B1042">
        <w:t>Omit “(Working Holiday)” (wherever occurring).</w:t>
      </w:r>
    </w:p>
    <w:p w14:paraId="4C68337E" w14:textId="77777777" w:rsidR="00421885" w:rsidRPr="004B1042" w:rsidRDefault="00421885" w:rsidP="00421885">
      <w:pPr>
        <w:pStyle w:val="ItemHead"/>
      </w:pPr>
      <w:r w:rsidRPr="004B1042">
        <w:t xml:space="preserve">10  At the end of clause 417.222 of </w:t>
      </w:r>
      <w:r w:rsidR="00523181" w:rsidRPr="004B1042">
        <w:t>Schedule 2</w:t>
      </w:r>
    </w:p>
    <w:p w14:paraId="548C3AD2" w14:textId="77777777" w:rsidR="00421885" w:rsidRPr="004B1042" w:rsidRDefault="00421885" w:rsidP="00421885">
      <w:pPr>
        <w:pStyle w:val="Item"/>
      </w:pPr>
      <w:r w:rsidRPr="004B1042">
        <w:t>Add:</w:t>
      </w:r>
    </w:p>
    <w:p w14:paraId="22B96029" w14:textId="77777777" w:rsidR="00421885" w:rsidRPr="004B1042" w:rsidRDefault="00421885" w:rsidP="00421885">
      <w:pPr>
        <w:pStyle w:val="subsection"/>
      </w:pPr>
      <w:r w:rsidRPr="004B1042">
        <w:tab/>
        <w:t>(2)</w:t>
      </w:r>
      <w:r w:rsidRPr="004B1042">
        <w:tab/>
        <w:t>A reference in subclause (1) to a Subclass 417 visa does not include a reference to a COVID</w:t>
      </w:r>
      <w:r w:rsidR="004B1042">
        <w:noBreakHyphen/>
      </w:r>
      <w:r w:rsidRPr="004B1042">
        <w:t>19 affected visa.</w:t>
      </w:r>
    </w:p>
    <w:p w14:paraId="3CAABE84" w14:textId="77777777" w:rsidR="00421885" w:rsidRPr="004B1042" w:rsidRDefault="00421885" w:rsidP="00421885">
      <w:pPr>
        <w:pStyle w:val="ItemHead"/>
      </w:pPr>
      <w:r w:rsidRPr="004B1042">
        <w:t xml:space="preserve">11  Paragraph 462.211(a) of </w:t>
      </w:r>
      <w:r w:rsidR="00523181" w:rsidRPr="004B1042">
        <w:t>Schedule 2</w:t>
      </w:r>
    </w:p>
    <w:p w14:paraId="7D5B9B93" w14:textId="77777777" w:rsidR="00421885" w:rsidRPr="004B1042" w:rsidRDefault="00421885" w:rsidP="00421885">
      <w:pPr>
        <w:pStyle w:val="Item"/>
      </w:pPr>
      <w:r w:rsidRPr="004B1042">
        <w:t>After “Subclass 462 visa”, insert “other than a COVID</w:t>
      </w:r>
      <w:r w:rsidR="004B1042">
        <w:noBreakHyphen/>
      </w:r>
      <w:r w:rsidRPr="004B1042">
        <w:t>19 affected visa”.</w:t>
      </w:r>
    </w:p>
    <w:p w14:paraId="3E6C5D80" w14:textId="77777777" w:rsidR="00421885" w:rsidRPr="004B1042" w:rsidRDefault="00421885" w:rsidP="00421885">
      <w:pPr>
        <w:pStyle w:val="ItemHead"/>
      </w:pPr>
      <w:r w:rsidRPr="004B1042">
        <w:t xml:space="preserve">12  Paragraph 462.211A(a) of </w:t>
      </w:r>
      <w:r w:rsidR="00523181" w:rsidRPr="004B1042">
        <w:t>Schedule 2</w:t>
      </w:r>
    </w:p>
    <w:p w14:paraId="5E4BBE28" w14:textId="77777777" w:rsidR="00421885" w:rsidRPr="004B1042" w:rsidRDefault="00421885" w:rsidP="00421885">
      <w:pPr>
        <w:pStyle w:val="Item"/>
      </w:pPr>
      <w:r w:rsidRPr="004B1042">
        <w:t>After “Subclass 462 (Work and Holiday) visa”, insert “other than a COVID</w:t>
      </w:r>
      <w:r w:rsidR="004B1042">
        <w:noBreakHyphen/>
      </w:r>
      <w:r w:rsidRPr="004B1042">
        <w:t>19 affected visa)”.</w:t>
      </w:r>
    </w:p>
    <w:p w14:paraId="1ACAE963" w14:textId="77777777" w:rsidR="00421885" w:rsidRPr="004B1042" w:rsidRDefault="00421885" w:rsidP="00421885">
      <w:pPr>
        <w:pStyle w:val="ItemHead"/>
      </w:pPr>
      <w:r w:rsidRPr="004B1042">
        <w:t xml:space="preserve">13  Clause 462.211B of </w:t>
      </w:r>
      <w:r w:rsidR="00523181" w:rsidRPr="004B1042">
        <w:t>Schedule 2</w:t>
      </w:r>
    </w:p>
    <w:p w14:paraId="7568412B" w14:textId="77777777" w:rsidR="00421885" w:rsidRPr="004B1042" w:rsidRDefault="00421885" w:rsidP="00421885">
      <w:pPr>
        <w:pStyle w:val="Item"/>
      </w:pPr>
      <w:r w:rsidRPr="004B1042">
        <w:t>After “Subclass 462 (Work and Holiday) visa”, insert “other than a COVID</w:t>
      </w:r>
      <w:r w:rsidR="004B1042">
        <w:noBreakHyphen/>
      </w:r>
      <w:r w:rsidRPr="004B1042">
        <w:t>19 affected visa”.</w:t>
      </w:r>
    </w:p>
    <w:p w14:paraId="3B991664" w14:textId="77777777" w:rsidR="00421885" w:rsidRPr="004B1042" w:rsidRDefault="00421885" w:rsidP="00421885">
      <w:pPr>
        <w:pStyle w:val="ItemHead"/>
      </w:pPr>
      <w:r w:rsidRPr="004B1042">
        <w:t xml:space="preserve">14  Clause 462.218 of </w:t>
      </w:r>
      <w:r w:rsidR="00523181" w:rsidRPr="004B1042">
        <w:t>Schedule 2</w:t>
      </w:r>
    </w:p>
    <w:p w14:paraId="7AFCD942" w14:textId="77777777" w:rsidR="00421885" w:rsidRPr="004B1042" w:rsidRDefault="00421885" w:rsidP="00421885">
      <w:pPr>
        <w:pStyle w:val="Item"/>
      </w:pPr>
      <w:r w:rsidRPr="004B1042">
        <w:t>Before “If”, insert “(1)”.</w:t>
      </w:r>
    </w:p>
    <w:p w14:paraId="5127BE80" w14:textId="77777777" w:rsidR="00421885" w:rsidRPr="004B1042" w:rsidRDefault="00421885" w:rsidP="00421885">
      <w:pPr>
        <w:pStyle w:val="ItemHead"/>
      </w:pPr>
      <w:r w:rsidRPr="004B1042">
        <w:t xml:space="preserve">15  At the end of clause 462.218 of </w:t>
      </w:r>
      <w:r w:rsidR="00523181" w:rsidRPr="004B1042">
        <w:t>Schedule 2</w:t>
      </w:r>
    </w:p>
    <w:p w14:paraId="7CC40259" w14:textId="77777777" w:rsidR="00421885" w:rsidRPr="004B1042" w:rsidRDefault="00421885" w:rsidP="00421885">
      <w:pPr>
        <w:pStyle w:val="Item"/>
      </w:pPr>
      <w:r w:rsidRPr="004B1042">
        <w:t>Add:</w:t>
      </w:r>
    </w:p>
    <w:p w14:paraId="069B05F9" w14:textId="77777777" w:rsidR="00421885" w:rsidRPr="004B1042" w:rsidRDefault="00421885" w:rsidP="00421885">
      <w:pPr>
        <w:pStyle w:val="subsection"/>
      </w:pPr>
      <w:r w:rsidRPr="004B1042">
        <w:tab/>
        <w:t>(2)</w:t>
      </w:r>
      <w:r w:rsidRPr="004B1042">
        <w:tab/>
        <w:t>A reference in subclause (1) to a Subclass 462 (Work and Holiday) visa does not include a reference to a COVID</w:t>
      </w:r>
      <w:r w:rsidR="004B1042">
        <w:noBreakHyphen/>
      </w:r>
      <w:r w:rsidRPr="004B1042">
        <w:t>19 affected visa.</w:t>
      </w:r>
    </w:p>
    <w:p w14:paraId="0440DBD5" w14:textId="77777777" w:rsidR="00421885" w:rsidRPr="004B1042" w:rsidRDefault="00421885" w:rsidP="00421885">
      <w:pPr>
        <w:pStyle w:val="ItemHead"/>
      </w:pPr>
      <w:r w:rsidRPr="004B1042">
        <w:t xml:space="preserve">16  Clause 462.219 of </w:t>
      </w:r>
      <w:r w:rsidR="00523181" w:rsidRPr="004B1042">
        <w:t>Schedule 2</w:t>
      </w:r>
    </w:p>
    <w:p w14:paraId="473E1A99" w14:textId="77777777" w:rsidR="00421885" w:rsidRPr="004B1042" w:rsidRDefault="00421885" w:rsidP="00421885">
      <w:pPr>
        <w:pStyle w:val="Item"/>
      </w:pPr>
      <w:r w:rsidRPr="004B1042">
        <w:t>Before “If”, insert “(1)”.</w:t>
      </w:r>
    </w:p>
    <w:p w14:paraId="348F3D78" w14:textId="77777777" w:rsidR="00421885" w:rsidRPr="004B1042" w:rsidRDefault="00421885" w:rsidP="00421885">
      <w:pPr>
        <w:pStyle w:val="ItemHead"/>
      </w:pPr>
      <w:r w:rsidRPr="004B1042">
        <w:t xml:space="preserve">17  At the end of clause 462.219 of </w:t>
      </w:r>
      <w:r w:rsidR="00523181" w:rsidRPr="004B1042">
        <w:t>Schedule 2</w:t>
      </w:r>
    </w:p>
    <w:p w14:paraId="7635EEEB" w14:textId="77777777" w:rsidR="00421885" w:rsidRPr="004B1042" w:rsidRDefault="00421885" w:rsidP="00421885">
      <w:pPr>
        <w:pStyle w:val="Item"/>
      </w:pPr>
      <w:r w:rsidRPr="004B1042">
        <w:t>Add:</w:t>
      </w:r>
    </w:p>
    <w:p w14:paraId="0E1BB4C5" w14:textId="77777777" w:rsidR="00421885" w:rsidRPr="004B1042" w:rsidRDefault="00421885" w:rsidP="00421885">
      <w:pPr>
        <w:pStyle w:val="subsection"/>
      </w:pPr>
      <w:r w:rsidRPr="004B1042">
        <w:tab/>
        <w:t>(2)</w:t>
      </w:r>
      <w:r w:rsidRPr="004B1042">
        <w:tab/>
        <w:t>A reference in subclause (1) to a Subclass 462 (Work and Holiday) visa does not include a reference to a COVID</w:t>
      </w:r>
      <w:r w:rsidR="004B1042">
        <w:noBreakHyphen/>
      </w:r>
      <w:r w:rsidRPr="004B1042">
        <w:t>19 affected visa.</w:t>
      </w:r>
    </w:p>
    <w:p w14:paraId="57F2A5BC" w14:textId="77777777" w:rsidR="00421885" w:rsidRPr="004B1042" w:rsidRDefault="00421885" w:rsidP="00421885">
      <w:pPr>
        <w:pStyle w:val="ItemHead"/>
      </w:pPr>
      <w:r w:rsidRPr="004B1042">
        <w:t xml:space="preserve">18  Clauses 462.221 and 462.221A of </w:t>
      </w:r>
      <w:r w:rsidR="00523181" w:rsidRPr="004B1042">
        <w:t>Schedule 2</w:t>
      </w:r>
    </w:p>
    <w:p w14:paraId="12CCF1AB" w14:textId="77777777" w:rsidR="00421885" w:rsidRPr="004B1042" w:rsidRDefault="00421885" w:rsidP="00421885">
      <w:pPr>
        <w:pStyle w:val="Item"/>
      </w:pPr>
      <w:r w:rsidRPr="004B1042">
        <w:t>After “Subclass 462 (Work and Holiday) visa”, insert “other than a COVID</w:t>
      </w:r>
      <w:r w:rsidR="004B1042">
        <w:noBreakHyphen/>
      </w:r>
      <w:r w:rsidRPr="004B1042">
        <w:t>19 affected visa”.</w:t>
      </w:r>
    </w:p>
    <w:p w14:paraId="5B5FF4D3" w14:textId="77777777" w:rsidR="00421885" w:rsidRPr="004B1042" w:rsidRDefault="00421885" w:rsidP="00421885">
      <w:pPr>
        <w:pStyle w:val="ItemHead"/>
      </w:pPr>
      <w:r w:rsidRPr="004B1042">
        <w:t xml:space="preserve">19  Clause 462.224 of </w:t>
      </w:r>
      <w:r w:rsidR="00523181" w:rsidRPr="004B1042">
        <w:t>Schedule 2</w:t>
      </w:r>
    </w:p>
    <w:p w14:paraId="0B403C57" w14:textId="77777777" w:rsidR="00421885" w:rsidRPr="004B1042" w:rsidRDefault="00421885" w:rsidP="00421885">
      <w:pPr>
        <w:pStyle w:val="Item"/>
      </w:pPr>
      <w:r w:rsidRPr="004B1042">
        <w:t>Before “If”, insert “(1)”.</w:t>
      </w:r>
    </w:p>
    <w:p w14:paraId="3A57887C" w14:textId="77777777" w:rsidR="00421885" w:rsidRPr="004B1042" w:rsidRDefault="00421885" w:rsidP="00421885">
      <w:pPr>
        <w:pStyle w:val="ItemHead"/>
      </w:pPr>
      <w:r w:rsidRPr="004B1042">
        <w:t xml:space="preserve">20  At the end of clause 462.224 of </w:t>
      </w:r>
      <w:r w:rsidR="00523181" w:rsidRPr="004B1042">
        <w:t>Schedule 2</w:t>
      </w:r>
    </w:p>
    <w:p w14:paraId="4B1BBD56" w14:textId="77777777" w:rsidR="00421885" w:rsidRPr="004B1042" w:rsidRDefault="00421885" w:rsidP="00421885">
      <w:pPr>
        <w:pStyle w:val="Item"/>
      </w:pPr>
      <w:r w:rsidRPr="004B1042">
        <w:t>Add:</w:t>
      </w:r>
    </w:p>
    <w:p w14:paraId="023B603E" w14:textId="77777777" w:rsidR="00421885" w:rsidRPr="004B1042" w:rsidRDefault="00421885" w:rsidP="00421885">
      <w:pPr>
        <w:pStyle w:val="subsection"/>
      </w:pPr>
      <w:r w:rsidRPr="004B1042">
        <w:tab/>
        <w:t>(2)</w:t>
      </w:r>
      <w:r w:rsidRPr="004B1042">
        <w:tab/>
        <w:t>A reference in subclause (1) to a Subclass 462 (Work and Holiday) visa does not include a reference to a COVID</w:t>
      </w:r>
      <w:r w:rsidR="004B1042">
        <w:noBreakHyphen/>
      </w:r>
      <w:r w:rsidRPr="004B1042">
        <w:t>19 affected visa.</w:t>
      </w:r>
    </w:p>
    <w:p w14:paraId="3AE7CF64" w14:textId="77777777" w:rsidR="008F44A7" w:rsidRPr="004B1042" w:rsidRDefault="00523181" w:rsidP="008F44A7">
      <w:pPr>
        <w:pStyle w:val="ActHead6"/>
        <w:pageBreakBefore/>
      </w:pPr>
      <w:bookmarkStart w:id="19" w:name="_Toc72937723"/>
      <w:r w:rsidRPr="00154C09">
        <w:rPr>
          <w:rStyle w:val="CharAmSchNo"/>
        </w:rPr>
        <w:t>Schedule 3</w:t>
      </w:r>
      <w:r w:rsidR="008F44A7" w:rsidRPr="004B1042">
        <w:t>—</w:t>
      </w:r>
      <w:r w:rsidR="008F44A7" w:rsidRPr="00154C09">
        <w:rPr>
          <w:rStyle w:val="CharAmSchText"/>
        </w:rPr>
        <w:t>Bridging visa amendments</w:t>
      </w:r>
      <w:bookmarkEnd w:id="19"/>
    </w:p>
    <w:p w14:paraId="6A0BF0E4" w14:textId="77777777" w:rsidR="00A062A4" w:rsidRPr="00154C09" w:rsidRDefault="00A062A4" w:rsidP="00A062A4">
      <w:pPr>
        <w:pStyle w:val="Header"/>
      </w:pPr>
      <w:r w:rsidRPr="00154C09">
        <w:rPr>
          <w:rStyle w:val="CharAmPartNo"/>
        </w:rPr>
        <w:t xml:space="preserve"> </w:t>
      </w:r>
      <w:r w:rsidRPr="00154C09">
        <w:rPr>
          <w:rStyle w:val="CharAmPartText"/>
        </w:rPr>
        <w:t xml:space="preserve"> </w:t>
      </w:r>
    </w:p>
    <w:p w14:paraId="67254932" w14:textId="77777777" w:rsidR="00523181" w:rsidRPr="004B1042" w:rsidRDefault="00523181" w:rsidP="00523181">
      <w:pPr>
        <w:pStyle w:val="ActHead9"/>
      </w:pPr>
      <w:bookmarkStart w:id="20" w:name="_Toc72937724"/>
      <w:r w:rsidRPr="004B1042">
        <w:t>Migration Regulations 1994</w:t>
      </w:r>
      <w:bookmarkEnd w:id="20"/>
    </w:p>
    <w:p w14:paraId="1C75F25C" w14:textId="77777777" w:rsidR="00523181" w:rsidRPr="004B1042" w:rsidRDefault="00523181" w:rsidP="00523181">
      <w:pPr>
        <w:pStyle w:val="ItemHead"/>
      </w:pPr>
      <w:r w:rsidRPr="004B1042">
        <w:t>1  Paragraph 2.25(2)(a)</w:t>
      </w:r>
    </w:p>
    <w:p w14:paraId="73DF7C2D" w14:textId="77777777" w:rsidR="00523181" w:rsidRPr="004B1042" w:rsidRDefault="00523181" w:rsidP="00523181">
      <w:pPr>
        <w:pStyle w:val="Item"/>
      </w:pPr>
      <w:r w:rsidRPr="004B1042">
        <w:t>Repeal the paragraph, substitute:</w:t>
      </w:r>
    </w:p>
    <w:p w14:paraId="5FABB27F" w14:textId="77777777" w:rsidR="00523181" w:rsidRPr="004B1042" w:rsidRDefault="00523181" w:rsidP="00523181">
      <w:pPr>
        <w:pStyle w:val="paragraph"/>
      </w:pPr>
      <w:r w:rsidRPr="004B1042">
        <w:tab/>
        <w:t>(a)</w:t>
      </w:r>
      <w:r w:rsidRPr="004B1042">
        <w:tab/>
        <w:t>the non</w:t>
      </w:r>
      <w:r w:rsidR="004B1042">
        <w:noBreakHyphen/>
      </w:r>
      <w:r w:rsidRPr="004B1042">
        <w:t>citizen satisfies the criteria set out in clauses 050.211, 050.212, 050.222, 050.223, 050.224 and 050.411 of Schedule 2; or</w:t>
      </w:r>
    </w:p>
    <w:p w14:paraId="58EB9E8F" w14:textId="77777777" w:rsidR="00523181" w:rsidRPr="004B1042" w:rsidRDefault="00523181" w:rsidP="00523181">
      <w:pPr>
        <w:pStyle w:val="ItemHead"/>
      </w:pPr>
      <w:r w:rsidRPr="004B1042">
        <w:t>2  Subregulation 2.25(3)</w:t>
      </w:r>
    </w:p>
    <w:p w14:paraId="622EA76B" w14:textId="77777777" w:rsidR="00523181" w:rsidRPr="004B1042" w:rsidRDefault="00523181" w:rsidP="00523181">
      <w:pPr>
        <w:pStyle w:val="Item"/>
      </w:pPr>
      <w:r w:rsidRPr="004B1042">
        <w:t>Repeal the subregulation.</w:t>
      </w:r>
    </w:p>
    <w:p w14:paraId="32D99B0C" w14:textId="77777777" w:rsidR="00523181" w:rsidRPr="004B1042" w:rsidRDefault="00523181" w:rsidP="00523181">
      <w:pPr>
        <w:pStyle w:val="ItemHead"/>
      </w:pPr>
      <w:r w:rsidRPr="004B1042">
        <w:t>3  Subclause 050.222(1) of Schedule 2</w:t>
      </w:r>
    </w:p>
    <w:p w14:paraId="611DF9C4" w14:textId="77777777" w:rsidR="00523181" w:rsidRPr="004B1042" w:rsidRDefault="00523181" w:rsidP="00523181">
      <w:pPr>
        <w:pStyle w:val="Item"/>
      </w:pPr>
      <w:r w:rsidRPr="004B1042">
        <w:t>Omit “or (4)”, insert “, (4) or (5)”.</w:t>
      </w:r>
    </w:p>
    <w:p w14:paraId="5603CF4F" w14:textId="77777777" w:rsidR="00523181" w:rsidRPr="004B1042" w:rsidRDefault="00523181" w:rsidP="00523181">
      <w:pPr>
        <w:pStyle w:val="ItemHead"/>
      </w:pPr>
      <w:r w:rsidRPr="004B1042">
        <w:t>4  At the end of clause 050.222 of Schedule 2</w:t>
      </w:r>
    </w:p>
    <w:p w14:paraId="6B34F43F" w14:textId="77777777" w:rsidR="00523181" w:rsidRPr="004B1042" w:rsidRDefault="00523181" w:rsidP="00523181">
      <w:pPr>
        <w:pStyle w:val="Item"/>
      </w:pPr>
      <w:r w:rsidRPr="004B1042">
        <w:t>Add:</w:t>
      </w:r>
    </w:p>
    <w:p w14:paraId="698AF9F6" w14:textId="77777777" w:rsidR="00523181" w:rsidRPr="004B1042" w:rsidRDefault="00523181" w:rsidP="00523181">
      <w:pPr>
        <w:pStyle w:val="subsection"/>
      </w:pPr>
      <w:r w:rsidRPr="004B1042">
        <w:tab/>
        <w:t>(5)</w:t>
      </w:r>
      <w:r w:rsidRPr="004B1042">
        <w:tab/>
        <w:t>This subclause applies if an officer who is authorised by the Secretary for the purposes of this clause has decided that it is not necessary to interview the applicant.</w:t>
      </w:r>
    </w:p>
    <w:p w14:paraId="13A453EC" w14:textId="77777777" w:rsidR="00523181" w:rsidRPr="004B1042" w:rsidRDefault="00523181" w:rsidP="00523181">
      <w:pPr>
        <w:pStyle w:val="ItemHead"/>
      </w:pPr>
      <w:r w:rsidRPr="004B1042">
        <w:t>5  Clause 8401 of Schedule 8</w:t>
      </w:r>
    </w:p>
    <w:p w14:paraId="22343A63" w14:textId="77777777" w:rsidR="00523181" w:rsidRPr="004B1042" w:rsidRDefault="00523181" w:rsidP="00523181">
      <w:pPr>
        <w:pStyle w:val="Item"/>
      </w:pPr>
      <w:r w:rsidRPr="004B1042">
        <w:t>Repeal the clause, substitute:</w:t>
      </w:r>
    </w:p>
    <w:p w14:paraId="48B09D8A" w14:textId="77777777" w:rsidR="00523181" w:rsidRPr="004B1042" w:rsidRDefault="00523181" w:rsidP="00523181">
      <w:pPr>
        <w:pStyle w:val="subsection"/>
      </w:pPr>
      <w:r w:rsidRPr="004B1042">
        <w:t>8401</w:t>
      </w:r>
      <w:r w:rsidRPr="004B1042">
        <w:tab/>
      </w:r>
      <w:r w:rsidRPr="004B1042">
        <w:tab/>
        <w:t>The holder must report:</w:t>
      </w:r>
    </w:p>
    <w:p w14:paraId="3A988C1A" w14:textId="77777777" w:rsidR="00523181" w:rsidRPr="004B1042" w:rsidRDefault="00523181" w:rsidP="00523181">
      <w:pPr>
        <w:pStyle w:val="paragraph"/>
      </w:pPr>
      <w:r w:rsidRPr="004B1042">
        <w:tab/>
        <w:t>(a)</w:t>
      </w:r>
      <w:r w:rsidRPr="004B1042">
        <w:tab/>
        <w:t>at the time or times; and</w:t>
      </w:r>
    </w:p>
    <w:p w14:paraId="09439A8A" w14:textId="77777777" w:rsidR="00523181" w:rsidRPr="004B1042" w:rsidRDefault="00523181" w:rsidP="00523181">
      <w:pPr>
        <w:pStyle w:val="paragraph"/>
      </w:pPr>
      <w:r w:rsidRPr="004B1042">
        <w:tab/>
        <w:t>(b)</w:t>
      </w:r>
      <w:r w:rsidRPr="004B1042">
        <w:tab/>
        <w:t>at a place or in a manner;</w:t>
      </w:r>
    </w:p>
    <w:p w14:paraId="018C527D" w14:textId="77777777" w:rsidR="00523181" w:rsidRPr="004B1042" w:rsidRDefault="00523181" w:rsidP="00523181">
      <w:pPr>
        <w:pStyle w:val="subsection2"/>
      </w:pPr>
      <w:r w:rsidRPr="004B1042">
        <w:t>specified by the Minister from time to time.</w:t>
      </w:r>
    </w:p>
    <w:p w14:paraId="7F453B48" w14:textId="77777777" w:rsidR="0084172C" w:rsidRPr="004B1042" w:rsidRDefault="0008500F" w:rsidP="008F44A7">
      <w:pPr>
        <w:pStyle w:val="ActHead6"/>
        <w:pageBreakBefore/>
      </w:pPr>
      <w:bookmarkStart w:id="21" w:name="_Toc72937725"/>
      <w:r w:rsidRPr="00154C09">
        <w:rPr>
          <w:rStyle w:val="CharAmSchNo"/>
        </w:rPr>
        <w:t>Schedule 4</w:t>
      </w:r>
      <w:r w:rsidR="008F44A7" w:rsidRPr="004B1042">
        <w:t>—</w:t>
      </w:r>
      <w:r w:rsidR="008F44A7" w:rsidRPr="00154C09">
        <w:rPr>
          <w:rStyle w:val="CharAmSchText"/>
        </w:rPr>
        <w:t>Manner of reporting on arriving overseas passengers and crew members</w:t>
      </w:r>
      <w:bookmarkEnd w:id="21"/>
    </w:p>
    <w:p w14:paraId="1E002A00" w14:textId="77777777" w:rsidR="00A062A4" w:rsidRPr="00154C09" w:rsidRDefault="00A062A4" w:rsidP="00A062A4">
      <w:pPr>
        <w:pStyle w:val="Header"/>
      </w:pPr>
      <w:r w:rsidRPr="00154C09">
        <w:rPr>
          <w:rStyle w:val="CharAmPartNo"/>
        </w:rPr>
        <w:t xml:space="preserve"> </w:t>
      </w:r>
      <w:r w:rsidRPr="00154C09">
        <w:rPr>
          <w:rStyle w:val="CharAmPartText"/>
        </w:rPr>
        <w:t xml:space="preserve"> </w:t>
      </w:r>
    </w:p>
    <w:p w14:paraId="07581626" w14:textId="77777777" w:rsidR="00523181" w:rsidRPr="004B1042" w:rsidRDefault="00523181" w:rsidP="00523181">
      <w:pPr>
        <w:pStyle w:val="ActHead9"/>
      </w:pPr>
      <w:bookmarkStart w:id="22" w:name="_Toc72937726"/>
      <w:r w:rsidRPr="004B1042">
        <w:t>Migration Regulations 1994</w:t>
      </w:r>
      <w:bookmarkEnd w:id="22"/>
    </w:p>
    <w:p w14:paraId="5956629B" w14:textId="77777777" w:rsidR="00523181" w:rsidRPr="004B1042" w:rsidRDefault="00523181" w:rsidP="00523181">
      <w:pPr>
        <w:pStyle w:val="ItemHead"/>
      </w:pPr>
      <w:r w:rsidRPr="004B1042">
        <w:t>1  After subregulation 3.14(1)</w:t>
      </w:r>
    </w:p>
    <w:p w14:paraId="6211B3FE" w14:textId="77777777" w:rsidR="00523181" w:rsidRPr="004B1042" w:rsidRDefault="00523181" w:rsidP="00523181">
      <w:pPr>
        <w:pStyle w:val="Item"/>
      </w:pPr>
      <w:r w:rsidRPr="004B1042">
        <w:t>Insert:</w:t>
      </w:r>
    </w:p>
    <w:p w14:paraId="5C32EF63" w14:textId="77777777" w:rsidR="00523181" w:rsidRPr="004B1042" w:rsidRDefault="00523181" w:rsidP="00523181">
      <w:pPr>
        <w:pStyle w:val="subsection"/>
      </w:pPr>
      <w:r w:rsidRPr="004B1042">
        <w:tab/>
        <w:t>(1A)</w:t>
      </w:r>
      <w:r w:rsidRPr="004B1042">
        <w:tab/>
        <w:t>If the officer requests the particulars be given in a particular way, the master must give the particulars in that way.</w:t>
      </w:r>
    </w:p>
    <w:p w14:paraId="29169A2F" w14:textId="77777777" w:rsidR="00523181" w:rsidRPr="004B1042" w:rsidRDefault="00523181" w:rsidP="00523181">
      <w:pPr>
        <w:pStyle w:val="ItemHead"/>
      </w:pPr>
      <w:r w:rsidRPr="004B1042">
        <w:t>2  Subregulation 3.15(1)</w:t>
      </w:r>
    </w:p>
    <w:p w14:paraId="6325C228" w14:textId="77777777" w:rsidR="00523181" w:rsidRPr="004B1042" w:rsidRDefault="00523181" w:rsidP="00523181">
      <w:pPr>
        <w:pStyle w:val="Item"/>
      </w:pPr>
      <w:r w:rsidRPr="004B1042">
        <w:t>Omit “a list is”, substitute “particulars are”.</w:t>
      </w:r>
    </w:p>
    <w:p w14:paraId="3A966481" w14:textId="77777777" w:rsidR="00523181" w:rsidRPr="004B1042" w:rsidRDefault="00523181" w:rsidP="00523181">
      <w:pPr>
        <w:pStyle w:val="ItemHead"/>
      </w:pPr>
      <w:r w:rsidRPr="004B1042">
        <w:t>3  Subregulation 3.15(4)</w:t>
      </w:r>
    </w:p>
    <w:p w14:paraId="369A78E3" w14:textId="77777777" w:rsidR="00523181" w:rsidRPr="004B1042" w:rsidRDefault="00523181" w:rsidP="00523181">
      <w:pPr>
        <w:pStyle w:val="Item"/>
      </w:pPr>
      <w:r w:rsidRPr="004B1042">
        <w:t>Repeal the subregulation, substitute:</w:t>
      </w:r>
    </w:p>
    <w:p w14:paraId="5F1C7601" w14:textId="77777777" w:rsidR="00523181" w:rsidRPr="004B1042" w:rsidRDefault="00523181" w:rsidP="00523181">
      <w:pPr>
        <w:pStyle w:val="subsection"/>
      </w:pPr>
      <w:r w:rsidRPr="004B1042">
        <w:tab/>
        <w:t>(4)</w:t>
      </w:r>
      <w:r w:rsidRPr="004B1042">
        <w:tab/>
        <w:t>The master must, if asked to do so by the officer, give the officer a specified number (not exceeding 6) of copies of the certificate.</w:t>
      </w:r>
    </w:p>
    <w:p w14:paraId="61E7E086" w14:textId="77777777" w:rsidR="00523181" w:rsidRPr="004B1042" w:rsidRDefault="00523181" w:rsidP="00523181">
      <w:pPr>
        <w:pStyle w:val="ItemHead"/>
      </w:pPr>
      <w:r w:rsidRPr="004B1042">
        <w:t>4  Before subregulation 3.17(1)</w:t>
      </w:r>
    </w:p>
    <w:p w14:paraId="179D5E8E" w14:textId="77777777" w:rsidR="00523181" w:rsidRPr="004B1042" w:rsidRDefault="00523181" w:rsidP="00523181">
      <w:pPr>
        <w:pStyle w:val="Item"/>
      </w:pPr>
      <w:r w:rsidRPr="004B1042">
        <w:t>Insert:</w:t>
      </w:r>
    </w:p>
    <w:p w14:paraId="0B413A51" w14:textId="77777777" w:rsidR="00523181" w:rsidRPr="004B1042" w:rsidRDefault="00523181" w:rsidP="00523181">
      <w:pPr>
        <w:pStyle w:val="SubsectionHead"/>
      </w:pPr>
      <w:r w:rsidRPr="004B1042">
        <w:t>Members of crew</w:t>
      </w:r>
    </w:p>
    <w:p w14:paraId="6066E8E6" w14:textId="77777777" w:rsidR="00523181" w:rsidRPr="004B1042" w:rsidRDefault="00523181" w:rsidP="00523181">
      <w:pPr>
        <w:pStyle w:val="ItemHead"/>
      </w:pPr>
      <w:r w:rsidRPr="004B1042">
        <w:t>5  Paragraph 3.17(1)(a)</w:t>
      </w:r>
    </w:p>
    <w:p w14:paraId="6701B796" w14:textId="77777777" w:rsidR="00523181" w:rsidRPr="004B1042" w:rsidRDefault="00523181" w:rsidP="00523181">
      <w:pPr>
        <w:pStyle w:val="Item"/>
      </w:pPr>
      <w:r w:rsidRPr="004B1042">
        <w:t>Omit “give the officer a list showing the number of members of the crew and showing,”, substitute “notify the officer of the number of members of the crew and give the officer the following particulars”.</w:t>
      </w:r>
    </w:p>
    <w:p w14:paraId="47ECF53F" w14:textId="77777777" w:rsidR="00523181" w:rsidRPr="004B1042" w:rsidRDefault="00523181" w:rsidP="00523181">
      <w:pPr>
        <w:pStyle w:val="ItemHead"/>
      </w:pPr>
      <w:r w:rsidRPr="004B1042">
        <w:t>6  Subparagraphs 3.17(1)(a)(i), (ii) and (iii)</w:t>
      </w:r>
    </w:p>
    <w:p w14:paraId="6889401C" w14:textId="77777777" w:rsidR="00523181" w:rsidRPr="004B1042" w:rsidRDefault="00523181" w:rsidP="00523181">
      <w:pPr>
        <w:pStyle w:val="Item"/>
      </w:pPr>
      <w:r w:rsidRPr="004B1042">
        <w:t>Omit “and”.</w:t>
      </w:r>
    </w:p>
    <w:p w14:paraId="746D6449" w14:textId="77777777" w:rsidR="00523181" w:rsidRPr="004B1042" w:rsidRDefault="00523181" w:rsidP="00523181">
      <w:pPr>
        <w:pStyle w:val="ItemHead"/>
      </w:pPr>
      <w:r w:rsidRPr="004B1042">
        <w:t>7  After subregulation 3.17(1)</w:t>
      </w:r>
    </w:p>
    <w:p w14:paraId="23AD36DD" w14:textId="77777777" w:rsidR="00523181" w:rsidRPr="004B1042" w:rsidRDefault="00523181" w:rsidP="00523181">
      <w:pPr>
        <w:pStyle w:val="Item"/>
      </w:pPr>
      <w:r w:rsidRPr="004B1042">
        <w:t>Insert:</w:t>
      </w:r>
    </w:p>
    <w:p w14:paraId="471E76F4" w14:textId="77777777" w:rsidR="00523181" w:rsidRPr="004B1042" w:rsidRDefault="00523181" w:rsidP="00523181">
      <w:pPr>
        <w:pStyle w:val="subsection"/>
      </w:pPr>
      <w:r w:rsidRPr="004B1042">
        <w:tab/>
        <w:t>(1A)</w:t>
      </w:r>
      <w:r w:rsidRPr="004B1042">
        <w:tab/>
        <w:t>If the officer requests the particulars be given in a particular way, the master must give the particulars in that way.</w:t>
      </w:r>
    </w:p>
    <w:p w14:paraId="76C65118" w14:textId="77777777" w:rsidR="00523181" w:rsidRPr="004B1042" w:rsidRDefault="00523181" w:rsidP="00523181">
      <w:pPr>
        <w:pStyle w:val="SubsectionHead"/>
      </w:pPr>
      <w:r w:rsidRPr="004B1042">
        <w:t>Persons other than passengers and crew for discharge outside Australia</w:t>
      </w:r>
    </w:p>
    <w:p w14:paraId="3121F97C" w14:textId="77777777" w:rsidR="00523181" w:rsidRPr="004B1042" w:rsidRDefault="00523181" w:rsidP="00523181">
      <w:pPr>
        <w:pStyle w:val="ItemHead"/>
      </w:pPr>
      <w:r w:rsidRPr="004B1042">
        <w:t>8  Subregulation 3.17(2)</w:t>
      </w:r>
    </w:p>
    <w:p w14:paraId="7F6CD5F2" w14:textId="77777777" w:rsidR="00523181" w:rsidRPr="004B1042" w:rsidRDefault="00523181" w:rsidP="00523181">
      <w:pPr>
        <w:pStyle w:val="Item"/>
      </w:pPr>
      <w:r w:rsidRPr="004B1042">
        <w:t>Omit “a list signed by the master showing”, substitute “particulars of”.</w:t>
      </w:r>
    </w:p>
    <w:p w14:paraId="0D58A532" w14:textId="77777777" w:rsidR="00523181" w:rsidRPr="004B1042" w:rsidRDefault="00523181" w:rsidP="00523181">
      <w:pPr>
        <w:pStyle w:val="ItemHead"/>
      </w:pPr>
      <w:r w:rsidRPr="004B1042">
        <w:t>9  At the end of regulation 3.17</w:t>
      </w:r>
    </w:p>
    <w:p w14:paraId="1CC62172" w14:textId="77777777" w:rsidR="00523181" w:rsidRPr="004B1042" w:rsidRDefault="00523181" w:rsidP="00523181">
      <w:pPr>
        <w:pStyle w:val="Item"/>
      </w:pPr>
      <w:r w:rsidRPr="004B1042">
        <w:t>Add:</w:t>
      </w:r>
    </w:p>
    <w:p w14:paraId="77FDC151" w14:textId="77777777" w:rsidR="00523181" w:rsidRPr="004B1042" w:rsidRDefault="00523181" w:rsidP="00523181">
      <w:pPr>
        <w:pStyle w:val="subsection"/>
      </w:pPr>
      <w:r w:rsidRPr="004B1042">
        <w:tab/>
        <w:t>(3)</w:t>
      </w:r>
      <w:r w:rsidRPr="004B1042">
        <w:tab/>
        <w:t>If the officer requests the particulars be given in a particular way, the master must give the particulars in that way.</w:t>
      </w:r>
    </w:p>
    <w:p w14:paraId="5CEE3563" w14:textId="77777777" w:rsidR="008F44A7" w:rsidRPr="004B1042" w:rsidRDefault="0008500F" w:rsidP="008F44A7">
      <w:pPr>
        <w:pStyle w:val="ActHead6"/>
        <w:pageBreakBefore/>
      </w:pPr>
      <w:bookmarkStart w:id="23" w:name="_Toc72937727"/>
      <w:r w:rsidRPr="00154C09">
        <w:rPr>
          <w:rStyle w:val="CharAmSchNo"/>
        </w:rPr>
        <w:t>Schedule 5</w:t>
      </w:r>
      <w:r w:rsidR="008F44A7" w:rsidRPr="004B1042">
        <w:t>—</w:t>
      </w:r>
      <w:r w:rsidR="008F44A7" w:rsidRPr="00154C09">
        <w:rPr>
          <w:rStyle w:val="CharAmSchText"/>
        </w:rPr>
        <w:t>Changes to citizenship fees</w:t>
      </w:r>
      <w:bookmarkEnd w:id="23"/>
    </w:p>
    <w:p w14:paraId="398305A2" w14:textId="77777777" w:rsidR="00A062A4" w:rsidRPr="00154C09" w:rsidRDefault="00A062A4" w:rsidP="00A062A4">
      <w:pPr>
        <w:pStyle w:val="Header"/>
      </w:pPr>
      <w:r w:rsidRPr="00154C09">
        <w:rPr>
          <w:rStyle w:val="CharAmPartNo"/>
        </w:rPr>
        <w:t xml:space="preserve"> </w:t>
      </w:r>
      <w:r w:rsidRPr="00154C09">
        <w:rPr>
          <w:rStyle w:val="CharAmPartText"/>
        </w:rPr>
        <w:t xml:space="preserve"> </w:t>
      </w:r>
    </w:p>
    <w:p w14:paraId="727BFC8D" w14:textId="77777777" w:rsidR="00523181" w:rsidRPr="004B1042" w:rsidRDefault="00523181" w:rsidP="00523181">
      <w:pPr>
        <w:pStyle w:val="ActHead9"/>
      </w:pPr>
      <w:bookmarkStart w:id="24" w:name="_Toc72937728"/>
      <w:r w:rsidRPr="004B1042">
        <w:t>Australian Citizenship Regulation 2016</w:t>
      </w:r>
      <w:bookmarkEnd w:id="24"/>
    </w:p>
    <w:p w14:paraId="1994B239" w14:textId="77777777" w:rsidR="00523181" w:rsidRPr="004B1042" w:rsidRDefault="00523181" w:rsidP="00523181">
      <w:pPr>
        <w:pStyle w:val="ItemHead"/>
      </w:pPr>
      <w:r w:rsidRPr="004B1042">
        <w:t>1  Section 5</w:t>
      </w:r>
    </w:p>
    <w:p w14:paraId="7885F810" w14:textId="77777777" w:rsidR="00523181" w:rsidRPr="004B1042" w:rsidRDefault="00523181" w:rsidP="00523181">
      <w:pPr>
        <w:pStyle w:val="Item"/>
      </w:pPr>
      <w:r w:rsidRPr="004B1042">
        <w:t>Repeal the following definitions:</w:t>
      </w:r>
    </w:p>
    <w:p w14:paraId="468A8954" w14:textId="77777777" w:rsidR="00523181" w:rsidRPr="004B1042" w:rsidRDefault="00523181" w:rsidP="00523181">
      <w:pPr>
        <w:pStyle w:val="paragraph"/>
      </w:pPr>
      <w:r w:rsidRPr="004B1042">
        <w:tab/>
        <w:t>(a)</w:t>
      </w:r>
      <w:r w:rsidRPr="004B1042">
        <w:tab/>
        <w:t xml:space="preserve">definition of </w:t>
      </w:r>
      <w:r w:rsidRPr="004B1042">
        <w:rPr>
          <w:b/>
          <w:i/>
        </w:rPr>
        <w:t>Human Services Department</w:t>
      </w:r>
      <w:r w:rsidRPr="004B1042">
        <w:t>;</w:t>
      </w:r>
    </w:p>
    <w:p w14:paraId="4BC33DBF" w14:textId="77777777" w:rsidR="00523181" w:rsidRPr="004B1042" w:rsidRDefault="00523181" w:rsidP="00523181">
      <w:pPr>
        <w:pStyle w:val="paragraph"/>
      </w:pPr>
      <w:r w:rsidRPr="004B1042">
        <w:tab/>
        <w:t>(b)</w:t>
      </w:r>
      <w:r w:rsidRPr="004B1042">
        <w:tab/>
        <w:t xml:space="preserve">definition of </w:t>
      </w:r>
      <w:r w:rsidRPr="004B1042">
        <w:rPr>
          <w:b/>
          <w:i/>
        </w:rPr>
        <w:t>Veterans’ Affairs Department</w:t>
      </w:r>
      <w:r w:rsidRPr="004B1042">
        <w:t>.</w:t>
      </w:r>
    </w:p>
    <w:p w14:paraId="1C24A740" w14:textId="77777777" w:rsidR="00523181" w:rsidRPr="004B1042" w:rsidRDefault="00523181" w:rsidP="00523181">
      <w:pPr>
        <w:pStyle w:val="ItemHead"/>
      </w:pPr>
      <w:r w:rsidRPr="004B1042">
        <w:t>2  Subsection 17(4)</w:t>
      </w:r>
    </w:p>
    <w:p w14:paraId="4530F414" w14:textId="77777777" w:rsidR="00523181" w:rsidRPr="004B1042" w:rsidRDefault="00523181" w:rsidP="00523181">
      <w:pPr>
        <w:pStyle w:val="Item"/>
      </w:pPr>
      <w:r w:rsidRPr="004B1042">
        <w:t>Omit “$20”, substitute “$35”.</w:t>
      </w:r>
    </w:p>
    <w:p w14:paraId="02107517" w14:textId="77777777" w:rsidR="00523181" w:rsidRPr="004B1042" w:rsidRDefault="00523181" w:rsidP="00523181">
      <w:pPr>
        <w:pStyle w:val="ItemHead"/>
      </w:pPr>
      <w:r w:rsidRPr="004B1042">
        <w:t>3  Subsection 17(5)</w:t>
      </w:r>
    </w:p>
    <w:p w14:paraId="4C68B451" w14:textId="77777777" w:rsidR="00523181" w:rsidRPr="004B1042" w:rsidRDefault="00523181" w:rsidP="00523181">
      <w:pPr>
        <w:pStyle w:val="Item"/>
      </w:pPr>
      <w:r w:rsidRPr="004B1042">
        <w:t>Omit “$20” (wherever occurring), substitute “$35”.</w:t>
      </w:r>
    </w:p>
    <w:p w14:paraId="67DA73C6" w14:textId="77777777" w:rsidR="00523181" w:rsidRPr="004B1042" w:rsidRDefault="00523181" w:rsidP="00523181">
      <w:pPr>
        <w:pStyle w:val="ItemHead"/>
      </w:pPr>
      <w:r w:rsidRPr="004B1042">
        <w:t>4  Subsection 17(6)</w:t>
      </w:r>
    </w:p>
    <w:p w14:paraId="4298566F" w14:textId="77777777" w:rsidR="00523181" w:rsidRPr="004B1042" w:rsidRDefault="00523181" w:rsidP="00523181">
      <w:pPr>
        <w:pStyle w:val="Item"/>
      </w:pPr>
      <w:r w:rsidRPr="004B1042">
        <w:t>Omit “$105”, substitute “$190”.</w:t>
      </w:r>
    </w:p>
    <w:p w14:paraId="6938C28E" w14:textId="77777777" w:rsidR="00523181" w:rsidRPr="004B1042" w:rsidRDefault="00523181" w:rsidP="00523181">
      <w:pPr>
        <w:pStyle w:val="ItemHead"/>
      </w:pPr>
      <w:r w:rsidRPr="004B1042">
        <w:t>5  Subsection 17(7)</w:t>
      </w:r>
    </w:p>
    <w:p w14:paraId="418CA072" w14:textId="77777777" w:rsidR="00523181" w:rsidRPr="004B1042" w:rsidRDefault="00523181" w:rsidP="00523181">
      <w:pPr>
        <w:pStyle w:val="Item"/>
      </w:pPr>
      <w:r w:rsidRPr="004B1042">
        <w:t>Omit “$105” (wherever occurring), substitute “$190”.</w:t>
      </w:r>
    </w:p>
    <w:p w14:paraId="4AF40D9B" w14:textId="77777777" w:rsidR="00523181" w:rsidRPr="004B1042" w:rsidRDefault="00523181" w:rsidP="00523181">
      <w:pPr>
        <w:pStyle w:val="ItemHead"/>
      </w:pPr>
      <w:r w:rsidRPr="004B1042">
        <w:t>6  Schedule 3 (table item 1)</w:t>
      </w:r>
    </w:p>
    <w:p w14:paraId="0FBAC522" w14:textId="77777777" w:rsidR="00523181" w:rsidRPr="004B1042" w:rsidRDefault="00523181" w:rsidP="00523181">
      <w:pPr>
        <w:pStyle w:val="Item"/>
      </w:pPr>
      <w:r w:rsidRPr="004B1042">
        <w:t>Omit “$230”, substitute</w:t>
      </w:r>
      <w:r w:rsidRPr="004B1042">
        <w:rPr>
          <w:lang w:eastAsia="en-US"/>
        </w:rPr>
        <w:t xml:space="preserve"> “$315”.</w:t>
      </w:r>
    </w:p>
    <w:p w14:paraId="0B296A51" w14:textId="77777777" w:rsidR="00523181" w:rsidRPr="004B1042" w:rsidRDefault="00523181" w:rsidP="00523181">
      <w:pPr>
        <w:pStyle w:val="ItemHead"/>
      </w:pPr>
      <w:r w:rsidRPr="004B1042">
        <w:t>7  Schedule 3 (table item 1)</w:t>
      </w:r>
    </w:p>
    <w:p w14:paraId="4EE06B69" w14:textId="77777777" w:rsidR="00523181" w:rsidRPr="004B1042" w:rsidRDefault="00523181" w:rsidP="00523181">
      <w:pPr>
        <w:pStyle w:val="Item"/>
      </w:pPr>
      <w:r w:rsidRPr="004B1042">
        <w:t>Omit “$95”, substitute “$130”.</w:t>
      </w:r>
    </w:p>
    <w:p w14:paraId="128567A6" w14:textId="77777777" w:rsidR="00523181" w:rsidRPr="004B1042" w:rsidRDefault="00523181" w:rsidP="00523181">
      <w:pPr>
        <w:pStyle w:val="ItemHead"/>
      </w:pPr>
      <w:r w:rsidRPr="004B1042">
        <w:t>8  Schedule 3 (table item 2)</w:t>
      </w:r>
    </w:p>
    <w:p w14:paraId="22E6103E" w14:textId="77777777" w:rsidR="00523181" w:rsidRPr="004B1042" w:rsidRDefault="00523181" w:rsidP="00523181">
      <w:pPr>
        <w:pStyle w:val="Item"/>
      </w:pPr>
      <w:r w:rsidRPr="004B1042">
        <w:t>Omit “$230”, substitute “</w:t>
      </w:r>
      <w:r w:rsidRPr="004B1042">
        <w:rPr>
          <w:lang w:eastAsia="en-US"/>
        </w:rPr>
        <w:t>$315”</w:t>
      </w:r>
      <w:r w:rsidRPr="004B1042">
        <w:rPr>
          <w:rFonts w:ascii="Calibri" w:hAnsi="Calibri"/>
          <w:szCs w:val="24"/>
        </w:rPr>
        <w:t>.</w:t>
      </w:r>
    </w:p>
    <w:p w14:paraId="6F09D231" w14:textId="77777777" w:rsidR="00523181" w:rsidRPr="004B1042" w:rsidRDefault="00523181" w:rsidP="00523181">
      <w:pPr>
        <w:pStyle w:val="ItemHead"/>
      </w:pPr>
      <w:r w:rsidRPr="004B1042">
        <w:t>9  Schedule 3 (table item 3)</w:t>
      </w:r>
    </w:p>
    <w:p w14:paraId="66D1A06D" w14:textId="77777777" w:rsidR="00523181" w:rsidRPr="004B1042" w:rsidRDefault="00523181" w:rsidP="00523181">
      <w:pPr>
        <w:pStyle w:val="Item"/>
      </w:pPr>
      <w:r w:rsidRPr="004B1042">
        <w:t xml:space="preserve">Omit “$230”, substitute </w:t>
      </w:r>
      <w:r w:rsidRPr="004B1042">
        <w:rPr>
          <w:lang w:eastAsia="en-US"/>
        </w:rPr>
        <w:t>“$315”.</w:t>
      </w:r>
    </w:p>
    <w:p w14:paraId="130474E7" w14:textId="77777777" w:rsidR="00523181" w:rsidRPr="004B1042" w:rsidRDefault="00523181" w:rsidP="00523181">
      <w:pPr>
        <w:pStyle w:val="ItemHead"/>
      </w:pPr>
      <w:r w:rsidRPr="004B1042">
        <w:t>10  Schedule 3 (table item 3)</w:t>
      </w:r>
    </w:p>
    <w:p w14:paraId="2D058CB3" w14:textId="77777777" w:rsidR="00523181" w:rsidRPr="004B1042" w:rsidRDefault="00523181" w:rsidP="00523181">
      <w:pPr>
        <w:pStyle w:val="Item"/>
      </w:pPr>
      <w:r w:rsidRPr="004B1042">
        <w:t>Omit “$95”, substitute “$130”.</w:t>
      </w:r>
    </w:p>
    <w:p w14:paraId="48F36D25" w14:textId="77777777" w:rsidR="00523181" w:rsidRPr="004B1042" w:rsidRDefault="00523181" w:rsidP="00523181">
      <w:pPr>
        <w:pStyle w:val="ItemHead"/>
      </w:pPr>
      <w:r w:rsidRPr="004B1042">
        <w:t>11  Schedule 3 (table item 4)</w:t>
      </w:r>
    </w:p>
    <w:p w14:paraId="3DAEEE2C" w14:textId="77777777" w:rsidR="00523181" w:rsidRPr="004B1042" w:rsidRDefault="00523181" w:rsidP="00523181">
      <w:pPr>
        <w:pStyle w:val="Item"/>
      </w:pPr>
      <w:r w:rsidRPr="004B1042">
        <w:t>Omit “$230”, substitute “</w:t>
      </w:r>
      <w:r w:rsidRPr="004B1042">
        <w:rPr>
          <w:lang w:eastAsia="en-US"/>
        </w:rPr>
        <w:t>$3</w:t>
      </w:r>
      <w:r w:rsidRPr="004B1042">
        <w:t>15”.</w:t>
      </w:r>
    </w:p>
    <w:p w14:paraId="7AF3DDA1" w14:textId="77777777" w:rsidR="00523181" w:rsidRPr="004B1042" w:rsidRDefault="00523181" w:rsidP="00523181">
      <w:pPr>
        <w:pStyle w:val="ItemHead"/>
      </w:pPr>
      <w:r w:rsidRPr="004B1042">
        <w:t>12  Schedule 3 (items 10, 11, 12 and 13)</w:t>
      </w:r>
    </w:p>
    <w:p w14:paraId="788A6CE9" w14:textId="77777777" w:rsidR="00523181" w:rsidRPr="004B1042" w:rsidRDefault="00523181" w:rsidP="00523181">
      <w:pPr>
        <w:pStyle w:val="Item"/>
      </w:pPr>
      <w:r w:rsidRPr="004B1042">
        <w:t>Repeal the items, substitute:</w:t>
      </w:r>
    </w:p>
    <w:tbl>
      <w:tblPr>
        <w:tblW w:w="5000" w:type="pct"/>
        <w:tblLook w:val="0000" w:firstRow="0" w:lastRow="0" w:firstColumn="0" w:lastColumn="0" w:noHBand="0" w:noVBand="0"/>
      </w:tblPr>
      <w:tblGrid>
        <w:gridCol w:w="739"/>
        <w:gridCol w:w="5015"/>
        <w:gridCol w:w="2775"/>
      </w:tblGrid>
      <w:tr w:rsidR="00523181" w:rsidRPr="004B1042" w14:paraId="04AE40EB" w14:textId="77777777" w:rsidTr="0092219F">
        <w:tc>
          <w:tcPr>
            <w:tcW w:w="433" w:type="pct"/>
            <w:tcBorders>
              <w:bottom w:val="single" w:sz="4" w:space="0" w:color="auto"/>
            </w:tcBorders>
            <w:shd w:val="clear" w:color="auto" w:fill="auto"/>
          </w:tcPr>
          <w:p w14:paraId="7181178F" w14:textId="77777777" w:rsidR="00523181" w:rsidRPr="004B1042" w:rsidRDefault="00523181" w:rsidP="00706709">
            <w:pPr>
              <w:pStyle w:val="Tabletext"/>
            </w:pPr>
            <w:r w:rsidRPr="004B1042">
              <w:t>10</w:t>
            </w:r>
          </w:p>
        </w:tc>
        <w:tc>
          <w:tcPr>
            <w:tcW w:w="2940" w:type="pct"/>
            <w:tcBorders>
              <w:bottom w:val="single" w:sz="4" w:space="0" w:color="auto"/>
            </w:tcBorders>
            <w:shd w:val="clear" w:color="auto" w:fill="auto"/>
          </w:tcPr>
          <w:p w14:paraId="0071BEF7" w14:textId="77777777" w:rsidR="00523181" w:rsidRPr="004B1042" w:rsidRDefault="00523181" w:rsidP="00706709">
            <w:pPr>
              <w:pStyle w:val="Tabletext"/>
            </w:pPr>
            <w:r w:rsidRPr="004B1042">
              <w:t>An application under section 21 of the Act, other than an application mentioned in items 5 to 9 or item 15, if:</w:t>
            </w:r>
          </w:p>
          <w:p w14:paraId="26B7C081" w14:textId="77777777" w:rsidR="00523181" w:rsidRPr="004B1042" w:rsidRDefault="00523181" w:rsidP="00706709">
            <w:pPr>
              <w:pStyle w:val="Tablea"/>
            </w:pPr>
            <w:r w:rsidRPr="004B1042">
              <w:t>(a) the applicant does not claim eligibility on the basis of the criteria in subsection 21(2) of the Act; and</w:t>
            </w:r>
          </w:p>
          <w:p w14:paraId="7260E63C" w14:textId="77777777" w:rsidR="00523181" w:rsidRPr="004B1042" w:rsidRDefault="00523181" w:rsidP="00706709">
            <w:pPr>
              <w:pStyle w:val="Tablea"/>
              <w:rPr>
                <w:color w:val="000000"/>
              </w:rPr>
            </w:pPr>
            <w:r w:rsidRPr="004B1042">
              <w:t>(</w:t>
            </w:r>
            <w:r w:rsidRPr="004B1042">
              <w:rPr>
                <w:color w:val="000000"/>
              </w:rPr>
              <w:t>b) the applicant:</w:t>
            </w:r>
          </w:p>
          <w:p w14:paraId="0A6D7B2E" w14:textId="77777777" w:rsidR="00523181" w:rsidRPr="004B1042" w:rsidRDefault="00523181" w:rsidP="00706709">
            <w:pPr>
              <w:pStyle w:val="Tablei"/>
            </w:pPr>
            <w:r w:rsidRPr="004B1042">
              <w:rPr>
                <w:color w:val="000000"/>
              </w:rPr>
              <w:t xml:space="preserve">(i) </w:t>
            </w:r>
            <w:r w:rsidRPr="004B1042">
              <w:t>holds a pensioner concession card issued by the Commonwealth; or</w:t>
            </w:r>
          </w:p>
          <w:p w14:paraId="251B5AD2" w14:textId="77777777" w:rsidR="00523181" w:rsidRPr="004B1042" w:rsidRDefault="00523181" w:rsidP="00706709">
            <w:pPr>
              <w:pStyle w:val="Tablei"/>
            </w:pPr>
            <w:r w:rsidRPr="004B1042">
              <w:t>(ii) is under the age of 18 and is listed as a dependant on a pensioner concession card issued by the Commonwealth held by another person</w:t>
            </w:r>
          </w:p>
        </w:tc>
        <w:tc>
          <w:tcPr>
            <w:tcW w:w="1627" w:type="pct"/>
            <w:tcBorders>
              <w:bottom w:val="single" w:sz="4" w:space="0" w:color="auto"/>
            </w:tcBorders>
            <w:shd w:val="clear" w:color="auto" w:fill="auto"/>
          </w:tcPr>
          <w:p w14:paraId="2577EC3A" w14:textId="77777777" w:rsidR="00523181" w:rsidRPr="004B1042" w:rsidRDefault="00523181" w:rsidP="00706709">
            <w:pPr>
              <w:pStyle w:val="Tabletext"/>
            </w:pPr>
            <w:r w:rsidRPr="004B1042">
              <w:t>$35</w:t>
            </w:r>
          </w:p>
        </w:tc>
      </w:tr>
      <w:tr w:rsidR="00523181" w:rsidRPr="004B1042" w14:paraId="2FBF7556" w14:textId="77777777" w:rsidTr="0092219F">
        <w:tc>
          <w:tcPr>
            <w:tcW w:w="433" w:type="pct"/>
            <w:tcBorders>
              <w:top w:val="single" w:sz="4" w:space="0" w:color="auto"/>
            </w:tcBorders>
            <w:shd w:val="clear" w:color="auto" w:fill="auto"/>
          </w:tcPr>
          <w:p w14:paraId="2BFD34AA" w14:textId="77777777" w:rsidR="00523181" w:rsidRPr="004B1042" w:rsidRDefault="00523181" w:rsidP="00706709">
            <w:pPr>
              <w:pStyle w:val="Tabletext"/>
            </w:pPr>
            <w:r w:rsidRPr="004B1042">
              <w:t>13</w:t>
            </w:r>
          </w:p>
        </w:tc>
        <w:tc>
          <w:tcPr>
            <w:tcW w:w="2940" w:type="pct"/>
            <w:tcBorders>
              <w:top w:val="single" w:sz="4" w:space="0" w:color="auto"/>
            </w:tcBorders>
            <w:shd w:val="clear" w:color="auto" w:fill="auto"/>
          </w:tcPr>
          <w:p w14:paraId="2BDA2790" w14:textId="77777777" w:rsidR="00523181" w:rsidRPr="004B1042" w:rsidRDefault="00523181" w:rsidP="00706709">
            <w:pPr>
              <w:pStyle w:val="Tabletext"/>
            </w:pPr>
            <w:r w:rsidRPr="004B1042">
              <w:t>An application under section 21 of the Act, other than an application mentioned in items 5 to 9 or item 15, if:</w:t>
            </w:r>
          </w:p>
          <w:p w14:paraId="6B2C95ED" w14:textId="77777777" w:rsidR="00523181" w:rsidRPr="004B1042" w:rsidRDefault="00523181" w:rsidP="00706709">
            <w:pPr>
              <w:pStyle w:val="Tablea"/>
            </w:pPr>
            <w:r w:rsidRPr="004B1042">
              <w:t>(a) the applicant claims eligibility on the basis of the criteria in subsection 21(2) of the Act; and</w:t>
            </w:r>
          </w:p>
          <w:p w14:paraId="2880A467" w14:textId="77777777" w:rsidR="00523181" w:rsidRPr="004B1042" w:rsidRDefault="00523181" w:rsidP="00706709">
            <w:pPr>
              <w:pStyle w:val="Tablea"/>
              <w:rPr>
                <w:color w:val="000000"/>
              </w:rPr>
            </w:pPr>
            <w:r w:rsidRPr="004B1042">
              <w:t>(</w:t>
            </w:r>
            <w:r w:rsidRPr="004B1042">
              <w:rPr>
                <w:color w:val="000000"/>
              </w:rPr>
              <w:t>b) the applicant:</w:t>
            </w:r>
          </w:p>
          <w:p w14:paraId="6A2FCE45" w14:textId="77777777" w:rsidR="00523181" w:rsidRPr="004B1042" w:rsidRDefault="00523181" w:rsidP="00706709">
            <w:pPr>
              <w:pStyle w:val="Tablei"/>
            </w:pPr>
            <w:r w:rsidRPr="004B1042">
              <w:rPr>
                <w:color w:val="000000"/>
              </w:rPr>
              <w:t xml:space="preserve">(i) </w:t>
            </w:r>
            <w:r w:rsidRPr="004B1042">
              <w:t>holds a pensioner concession card issued by the Commonwealth; or</w:t>
            </w:r>
          </w:p>
          <w:p w14:paraId="47091883" w14:textId="77777777" w:rsidR="00523181" w:rsidRPr="004B1042" w:rsidRDefault="00523181" w:rsidP="00706709">
            <w:pPr>
              <w:pStyle w:val="Tablei"/>
            </w:pPr>
            <w:r w:rsidRPr="004B1042">
              <w:t>(ii) is under the age of 18 and is listed as a dependant on a pensioner concession card issued by the Commonwealth held by another person</w:t>
            </w:r>
          </w:p>
        </w:tc>
        <w:tc>
          <w:tcPr>
            <w:tcW w:w="1627" w:type="pct"/>
            <w:tcBorders>
              <w:top w:val="single" w:sz="4" w:space="0" w:color="auto"/>
            </w:tcBorders>
            <w:shd w:val="clear" w:color="auto" w:fill="auto"/>
          </w:tcPr>
          <w:p w14:paraId="42FE4590" w14:textId="77777777" w:rsidR="00523181" w:rsidRPr="004B1042" w:rsidRDefault="00523181" w:rsidP="00706709">
            <w:pPr>
              <w:pStyle w:val="Tabletext"/>
            </w:pPr>
            <w:r w:rsidRPr="004B1042">
              <w:t>$70</w:t>
            </w:r>
          </w:p>
        </w:tc>
      </w:tr>
    </w:tbl>
    <w:p w14:paraId="5F053DC8" w14:textId="77777777" w:rsidR="00523181" w:rsidRPr="004B1042" w:rsidRDefault="00523181" w:rsidP="00523181">
      <w:pPr>
        <w:pStyle w:val="ItemHead"/>
      </w:pPr>
      <w:r w:rsidRPr="004B1042">
        <w:t>13  Schedule 3 (table item 14)</w:t>
      </w:r>
    </w:p>
    <w:p w14:paraId="671FFDD1" w14:textId="77777777" w:rsidR="00523181" w:rsidRPr="004B1042" w:rsidRDefault="00523181" w:rsidP="00523181">
      <w:pPr>
        <w:pStyle w:val="Item"/>
      </w:pPr>
      <w:r w:rsidRPr="004B1042">
        <w:t>Omit “$285”, substitute “$490”.</w:t>
      </w:r>
    </w:p>
    <w:p w14:paraId="515924CC" w14:textId="77777777" w:rsidR="00523181" w:rsidRPr="004B1042" w:rsidRDefault="00523181" w:rsidP="00523181">
      <w:pPr>
        <w:pStyle w:val="ItemHead"/>
      </w:pPr>
      <w:r w:rsidRPr="004B1042">
        <w:t>14  Schedule 3 (table item 16)</w:t>
      </w:r>
    </w:p>
    <w:p w14:paraId="63E59933" w14:textId="77777777" w:rsidR="00523181" w:rsidRPr="004B1042" w:rsidRDefault="00523181" w:rsidP="00523181">
      <w:pPr>
        <w:pStyle w:val="Item"/>
      </w:pPr>
      <w:r w:rsidRPr="004B1042">
        <w:t>Omit “$180”, substitute “$300”.</w:t>
      </w:r>
    </w:p>
    <w:p w14:paraId="7A33135D" w14:textId="77777777" w:rsidR="00523181" w:rsidRPr="004B1042" w:rsidRDefault="00523181" w:rsidP="00523181">
      <w:pPr>
        <w:pStyle w:val="ItemHead"/>
      </w:pPr>
      <w:r w:rsidRPr="004B1042">
        <w:t>15  Schedule 3 (table item 17, column 1, paragraph (d))</w:t>
      </w:r>
    </w:p>
    <w:p w14:paraId="147ACED3" w14:textId="77777777" w:rsidR="00523181" w:rsidRPr="004B1042" w:rsidRDefault="00523181" w:rsidP="00523181">
      <w:pPr>
        <w:pStyle w:val="Item"/>
      </w:pPr>
      <w:r w:rsidRPr="004B1042">
        <w:t>Repeal the paragraph, substitute:</w:t>
      </w:r>
    </w:p>
    <w:p w14:paraId="465D27D4" w14:textId="77777777" w:rsidR="00523181" w:rsidRPr="004B1042" w:rsidRDefault="00523181" w:rsidP="00523181">
      <w:pPr>
        <w:pStyle w:val="Tablea"/>
      </w:pPr>
      <w:r w:rsidRPr="004B1042">
        <w:t>(d) the applicant:</w:t>
      </w:r>
    </w:p>
    <w:p w14:paraId="7ECDCC2D" w14:textId="77777777" w:rsidR="00523181" w:rsidRPr="004B1042" w:rsidRDefault="00523181" w:rsidP="00523181">
      <w:pPr>
        <w:pStyle w:val="Tablei"/>
      </w:pPr>
      <w:r w:rsidRPr="004B1042">
        <w:t>(i) holds a pensioner concession card issued by the Commonwealth; or</w:t>
      </w:r>
    </w:p>
    <w:p w14:paraId="381EC439" w14:textId="77777777" w:rsidR="00523181" w:rsidRPr="004B1042" w:rsidRDefault="00523181" w:rsidP="00523181">
      <w:pPr>
        <w:pStyle w:val="Tablei"/>
      </w:pPr>
      <w:r w:rsidRPr="004B1042">
        <w:t>(ii) is under the age of 18 and is listed as a dependant on a pensioner concession card issued by the Commonwealth held by another person</w:t>
      </w:r>
    </w:p>
    <w:p w14:paraId="0F5A8B83" w14:textId="77777777" w:rsidR="00523181" w:rsidRPr="004B1042" w:rsidRDefault="00523181" w:rsidP="00523181">
      <w:pPr>
        <w:pStyle w:val="ItemHead"/>
      </w:pPr>
      <w:r w:rsidRPr="004B1042">
        <w:t>16  Schedule 3 (table item 17)</w:t>
      </w:r>
    </w:p>
    <w:p w14:paraId="1FA6DB09" w14:textId="77777777" w:rsidR="00523181" w:rsidRPr="004B1042" w:rsidRDefault="00523181" w:rsidP="00523181">
      <w:pPr>
        <w:pStyle w:val="Item"/>
      </w:pPr>
      <w:r w:rsidRPr="004B1042">
        <w:t>Omit “$20”, substitute “$35”.</w:t>
      </w:r>
    </w:p>
    <w:p w14:paraId="5F2DB5D2" w14:textId="77777777" w:rsidR="00523181" w:rsidRPr="004B1042" w:rsidRDefault="00523181" w:rsidP="00523181">
      <w:pPr>
        <w:pStyle w:val="ItemHead"/>
      </w:pPr>
      <w:r w:rsidRPr="004B1042">
        <w:t>17  Schedule 3 (table item 18)</w:t>
      </w:r>
    </w:p>
    <w:p w14:paraId="77A5130D" w14:textId="77777777" w:rsidR="00523181" w:rsidRPr="004B1042" w:rsidRDefault="00523181" w:rsidP="00523181">
      <w:pPr>
        <w:pStyle w:val="Item"/>
      </w:pPr>
      <w:r w:rsidRPr="004B1042">
        <w:t>Omit “$180”, substitute “$300”.</w:t>
      </w:r>
    </w:p>
    <w:p w14:paraId="12D8CACB" w14:textId="77777777" w:rsidR="00523181" w:rsidRPr="004B1042" w:rsidRDefault="00523181" w:rsidP="00523181">
      <w:pPr>
        <w:pStyle w:val="ItemHead"/>
      </w:pPr>
      <w:r w:rsidRPr="004B1042">
        <w:t>18  Schedule 3 (table item 21)</w:t>
      </w:r>
    </w:p>
    <w:p w14:paraId="21E884F8" w14:textId="77777777" w:rsidR="00523181" w:rsidRPr="004B1042" w:rsidRDefault="00523181" w:rsidP="00523181">
      <w:pPr>
        <w:pStyle w:val="Item"/>
      </w:pPr>
      <w:r w:rsidRPr="004B1042">
        <w:t>Omit “$205”, substitute “$265”.</w:t>
      </w:r>
    </w:p>
    <w:p w14:paraId="7041F2E9" w14:textId="77777777" w:rsidR="00523181" w:rsidRPr="004B1042" w:rsidRDefault="00523181" w:rsidP="00523181">
      <w:pPr>
        <w:pStyle w:val="ItemHead"/>
      </w:pPr>
      <w:r w:rsidRPr="004B1042">
        <w:t>19  Schedule 3 (after table item 21)</w:t>
      </w:r>
    </w:p>
    <w:p w14:paraId="2D10C62A" w14:textId="77777777" w:rsidR="00523181" w:rsidRPr="004B1042" w:rsidRDefault="00523181" w:rsidP="00523181">
      <w:pPr>
        <w:pStyle w:val="Item"/>
      </w:pPr>
      <w:r w:rsidRPr="004B1042">
        <w:t>Insert:</w:t>
      </w:r>
    </w:p>
    <w:tbl>
      <w:tblPr>
        <w:tblW w:w="5000" w:type="pct"/>
        <w:tblLook w:val="0000" w:firstRow="0" w:lastRow="0" w:firstColumn="0" w:lastColumn="0" w:noHBand="0" w:noVBand="0"/>
      </w:tblPr>
      <w:tblGrid>
        <w:gridCol w:w="739"/>
        <w:gridCol w:w="5015"/>
        <w:gridCol w:w="2775"/>
      </w:tblGrid>
      <w:tr w:rsidR="00523181" w:rsidRPr="004B1042" w14:paraId="00828E7C" w14:textId="77777777" w:rsidTr="00706709">
        <w:tc>
          <w:tcPr>
            <w:tcW w:w="433" w:type="pct"/>
            <w:shd w:val="clear" w:color="auto" w:fill="auto"/>
          </w:tcPr>
          <w:p w14:paraId="778EF3EC" w14:textId="77777777" w:rsidR="00523181" w:rsidRPr="004B1042" w:rsidRDefault="00523181" w:rsidP="00706709">
            <w:pPr>
              <w:pStyle w:val="Tabletext"/>
            </w:pPr>
            <w:r w:rsidRPr="004B1042">
              <w:t>21A</w:t>
            </w:r>
          </w:p>
        </w:tc>
        <w:tc>
          <w:tcPr>
            <w:tcW w:w="2940" w:type="pct"/>
            <w:shd w:val="clear" w:color="auto" w:fill="auto"/>
          </w:tcPr>
          <w:p w14:paraId="4230AD8E" w14:textId="77777777" w:rsidR="00523181" w:rsidRPr="004B1042" w:rsidRDefault="00523181" w:rsidP="00706709">
            <w:pPr>
              <w:pStyle w:val="Tabletext"/>
            </w:pPr>
            <w:r w:rsidRPr="004B1042">
              <w:t>An application under section 37 of the Act that is made at the same time and on the same form as an application under section 16 or 19C of the Act</w:t>
            </w:r>
          </w:p>
        </w:tc>
        <w:tc>
          <w:tcPr>
            <w:tcW w:w="1627" w:type="pct"/>
            <w:shd w:val="clear" w:color="auto" w:fill="auto"/>
          </w:tcPr>
          <w:p w14:paraId="607EEE23" w14:textId="77777777" w:rsidR="00523181" w:rsidRPr="004B1042" w:rsidRDefault="00523181" w:rsidP="00706709">
            <w:pPr>
              <w:pStyle w:val="Tabletext"/>
            </w:pPr>
            <w:r w:rsidRPr="004B1042">
              <w:t>Nil</w:t>
            </w:r>
          </w:p>
        </w:tc>
      </w:tr>
    </w:tbl>
    <w:p w14:paraId="2BA0CF63" w14:textId="77777777" w:rsidR="00523181" w:rsidRPr="004B1042" w:rsidRDefault="00523181" w:rsidP="00523181">
      <w:pPr>
        <w:pStyle w:val="ItemHead"/>
      </w:pPr>
      <w:r w:rsidRPr="004B1042">
        <w:t>20  Schedule 3 (table item 24)</w:t>
      </w:r>
    </w:p>
    <w:p w14:paraId="5340E67A" w14:textId="77777777" w:rsidR="00523181" w:rsidRPr="004B1042" w:rsidRDefault="00523181" w:rsidP="00523181">
      <w:pPr>
        <w:pStyle w:val="Item"/>
      </w:pPr>
      <w:r w:rsidRPr="004B1042">
        <w:t>Before “22”, insert “21A,”.</w:t>
      </w:r>
    </w:p>
    <w:p w14:paraId="7BD6AFAB" w14:textId="77777777" w:rsidR="00523181" w:rsidRPr="004B1042" w:rsidRDefault="00523181" w:rsidP="00523181">
      <w:pPr>
        <w:pStyle w:val="ItemHead"/>
      </w:pPr>
      <w:r w:rsidRPr="004B1042">
        <w:t>21  Schedule 3 (table item 24)</w:t>
      </w:r>
    </w:p>
    <w:p w14:paraId="761E3771" w14:textId="77777777" w:rsidR="00523181" w:rsidRPr="004B1042" w:rsidRDefault="00523181" w:rsidP="00523181">
      <w:pPr>
        <w:pStyle w:val="Item"/>
      </w:pPr>
      <w:r w:rsidRPr="004B1042">
        <w:t>Omit “$190”, substitute “$240”.</w:t>
      </w:r>
    </w:p>
    <w:p w14:paraId="0041E1DE" w14:textId="77777777" w:rsidR="00DF3092" w:rsidRPr="004B1042" w:rsidRDefault="00523181" w:rsidP="00DF3092">
      <w:pPr>
        <w:pStyle w:val="ActHead6"/>
        <w:pageBreakBefore/>
      </w:pPr>
      <w:bookmarkStart w:id="25" w:name="_Toc72937729"/>
      <w:r w:rsidRPr="00154C09">
        <w:rPr>
          <w:rStyle w:val="CharAmSchNo"/>
        </w:rPr>
        <w:t>Schedule 6</w:t>
      </w:r>
      <w:r w:rsidR="00DF3092" w:rsidRPr="004B1042">
        <w:t>—</w:t>
      </w:r>
      <w:r w:rsidR="00DF3092" w:rsidRPr="00154C09">
        <w:rPr>
          <w:rStyle w:val="CharAmSchText"/>
        </w:rPr>
        <w:t>Payment of citizenship fees in foreign currencies</w:t>
      </w:r>
      <w:bookmarkEnd w:id="25"/>
    </w:p>
    <w:p w14:paraId="7A829FD7" w14:textId="77777777" w:rsidR="00523181" w:rsidRPr="00154C09" w:rsidRDefault="00523181" w:rsidP="00523181">
      <w:pPr>
        <w:pStyle w:val="Header"/>
      </w:pPr>
      <w:r w:rsidRPr="00154C09">
        <w:rPr>
          <w:rStyle w:val="CharAmPartNo"/>
        </w:rPr>
        <w:t xml:space="preserve"> </w:t>
      </w:r>
      <w:r w:rsidRPr="00154C09">
        <w:rPr>
          <w:rStyle w:val="CharAmPartText"/>
        </w:rPr>
        <w:t xml:space="preserve"> </w:t>
      </w:r>
    </w:p>
    <w:p w14:paraId="003B0308" w14:textId="77777777" w:rsidR="00523181" w:rsidRPr="004B1042" w:rsidRDefault="00523181" w:rsidP="00523181">
      <w:pPr>
        <w:pStyle w:val="ActHead9"/>
      </w:pPr>
      <w:bookmarkStart w:id="26" w:name="_Toc72937730"/>
      <w:r w:rsidRPr="004B1042">
        <w:t>Australian Citizenship Regulation 2016</w:t>
      </w:r>
      <w:bookmarkEnd w:id="26"/>
    </w:p>
    <w:p w14:paraId="72EFF86F" w14:textId="77777777" w:rsidR="00523181" w:rsidRPr="004B1042" w:rsidRDefault="00523181" w:rsidP="00523181">
      <w:pPr>
        <w:pStyle w:val="ItemHead"/>
      </w:pPr>
      <w:r w:rsidRPr="004B1042">
        <w:t>1  Subsection 16(7)</w:t>
      </w:r>
    </w:p>
    <w:p w14:paraId="7B1AB2CF" w14:textId="77777777" w:rsidR="00523181" w:rsidRPr="004B1042" w:rsidRDefault="00523181" w:rsidP="00523181">
      <w:pPr>
        <w:pStyle w:val="Item"/>
      </w:pPr>
      <w:r w:rsidRPr="004B1042">
        <w:t>Repeal the subsection, substitute:</w:t>
      </w:r>
    </w:p>
    <w:p w14:paraId="4A4A9A6C" w14:textId="77777777" w:rsidR="00523181" w:rsidRPr="004B1042" w:rsidRDefault="00523181" w:rsidP="00523181">
      <w:pPr>
        <w:pStyle w:val="subsection"/>
      </w:pPr>
      <w:r w:rsidRPr="004B1042">
        <w:tab/>
        <w:t>(7)</w:t>
      </w:r>
      <w:r w:rsidRPr="004B1042">
        <w:tab/>
        <w:t>In this section:</w:t>
      </w:r>
    </w:p>
    <w:p w14:paraId="2B12F861" w14:textId="77777777" w:rsidR="00523181" w:rsidRPr="004B1042" w:rsidRDefault="00523181" w:rsidP="00523181">
      <w:pPr>
        <w:pStyle w:val="Definition"/>
      </w:pPr>
      <w:r w:rsidRPr="004B1042">
        <w:rPr>
          <w:b/>
          <w:i/>
        </w:rPr>
        <w:t>conversion instrument</w:t>
      </w:r>
      <w:r w:rsidRPr="004B1042">
        <w:t xml:space="preserve"> means the </w:t>
      </w:r>
      <w:r w:rsidRPr="004B1042">
        <w:rPr>
          <w:bCs/>
          <w:i/>
          <w:iCs/>
        </w:rPr>
        <w:t>Migration (Payment of Visa Application Charges and Fees in Foreign Currencies) Instrument (LIN 21/003) 2021 (No. 2)</w:t>
      </w:r>
      <w:r w:rsidRPr="004B1042">
        <w:t xml:space="preserve"> as in force on </w:t>
      </w:r>
      <w:r w:rsidR="00AD234F" w:rsidRPr="004B1042">
        <w:t>1 July</w:t>
      </w:r>
      <w:r w:rsidRPr="004B1042">
        <w:t xml:space="preserve"> 2021.</w:t>
      </w:r>
    </w:p>
    <w:p w14:paraId="11CF5E3C" w14:textId="77777777" w:rsidR="00523181" w:rsidRPr="004B1042" w:rsidRDefault="00523181" w:rsidP="00523181">
      <w:pPr>
        <w:pStyle w:val="Definition"/>
      </w:pPr>
      <w:r w:rsidRPr="004B1042">
        <w:rPr>
          <w:b/>
          <w:i/>
        </w:rPr>
        <w:t>places and currencies instrument</w:t>
      </w:r>
      <w:r w:rsidRPr="004B1042">
        <w:t xml:space="preserve"> means the </w:t>
      </w:r>
      <w:r w:rsidRPr="004B1042">
        <w:rPr>
          <w:bCs/>
          <w:i/>
          <w:iCs/>
        </w:rPr>
        <w:t>Migration (Places and Currencies for Paying of Fees) Instrument (LIN 21/004) 2021 (No. 2)</w:t>
      </w:r>
      <w:r w:rsidRPr="004B1042">
        <w:t xml:space="preserve"> as in force on </w:t>
      </w:r>
      <w:r w:rsidR="00AD234F" w:rsidRPr="004B1042">
        <w:t>1 July</w:t>
      </w:r>
      <w:r w:rsidRPr="004B1042">
        <w:t xml:space="preserve"> 2021.</w:t>
      </w:r>
    </w:p>
    <w:p w14:paraId="5B5ED1BA" w14:textId="77777777" w:rsidR="008F44A7" w:rsidRPr="004B1042" w:rsidRDefault="00523181" w:rsidP="008F44A7">
      <w:pPr>
        <w:pStyle w:val="ActHead6"/>
        <w:pageBreakBefore/>
      </w:pPr>
      <w:bookmarkStart w:id="27" w:name="_Toc72937731"/>
      <w:bookmarkStart w:id="28" w:name="opcCurrentFind"/>
      <w:r w:rsidRPr="00154C09">
        <w:rPr>
          <w:rStyle w:val="CharAmSchNo"/>
        </w:rPr>
        <w:t>Schedule 7</w:t>
      </w:r>
      <w:r w:rsidR="008F44A7" w:rsidRPr="004B1042">
        <w:t>—</w:t>
      </w:r>
      <w:r w:rsidR="008F44A7" w:rsidRPr="00154C09">
        <w:rPr>
          <w:rStyle w:val="CharAmSchText"/>
        </w:rPr>
        <w:t>Application, saving and transitional provisions</w:t>
      </w:r>
      <w:bookmarkEnd w:id="27"/>
    </w:p>
    <w:bookmarkEnd w:id="28"/>
    <w:p w14:paraId="5FA0B3AC" w14:textId="77777777" w:rsidR="00A062A4" w:rsidRPr="00154C09" w:rsidRDefault="00A062A4" w:rsidP="00A062A4">
      <w:pPr>
        <w:pStyle w:val="Header"/>
      </w:pPr>
      <w:r w:rsidRPr="00154C09">
        <w:rPr>
          <w:rStyle w:val="CharAmPartNo"/>
        </w:rPr>
        <w:t xml:space="preserve"> </w:t>
      </w:r>
      <w:r w:rsidRPr="00154C09">
        <w:rPr>
          <w:rStyle w:val="CharAmPartText"/>
        </w:rPr>
        <w:t xml:space="preserve"> </w:t>
      </w:r>
    </w:p>
    <w:p w14:paraId="3319A4ED" w14:textId="77777777" w:rsidR="003B269D" w:rsidRPr="004B1042" w:rsidRDefault="003B269D" w:rsidP="003B269D">
      <w:pPr>
        <w:pStyle w:val="ActHead9"/>
      </w:pPr>
      <w:bookmarkStart w:id="29" w:name="_Toc72937732"/>
      <w:r w:rsidRPr="004B1042">
        <w:t>Australian Citizenship Regulation 2016</w:t>
      </w:r>
      <w:bookmarkEnd w:id="29"/>
    </w:p>
    <w:p w14:paraId="79D8F0F6" w14:textId="77777777" w:rsidR="003B269D" w:rsidRPr="004B1042" w:rsidRDefault="003B269D" w:rsidP="003B269D">
      <w:pPr>
        <w:pStyle w:val="ItemHead"/>
      </w:pPr>
      <w:r w:rsidRPr="004B1042">
        <w:t>1  In the appropriate position in Part 4</w:t>
      </w:r>
    </w:p>
    <w:p w14:paraId="12A0F78B" w14:textId="77777777" w:rsidR="003B269D" w:rsidRPr="004B1042" w:rsidRDefault="003B269D" w:rsidP="003B269D">
      <w:pPr>
        <w:pStyle w:val="Item"/>
      </w:pPr>
      <w:r w:rsidRPr="004B1042">
        <w:t>Insert:</w:t>
      </w:r>
    </w:p>
    <w:p w14:paraId="444551CF" w14:textId="77777777" w:rsidR="003B269D" w:rsidRPr="004B1042" w:rsidRDefault="003B269D" w:rsidP="003B269D">
      <w:pPr>
        <w:pStyle w:val="ActHead5"/>
      </w:pPr>
      <w:bookmarkStart w:id="30" w:name="_Toc72937733"/>
      <w:r w:rsidRPr="00154C09">
        <w:rPr>
          <w:rStyle w:val="CharSectno"/>
        </w:rPr>
        <w:t>28</w:t>
      </w:r>
      <w:r w:rsidRPr="004B1042">
        <w:t xml:space="preserve">  Application of amendments made by Schedules 5 and 6 to the </w:t>
      </w:r>
      <w:r w:rsidRPr="004B1042">
        <w:rPr>
          <w:i/>
        </w:rPr>
        <w:t xml:space="preserve">Home Affairs Legislation Amendment (2021 Measures No. 1) </w:t>
      </w:r>
      <w:r w:rsidR="004B1042" w:rsidRPr="004B1042">
        <w:rPr>
          <w:i/>
        </w:rPr>
        <w:t>Regulations 2</w:t>
      </w:r>
      <w:r w:rsidRPr="004B1042">
        <w:rPr>
          <w:i/>
        </w:rPr>
        <w:t>021</w:t>
      </w:r>
      <w:bookmarkEnd w:id="30"/>
    </w:p>
    <w:p w14:paraId="32604286" w14:textId="77777777" w:rsidR="003B269D" w:rsidRPr="004B1042" w:rsidRDefault="003B269D" w:rsidP="003B269D">
      <w:pPr>
        <w:pStyle w:val="subsection"/>
      </w:pPr>
      <w:r w:rsidRPr="004B1042">
        <w:tab/>
      </w:r>
      <w:r w:rsidRPr="004B1042">
        <w:tab/>
        <w:t xml:space="preserve">The amendments of sections 16 and 17 and Schedule 3 made by Schedules 5 and 6 to the </w:t>
      </w:r>
      <w:r w:rsidRPr="004B1042">
        <w:rPr>
          <w:i/>
        </w:rPr>
        <w:t xml:space="preserve">Home Affairs Legislation Amendment (2021 Measures No. 1) </w:t>
      </w:r>
      <w:r w:rsidR="004B1042" w:rsidRPr="004B1042">
        <w:rPr>
          <w:i/>
        </w:rPr>
        <w:t>Regulations 2</w:t>
      </w:r>
      <w:r w:rsidRPr="004B1042">
        <w:rPr>
          <w:i/>
        </w:rPr>
        <w:t>021</w:t>
      </w:r>
      <w:r w:rsidRPr="004B1042">
        <w:t xml:space="preserve"> apply in relation to an application under a provision of the Act made on or after </w:t>
      </w:r>
      <w:r w:rsidR="00AD234F" w:rsidRPr="004B1042">
        <w:t>1 July</w:t>
      </w:r>
      <w:r w:rsidRPr="004B1042">
        <w:t xml:space="preserve"> 2021.</w:t>
      </w:r>
    </w:p>
    <w:p w14:paraId="31E4DDBB" w14:textId="77777777" w:rsidR="003B269D" w:rsidRPr="004B1042" w:rsidRDefault="003B269D" w:rsidP="003B269D">
      <w:pPr>
        <w:pStyle w:val="ActHead5"/>
      </w:pPr>
      <w:bookmarkStart w:id="31" w:name="_Toc72937734"/>
      <w:r w:rsidRPr="00154C09">
        <w:rPr>
          <w:rStyle w:val="CharSectno"/>
        </w:rPr>
        <w:t>29</w:t>
      </w:r>
      <w:r w:rsidRPr="004B1042">
        <w:t xml:space="preserve">  Fee for applications for evidence of citizenship where certain applications for citizenship approved after </w:t>
      </w:r>
      <w:r w:rsidR="00AD234F" w:rsidRPr="004B1042">
        <w:t>1 July</w:t>
      </w:r>
      <w:r w:rsidRPr="004B1042">
        <w:t xml:space="preserve"> 2021</w:t>
      </w:r>
      <w:bookmarkEnd w:id="31"/>
    </w:p>
    <w:p w14:paraId="341B1A9D" w14:textId="77777777" w:rsidR="003B269D" w:rsidRPr="004B1042" w:rsidRDefault="003B269D" w:rsidP="003B269D">
      <w:pPr>
        <w:pStyle w:val="subsection"/>
      </w:pPr>
      <w:r w:rsidRPr="004B1042">
        <w:tab/>
        <w:t>(1)</w:t>
      </w:r>
      <w:r w:rsidRPr="004B1042">
        <w:tab/>
        <w:t xml:space="preserve">For the purposes of paragraph 46(1)(d) of the Act, the fee to accompany an application (the </w:t>
      </w:r>
      <w:r w:rsidRPr="004B1042">
        <w:rPr>
          <w:b/>
          <w:i/>
        </w:rPr>
        <w:t>evidence application</w:t>
      </w:r>
      <w:r w:rsidRPr="004B1042">
        <w:t>) under section 37 of the Act is nil if:</w:t>
      </w:r>
    </w:p>
    <w:p w14:paraId="0ED8BE0C" w14:textId="77777777" w:rsidR="003B269D" w:rsidRPr="004B1042" w:rsidRDefault="003B269D" w:rsidP="003B269D">
      <w:pPr>
        <w:pStyle w:val="paragraph"/>
      </w:pPr>
      <w:r w:rsidRPr="004B1042">
        <w:tab/>
        <w:t>(a)</w:t>
      </w:r>
      <w:r w:rsidRPr="004B1042">
        <w:tab/>
        <w:t>the applicant made an application</w:t>
      </w:r>
      <w:r w:rsidR="00DA6A6C" w:rsidRPr="004B1042">
        <w:t xml:space="preserve"> </w:t>
      </w:r>
      <w:r w:rsidRPr="004B1042">
        <w:t xml:space="preserve">under section 16 or 19C of the Act before </w:t>
      </w:r>
      <w:r w:rsidR="00AD234F" w:rsidRPr="004B1042">
        <w:t>1 July</w:t>
      </w:r>
      <w:r w:rsidRPr="004B1042">
        <w:t xml:space="preserve"> 2021; and</w:t>
      </w:r>
    </w:p>
    <w:p w14:paraId="2BFF9100" w14:textId="77777777" w:rsidR="003B269D" w:rsidRPr="004B1042" w:rsidRDefault="003B269D" w:rsidP="003B269D">
      <w:pPr>
        <w:pStyle w:val="paragraph"/>
      </w:pPr>
      <w:r w:rsidRPr="004B1042">
        <w:tab/>
        <w:t>(b)</w:t>
      </w:r>
      <w:r w:rsidRPr="004B1042">
        <w:tab/>
        <w:t xml:space="preserve">the Minister approves the applicant becoming an Australian citizen on or after </w:t>
      </w:r>
      <w:r w:rsidR="00AD234F" w:rsidRPr="004B1042">
        <w:t>1 July</w:t>
      </w:r>
      <w:r w:rsidRPr="004B1042">
        <w:t xml:space="preserve"> 2021; and</w:t>
      </w:r>
    </w:p>
    <w:p w14:paraId="066A8126" w14:textId="77777777" w:rsidR="001C631C" w:rsidRPr="004B1042" w:rsidRDefault="003B269D" w:rsidP="003B269D">
      <w:pPr>
        <w:pStyle w:val="paragraph"/>
      </w:pPr>
      <w:r w:rsidRPr="004B1042">
        <w:tab/>
        <w:t>(c)</w:t>
      </w:r>
      <w:r w:rsidRPr="004B1042">
        <w:tab/>
        <w:t>the evidence application is made within the period</w:t>
      </w:r>
      <w:r w:rsidR="001C631C" w:rsidRPr="004B1042">
        <w:t>:</w:t>
      </w:r>
    </w:p>
    <w:p w14:paraId="3EE9419B" w14:textId="77777777" w:rsidR="001C631C" w:rsidRPr="004B1042" w:rsidRDefault="001C631C" w:rsidP="001C631C">
      <w:pPr>
        <w:pStyle w:val="paragraphsub"/>
      </w:pPr>
      <w:r w:rsidRPr="004B1042">
        <w:tab/>
        <w:t>(i)</w:t>
      </w:r>
      <w:r w:rsidRPr="004B1042">
        <w:tab/>
      </w:r>
      <w:r w:rsidR="003B269D" w:rsidRPr="004B1042">
        <w:t xml:space="preserve">starting on </w:t>
      </w:r>
      <w:r w:rsidR="00AD234F" w:rsidRPr="004B1042">
        <w:t>1 July</w:t>
      </w:r>
      <w:r w:rsidR="00DA6A6C" w:rsidRPr="004B1042">
        <w:t xml:space="preserve"> 2021</w:t>
      </w:r>
      <w:r w:rsidRPr="004B1042">
        <w:t>;</w:t>
      </w:r>
      <w:r w:rsidR="00DA6A6C" w:rsidRPr="004B1042">
        <w:t xml:space="preserve"> and</w:t>
      </w:r>
    </w:p>
    <w:p w14:paraId="1586B6FF" w14:textId="77777777" w:rsidR="003B269D" w:rsidRPr="004B1042" w:rsidRDefault="001C631C" w:rsidP="001C631C">
      <w:pPr>
        <w:pStyle w:val="paragraphsub"/>
      </w:pPr>
      <w:r w:rsidRPr="004B1042">
        <w:tab/>
        <w:t>(ii)</w:t>
      </w:r>
      <w:r w:rsidRPr="004B1042">
        <w:tab/>
      </w:r>
      <w:r w:rsidR="00DA6A6C" w:rsidRPr="004B1042">
        <w:t xml:space="preserve">ending 6 months after the day </w:t>
      </w:r>
      <w:r w:rsidR="003B269D" w:rsidRPr="004B1042">
        <w:t>on which the Minister approves the applicant becoming an Australian citizen.</w:t>
      </w:r>
    </w:p>
    <w:p w14:paraId="6C270663" w14:textId="77777777" w:rsidR="003B269D" w:rsidRPr="004B1042" w:rsidRDefault="003B269D" w:rsidP="003B269D">
      <w:pPr>
        <w:pStyle w:val="subsection"/>
      </w:pPr>
      <w:r w:rsidRPr="004B1042">
        <w:tab/>
        <w:t>(2)</w:t>
      </w:r>
      <w:r w:rsidRPr="004B1042">
        <w:tab/>
        <w:t>Section 16 does not apply to the evidence application.</w:t>
      </w:r>
    </w:p>
    <w:p w14:paraId="302CF52F" w14:textId="77777777" w:rsidR="00F40EBD" w:rsidRPr="004B1042" w:rsidRDefault="00F40EBD" w:rsidP="00F40EBD">
      <w:pPr>
        <w:pStyle w:val="ActHead9"/>
      </w:pPr>
      <w:bookmarkStart w:id="32" w:name="_Toc72937735"/>
      <w:r w:rsidRPr="004B1042">
        <w:t>Migration Regulations 1994</w:t>
      </w:r>
      <w:bookmarkEnd w:id="32"/>
    </w:p>
    <w:p w14:paraId="47C6D13C" w14:textId="77777777" w:rsidR="00F40EBD" w:rsidRPr="004B1042" w:rsidRDefault="00F40EBD" w:rsidP="00F40EBD">
      <w:pPr>
        <w:pStyle w:val="ItemHead"/>
      </w:pPr>
      <w:r w:rsidRPr="004B1042">
        <w:t>2  In the appropriate position in Schedule 13</w:t>
      </w:r>
    </w:p>
    <w:p w14:paraId="3155B760" w14:textId="77777777" w:rsidR="00F40EBD" w:rsidRPr="004B1042" w:rsidRDefault="00F40EBD" w:rsidP="00F40EBD">
      <w:pPr>
        <w:pStyle w:val="Item"/>
      </w:pPr>
      <w:r w:rsidRPr="004B1042">
        <w:t>Insert:</w:t>
      </w:r>
    </w:p>
    <w:p w14:paraId="4068A9C7" w14:textId="77777777" w:rsidR="00F40EBD" w:rsidRPr="004B1042" w:rsidRDefault="00D865F1" w:rsidP="00F40EBD">
      <w:pPr>
        <w:pStyle w:val="ActHead2"/>
      </w:pPr>
      <w:bookmarkStart w:id="33" w:name="_Toc72937736"/>
      <w:r w:rsidRPr="00154C09">
        <w:rPr>
          <w:rStyle w:val="CharPartNo"/>
        </w:rPr>
        <w:t>Part 9</w:t>
      </w:r>
      <w:r w:rsidR="00F40EBD" w:rsidRPr="00154C09">
        <w:rPr>
          <w:rStyle w:val="CharPartNo"/>
        </w:rPr>
        <w:t>9</w:t>
      </w:r>
      <w:r w:rsidR="00F40EBD" w:rsidRPr="004B1042">
        <w:t>—</w:t>
      </w:r>
      <w:r w:rsidR="00F40EBD" w:rsidRPr="00154C09">
        <w:rPr>
          <w:rStyle w:val="CharPartText"/>
        </w:rPr>
        <w:t xml:space="preserve">Amendments made by the Home Affairs Legislation Amendment (2021 Measures No. 1) </w:t>
      </w:r>
      <w:r w:rsidR="004B1042" w:rsidRPr="00154C09">
        <w:rPr>
          <w:rStyle w:val="CharPartText"/>
        </w:rPr>
        <w:t>Regulations 2</w:t>
      </w:r>
      <w:r w:rsidR="00F40EBD" w:rsidRPr="00154C09">
        <w:rPr>
          <w:rStyle w:val="CharPartText"/>
        </w:rPr>
        <w:t>021</w:t>
      </w:r>
      <w:bookmarkEnd w:id="33"/>
    </w:p>
    <w:p w14:paraId="0A461136" w14:textId="77777777" w:rsidR="00F40EBD" w:rsidRPr="00154C09" w:rsidRDefault="00F40EBD" w:rsidP="00F40EBD">
      <w:pPr>
        <w:pStyle w:val="Header"/>
      </w:pPr>
      <w:r w:rsidRPr="00154C09">
        <w:rPr>
          <w:rStyle w:val="CharDivNo"/>
        </w:rPr>
        <w:t xml:space="preserve"> </w:t>
      </w:r>
      <w:r w:rsidRPr="00154C09">
        <w:rPr>
          <w:rStyle w:val="CharDivText"/>
        </w:rPr>
        <w:t xml:space="preserve"> </w:t>
      </w:r>
    </w:p>
    <w:p w14:paraId="3D0EF6E5" w14:textId="77777777" w:rsidR="00F40EBD" w:rsidRPr="004B1042" w:rsidRDefault="003B269D" w:rsidP="00F40EBD">
      <w:pPr>
        <w:pStyle w:val="ActHead5"/>
      </w:pPr>
      <w:bookmarkStart w:id="34" w:name="_Toc72937737"/>
      <w:r w:rsidRPr="00154C09">
        <w:rPr>
          <w:rStyle w:val="CharSectno"/>
        </w:rPr>
        <w:t>9901</w:t>
      </w:r>
      <w:r w:rsidR="00F40EBD" w:rsidRPr="004B1042">
        <w:t xml:space="preserve">  Operation of Schedule 1 (</w:t>
      </w:r>
      <w:r w:rsidR="00664CC8" w:rsidRPr="004B1042">
        <w:t xml:space="preserve">Business Innovation </w:t>
      </w:r>
      <w:r w:rsidR="00F40EBD" w:rsidRPr="004B1042">
        <w:t xml:space="preserve">and </w:t>
      </w:r>
      <w:r w:rsidR="00664CC8" w:rsidRPr="004B1042">
        <w:t>Investment Program</w:t>
      </w:r>
      <w:r w:rsidR="00F40EBD" w:rsidRPr="004B1042">
        <w:t>)</w:t>
      </w:r>
      <w:bookmarkEnd w:id="34"/>
    </w:p>
    <w:p w14:paraId="02228477" w14:textId="77777777" w:rsidR="00F40EBD" w:rsidRPr="004B1042" w:rsidRDefault="00F40EBD" w:rsidP="00F40EBD">
      <w:pPr>
        <w:pStyle w:val="subsection"/>
      </w:pPr>
      <w:r w:rsidRPr="004B1042">
        <w:tab/>
      </w:r>
      <w:r w:rsidRPr="004B1042">
        <w:tab/>
        <w:t xml:space="preserve">The amendments </w:t>
      </w:r>
      <w:r w:rsidR="00D1582B" w:rsidRPr="004B1042">
        <w:t xml:space="preserve">of these Regulations </w:t>
      </w:r>
      <w:r w:rsidRPr="004B1042">
        <w:t xml:space="preserve">made by Schedule 1 to the </w:t>
      </w:r>
      <w:r w:rsidRPr="004B1042">
        <w:rPr>
          <w:i/>
        </w:rPr>
        <w:t xml:space="preserve">Home Affairs Legislation Amendment (2021 Measures No. 1) </w:t>
      </w:r>
      <w:r w:rsidR="004B1042" w:rsidRPr="004B1042">
        <w:rPr>
          <w:i/>
        </w:rPr>
        <w:t>Regulations 2</w:t>
      </w:r>
      <w:r w:rsidRPr="004B1042">
        <w:rPr>
          <w:i/>
        </w:rPr>
        <w:t>021</w:t>
      </w:r>
      <w:r w:rsidRPr="004B1042">
        <w:t xml:space="preserve"> apply in relation to an application for a visa made on or after </w:t>
      </w:r>
      <w:r w:rsidR="00AD234F" w:rsidRPr="004B1042">
        <w:t>1 July</w:t>
      </w:r>
      <w:r w:rsidRPr="004B1042">
        <w:t xml:space="preserve"> 2021.</w:t>
      </w:r>
    </w:p>
    <w:p w14:paraId="01407179" w14:textId="77777777" w:rsidR="003B269D" w:rsidRPr="004B1042" w:rsidRDefault="003B269D" w:rsidP="003B269D">
      <w:pPr>
        <w:pStyle w:val="ActHead5"/>
      </w:pPr>
      <w:bookmarkStart w:id="35" w:name="_Toc72937738"/>
      <w:r w:rsidRPr="00154C09">
        <w:rPr>
          <w:rStyle w:val="CharSectno"/>
        </w:rPr>
        <w:t>9902</w:t>
      </w:r>
      <w:r w:rsidRPr="004B1042">
        <w:t xml:space="preserve">  Operation of Schedule 2 (working holiday maker visas)</w:t>
      </w:r>
      <w:bookmarkEnd w:id="35"/>
    </w:p>
    <w:p w14:paraId="204DD0D4" w14:textId="77777777" w:rsidR="003B269D" w:rsidRPr="004B1042" w:rsidRDefault="003B269D" w:rsidP="003B269D">
      <w:pPr>
        <w:pStyle w:val="subsection"/>
      </w:pPr>
      <w:r w:rsidRPr="004B1042">
        <w:tab/>
      </w:r>
      <w:r w:rsidRPr="004B1042">
        <w:tab/>
        <w:t xml:space="preserve">The amendments </w:t>
      </w:r>
      <w:r w:rsidR="00D1582B" w:rsidRPr="004B1042">
        <w:t xml:space="preserve">of these Regulations </w:t>
      </w:r>
      <w:r w:rsidRPr="004B1042">
        <w:t xml:space="preserve">made by Schedule 2 to the </w:t>
      </w:r>
      <w:r w:rsidRPr="004B1042">
        <w:rPr>
          <w:i/>
        </w:rPr>
        <w:t xml:space="preserve">Home Affairs Legislation Amendment (2021 Measures No. 1) </w:t>
      </w:r>
      <w:r w:rsidR="004B1042" w:rsidRPr="004B1042">
        <w:rPr>
          <w:i/>
        </w:rPr>
        <w:t>Regulations 2</w:t>
      </w:r>
      <w:r w:rsidRPr="004B1042">
        <w:rPr>
          <w:i/>
        </w:rPr>
        <w:t>021</w:t>
      </w:r>
      <w:r w:rsidRPr="004B1042">
        <w:t xml:space="preserve"> apply in relation to an application for a visa made on or after </w:t>
      </w:r>
      <w:r w:rsidR="00AD234F" w:rsidRPr="004B1042">
        <w:t>1 July</w:t>
      </w:r>
      <w:r w:rsidRPr="004B1042">
        <w:t xml:space="preserve"> 2021.</w:t>
      </w:r>
    </w:p>
    <w:p w14:paraId="64512362" w14:textId="77777777" w:rsidR="003B269D" w:rsidRPr="004B1042" w:rsidRDefault="003B269D" w:rsidP="003B269D">
      <w:pPr>
        <w:pStyle w:val="ActHead5"/>
      </w:pPr>
      <w:bookmarkStart w:id="36" w:name="_Toc72937739"/>
      <w:r w:rsidRPr="00154C09">
        <w:rPr>
          <w:rStyle w:val="CharSectno"/>
        </w:rPr>
        <w:t>9903</w:t>
      </w:r>
      <w:r w:rsidRPr="004B1042">
        <w:t xml:space="preserve">  Operation of Schedule 3</w:t>
      </w:r>
      <w:r w:rsidR="00664CC8" w:rsidRPr="004B1042">
        <w:t xml:space="preserve"> (bridging visa amendments)</w:t>
      </w:r>
      <w:bookmarkEnd w:id="36"/>
    </w:p>
    <w:p w14:paraId="17C75383" w14:textId="77777777" w:rsidR="003B269D" w:rsidRPr="004B1042" w:rsidRDefault="003B269D" w:rsidP="003B269D">
      <w:pPr>
        <w:pStyle w:val="subsection"/>
      </w:pPr>
      <w:r w:rsidRPr="004B1042">
        <w:tab/>
        <w:t>(1)</w:t>
      </w:r>
      <w:r w:rsidRPr="004B1042">
        <w:tab/>
        <w:t xml:space="preserve">The amendments of these Regulations made by items 1 to 4 of Schedule 3 to the </w:t>
      </w:r>
      <w:r w:rsidRPr="004B1042">
        <w:rPr>
          <w:i/>
        </w:rPr>
        <w:t xml:space="preserve">Home Affairs Legislation Amendment (2021 Measures No. 1) </w:t>
      </w:r>
      <w:r w:rsidR="004B1042" w:rsidRPr="004B1042">
        <w:rPr>
          <w:i/>
        </w:rPr>
        <w:t>Regulations 2</w:t>
      </w:r>
      <w:r w:rsidRPr="004B1042">
        <w:rPr>
          <w:i/>
        </w:rPr>
        <w:t xml:space="preserve">021 </w:t>
      </w:r>
      <w:r w:rsidRPr="004B1042">
        <w:t>apply in relation to a Bridging E (Class WE) visa:</w:t>
      </w:r>
    </w:p>
    <w:p w14:paraId="54DB8FC5" w14:textId="77777777" w:rsidR="003B269D" w:rsidRPr="004B1042" w:rsidRDefault="003B269D" w:rsidP="003B269D">
      <w:pPr>
        <w:pStyle w:val="paragraph"/>
      </w:pPr>
      <w:r w:rsidRPr="004B1042">
        <w:tab/>
        <w:t>(a)</w:t>
      </w:r>
      <w:r w:rsidRPr="004B1042">
        <w:tab/>
        <w:t xml:space="preserve">granted as a result of an application for the visa made on or after </w:t>
      </w:r>
      <w:r w:rsidR="00AD234F" w:rsidRPr="004B1042">
        <w:t>1 July</w:t>
      </w:r>
      <w:r w:rsidRPr="004B1042">
        <w:t xml:space="preserve"> 2021; or</w:t>
      </w:r>
    </w:p>
    <w:p w14:paraId="062767D7" w14:textId="77777777" w:rsidR="003B269D" w:rsidRPr="004B1042" w:rsidRDefault="003B269D" w:rsidP="003B269D">
      <w:pPr>
        <w:pStyle w:val="paragraph"/>
      </w:pPr>
      <w:r w:rsidRPr="004B1042">
        <w:tab/>
        <w:t>(b)</w:t>
      </w:r>
      <w:r w:rsidRPr="004B1042">
        <w:tab/>
        <w:t xml:space="preserve">granted by the Minister under regulation 2.25 on or after </w:t>
      </w:r>
      <w:r w:rsidR="00AD234F" w:rsidRPr="004B1042">
        <w:t>1 July</w:t>
      </w:r>
      <w:r w:rsidRPr="004B1042">
        <w:t xml:space="preserve"> 2021.</w:t>
      </w:r>
    </w:p>
    <w:p w14:paraId="30C74C78" w14:textId="77777777" w:rsidR="003B269D" w:rsidRPr="004B1042" w:rsidRDefault="003B269D" w:rsidP="003B269D">
      <w:pPr>
        <w:pStyle w:val="subsection"/>
      </w:pPr>
      <w:r w:rsidRPr="004B1042">
        <w:tab/>
        <w:t>(2)</w:t>
      </w:r>
      <w:r w:rsidRPr="004B1042">
        <w:tab/>
        <w:t xml:space="preserve">The amendment of these Regulations made by item 5 of Schedule 3 to the </w:t>
      </w:r>
      <w:r w:rsidRPr="004B1042">
        <w:rPr>
          <w:i/>
        </w:rPr>
        <w:t xml:space="preserve">Home Affairs Legislation Amendment (2021 Measures No. 1) </w:t>
      </w:r>
      <w:r w:rsidR="004B1042" w:rsidRPr="004B1042">
        <w:rPr>
          <w:i/>
        </w:rPr>
        <w:t>Regulations 2</w:t>
      </w:r>
      <w:r w:rsidRPr="004B1042">
        <w:rPr>
          <w:i/>
        </w:rPr>
        <w:t>021</w:t>
      </w:r>
      <w:r w:rsidRPr="004B1042">
        <w:t xml:space="preserve"> applies in relation to a visa granted on or after </w:t>
      </w:r>
      <w:r w:rsidR="00AD234F" w:rsidRPr="004B1042">
        <w:t>1 July</w:t>
      </w:r>
      <w:r w:rsidRPr="004B1042">
        <w:t xml:space="preserve"> 2021.</w:t>
      </w:r>
    </w:p>
    <w:sectPr w:rsidR="003B269D" w:rsidRPr="004B1042" w:rsidSect="00E95BCC">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6EA4E" w14:textId="77777777" w:rsidR="0092219F" w:rsidRDefault="0092219F" w:rsidP="0048364F">
      <w:pPr>
        <w:spacing w:line="240" w:lineRule="auto"/>
      </w:pPr>
      <w:r>
        <w:separator/>
      </w:r>
    </w:p>
  </w:endnote>
  <w:endnote w:type="continuationSeparator" w:id="0">
    <w:p w14:paraId="0C7546C7" w14:textId="77777777" w:rsidR="0092219F" w:rsidRDefault="0092219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AAA96DB9-D24A-4E68-9FE6-630B671B1717}"/>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9FC3" w14:textId="77777777" w:rsidR="0092219F" w:rsidRPr="00E95BCC" w:rsidRDefault="00E95BCC" w:rsidP="00E95BCC">
    <w:pPr>
      <w:pStyle w:val="Footer"/>
      <w:tabs>
        <w:tab w:val="clear" w:pos="4153"/>
        <w:tab w:val="clear" w:pos="8306"/>
        <w:tab w:val="center" w:pos="4150"/>
        <w:tab w:val="right" w:pos="8307"/>
      </w:tabs>
      <w:spacing w:before="120"/>
      <w:rPr>
        <w:i/>
        <w:sz w:val="18"/>
      </w:rPr>
    </w:pPr>
    <w:r w:rsidRPr="00E95BCC">
      <w:rPr>
        <w:i/>
        <w:sz w:val="18"/>
      </w:rPr>
      <w:t>OPC65243 -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2A13A" w14:textId="77777777" w:rsidR="0092219F" w:rsidRDefault="0092219F" w:rsidP="00E97334"/>
  <w:p w14:paraId="00B02150" w14:textId="77777777" w:rsidR="0092219F" w:rsidRPr="00E95BCC" w:rsidRDefault="00E95BCC" w:rsidP="00E95BCC">
    <w:pPr>
      <w:rPr>
        <w:rFonts w:cs="Times New Roman"/>
        <w:i/>
        <w:sz w:val="18"/>
      </w:rPr>
    </w:pPr>
    <w:r w:rsidRPr="00E95BCC">
      <w:rPr>
        <w:rFonts w:cs="Times New Roman"/>
        <w:i/>
        <w:sz w:val="18"/>
      </w:rPr>
      <w:t>OPC65243 -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0180" w14:textId="77777777" w:rsidR="0092219F" w:rsidRPr="00E95BCC" w:rsidRDefault="00E95BCC" w:rsidP="00E95BCC">
    <w:pPr>
      <w:pStyle w:val="Footer"/>
      <w:tabs>
        <w:tab w:val="clear" w:pos="4153"/>
        <w:tab w:val="clear" w:pos="8306"/>
        <w:tab w:val="center" w:pos="4150"/>
        <w:tab w:val="right" w:pos="8307"/>
      </w:tabs>
      <w:spacing w:before="120"/>
      <w:rPr>
        <w:i/>
        <w:sz w:val="18"/>
      </w:rPr>
    </w:pPr>
    <w:r w:rsidRPr="00E95BCC">
      <w:rPr>
        <w:i/>
        <w:sz w:val="18"/>
      </w:rPr>
      <w:t>OPC65243 -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53098" w14:textId="77777777" w:rsidR="0092219F" w:rsidRPr="00E33C1C" w:rsidRDefault="0092219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219F" w14:paraId="660F8703" w14:textId="77777777" w:rsidTr="008761AE">
      <w:tc>
        <w:tcPr>
          <w:tcW w:w="709" w:type="dxa"/>
          <w:tcBorders>
            <w:top w:val="nil"/>
            <w:left w:val="nil"/>
            <w:bottom w:val="nil"/>
            <w:right w:val="nil"/>
          </w:tcBorders>
        </w:tcPr>
        <w:p w14:paraId="6EB61075" w14:textId="77777777" w:rsidR="0092219F" w:rsidRDefault="0092219F" w:rsidP="00045F6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9A23F28" w14:textId="3C5B3E7D" w:rsidR="0092219F" w:rsidRDefault="0092219F" w:rsidP="00045F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85755">
            <w:rPr>
              <w:i/>
              <w:sz w:val="18"/>
            </w:rPr>
            <w:t>Home Affairs Legislation Amendment (2021 Measures No. 1) Regulations 2021</w:t>
          </w:r>
          <w:r w:rsidRPr="007A1328">
            <w:rPr>
              <w:i/>
              <w:sz w:val="18"/>
            </w:rPr>
            <w:fldChar w:fldCharType="end"/>
          </w:r>
        </w:p>
      </w:tc>
      <w:tc>
        <w:tcPr>
          <w:tcW w:w="1384" w:type="dxa"/>
          <w:tcBorders>
            <w:top w:val="nil"/>
            <w:left w:val="nil"/>
            <w:bottom w:val="nil"/>
            <w:right w:val="nil"/>
          </w:tcBorders>
        </w:tcPr>
        <w:p w14:paraId="405DB5AD" w14:textId="77777777" w:rsidR="0092219F" w:rsidRDefault="0092219F" w:rsidP="00045F60">
          <w:pPr>
            <w:spacing w:line="0" w:lineRule="atLeast"/>
            <w:jc w:val="right"/>
            <w:rPr>
              <w:sz w:val="18"/>
            </w:rPr>
          </w:pPr>
        </w:p>
      </w:tc>
    </w:tr>
  </w:tbl>
  <w:p w14:paraId="7CBB5DC5" w14:textId="77777777" w:rsidR="0092219F" w:rsidRPr="00E95BCC" w:rsidRDefault="00E95BCC" w:rsidP="00E95BCC">
    <w:pPr>
      <w:rPr>
        <w:rFonts w:cs="Times New Roman"/>
        <w:i/>
        <w:sz w:val="18"/>
      </w:rPr>
    </w:pPr>
    <w:r w:rsidRPr="00E95BCC">
      <w:rPr>
        <w:rFonts w:cs="Times New Roman"/>
        <w:i/>
        <w:sz w:val="18"/>
      </w:rPr>
      <w:t>OPC65243 -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9036" w14:textId="77777777" w:rsidR="0092219F" w:rsidRPr="00E33C1C" w:rsidRDefault="0092219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2219F" w14:paraId="45155E51" w14:textId="77777777" w:rsidTr="008761AE">
      <w:tc>
        <w:tcPr>
          <w:tcW w:w="1383" w:type="dxa"/>
          <w:tcBorders>
            <w:top w:val="nil"/>
            <w:left w:val="nil"/>
            <w:bottom w:val="nil"/>
            <w:right w:val="nil"/>
          </w:tcBorders>
        </w:tcPr>
        <w:p w14:paraId="44F25310" w14:textId="77777777" w:rsidR="0092219F" w:rsidRDefault="0092219F" w:rsidP="00045F60">
          <w:pPr>
            <w:spacing w:line="0" w:lineRule="atLeast"/>
            <w:rPr>
              <w:sz w:val="18"/>
            </w:rPr>
          </w:pPr>
        </w:p>
      </w:tc>
      <w:tc>
        <w:tcPr>
          <w:tcW w:w="6379" w:type="dxa"/>
          <w:tcBorders>
            <w:top w:val="nil"/>
            <w:left w:val="nil"/>
            <w:bottom w:val="nil"/>
            <w:right w:val="nil"/>
          </w:tcBorders>
        </w:tcPr>
        <w:p w14:paraId="1F6978F0" w14:textId="29BC65BB" w:rsidR="0092219F" w:rsidRDefault="0092219F" w:rsidP="00045F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85755">
            <w:rPr>
              <w:i/>
              <w:sz w:val="18"/>
            </w:rPr>
            <w:t>Home Affairs Legislation Amendment (2021 Measures No. 1) Regulations 2021</w:t>
          </w:r>
          <w:r w:rsidRPr="007A1328">
            <w:rPr>
              <w:i/>
              <w:sz w:val="18"/>
            </w:rPr>
            <w:fldChar w:fldCharType="end"/>
          </w:r>
        </w:p>
      </w:tc>
      <w:tc>
        <w:tcPr>
          <w:tcW w:w="710" w:type="dxa"/>
          <w:tcBorders>
            <w:top w:val="nil"/>
            <w:left w:val="nil"/>
            <w:bottom w:val="nil"/>
            <w:right w:val="nil"/>
          </w:tcBorders>
        </w:tcPr>
        <w:p w14:paraId="2C5146C9" w14:textId="77777777" w:rsidR="0092219F" w:rsidRDefault="0092219F" w:rsidP="00045F6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FD02656" w14:textId="77777777" w:rsidR="0092219F" w:rsidRPr="00E95BCC" w:rsidRDefault="00E95BCC" w:rsidP="00E95BCC">
    <w:pPr>
      <w:rPr>
        <w:rFonts w:cs="Times New Roman"/>
        <w:i/>
        <w:sz w:val="18"/>
      </w:rPr>
    </w:pPr>
    <w:r w:rsidRPr="00E95BCC">
      <w:rPr>
        <w:rFonts w:cs="Times New Roman"/>
        <w:i/>
        <w:sz w:val="18"/>
      </w:rPr>
      <w:t>OPC65243 -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4A76" w14:textId="77777777" w:rsidR="0092219F" w:rsidRPr="00E33C1C" w:rsidRDefault="0092219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2219F" w14:paraId="60E06BD3" w14:textId="77777777" w:rsidTr="008761AE">
      <w:tc>
        <w:tcPr>
          <w:tcW w:w="709" w:type="dxa"/>
          <w:tcBorders>
            <w:top w:val="nil"/>
            <w:left w:val="nil"/>
            <w:bottom w:val="nil"/>
            <w:right w:val="nil"/>
          </w:tcBorders>
        </w:tcPr>
        <w:p w14:paraId="72AE4E3B" w14:textId="77777777" w:rsidR="0092219F" w:rsidRDefault="0092219F" w:rsidP="00045F6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3FC2492" w14:textId="21F3EC7C" w:rsidR="0092219F" w:rsidRDefault="0092219F" w:rsidP="00045F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85755">
            <w:rPr>
              <w:i/>
              <w:sz w:val="18"/>
            </w:rPr>
            <w:t>Home Affairs Legislation Amendment (2021 Measures No. 1) Regulations 2021</w:t>
          </w:r>
          <w:r w:rsidRPr="007A1328">
            <w:rPr>
              <w:i/>
              <w:sz w:val="18"/>
            </w:rPr>
            <w:fldChar w:fldCharType="end"/>
          </w:r>
        </w:p>
      </w:tc>
      <w:tc>
        <w:tcPr>
          <w:tcW w:w="1384" w:type="dxa"/>
          <w:tcBorders>
            <w:top w:val="nil"/>
            <w:left w:val="nil"/>
            <w:bottom w:val="nil"/>
            <w:right w:val="nil"/>
          </w:tcBorders>
        </w:tcPr>
        <w:p w14:paraId="1B13C7B0" w14:textId="77777777" w:rsidR="0092219F" w:rsidRDefault="0092219F" w:rsidP="00045F60">
          <w:pPr>
            <w:spacing w:line="0" w:lineRule="atLeast"/>
            <w:jc w:val="right"/>
            <w:rPr>
              <w:sz w:val="18"/>
            </w:rPr>
          </w:pPr>
        </w:p>
      </w:tc>
    </w:tr>
  </w:tbl>
  <w:p w14:paraId="1C956308" w14:textId="77777777" w:rsidR="0092219F" w:rsidRPr="00E95BCC" w:rsidRDefault="00E95BCC" w:rsidP="00E95BCC">
    <w:pPr>
      <w:rPr>
        <w:rFonts w:cs="Times New Roman"/>
        <w:i/>
        <w:sz w:val="18"/>
      </w:rPr>
    </w:pPr>
    <w:r w:rsidRPr="00E95BCC">
      <w:rPr>
        <w:rFonts w:cs="Times New Roman"/>
        <w:i/>
        <w:sz w:val="18"/>
      </w:rPr>
      <w:t>OPC65243 -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BF7F8" w14:textId="77777777" w:rsidR="0092219F" w:rsidRPr="00E33C1C" w:rsidRDefault="0092219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2219F" w14:paraId="34708B56" w14:textId="77777777" w:rsidTr="00045F60">
      <w:tc>
        <w:tcPr>
          <w:tcW w:w="1384" w:type="dxa"/>
          <w:tcBorders>
            <w:top w:val="nil"/>
            <w:left w:val="nil"/>
            <w:bottom w:val="nil"/>
            <w:right w:val="nil"/>
          </w:tcBorders>
        </w:tcPr>
        <w:p w14:paraId="1234A04A" w14:textId="77777777" w:rsidR="0092219F" w:rsidRDefault="0092219F" w:rsidP="00045F60">
          <w:pPr>
            <w:spacing w:line="0" w:lineRule="atLeast"/>
            <w:rPr>
              <w:sz w:val="18"/>
            </w:rPr>
          </w:pPr>
        </w:p>
      </w:tc>
      <w:tc>
        <w:tcPr>
          <w:tcW w:w="6379" w:type="dxa"/>
          <w:tcBorders>
            <w:top w:val="nil"/>
            <w:left w:val="nil"/>
            <w:bottom w:val="nil"/>
            <w:right w:val="nil"/>
          </w:tcBorders>
        </w:tcPr>
        <w:p w14:paraId="07F5FD65" w14:textId="0F418CCC" w:rsidR="0092219F" w:rsidRDefault="0092219F" w:rsidP="00045F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85755">
            <w:rPr>
              <w:i/>
              <w:sz w:val="18"/>
            </w:rPr>
            <w:t>Home Affairs Legislation Amendment (2021 Measures No. 1) Regulations 2021</w:t>
          </w:r>
          <w:r w:rsidRPr="007A1328">
            <w:rPr>
              <w:i/>
              <w:sz w:val="18"/>
            </w:rPr>
            <w:fldChar w:fldCharType="end"/>
          </w:r>
        </w:p>
      </w:tc>
      <w:tc>
        <w:tcPr>
          <w:tcW w:w="709" w:type="dxa"/>
          <w:tcBorders>
            <w:top w:val="nil"/>
            <w:left w:val="nil"/>
            <w:bottom w:val="nil"/>
            <w:right w:val="nil"/>
          </w:tcBorders>
        </w:tcPr>
        <w:p w14:paraId="0306BC40" w14:textId="77777777" w:rsidR="0092219F" w:rsidRDefault="0092219F" w:rsidP="00045F6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C9E42E7" w14:textId="77777777" w:rsidR="0092219F" w:rsidRPr="00E95BCC" w:rsidRDefault="00E95BCC" w:rsidP="00E95BCC">
    <w:pPr>
      <w:rPr>
        <w:rFonts w:cs="Times New Roman"/>
        <w:i/>
        <w:sz w:val="18"/>
      </w:rPr>
    </w:pPr>
    <w:r w:rsidRPr="00E95BCC">
      <w:rPr>
        <w:rFonts w:cs="Times New Roman"/>
        <w:i/>
        <w:sz w:val="18"/>
      </w:rPr>
      <w:t>OPC65243 -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8BAC" w14:textId="77777777" w:rsidR="0092219F" w:rsidRPr="00E33C1C" w:rsidRDefault="0092219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2219F" w14:paraId="4B5F54A0" w14:textId="77777777" w:rsidTr="007A6863">
      <w:tc>
        <w:tcPr>
          <w:tcW w:w="1384" w:type="dxa"/>
          <w:tcBorders>
            <w:top w:val="nil"/>
            <w:left w:val="nil"/>
            <w:bottom w:val="nil"/>
            <w:right w:val="nil"/>
          </w:tcBorders>
        </w:tcPr>
        <w:p w14:paraId="2A7B0F37" w14:textId="77777777" w:rsidR="0092219F" w:rsidRDefault="0092219F" w:rsidP="00045F60">
          <w:pPr>
            <w:spacing w:line="0" w:lineRule="atLeast"/>
            <w:rPr>
              <w:sz w:val="18"/>
            </w:rPr>
          </w:pPr>
        </w:p>
      </w:tc>
      <w:tc>
        <w:tcPr>
          <w:tcW w:w="6379" w:type="dxa"/>
          <w:tcBorders>
            <w:top w:val="nil"/>
            <w:left w:val="nil"/>
            <w:bottom w:val="nil"/>
            <w:right w:val="nil"/>
          </w:tcBorders>
        </w:tcPr>
        <w:p w14:paraId="4E0380A1" w14:textId="561A9FB9" w:rsidR="0092219F" w:rsidRDefault="0092219F" w:rsidP="00045F6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85755">
            <w:rPr>
              <w:i/>
              <w:sz w:val="18"/>
            </w:rPr>
            <w:t>Home Affairs Legislation Amendment (2021 Measures No. 1) Regulations 2021</w:t>
          </w:r>
          <w:r w:rsidRPr="007A1328">
            <w:rPr>
              <w:i/>
              <w:sz w:val="18"/>
            </w:rPr>
            <w:fldChar w:fldCharType="end"/>
          </w:r>
        </w:p>
      </w:tc>
      <w:tc>
        <w:tcPr>
          <w:tcW w:w="709" w:type="dxa"/>
          <w:tcBorders>
            <w:top w:val="nil"/>
            <w:left w:val="nil"/>
            <w:bottom w:val="nil"/>
            <w:right w:val="nil"/>
          </w:tcBorders>
        </w:tcPr>
        <w:p w14:paraId="776A7D8C" w14:textId="77777777" w:rsidR="0092219F" w:rsidRDefault="0092219F" w:rsidP="00045F6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233E6634" w14:textId="77777777" w:rsidR="0092219F" w:rsidRPr="00E95BCC" w:rsidRDefault="00E95BCC" w:rsidP="00E95BCC">
    <w:pPr>
      <w:rPr>
        <w:rFonts w:cs="Times New Roman"/>
        <w:i/>
        <w:sz w:val="18"/>
      </w:rPr>
    </w:pPr>
    <w:r w:rsidRPr="00E95BCC">
      <w:rPr>
        <w:rFonts w:cs="Times New Roman"/>
        <w:i/>
        <w:sz w:val="18"/>
      </w:rPr>
      <w:t>OPC65243 -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C642E" w14:textId="77777777" w:rsidR="0092219F" w:rsidRDefault="0092219F" w:rsidP="0048364F">
      <w:pPr>
        <w:spacing w:line="240" w:lineRule="auto"/>
      </w:pPr>
      <w:r>
        <w:separator/>
      </w:r>
    </w:p>
  </w:footnote>
  <w:footnote w:type="continuationSeparator" w:id="0">
    <w:p w14:paraId="09F15C99" w14:textId="77777777" w:rsidR="0092219F" w:rsidRDefault="0092219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1A9E" w14:textId="77777777" w:rsidR="0092219F" w:rsidRPr="005F1388" w:rsidRDefault="0092219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AC21" w14:textId="77777777" w:rsidR="0092219F" w:rsidRPr="005F1388" w:rsidRDefault="0092219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C07E" w14:textId="77777777" w:rsidR="0092219F" w:rsidRPr="005F1388" w:rsidRDefault="0092219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D5767" w14:textId="77777777" w:rsidR="0092219F" w:rsidRPr="00ED79B6" w:rsidRDefault="0092219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3CDD" w14:textId="77777777" w:rsidR="0092219F" w:rsidRPr="00ED79B6" w:rsidRDefault="0092219F"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C66C9" w14:textId="77777777" w:rsidR="0092219F" w:rsidRPr="00ED79B6" w:rsidRDefault="0092219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3F358" w14:textId="7B78D106" w:rsidR="0092219F" w:rsidRPr="00A961C4" w:rsidRDefault="0092219F" w:rsidP="0048364F">
    <w:pPr>
      <w:rPr>
        <w:b/>
        <w:sz w:val="20"/>
      </w:rPr>
    </w:pPr>
    <w:r>
      <w:rPr>
        <w:b/>
        <w:sz w:val="20"/>
      </w:rPr>
      <w:fldChar w:fldCharType="begin"/>
    </w:r>
    <w:r>
      <w:rPr>
        <w:b/>
        <w:sz w:val="20"/>
      </w:rPr>
      <w:instrText xml:space="preserve"> STYLEREF CharAmSchNo </w:instrText>
    </w:r>
    <w:r w:rsidR="008E5A8B">
      <w:rPr>
        <w:b/>
        <w:sz w:val="20"/>
      </w:rPr>
      <w:fldChar w:fldCharType="separate"/>
    </w:r>
    <w:r w:rsidR="008E5A8B">
      <w:rPr>
        <w:b/>
        <w:noProof/>
        <w:sz w:val="20"/>
      </w:rPr>
      <w:t>Schedule 7</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E5A8B">
      <w:rPr>
        <w:sz w:val="20"/>
      </w:rPr>
      <w:fldChar w:fldCharType="separate"/>
    </w:r>
    <w:r w:rsidR="008E5A8B">
      <w:rPr>
        <w:noProof/>
        <w:sz w:val="20"/>
      </w:rPr>
      <w:t>Application, saving and transitional provisions</w:t>
    </w:r>
    <w:r>
      <w:rPr>
        <w:sz w:val="20"/>
      </w:rPr>
      <w:fldChar w:fldCharType="end"/>
    </w:r>
  </w:p>
  <w:p w14:paraId="3F8B421F" w14:textId="09CE8BE7" w:rsidR="0092219F" w:rsidRPr="00A961C4" w:rsidRDefault="0092219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C748038" w14:textId="77777777" w:rsidR="0092219F" w:rsidRPr="00A961C4" w:rsidRDefault="0092219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1FE7" w14:textId="7D7D5AC8" w:rsidR="0092219F" w:rsidRPr="00A961C4" w:rsidRDefault="0092219F"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4CFAC5E" w14:textId="014B85DB" w:rsidR="0092219F" w:rsidRPr="00A961C4" w:rsidRDefault="0092219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E148EFB" w14:textId="77777777" w:rsidR="0092219F" w:rsidRPr="00A961C4" w:rsidRDefault="0092219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56B5" w14:textId="77777777" w:rsidR="0092219F" w:rsidRPr="00A961C4" w:rsidRDefault="0092219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53A4"/>
    <w:rsid w:val="00000263"/>
    <w:rsid w:val="000113BC"/>
    <w:rsid w:val="000136AF"/>
    <w:rsid w:val="00022957"/>
    <w:rsid w:val="000277DF"/>
    <w:rsid w:val="0004044E"/>
    <w:rsid w:val="00045F60"/>
    <w:rsid w:val="00046F47"/>
    <w:rsid w:val="0005120E"/>
    <w:rsid w:val="00054577"/>
    <w:rsid w:val="0005522B"/>
    <w:rsid w:val="000614BF"/>
    <w:rsid w:val="0007169C"/>
    <w:rsid w:val="00077593"/>
    <w:rsid w:val="00083F48"/>
    <w:rsid w:val="0008500F"/>
    <w:rsid w:val="000A39A8"/>
    <w:rsid w:val="000A7DF9"/>
    <w:rsid w:val="000B5949"/>
    <w:rsid w:val="000D05EF"/>
    <w:rsid w:val="000D5485"/>
    <w:rsid w:val="000E2DC6"/>
    <w:rsid w:val="000F21C1"/>
    <w:rsid w:val="00105D72"/>
    <w:rsid w:val="001062B1"/>
    <w:rsid w:val="0010745C"/>
    <w:rsid w:val="00117277"/>
    <w:rsid w:val="0012761E"/>
    <w:rsid w:val="00154C09"/>
    <w:rsid w:val="00160BD7"/>
    <w:rsid w:val="001643C9"/>
    <w:rsid w:val="00165568"/>
    <w:rsid w:val="00166082"/>
    <w:rsid w:val="00166C2F"/>
    <w:rsid w:val="001716C9"/>
    <w:rsid w:val="00184261"/>
    <w:rsid w:val="00190BA1"/>
    <w:rsid w:val="00190DF5"/>
    <w:rsid w:val="00193461"/>
    <w:rsid w:val="001939E1"/>
    <w:rsid w:val="00195382"/>
    <w:rsid w:val="001A3B9F"/>
    <w:rsid w:val="001A62DE"/>
    <w:rsid w:val="001A65C0"/>
    <w:rsid w:val="001B6456"/>
    <w:rsid w:val="001B7490"/>
    <w:rsid w:val="001B7A5D"/>
    <w:rsid w:val="001C5D9E"/>
    <w:rsid w:val="001C631C"/>
    <w:rsid w:val="001C69C4"/>
    <w:rsid w:val="001C7BED"/>
    <w:rsid w:val="001E0A8D"/>
    <w:rsid w:val="001E3590"/>
    <w:rsid w:val="001E7407"/>
    <w:rsid w:val="00201D27"/>
    <w:rsid w:val="0020300C"/>
    <w:rsid w:val="00220A0C"/>
    <w:rsid w:val="00223E4A"/>
    <w:rsid w:val="002302EA"/>
    <w:rsid w:val="00240749"/>
    <w:rsid w:val="002468D7"/>
    <w:rsid w:val="00257E40"/>
    <w:rsid w:val="00285CDD"/>
    <w:rsid w:val="00291167"/>
    <w:rsid w:val="00297ECB"/>
    <w:rsid w:val="002B79E0"/>
    <w:rsid w:val="002C152A"/>
    <w:rsid w:val="002D043A"/>
    <w:rsid w:val="0031713F"/>
    <w:rsid w:val="00321913"/>
    <w:rsid w:val="00324EE6"/>
    <w:rsid w:val="003267FB"/>
    <w:rsid w:val="003316DC"/>
    <w:rsid w:val="00332E0D"/>
    <w:rsid w:val="003415D3"/>
    <w:rsid w:val="00346335"/>
    <w:rsid w:val="00352B0F"/>
    <w:rsid w:val="003561B0"/>
    <w:rsid w:val="00367960"/>
    <w:rsid w:val="00397896"/>
    <w:rsid w:val="003A15AC"/>
    <w:rsid w:val="003A5203"/>
    <w:rsid w:val="003A56EB"/>
    <w:rsid w:val="003B0627"/>
    <w:rsid w:val="003B269D"/>
    <w:rsid w:val="003C5F2B"/>
    <w:rsid w:val="003D0BFE"/>
    <w:rsid w:val="003D5700"/>
    <w:rsid w:val="003F0F5A"/>
    <w:rsid w:val="00400A30"/>
    <w:rsid w:val="004022CA"/>
    <w:rsid w:val="004116CD"/>
    <w:rsid w:val="00414ADE"/>
    <w:rsid w:val="00421885"/>
    <w:rsid w:val="00424CA9"/>
    <w:rsid w:val="004257BB"/>
    <w:rsid w:val="004261D9"/>
    <w:rsid w:val="0044291A"/>
    <w:rsid w:val="004448C8"/>
    <w:rsid w:val="00460499"/>
    <w:rsid w:val="004674B7"/>
    <w:rsid w:val="00474835"/>
    <w:rsid w:val="004819C7"/>
    <w:rsid w:val="0048364F"/>
    <w:rsid w:val="00490F2E"/>
    <w:rsid w:val="00496DB3"/>
    <w:rsid w:val="00496F97"/>
    <w:rsid w:val="004A53EA"/>
    <w:rsid w:val="004B1042"/>
    <w:rsid w:val="004D2874"/>
    <w:rsid w:val="004F1FAC"/>
    <w:rsid w:val="004F676E"/>
    <w:rsid w:val="0051228C"/>
    <w:rsid w:val="00516B8D"/>
    <w:rsid w:val="00523181"/>
    <w:rsid w:val="0052686F"/>
    <w:rsid w:val="0052756C"/>
    <w:rsid w:val="00530230"/>
    <w:rsid w:val="00530CC9"/>
    <w:rsid w:val="00533280"/>
    <w:rsid w:val="00537FBC"/>
    <w:rsid w:val="00541D73"/>
    <w:rsid w:val="00543469"/>
    <w:rsid w:val="005452CC"/>
    <w:rsid w:val="00546FA3"/>
    <w:rsid w:val="00554243"/>
    <w:rsid w:val="00556200"/>
    <w:rsid w:val="00557C7A"/>
    <w:rsid w:val="00562A58"/>
    <w:rsid w:val="00576F9F"/>
    <w:rsid w:val="00581211"/>
    <w:rsid w:val="00584811"/>
    <w:rsid w:val="00593AA6"/>
    <w:rsid w:val="00594161"/>
    <w:rsid w:val="00594512"/>
    <w:rsid w:val="00594749"/>
    <w:rsid w:val="005A482B"/>
    <w:rsid w:val="005B4067"/>
    <w:rsid w:val="005C36E0"/>
    <w:rsid w:val="005C3F41"/>
    <w:rsid w:val="005D168D"/>
    <w:rsid w:val="005D5EA1"/>
    <w:rsid w:val="005E61D3"/>
    <w:rsid w:val="005F6197"/>
    <w:rsid w:val="005F7738"/>
    <w:rsid w:val="00600219"/>
    <w:rsid w:val="00613EAD"/>
    <w:rsid w:val="006158AC"/>
    <w:rsid w:val="00640402"/>
    <w:rsid w:val="00640F78"/>
    <w:rsid w:val="00642C52"/>
    <w:rsid w:val="00646E7B"/>
    <w:rsid w:val="00655D6A"/>
    <w:rsid w:val="00656DE9"/>
    <w:rsid w:val="00664CC8"/>
    <w:rsid w:val="00677CC2"/>
    <w:rsid w:val="00685F42"/>
    <w:rsid w:val="006866A1"/>
    <w:rsid w:val="0069207B"/>
    <w:rsid w:val="006A4309"/>
    <w:rsid w:val="006B0E55"/>
    <w:rsid w:val="006B7006"/>
    <w:rsid w:val="006C7F8C"/>
    <w:rsid w:val="006D7AB9"/>
    <w:rsid w:val="00700B2C"/>
    <w:rsid w:val="00706709"/>
    <w:rsid w:val="00713084"/>
    <w:rsid w:val="00720FC2"/>
    <w:rsid w:val="00731E00"/>
    <w:rsid w:val="00732E9D"/>
    <w:rsid w:val="0073491A"/>
    <w:rsid w:val="007440B7"/>
    <w:rsid w:val="00747993"/>
    <w:rsid w:val="007634AD"/>
    <w:rsid w:val="007715C9"/>
    <w:rsid w:val="00774EDD"/>
    <w:rsid w:val="007757EC"/>
    <w:rsid w:val="00797BF8"/>
    <w:rsid w:val="007A115D"/>
    <w:rsid w:val="007A35E6"/>
    <w:rsid w:val="007A6863"/>
    <w:rsid w:val="007B4153"/>
    <w:rsid w:val="007D45C1"/>
    <w:rsid w:val="007D7B4A"/>
    <w:rsid w:val="007E7D4A"/>
    <w:rsid w:val="007F48ED"/>
    <w:rsid w:val="007F7947"/>
    <w:rsid w:val="00812F45"/>
    <w:rsid w:val="00823B55"/>
    <w:rsid w:val="00832377"/>
    <w:rsid w:val="0084172C"/>
    <w:rsid w:val="008529D1"/>
    <w:rsid w:val="00856A31"/>
    <w:rsid w:val="008754D0"/>
    <w:rsid w:val="008761AE"/>
    <w:rsid w:val="00877D48"/>
    <w:rsid w:val="008816F0"/>
    <w:rsid w:val="0088345B"/>
    <w:rsid w:val="008A16A5"/>
    <w:rsid w:val="008B5D42"/>
    <w:rsid w:val="008C2B5D"/>
    <w:rsid w:val="008D0EE0"/>
    <w:rsid w:val="008D5B99"/>
    <w:rsid w:val="008D7A27"/>
    <w:rsid w:val="008E4702"/>
    <w:rsid w:val="008E5A8B"/>
    <w:rsid w:val="008E69AA"/>
    <w:rsid w:val="008F44A7"/>
    <w:rsid w:val="008F4F1C"/>
    <w:rsid w:val="0092219F"/>
    <w:rsid w:val="00922764"/>
    <w:rsid w:val="009320A4"/>
    <w:rsid w:val="00932377"/>
    <w:rsid w:val="009408EA"/>
    <w:rsid w:val="00943102"/>
    <w:rsid w:val="0094523D"/>
    <w:rsid w:val="009559E6"/>
    <w:rsid w:val="00965AE2"/>
    <w:rsid w:val="00976A63"/>
    <w:rsid w:val="00983419"/>
    <w:rsid w:val="00994821"/>
    <w:rsid w:val="009965E8"/>
    <w:rsid w:val="009C3431"/>
    <w:rsid w:val="009C45FD"/>
    <w:rsid w:val="009C5989"/>
    <w:rsid w:val="009D08DA"/>
    <w:rsid w:val="00A062A4"/>
    <w:rsid w:val="00A06860"/>
    <w:rsid w:val="00A111CA"/>
    <w:rsid w:val="00A136F5"/>
    <w:rsid w:val="00A231E2"/>
    <w:rsid w:val="00A2550D"/>
    <w:rsid w:val="00A4169B"/>
    <w:rsid w:val="00A41A14"/>
    <w:rsid w:val="00A445F2"/>
    <w:rsid w:val="00A50D55"/>
    <w:rsid w:val="00A5165B"/>
    <w:rsid w:val="00A52FDA"/>
    <w:rsid w:val="00A64912"/>
    <w:rsid w:val="00A676DB"/>
    <w:rsid w:val="00A67BB2"/>
    <w:rsid w:val="00A70A74"/>
    <w:rsid w:val="00A90EA8"/>
    <w:rsid w:val="00A92235"/>
    <w:rsid w:val="00AA0343"/>
    <w:rsid w:val="00AA2A5C"/>
    <w:rsid w:val="00AA4814"/>
    <w:rsid w:val="00AB78E9"/>
    <w:rsid w:val="00AD234F"/>
    <w:rsid w:val="00AD3467"/>
    <w:rsid w:val="00AD5641"/>
    <w:rsid w:val="00AD7252"/>
    <w:rsid w:val="00AE0F9B"/>
    <w:rsid w:val="00AE5A2F"/>
    <w:rsid w:val="00AF55FF"/>
    <w:rsid w:val="00B032D8"/>
    <w:rsid w:val="00B140D9"/>
    <w:rsid w:val="00B33B3C"/>
    <w:rsid w:val="00B40D74"/>
    <w:rsid w:val="00B47AE9"/>
    <w:rsid w:val="00B52663"/>
    <w:rsid w:val="00B56DCB"/>
    <w:rsid w:val="00B770D2"/>
    <w:rsid w:val="00B81850"/>
    <w:rsid w:val="00B94F68"/>
    <w:rsid w:val="00BA47A3"/>
    <w:rsid w:val="00BA5026"/>
    <w:rsid w:val="00BB6E79"/>
    <w:rsid w:val="00BE3B31"/>
    <w:rsid w:val="00BE719A"/>
    <w:rsid w:val="00BE720A"/>
    <w:rsid w:val="00BE73C3"/>
    <w:rsid w:val="00BF6650"/>
    <w:rsid w:val="00C01D2D"/>
    <w:rsid w:val="00C067E5"/>
    <w:rsid w:val="00C07662"/>
    <w:rsid w:val="00C1397B"/>
    <w:rsid w:val="00C1570F"/>
    <w:rsid w:val="00C164CA"/>
    <w:rsid w:val="00C26419"/>
    <w:rsid w:val="00C42BF8"/>
    <w:rsid w:val="00C460AE"/>
    <w:rsid w:val="00C50043"/>
    <w:rsid w:val="00C50A0F"/>
    <w:rsid w:val="00C7573B"/>
    <w:rsid w:val="00C76CF3"/>
    <w:rsid w:val="00CA7844"/>
    <w:rsid w:val="00CB58EF"/>
    <w:rsid w:val="00CC2A54"/>
    <w:rsid w:val="00CE7D64"/>
    <w:rsid w:val="00CF0BB2"/>
    <w:rsid w:val="00D13441"/>
    <w:rsid w:val="00D1582B"/>
    <w:rsid w:val="00D20665"/>
    <w:rsid w:val="00D243A3"/>
    <w:rsid w:val="00D3200B"/>
    <w:rsid w:val="00D33440"/>
    <w:rsid w:val="00D40286"/>
    <w:rsid w:val="00D52EFE"/>
    <w:rsid w:val="00D551C9"/>
    <w:rsid w:val="00D56A0D"/>
    <w:rsid w:val="00D5767F"/>
    <w:rsid w:val="00D60DC7"/>
    <w:rsid w:val="00D63EF6"/>
    <w:rsid w:val="00D66518"/>
    <w:rsid w:val="00D70DFB"/>
    <w:rsid w:val="00D71EEA"/>
    <w:rsid w:val="00D735CD"/>
    <w:rsid w:val="00D766DF"/>
    <w:rsid w:val="00D865F1"/>
    <w:rsid w:val="00D95891"/>
    <w:rsid w:val="00DA6A6C"/>
    <w:rsid w:val="00DB5CB4"/>
    <w:rsid w:val="00DE149E"/>
    <w:rsid w:val="00DF3092"/>
    <w:rsid w:val="00E022FF"/>
    <w:rsid w:val="00E05704"/>
    <w:rsid w:val="00E11753"/>
    <w:rsid w:val="00E11816"/>
    <w:rsid w:val="00E12F1A"/>
    <w:rsid w:val="00E15561"/>
    <w:rsid w:val="00E21707"/>
    <w:rsid w:val="00E21CFB"/>
    <w:rsid w:val="00E22935"/>
    <w:rsid w:val="00E54292"/>
    <w:rsid w:val="00E60191"/>
    <w:rsid w:val="00E65558"/>
    <w:rsid w:val="00E74DC7"/>
    <w:rsid w:val="00E753A4"/>
    <w:rsid w:val="00E85755"/>
    <w:rsid w:val="00E87699"/>
    <w:rsid w:val="00E92E27"/>
    <w:rsid w:val="00E9586B"/>
    <w:rsid w:val="00E95BCC"/>
    <w:rsid w:val="00E97334"/>
    <w:rsid w:val="00EA0D36"/>
    <w:rsid w:val="00EA6721"/>
    <w:rsid w:val="00ED4928"/>
    <w:rsid w:val="00EE3749"/>
    <w:rsid w:val="00EE6190"/>
    <w:rsid w:val="00EF2E3A"/>
    <w:rsid w:val="00EF6402"/>
    <w:rsid w:val="00F025DF"/>
    <w:rsid w:val="00F047E2"/>
    <w:rsid w:val="00F04D57"/>
    <w:rsid w:val="00F078DC"/>
    <w:rsid w:val="00F117BF"/>
    <w:rsid w:val="00F13E86"/>
    <w:rsid w:val="00F32FCB"/>
    <w:rsid w:val="00F40EBD"/>
    <w:rsid w:val="00F55A60"/>
    <w:rsid w:val="00F6709F"/>
    <w:rsid w:val="00F677A9"/>
    <w:rsid w:val="00F711B6"/>
    <w:rsid w:val="00F723BD"/>
    <w:rsid w:val="00F732EA"/>
    <w:rsid w:val="00F84CF5"/>
    <w:rsid w:val="00F8612E"/>
    <w:rsid w:val="00F9192C"/>
    <w:rsid w:val="00FA420B"/>
    <w:rsid w:val="00FE0781"/>
    <w:rsid w:val="00FF0F80"/>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001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B1042"/>
    <w:pPr>
      <w:spacing w:line="260" w:lineRule="atLeast"/>
    </w:pPr>
    <w:rPr>
      <w:sz w:val="22"/>
    </w:rPr>
  </w:style>
  <w:style w:type="paragraph" w:styleId="Heading1">
    <w:name w:val="heading 1"/>
    <w:basedOn w:val="Normal"/>
    <w:next w:val="Normal"/>
    <w:link w:val="Heading1Char"/>
    <w:uiPriority w:val="9"/>
    <w:qFormat/>
    <w:rsid w:val="004B104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104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104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104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B104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B104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B104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B104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B104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B1042"/>
  </w:style>
  <w:style w:type="paragraph" w:customStyle="1" w:styleId="OPCParaBase">
    <w:name w:val="OPCParaBase"/>
    <w:qFormat/>
    <w:rsid w:val="004B1042"/>
    <w:pPr>
      <w:spacing w:line="260" w:lineRule="atLeast"/>
    </w:pPr>
    <w:rPr>
      <w:rFonts w:eastAsia="Times New Roman" w:cs="Times New Roman"/>
      <w:sz w:val="22"/>
      <w:lang w:eastAsia="en-AU"/>
    </w:rPr>
  </w:style>
  <w:style w:type="paragraph" w:customStyle="1" w:styleId="ShortT">
    <w:name w:val="ShortT"/>
    <w:basedOn w:val="OPCParaBase"/>
    <w:next w:val="Normal"/>
    <w:qFormat/>
    <w:rsid w:val="004B1042"/>
    <w:pPr>
      <w:spacing w:line="240" w:lineRule="auto"/>
    </w:pPr>
    <w:rPr>
      <w:b/>
      <w:sz w:val="40"/>
    </w:rPr>
  </w:style>
  <w:style w:type="paragraph" w:customStyle="1" w:styleId="ActHead1">
    <w:name w:val="ActHead 1"/>
    <w:aliases w:val="c"/>
    <w:basedOn w:val="OPCParaBase"/>
    <w:next w:val="Normal"/>
    <w:qFormat/>
    <w:rsid w:val="004B10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B10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B10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B10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B10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B10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B10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B10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B10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B1042"/>
  </w:style>
  <w:style w:type="paragraph" w:customStyle="1" w:styleId="Blocks">
    <w:name w:val="Blocks"/>
    <w:aliases w:val="bb"/>
    <w:basedOn w:val="OPCParaBase"/>
    <w:qFormat/>
    <w:rsid w:val="004B1042"/>
    <w:pPr>
      <w:spacing w:line="240" w:lineRule="auto"/>
    </w:pPr>
    <w:rPr>
      <w:sz w:val="24"/>
    </w:rPr>
  </w:style>
  <w:style w:type="paragraph" w:customStyle="1" w:styleId="BoxText">
    <w:name w:val="BoxText"/>
    <w:aliases w:val="bt"/>
    <w:basedOn w:val="OPCParaBase"/>
    <w:qFormat/>
    <w:rsid w:val="004B10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B1042"/>
    <w:rPr>
      <w:b/>
    </w:rPr>
  </w:style>
  <w:style w:type="paragraph" w:customStyle="1" w:styleId="BoxHeadItalic">
    <w:name w:val="BoxHeadItalic"/>
    <w:aliases w:val="bhi"/>
    <w:basedOn w:val="BoxText"/>
    <w:next w:val="BoxStep"/>
    <w:qFormat/>
    <w:rsid w:val="004B1042"/>
    <w:rPr>
      <w:i/>
    </w:rPr>
  </w:style>
  <w:style w:type="paragraph" w:customStyle="1" w:styleId="BoxList">
    <w:name w:val="BoxList"/>
    <w:aliases w:val="bl"/>
    <w:basedOn w:val="BoxText"/>
    <w:qFormat/>
    <w:rsid w:val="004B1042"/>
    <w:pPr>
      <w:ind w:left="1559" w:hanging="425"/>
    </w:pPr>
  </w:style>
  <w:style w:type="paragraph" w:customStyle="1" w:styleId="BoxNote">
    <w:name w:val="BoxNote"/>
    <w:aliases w:val="bn"/>
    <w:basedOn w:val="BoxText"/>
    <w:qFormat/>
    <w:rsid w:val="004B1042"/>
    <w:pPr>
      <w:tabs>
        <w:tab w:val="left" w:pos="1985"/>
      </w:tabs>
      <w:spacing w:before="122" w:line="198" w:lineRule="exact"/>
      <w:ind w:left="2948" w:hanging="1814"/>
    </w:pPr>
    <w:rPr>
      <w:sz w:val="18"/>
    </w:rPr>
  </w:style>
  <w:style w:type="paragraph" w:customStyle="1" w:styleId="BoxPara">
    <w:name w:val="BoxPara"/>
    <w:aliases w:val="bp"/>
    <w:basedOn w:val="BoxText"/>
    <w:qFormat/>
    <w:rsid w:val="004B1042"/>
    <w:pPr>
      <w:tabs>
        <w:tab w:val="right" w:pos="2268"/>
      </w:tabs>
      <w:ind w:left="2552" w:hanging="1418"/>
    </w:pPr>
  </w:style>
  <w:style w:type="paragraph" w:customStyle="1" w:styleId="BoxStep">
    <w:name w:val="BoxStep"/>
    <w:aliases w:val="bs"/>
    <w:basedOn w:val="BoxText"/>
    <w:qFormat/>
    <w:rsid w:val="004B1042"/>
    <w:pPr>
      <w:ind w:left="1985" w:hanging="851"/>
    </w:pPr>
  </w:style>
  <w:style w:type="character" w:customStyle="1" w:styleId="CharAmPartNo">
    <w:name w:val="CharAmPartNo"/>
    <w:basedOn w:val="OPCCharBase"/>
    <w:qFormat/>
    <w:rsid w:val="004B1042"/>
  </w:style>
  <w:style w:type="character" w:customStyle="1" w:styleId="CharAmPartText">
    <w:name w:val="CharAmPartText"/>
    <w:basedOn w:val="OPCCharBase"/>
    <w:qFormat/>
    <w:rsid w:val="004B1042"/>
  </w:style>
  <w:style w:type="character" w:customStyle="1" w:styleId="CharAmSchNo">
    <w:name w:val="CharAmSchNo"/>
    <w:basedOn w:val="OPCCharBase"/>
    <w:qFormat/>
    <w:rsid w:val="004B1042"/>
  </w:style>
  <w:style w:type="character" w:customStyle="1" w:styleId="CharAmSchText">
    <w:name w:val="CharAmSchText"/>
    <w:basedOn w:val="OPCCharBase"/>
    <w:qFormat/>
    <w:rsid w:val="004B1042"/>
  </w:style>
  <w:style w:type="character" w:customStyle="1" w:styleId="CharBoldItalic">
    <w:name w:val="CharBoldItalic"/>
    <w:basedOn w:val="OPCCharBase"/>
    <w:uiPriority w:val="1"/>
    <w:qFormat/>
    <w:rsid w:val="004B1042"/>
    <w:rPr>
      <w:b/>
      <w:i/>
    </w:rPr>
  </w:style>
  <w:style w:type="character" w:customStyle="1" w:styleId="CharChapNo">
    <w:name w:val="CharChapNo"/>
    <w:basedOn w:val="OPCCharBase"/>
    <w:uiPriority w:val="1"/>
    <w:qFormat/>
    <w:rsid w:val="004B1042"/>
  </w:style>
  <w:style w:type="character" w:customStyle="1" w:styleId="CharChapText">
    <w:name w:val="CharChapText"/>
    <w:basedOn w:val="OPCCharBase"/>
    <w:uiPriority w:val="1"/>
    <w:qFormat/>
    <w:rsid w:val="004B1042"/>
  </w:style>
  <w:style w:type="character" w:customStyle="1" w:styleId="CharDivNo">
    <w:name w:val="CharDivNo"/>
    <w:basedOn w:val="OPCCharBase"/>
    <w:uiPriority w:val="1"/>
    <w:qFormat/>
    <w:rsid w:val="004B1042"/>
  </w:style>
  <w:style w:type="character" w:customStyle="1" w:styleId="CharDivText">
    <w:name w:val="CharDivText"/>
    <w:basedOn w:val="OPCCharBase"/>
    <w:uiPriority w:val="1"/>
    <w:qFormat/>
    <w:rsid w:val="004B1042"/>
  </w:style>
  <w:style w:type="character" w:customStyle="1" w:styleId="CharItalic">
    <w:name w:val="CharItalic"/>
    <w:basedOn w:val="OPCCharBase"/>
    <w:uiPriority w:val="1"/>
    <w:qFormat/>
    <w:rsid w:val="004B1042"/>
    <w:rPr>
      <w:i/>
    </w:rPr>
  </w:style>
  <w:style w:type="character" w:customStyle="1" w:styleId="CharPartNo">
    <w:name w:val="CharPartNo"/>
    <w:basedOn w:val="OPCCharBase"/>
    <w:uiPriority w:val="1"/>
    <w:qFormat/>
    <w:rsid w:val="004B1042"/>
  </w:style>
  <w:style w:type="character" w:customStyle="1" w:styleId="CharPartText">
    <w:name w:val="CharPartText"/>
    <w:basedOn w:val="OPCCharBase"/>
    <w:uiPriority w:val="1"/>
    <w:qFormat/>
    <w:rsid w:val="004B1042"/>
  </w:style>
  <w:style w:type="character" w:customStyle="1" w:styleId="CharSectno">
    <w:name w:val="CharSectno"/>
    <w:basedOn w:val="OPCCharBase"/>
    <w:qFormat/>
    <w:rsid w:val="004B1042"/>
  </w:style>
  <w:style w:type="character" w:customStyle="1" w:styleId="CharSubdNo">
    <w:name w:val="CharSubdNo"/>
    <w:basedOn w:val="OPCCharBase"/>
    <w:uiPriority w:val="1"/>
    <w:qFormat/>
    <w:rsid w:val="004B1042"/>
  </w:style>
  <w:style w:type="character" w:customStyle="1" w:styleId="CharSubdText">
    <w:name w:val="CharSubdText"/>
    <w:basedOn w:val="OPCCharBase"/>
    <w:uiPriority w:val="1"/>
    <w:qFormat/>
    <w:rsid w:val="004B1042"/>
  </w:style>
  <w:style w:type="paragraph" w:customStyle="1" w:styleId="CTA--">
    <w:name w:val="CTA --"/>
    <w:basedOn w:val="OPCParaBase"/>
    <w:next w:val="Normal"/>
    <w:rsid w:val="004B1042"/>
    <w:pPr>
      <w:spacing w:before="60" w:line="240" w:lineRule="atLeast"/>
      <w:ind w:left="142" w:hanging="142"/>
    </w:pPr>
    <w:rPr>
      <w:sz w:val="20"/>
    </w:rPr>
  </w:style>
  <w:style w:type="paragraph" w:customStyle="1" w:styleId="CTA-">
    <w:name w:val="CTA -"/>
    <w:basedOn w:val="OPCParaBase"/>
    <w:rsid w:val="004B1042"/>
    <w:pPr>
      <w:spacing w:before="60" w:line="240" w:lineRule="atLeast"/>
      <w:ind w:left="85" w:hanging="85"/>
    </w:pPr>
    <w:rPr>
      <w:sz w:val="20"/>
    </w:rPr>
  </w:style>
  <w:style w:type="paragraph" w:customStyle="1" w:styleId="CTA---">
    <w:name w:val="CTA ---"/>
    <w:basedOn w:val="OPCParaBase"/>
    <w:next w:val="Normal"/>
    <w:rsid w:val="004B1042"/>
    <w:pPr>
      <w:spacing w:before="60" w:line="240" w:lineRule="atLeast"/>
      <w:ind w:left="198" w:hanging="198"/>
    </w:pPr>
    <w:rPr>
      <w:sz w:val="20"/>
    </w:rPr>
  </w:style>
  <w:style w:type="paragraph" w:customStyle="1" w:styleId="CTA----">
    <w:name w:val="CTA ----"/>
    <w:basedOn w:val="OPCParaBase"/>
    <w:next w:val="Normal"/>
    <w:rsid w:val="004B1042"/>
    <w:pPr>
      <w:spacing w:before="60" w:line="240" w:lineRule="atLeast"/>
      <w:ind w:left="255" w:hanging="255"/>
    </w:pPr>
    <w:rPr>
      <w:sz w:val="20"/>
    </w:rPr>
  </w:style>
  <w:style w:type="paragraph" w:customStyle="1" w:styleId="CTA1a">
    <w:name w:val="CTA 1(a)"/>
    <w:basedOn w:val="OPCParaBase"/>
    <w:rsid w:val="004B1042"/>
    <w:pPr>
      <w:tabs>
        <w:tab w:val="right" w:pos="414"/>
      </w:tabs>
      <w:spacing w:before="40" w:line="240" w:lineRule="atLeast"/>
      <w:ind w:left="675" w:hanging="675"/>
    </w:pPr>
    <w:rPr>
      <w:sz w:val="20"/>
    </w:rPr>
  </w:style>
  <w:style w:type="paragraph" w:customStyle="1" w:styleId="CTA1ai">
    <w:name w:val="CTA 1(a)(i)"/>
    <w:basedOn w:val="OPCParaBase"/>
    <w:rsid w:val="004B1042"/>
    <w:pPr>
      <w:tabs>
        <w:tab w:val="right" w:pos="1004"/>
      </w:tabs>
      <w:spacing w:before="40" w:line="240" w:lineRule="atLeast"/>
      <w:ind w:left="1253" w:hanging="1253"/>
    </w:pPr>
    <w:rPr>
      <w:sz w:val="20"/>
    </w:rPr>
  </w:style>
  <w:style w:type="paragraph" w:customStyle="1" w:styleId="CTA2a">
    <w:name w:val="CTA 2(a)"/>
    <w:basedOn w:val="OPCParaBase"/>
    <w:rsid w:val="004B1042"/>
    <w:pPr>
      <w:tabs>
        <w:tab w:val="right" w:pos="482"/>
      </w:tabs>
      <w:spacing w:before="40" w:line="240" w:lineRule="atLeast"/>
      <w:ind w:left="748" w:hanging="748"/>
    </w:pPr>
    <w:rPr>
      <w:sz w:val="20"/>
    </w:rPr>
  </w:style>
  <w:style w:type="paragraph" w:customStyle="1" w:styleId="CTA2ai">
    <w:name w:val="CTA 2(a)(i)"/>
    <w:basedOn w:val="OPCParaBase"/>
    <w:rsid w:val="004B1042"/>
    <w:pPr>
      <w:tabs>
        <w:tab w:val="right" w:pos="1089"/>
      </w:tabs>
      <w:spacing w:before="40" w:line="240" w:lineRule="atLeast"/>
      <w:ind w:left="1327" w:hanging="1327"/>
    </w:pPr>
    <w:rPr>
      <w:sz w:val="20"/>
    </w:rPr>
  </w:style>
  <w:style w:type="paragraph" w:customStyle="1" w:styleId="CTA3a">
    <w:name w:val="CTA 3(a)"/>
    <w:basedOn w:val="OPCParaBase"/>
    <w:rsid w:val="004B1042"/>
    <w:pPr>
      <w:tabs>
        <w:tab w:val="right" w:pos="556"/>
      </w:tabs>
      <w:spacing w:before="40" w:line="240" w:lineRule="atLeast"/>
      <w:ind w:left="805" w:hanging="805"/>
    </w:pPr>
    <w:rPr>
      <w:sz w:val="20"/>
    </w:rPr>
  </w:style>
  <w:style w:type="paragraph" w:customStyle="1" w:styleId="CTA3ai">
    <w:name w:val="CTA 3(a)(i)"/>
    <w:basedOn w:val="OPCParaBase"/>
    <w:rsid w:val="004B1042"/>
    <w:pPr>
      <w:tabs>
        <w:tab w:val="right" w:pos="1140"/>
      </w:tabs>
      <w:spacing w:before="40" w:line="240" w:lineRule="atLeast"/>
      <w:ind w:left="1361" w:hanging="1361"/>
    </w:pPr>
    <w:rPr>
      <w:sz w:val="20"/>
    </w:rPr>
  </w:style>
  <w:style w:type="paragraph" w:customStyle="1" w:styleId="CTA4a">
    <w:name w:val="CTA 4(a)"/>
    <w:basedOn w:val="OPCParaBase"/>
    <w:rsid w:val="004B1042"/>
    <w:pPr>
      <w:tabs>
        <w:tab w:val="right" w:pos="624"/>
      </w:tabs>
      <w:spacing w:before="40" w:line="240" w:lineRule="atLeast"/>
      <w:ind w:left="873" w:hanging="873"/>
    </w:pPr>
    <w:rPr>
      <w:sz w:val="20"/>
    </w:rPr>
  </w:style>
  <w:style w:type="paragraph" w:customStyle="1" w:styleId="CTA4ai">
    <w:name w:val="CTA 4(a)(i)"/>
    <w:basedOn w:val="OPCParaBase"/>
    <w:rsid w:val="004B1042"/>
    <w:pPr>
      <w:tabs>
        <w:tab w:val="right" w:pos="1213"/>
      </w:tabs>
      <w:spacing w:before="40" w:line="240" w:lineRule="atLeast"/>
      <w:ind w:left="1452" w:hanging="1452"/>
    </w:pPr>
    <w:rPr>
      <w:sz w:val="20"/>
    </w:rPr>
  </w:style>
  <w:style w:type="paragraph" w:customStyle="1" w:styleId="CTACAPS">
    <w:name w:val="CTA CAPS"/>
    <w:basedOn w:val="OPCParaBase"/>
    <w:rsid w:val="004B1042"/>
    <w:pPr>
      <w:spacing w:before="60" w:line="240" w:lineRule="atLeast"/>
    </w:pPr>
    <w:rPr>
      <w:sz w:val="20"/>
    </w:rPr>
  </w:style>
  <w:style w:type="paragraph" w:customStyle="1" w:styleId="CTAright">
    <w:name w:val="CTA right"/>
    <w:basedOn w:val="OPCParaBase"/>
    <w:rsid w:val="004B1042"/>
    <w:pPr>
      <w:spacing w:before="60" w:line="240" w:lineRule="auto"/>
      <w:jc w:val="right"/>
    </w:pPr>
    <w:rPr>
      <w:sz w:val="20"/>
    </w:rPr>
  </w:style>
  <w:style w:type="paragraph" w:customStyle="1" w:styleId="subsection">
    <w:name w:val="subsection"/>
    <w:aliases w:val="ss,Subsection"/>
    <w:basedOn w:val="OPCParaBase"/>
    <w:link w:val="subsectionChar"/>
    <w:rsid w:val="004B1042"/>
    <w:pPr>
      <w:tabs>
        <w:tab w:val="right" w:pos="1021"/>
      </w:tabs>
      <w:spacing w:before="180" w:line="240" w:lineRule="auto"/>
      <w:ind w:left="1134" w:hanging="1134"/>
    </w:pPr>
  </w:style>
  <w:style w:type="paragraph" w:customStyle="1" w:styleId="Definition">
    <w:name w:val="Definition"/>
    <w:aliases w:val="dd"/>
    <w:basedOn w:val="OPCParaBase"/>
    <w:rsid w:val="004B1042"/>
    <w:pPr>
      <w:spacing w:before="180" w:line="240" w:lineRule="auto"/>
      <w:ind w:left="1134"/>
    </w:pPr>
  </w:style>
  <w:style w:type="paragraph" w:customStyle="1" w:styleId="ETAsubitem">
    <w:name w:val="ETA(subitem)"/>
    <w:basedOn w:val="OPCParaBase"/>
    <w:rsid w:val="004B1042"/>
    <w:pPr>
      <w:tabs>
        <w:tab w:val="right" w:pos="340"/>
      </w:tabs>
      <w:spacing w:before="60" w:line="240" w:lineRule="auto"/>
      <w:ind w:left="454" w:hanging="454"/>
    </w:pPr>
    <w:rPr>
      <w:sz w:val="20"/>
    </w:rPr>
  </w:style>
  <w:style w:type="paragraph" w:customStyle="1" w:styleId="ETApara">
    <w:name w:val="ETA(para)"/>
    <w:basedOn w:val="OPCParaBase"/>
    <w:rsid w:val="004B1042"/>
    <w:pPr>
      <w:tabs>
        <w:tab w:val="right" w:pos="754"/>
      </w:tabs>
      <w:spacing w:before="60" w:line="240" w:lineRule="auto"/>
      <w:ind w:left="828" w:hanging="828"/>
    </w:pPr>
    <w:rPr>
      <w:sz w:val="20"/>
    </w:rPr>
  </w:style>
  <w:style w:type="paragraph" w:customStyle="1" w:styleId="ETAsubpara">
    <w:name w:val="ETA(subpara)"/>
    <w:basedOn w:val="OPCParaBase"/>
    <w:rsid w:val="004B1042"/>
    <w:pPr>
      <w:tabs>
        <w:tab w:val="right" w:pos="1083"/>
      </w:tabs>
      <w:spacing w:before="60" w:line="240" w:lineRule="auto"/>
      <w:ind w:left="1191" w:hanging="1191"/>
    </w:pPr>
    <w:rPr>
      <w:sz w:val="20"/>
    </w:rPr>
  </w:style>
  <w:style w:type="paragraph" w:customStyle="1" w:styleId="ETAsub-subpara">
    <w:name w:val="ETA(sub-subpara)"/>
    <w:basedOn w:val="OPCParaBase"/>
    <w:rsid w:val="004B1042"/>
    <w:pPr>
      <w:tabs>
        <w:tab w:val="right" w:pos="1412"/>
      </w:tabs>
      <w:spacing w:before="60" w:line="240" w:lineRule="auto"/>
      <w:ind w:left="1525" w:hanging="1525"/>
    </w:pPr>
    <w:rPr>
      <w:sz w:val="20"/>
    </w:rPr>
  </w:style>
  <w:style w:type="paragraph" w:customStyle="1" w:styleId="Formula">
    <w:name w:val="Formula"/>
    <w:basedOn w:val="OPCParaBase"/>
    <w:rsid w:val="004B1042"/>
    <w:pPr>
      <w:spacing w:line="240" w:lineRule="auto"/>
      <w:ind w:left="1134"/>
    </w:pPr>
    <w:rPr>
      <w:sz w:val="20"/>
    </w:rPr>
  </w:style>
  <w:style w:type="paragraph" w:styleId="Header">
    <w:name w:val="header"/>
    <w:basedOn w:val="OPCParaBase"/>
    <w:link w:val="HeaderChar"/>
    <w:unhideWhenUsed/>
    <w:rsid w:val="004B10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B1042"/>
    <w:rPr>
      <w:rFonts w:eastAsia="Times New Roman" w:cs="Times New Roman"/>
      <w:sz w:val="16"/>
      <w:lang w:eastAsia="en-AU"/>
    </w:rPr>
  </w:style>
  <w:style w:type="paragraph" w:customStyle="1" w:styleId="House">
    <w:name w:val="House"/>
    <w:basedOn w:val="OPCParaBase"/>
    <w:rsid w:val="004B1042"/>
    <w:pPr>
      <w:spacing w:line="240" w:lineRule="auto"/>
    </w:pPr>
    <w:rPr>
      <w:sz w:val="28"/>
    </w:rPr>
  </w:style>
  <w:style w:type="paragraph" w:customStyle="1" w:styleId="Item">
    <w:name w:val="Item"/>
    <w:aliases w:val="i"/>
    <w:basedOn w:val="OPCParaBase"/>
    <w:next w:val="ItemHead"/>
    <w:rsid w:val="004B1042"/>
    <w:pPr>
      <w:keepLines/>
      <w:spacing w:before="80" w:line="240" w:lineRule="auto"/>
      <w:ind w:left="709"/>
    </w:pPr>
  </w:style>
  <w:style w:type="paragraph" w:customStyle="1" w:styleId="ItemHead">
    <w:name w:val="ItemHead"/>
    <w:aliases w:val="ih"/>
    <w:basedOn w:val="OPCParaBase"/>
    <w:next w:val="Item"/>
    <w:rsid w:val="004B10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B1042"/>
    <w:pPr>
      <w:spacing w:line="240" w:lineRule="auto"/>
    </w:pPr>
    <w:rPr>
      <w:b/>
      <w:sz w:val="32"/>
    </w:rPr>
  </w:style>
  <w:style w:type="paragraph" w:customStyle="1" w:styleId="notedraft">
    <w:name w:val="note(draft)"/>
    <w:aliases w:val="nd"/>
    <w:basedOn w:val="OPCParaBase"/>
    <w:rsid w:val="004B1042"/>
    <w:pPr>
      <w:spacing w:before="240" w:line="240" w:lineRule="auto"/>
      <w:ind w:left="284" w:hanging="284"/>
    </w:pPr>
    <w:rPr>
      <w:i/>
      <w:sz w:val="24"/>
    </w:rPr>
  </w:style>
  <w:style w:type="paragraph" w:customStyle="1" w:styleId="notemargin">
    <w:name w:val="note(margin)"/>
    <w:aliases w:val="nm"/>
    <w:basedOn w:val="OPCParaBase"/>
    <w:rsid w:val="004B1042"/>
    <w:pPr>
      <w:tabs>
        <w:tab w:val="left" w:pos="709"/>
      </w:tabs>
      <w:spacing w:before="122" w:line="198" w:lineRule="exact"/>
      <w:ind w:left="709" w:hanging="709"/>
    </w:pPr>
    <w:rPr>
      <w:sz w:val="18"/>
    </w:rPr>
  </w:style>
  <w:style w:type="paragraph" w:customStyle="1" w:styleId="noteToPara">
    <w:name w:val="noteToPara"/>
    <w:aliases w:val="ntp"/>
    <w:basedOn w:val="OPCParaBase"/>
    <w:rsid w:val="004B1042"/>
    <w:pPr>
      <w:spacing w:before="122" w:line="198" w:lineRule="exact"/>
      <w:ind w:left="2353" w:hanging="709"/>
    </w:pPr>
    <w:rPr>
      <w:sz w:val="18"/>
    </w:rPr>
  </w:style>
  <w:style w:type="paragraph" w:customStyle="1" w:styleId="noteParlAmend">
    <w:name w:val="note(ParlAmend)"/>
    <w:aliases w:val="npp"/>
    <w:basedOn w:val="OPCParaBase"/>
    <w:next w:val="ParlAmend"/>
    <w:rsid w:val="004B1042"/>
    <w:pPr>
      <w:spacing w:line="240" w:lineRule="auto"/>
      <w:jc w:val="right"/>
    </w:pPr>
    <w:rPr>
      <w:rFonts w:ascii="Arial" w:hAnsi="Arial"/>
      <w:b/>
      <w:i/>
    </w:rPr>
  </w:style>
  <w:style w:type="paragraph" w:customStyle="1" w:styleId="Page1">
    <w:name w:val="Page1"/>
    <w:basedOn w:val="OPCParaBase"/>
    <w:rsid w:val="004B1042"/>
    <w:pPr>
      <w:spacing w:before="5600" w:line="240" w:lineRule="auto"/>
    </w:pPr>
    <w:rPr>
      <w:b/>
      <w:sz w:val="32"/>
    </w:rPr>
  </w:style>
  <w:style w:type="paragraph" w:customStyle="1" w:styleId="PageBreak">
    <w:name w:val="PageBreak"/>
    <w:aliases w:val="pb"/>
    <w:basedOn w:val="OPCParaBase"/>
    <w:rsid w:val="004B1042"/>
    <w:pPr>
      <w:spacing w:line="240" w:lineRule="auto"/>
    </w:pPr>
    <w:rPr>
      <w:sz w:val="20"/>
    </w:rPr>
  </w:style>
  <w:style w:type="paragraph" w:customStyle="1" w:styleId="paragraphsub">
    <w:name w:val="paragraph(sub)"/>
    <w:aliases w:val="aa"/>
    <w:basedOn w:val="OPCParaBase"/>
    <w:rsid w:val="004B1042"/>
    <w:pPr>
      <w:tabs>
        <w:tab w:val="right" w:pos="1985"/>
      </w:tabs>
      <w:spacing w:before="40" w:line="240" w:lineRule="auto"/>
      <w:ind w:left="2098" w:hanging="2098"/>
    </w:pPr>
  </w:style>
  <w:style w:type="paragraph" w:customStyle="1" w:styleId="paragraphsub-sub">
    <w:name w:val="paragraph(sub-sub)"/>
    <w:aliases w:val="aaa"/>
    <w:basedOn w:val="OPCParaBase"/>
    <w:rsid w:val="004B1042"/>
    <w:pPr>
      <w:tabs>
        <w:tab w:val="right" w:pos="2722"/>
      </w:tabs>
      <w:spacing w:before="40" w:line="240" w:lineRule="auto"/>
      <w:ind w:left="2835" w:hanging="2835"/>
    </w:pPr>
  </w:style>
  <w:style w:type="paragraph" w:customStyle="1" w:styleId="paragraph">
    <w:name w:val="paragraph"/>
    <w:aliases w:val="a"/>
    <w:basedOn w:val="OPCParaBase"/>
    <w:rsid w:val="004B1042"/>
    <w:pPr>
      <w:tabs>
        <w:tab w:val="right" w:pos="1531"/>
      </w:tabs>
      <w:spacing w:before="40" w:line="240" w:lineRule="auto"/>
      <w:ind w:left="1644" w:hanging="1644"/>
    </w:pPr>
  </w:style>
  <w:style w:type="paragraph" w:customStyle="1" w:styleId="ParlAmend">
    <w:name w:val="ParlAmend"/>
    <w:aliases w:val="pp"/>
    <w:basedOn w:val="OPCParaBase"/>
    <w:rsid w:val="004B1042"/>
    <w:pPr>
      <w:spacing w:before="240" w:line="240" w:lineRule="atLeast"/>
      <w:ind w:hanging="567"/>
    </w:pPr>
    <w:rPr>
      <w:sz w:val="24"/>
    </w:rPr>
  </w:style>
  <w:style w:type="paragraph" w:customStyle="1" w:styleId="Penalty">
    <w:name w:val="Penalty"/>
    <w:basedOn w:val="OPCParaBase"/>
    <w:rsid w:val="004B1042"/>
    <w:pPr>
      <w:tabs>
        <w:tab w:val="left" w:pos="2977"/>
      </w:tabs>
      <w:spacing w:before="180" w:line="240" w:lineRule="auto"/>
      <w:ind w:left="1985" w:hanging="851"/>
    </w:pPr>
  </w:style>
  <w:style w:type="paragraph" w:customStyle="1" w:styleId="Portfolio">
    <w:name w:val="Portfolio"/>
    <w:basedOn w:val="OPCParaBase"/>
    <w:rsid w:val="004B1042"/>
    <w:pPr>
      <w:spacing w:line="240" w:lineRule="auto"/>
    </w:pPr>
    <w:rPr>
      <w:i/>
      <w:sz w:val="20"/>
    </w:rPr>
  </w:style>
  <w:style w:type="paragraph" w:customStyle="1" w:styleId="Preamble">
    <w:name w:val="Preamble"/>
    <w:basedOn w:val="OPCParaBase"/>
    <w:next w:val="Normal"/>
    <w:rsid w:val="004B10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B1042"/>
    <w:pPr>
      <w:spacing w:line="240" w:lineRule="auto"/>
    </w:pPr>
    <w:rPr>
      <w:i/>
      <w:sz w:val="20"/>
    </w:rPr>
  </w:style>
  <w:style w:type="paragraph" w:customStyle="1" w:styleId="Session">
    <w:name w:val="Session"/>
    <w:basedOn w:val="OPCParaBase"/>
    <w:rsid w:val="004B1042"/>
    <w:pPr>
      <w:spacing w:line="240" w:lineRule="auto"/>
    </w:pPr>
    <w:rPr>
      <w:sz w:val="28"/>
    </w:rPr>
  </w:style>
  <w:style w:type="paragraph" w:customStyle="1" w:styleId="Sponsor">
    <w:name w:val="Sponsor"/>
    <w:basedOn w:val="OPCParaBase"/>
    <w:rsid w:val="004B1042"/>
    <w:pPr>
      <w:spacing w:line="240" w:lineRule="auto"/>
    </w:pPr>
    <w:rPr>
      <w:i/>
    </w:rPr>
  </w:style>
  <w:style w:type="paragraph" w:customStyle="1" w:styleId="Subitem">
    <w:name w:val="Subitem"/>
    <w:aliases w:val="iss"/>
    <w:basedOn w:val="OPCParaBase"/>
    <w:rsid w:val="004B1042"/>
    <w:pPr>
      <w:spacing w:before="180" w:line="240" w:lineRule="auto"/>
      <w:ind w:left="709" w:hanging="709"/>
    </w:pPr>
  </w:style>
  <w:style w:type="paragraph" w:customStyle="1" w:styleId="SubitemHead">
    <w:name w:val="SubitemHead"/>
    <w:aliases w:val="issh"/>
    <w:basedOn w:val="OPCParaBase"/>
    <w:rsid w:val="004B10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B1042"/>
    <w:pPr>
      <w:spacing w:before="40" w:line="240" w:lineRule="auto"/>
      <w:ind w:left="1134"/>
    </w:pPr>
  </w:style>
  <w:style w:type="paragraph" w:customStyle="1" w:styleId="SubsectionHead">
    <w:name w:val="SubsectionHead"/>
    <w:aliases w:val="ssh"/>
    <w:basedOn w:val="OPCParaBase"/>
    <w:next w:val="subsection"/>
    <w:rsid w:val="004B1042"/>
    <w:pPr>
      <w:keepNext/>
      <w:keepLines/>
      <w:spacing w:before="240" w:line="240" w:lineRule="auto"/>
      <w:ind w:left="1134"/>
    </w:pPr>
    <w:rPr>
      <w:i/>
    </w:rPr>
  </w:style>
  <w:style w:type="paragraph" w:customStyle="1" w:styleId="Tablea">
    <w:name w:val="Table(a)"/>
    <w:aliases w:val="ta"/>
    <w:basedOn w:val="OPCParaBase"/>
    <w:rsid w:val="004B1042"/>
    <w:pPr>
      <w:spacing w:before="60" w:line="240" w:lineRule="auto"/>
      <w:ind w:left="284" w:hanging="284"/>
    </w:pPr>
    <w:rPr>
      <w:sz w:val="20"/>
    </w:rPr>
  </w:style>
  <w:style w:type="paragraph" w:customStyle="1" w:styleId="TableAA">
    <w:name w:val="Table(AA)"/>
    <w:aliases w:val="taaa"/>
    <w:basedOn w:val="OPCParaBase"/>
    <w:rsid w:val="004B10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B10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B1042"/>
    <w:pPr>
      <w:spacing w:before="60" w:line="240" w:lineRule="atLeast"/>
    </w:pPr>
    <w:rPr>
      <w:sz w:val="20"/>
    </w:rPr>
  </w:style>
  <w:style w:type="paragraph" w:customStyle="1" w:styleId="TLPBoxTextnote">
    <w:name w:val="TLPBoxText(note"/>
    <w:aliases w:val="right)"/>
    <w:basedOn w:val="OPCParaBase"/>
    <w:rsid w:val="004B10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B10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B1042"/>
    <w:pPr>
      <w:spacing w:before="122" w:line="198" w:lineRule="exact"/>
      <w:ind w:left="1985" w:hanging="851"/>
      <w:jc w:val="right"/>
    </w:pPr>
    <w:rPr>
      <w:sz w:val="18"/>
    </w:rPr>
  </w:style>
  <w:style w:type="paragraph" w:customStyle="1" w:styleId="TLPTableBullet">
    <w:name w:val="TLPTableBullet"/>
    <w:aliases w:val="ttb"/>
    <w:basedOn w:val="OPCParaBase"/>
    <w:rsid w:val="004B1042"/>
    <w:pPr>
      <w:spacing w:line="240" w:lineRule="exact"/>
      <w:ind w:left="284" w:hanging="284"/>
    </w:pPr>
    <w:rPr>
      <w:sz w:val="20"/>
    </w:rPr>
  </w:style>
  <w:style w:type="paragraph" w:styleId="TOC1">
    <w:name w:val="toc 1"/>
    <w:basedOn w:val="Normal"/>
    <w:next w:val="Normal"/>
    <w:uiPriority w:val="39"/>
    <w:unhideWhenUsed/>
    <w:rsid w:val="004B104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B104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B104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B104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B104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B104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B104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B104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B104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B1042"/>
    <w:pPr>
      <w:keepLines/>
      <w:spacing w:before="240" w:after="120" w:line="240" w:lineRule="auto"/>
      <w:ind w:left="794"/>
    </w:pPr>
    <w:rPr>
      <w:b/>
      <w:kern w:val="28"/>
      <w:sz w:val="20"/>
    </w:rPr>
  </w:style>
  <w:style w:type="paragraph" w:customStyle="1" w:styleId="TofSectsHeading">
    <w:name w:val="TofSects(Heading)"/>
    <w:basedOn w:val="OPCParaBase"/>
    <w:rsid w:val="004B1042"/>
    <w:pPr>
      <w:spacing w:before="240" w:after="120" w:line="240" w:lineRule="auto"/>
    </w:pPr>
    <w:rPr>
      <w:b/>
      <w:sz w:val="24"/>
    </w:rPr>
  </w:style>
  <w:style w:type="paragraph" w:customStyle="1" w:styleId="TofSectsSection">
    <w:name w:val="TofSects(Section)"/>
    <w:basedOn w:val="OPCParaBase"/>
    <w:rsid w:val="004B1042"/>
    <w:pPr>
      <w:keepLines/>
      <w:spacing w:before="40" w:line="240" w:lineRule="auto"/>
      <w:ind w:left="1588" w:hanging="794"/>
    </w:pPr>
    <w:rPr>
      <w:kern w:val="28"/>
      <w:sz w:val="18"/>
    </w:rPr>
  </w:style>
  <w:style w:type="paragraph" w:customStyle="1" w:styleId="TofSectsSubdiv">
    <w:name w:val="TofSects(Subdiv)"/>
    <w:basedOn w:val="OPCParaBase"/>
    <w:rsid w:val="004B1042"/>
    <w:pPr>
      <w:keepLines/>
      <w:spacing w:before="80" w:line="240" w:lineRule="auto"/>
      <w:ind w:left="1588" w:hanging="794"/>
    </w:pPr>
    <w:rPr>
      <w:kern w:val="28"/>
    </w:rPr>
  </w:style>
  <w:style w:type="paragraph" w:customStyle="1" w:styleId="WRStyle">
    <w:name w:val="WR Style"/>
    <w:aliases w:val="WR"/>
    <w:basedOn w:val="OPCParaBase"/>
    <w:rsid w:val="004B1042"/>
    <w:pPr>
      <w:spacing w:before="240" w:line="240" w:lineRule="auto"/>
      <w:ind w:left="284" w:hanging="284"/>
    </w:pPr>
    <w:rPr>
      <w:b/>
      <w:i/>
      <w:kern w:val="28"/>
      <w:sz w:val="24"/>
    </w:rPr>
  </w:style>
  <w:style w:type="paragraph" w:customStyle="1" w:styleId="notepara">
    <w:name w:val="note(para)"/>
    <w:aliases w:val="na"/>
    <w:basedOn w:val="OPCParaBase"/>
    <w:rsid w:val="004B1042"/>
    <w:pPr>
      <w:spacing w:before="40" w:line="198" w:lineRule="exact"/>
      <w:ind w:left="2354" w:hanging="369"/>
    </w:pPr>
    <w:rPr>
      <w:sz w:val="18"/>
    </w:rPr>
  </w:style>
  <w:style w:type="paragraph" w:styleId="Footer">
    <w:name w:val="footer"/>
    <w:link w:val="FooterChar"/>
    <w:rsid w:val="004B10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B1042"/>
    <w:rPr>
      <w:rFonts w:eastAsia="Times New Roman" w:cs="Times New Roman"/>
      <w:sz w:val="22"/>
      <w:szCs w:val="24"/>
      <w:lang w:eastAsia="en-AU"/>
    </w:rPr>
  </w:style>
  <w:style w:type="character" w:styleId="LineNumber">
    <w:name w:val="line number"/>
    <w:basedOn w:val="OPCCharBase"/>
    <w:uiPriority w:val="99"/>
    <w:unhideWhenUsed/>
    <w:rsid w:val="004B1042"/>
    <w:rPr>
      <w:sz w:val="16"/>
    </w:rPr>
  </w:style>
  <w:style w:type="table" w:customStyle="1" w:styleId="CFlag">
    <w:name w:val="CFlag"/>
    <w:basedOn w:val="TableNormal"/>
    <w:uiPriority w:val="99"/>
    <w:rsid w:val="004B1042"/>
    <w:rPr>
      <w:rFonts w:eastAsia="Times New Roman" w:cs="Times New Roman"/>
      <w:lang w:eastAsia="en-AU"/>
    </w:rPr>
    <w:tblPr/>
  </w:style>
  <w:style w:type="paragraph" w:styleId="BalloonText">
    <w:name w:val="Balloon Text"/>
    <w:basedOn w:val="Normal"/>
    <w:link w:val="BalloonTextChar"/>
    <w:uiPriority w:val="99"/>
    <w:unhideWhenUsed/>
    <w:rsid w:val="004B10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1042"/>
    <w:rPr>
      <w:rFonts w:ascii="Tahoma" w:hAnsi="Tahoma" w:cs="Tahoma"/>
      <w:sz w:val="16"/>
      <w:szCs w:val="16"/>
    </w:rPr>
  </w:style>
  <w:style w:type="table" w:styleId="TableGrid">
    <w:name w:val="Table Grid"/>
    <w:basedOn w:val="TableNormal"/>
    <w:uiPriority w:val="59"/>
    <w:rsid w:val="004B1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B1042"/>
    <w:rPr>
      <w:b/>
      <w:sz w:val="28"/>
      <w:szCs w:val="32"/>
    </w:rPr>
  </w:style>
  <w:style w:type="paragraph" w:customStyle="1" w:styleId="LegislationMadeUnder">
    <w:name w:val="LegislationMadeUnder"/>
    <w:basedOn w:val="OPCParaBase"/>
    <w:next w:val="Normal"/>
    <w:rsid w:val="004B1042"/>
    <w:rPr>
      <w:i/>
      <w:sz w:val="32"/>
      <w:szCs w:val="32"/>
    </w:rPr>
  </w:style>
  <w:style w:type="paragraph" w:customStyle="1" w:styleId="SignCoverPageEnd">
    <w:name w:val="SignCoverPageEnd"/>
    <w:basedOn w:val="OPCParaBase"/>
    <w:next w:val="Normal"/>
    <w:rsid w:val="004B10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B1042"/>
    <w:pPr>
      <w:pBdr>
        <w:top w:val="single" w:sz="4" w:space="1" w:color="auto"/>
      </w:pBdr>
      <w:spacing w:before="360"/>
      <w:ind w:right="397"/>
      <w:jc w:val="both"/>
    </w:pPr>
  </w:style>
  <w:style w:type="paragraph" w:customStyle="1" w:styleId="NotesHeading1">
    <w:name w:val="NotesHeading 1"/>
    <w:basedOn w:val="OPCParaBase"/>
    <w:next w:val="Normal"/>
    <w:rsid w:val="004B1042"/>
    <w:rPr>
      <w:b/>
      <w:sz w:val="28"/>
      <w:szCs w:val="28"/>
    </w:rPr>
  </w:style>
  <w:style w:type="paragraph" w:customStyle="1" w:styleId="NotesHeading2">
    <w:name w:val="NotesHeading 2"/>
    <w:basedOn w:val="OPCParaBase"/>
    <w:next w:val="Normal"/>
    <w:rsid w:val="004B1042"/>
    <w:rPr>
      <w:b/>
      <w:sz w:val="28"/>
      <w:szCs w:val="28"/>
    </w:rPr>
  </w:style>
  <w:style w:type="paragraph" w:customStyle="1" w:styleId="ENotesText">
    <w:name w:val="ENotesText"/>
    <w:aliases w:val="Ent"/>
    <w:basedOn w:val="OPCParaBase"/>
    <w:next w:val="Normal"/>
    <w:rsid w:val="004B1042"/>
    <w:pPr>
      <w:spacing w:before="120"/>
    </w:pPr>
  </w:style>
  <w:style w:type="paragraph" w:customStyle="1" w:styleId="CompiledActNo">
    <w:name w:val="CompiledActNo"/>
    <w:basedOn w:val="OPCParaBase"/>
    <w:next w:val="Normal"/>
    <w:rsid w:val="004B1042"/>
    <w:rPr>
      <w:b/>
      <w:sz w:val="24"/>
      <w:szCs w:val="24"/>
    </w:rPr>
  </w:style>
  <w:style w:type="paragraph" w:customStyle="1" w:styleId="CompiledMadeUnder">
    <w:name w:val="CompiledMadeUnder"/>
    <w:basedOn w:val="OPCParaBase"/>
    <w:next w:val="Normal"/>
    <w:rsid w:val="004B1042"/>
    <w:rPr>
      <w:i/>
      <w:sz w:val="24"/>
      <w:szCs w:val="24"/>
    </w:rPr>
  </w:style>
  <w:style w:type="paragraph" w:customStyle="1" w:styleId="Paragraphsub-sub-sub">
    <w:name w:val="Paragraph(sub-sub-sub)"/>
    <w:aliases w:val="aaaa"/>
    <w:basedOn w:val="OPCParaBase"/>
    <w:rsid w:val="004B10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B10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B10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B10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B10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B1042"/>
    <w:pPr>
      <w:spacing w:before="60" w:line="240" w:lineRule="auto"/>
    </w:pPr>
    <w:rPr>
      <w:rFonts w:cs="Arial"/>
      <w:sz w:val="20"/>
      <w:szCs w:val="22"/>
    </w:rPr>
  </w:style>
  <w:style w:type="paragraph" w:customStyle="1" w:styleId="NoteToSubpara">
    <w:name w:val="NoteToSubpara"/>
    <w:aliases w:val="nts"/>
    <w:basedOn w:val="OPCParaBase"/>
    <w:rsid w:val="004B1042"/>
    <w:pPr>
      <w:spacing w:before="40" w:line="198" w:lineRule="exact"/>
      <w:ind w:left="2835" w:hanging="709"/>
    </w:pPr>
    <w:rPr>
      <w:sz w:val="18"/>
    </w:rPr>
  </w:style>
  <w:style w:type="paragraph" w:customStyle="1" w:styleId="ENoteTableHeading">
    <w:name w:val="ENoteTableHeading"/>
    <w:aliases w:val="enth"/>
    <w:basedOn w:val="OPCParaBase"/>
    <w:rsid w:val="004B1042"/>
    <w:pPr>
      <w:keepNext/>
      <w:spacing w:before="60" w:line="240" w:lineRule="atLeast"/>
    </w:pPr>
    <w:rPr>
      <w:rFonts w:ascii="Arial" w:hAnsi="Arial"/>
      <w:b/>
      <w:sz w:val="16"/>
    </w:rPr>
  </w:style>
  <w:style w:type="paragraph" w:customStyle="1" w:styleId="ENoteTTi">
    <w:name w:val="ENoteTTi"/>
    <w:aliases w:val="entti"/>
    <w:basedOn w:val="OPCParaBase"/>
    <w:rsid w:val="004B1042"/>
    <w:pPr>
      <w:keepNext/>
      <w:spacing w:before="60" w:line="240" w:lineRule="atLeast"/>
      <w:ind w:left="170"/>
    </w:pPr>
    <w:rPr>
      <w:sz w:val="16"/>
    </w:rPr>
  </w:style>
  <w:style w:type="paragraph" w:customStyle="1" w:styleId="ENotesHeading1">
    <w:name w:val="ENotesHeading 1"/>
    <w:aliases w:val="Enh1"/>
    <w:basedOn w:val="OPCParaBase"/>
    <w:next w:val="Normal"/>
    <w:rsid w:val="004B1042"/>
    <w:pPr>
      <w:spacing w:before="120"/>
      <w:outlineLvl w:val="1"/>
    </w:pPr>
    <w:rPr>
      <w:b/>
      <w:sz w:val="28"/>
      <w:szCs w:val="28"/>
    </w:rPr>
  </w:style>
  <w:style w:type="paragraph" w:customStyle="1" w:styleId="ENotesHeading2">
    <w:name w:val="ENotesHeading 2"/>
    <w:aliases w:val="Enh2"/>
    <w:basedOn w:val="OPCParaBase"/>
    <w:next w:val="Normal"/>
    <w:rsid w:val="004B1042"/>
    <w:pPr>
      <w:spacing w:before="120" w:after="120"/>
      <w:outlineLvl w:val="2"/>
    </w:pPr>
    <w:rPr>
      <w:b/>
      <w:sz w:val="24"/>
      <w:szCs w:val="28"/>
    </w:rPr>
  </w:style>
  <w:style w:type="paragraph" w:customStyle="1" w:styleId="ENoteTTIndentHeading">
    <w:name w:val="ENoteTTIndentHeading"/>
    <w:aliases w:val="enTTHi"/>
    <w:basedOn w:val="OPCParaBase"/>
    <w:rsid w:val="004B10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B1042"/>
    <w:pPr>
      <w:spacing w:before="60" w:line="240" w:lineRule="atLeast"/>
    </w:pPr>
    <w:rPr>
      <w:sz w:val="16"/>
    </w:rPr>
  </w:style>
  <w:style w:type="paragraph" w:customStyle="1" w:styleId="MadeunderText">
    <w:name w:val="MadeunderText"/>
    <w:basedOn w:val="OPCParaBase"/>
    <w:next w:val="Normal"/>
    <w:rsid w:val="004B1042"/>
    <w:pPr>
      <w:spacing w:before="240"/>
    </w:pPr>
    <w:rPr>
      <w:sz w:val="24"/>
      <w:szCs w:val="24"/>
    </w:rPr>
  </w:style>
  <w:style w:type="paragraph" w:customStyle="1" w:styleId="ENotesHeading3">
    <w:name w:val="ENotesHeading 3"/>
    <w:aliases w:val="Enh3"/>
    <w:basedOn w:val="OPCParaBase"/>
    <w:next w:val="Normal"/>
    <w:rsid w:val="004B1042"/>
    <w:pPr>
      <w:keepNext/>
      <w:spacing w:before="120" w:line="240" w:lineRule="auto"/>
      <w:outlineLvl w:val="4"/>
    </w:pPr>
    <w:rPr>
      <w:b/>
      <w:szCs w:val="24"/>
    </w:rPr>
  </w:style>
  <w:style w:type="character" w:customStyle="1" w:styleId="CharSubPartTextCASA">
    <w:name w:val="CharSubPartText(CASA)"/>
    <w:basedOn w:val="OPCCharBase"/>
    <w:uiPriority w:val="1"/>
    <w:rsid w:val="004B1042"/>
  </w:style>
  <w:style w:type="character" w:customStyle="1" w:styleId="CharSubPartNoCASA">
    <w:name w:val="CharSubPartNo(CASA)"/>
    <w:basedOn w:val="OPCCharBase"/>
    <w:uiPriority w:val="1"/>
    <w:rsid w:val="004B1042"/>
  </w:style>
  <w:style w:type="paragraph" w:customStyle="1" w:styleId="ENoteTTIndentHeadingSub">
    <w:name w:val="ENoteTTIndentHeadingSub"/>
    <w:aliases w:val="enTTHis"/>
    <w:basedOn w:val="OPCParaBase"/>
    <w:rsid w:val="004B1042"/>
    <w:pPr>
      <w:keepNext/>
      <w:spacing w:before="60" w:line="240" w:lineRule="atLeast"/>
      <w:ind w:left="340"/>
    </w:pPr>
    <w:rPr>
      <w:b/>
      <w:sz w:val="16"/>
    </w:rPr>
  </w:style>
  <w:style w:type="paragraph" w:customStyle="1" w:styleId="ENoteTTiSub">
    <w:name w:val="ENoteTTiSub"/>
    <w:aliases w:val="enttis"/>
    <w:basedOn w:val="OPCParaBase"/>
    <w:rsid w:val="004B1042"/>
    <w:pPr>
      <w:keepNext/>
      <w:spacing w:before="60" w:line="240" w:lineRule="atLeast"/>
      <w:ind w:left="340"/>
    </w:pPr>
    <w:rPr>
      <w:sz w:val="16"/>
    </w:rPr>
  </w:style>
  <w:style w:type="paragraph" w:customStyle="1" w:styleId="SubDivisionMigration">
    <w:name w:val="SubDivisionMigration"/>
    <w:aliases w:val="sdm"/>
    <w:basedOn w:val="OPCParaBase"/>
    <w:rsid w:val="004B10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B104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B1042"/>
    <w:pPr>
      <w:spacing w:before="122" w:line="240" w:lineRule="auto"/>
      <w:ind w:left="1985" w:hanging="851"/>
    </w:pPr>
    <w:rPr>
      <w:sz w:val="18"/>
    </w:rPr>
  </w:style>
  <w:style w:type="paragraph" w:customStyle="1" w:styleId="FreeForm">
    <w:name w:val="FreeForm"/>
    <w:rsid w:val="004B1042"/>
    <w:rPr>
      <w:rFonts w:ascii="Arial" w:hAnsi="Arial"/>
      <w:sz w:val="22"/>
    </w:rPr>
  </w:style>
  <w:style w:type="paragraph" w:customStyle="1" w:styleId="SOText">
    <w:name w:val="SO Text"/>
    <w:aliases w:val="sot"/>
    <w:link w:val="SOTextChar"/>
    <w:rsid w:val="004B10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B1042"/>
    <w:rPr>
      <w:sz w:val="22"/>
    </w:rPr>
  </w:style>
  <w:style w:type="paragraph" w:customStyle="1" w:styleId="SOTextNote">
    <w:name w:val="SO TextNote"/>
    <w:aliases w:val="sont"/>
    <w:basedOn w:val="SOText"/>
    <w:qFormat/>
    <w:rsid w:val="004B1042"/>
    <w:pPr>
      <w:spacing w:before="122" w:line="198" w:lineRule="exact"/>
      <w:ind w:left="1843" w:hanging="709"/>
    </w:pPr>
    <w:rPr>
      <w:sz w:val="18"/>
    </w:rPr>
  </w:style>
  <w:style w:type="paragraph" w:customStyle="1" w:styleId="SOPara">
    <w:name w:val="SO Para"/>
    <w:aliases w:val="soa"/>
    <w:basedOn w:val="SOText"/>
    <w:link w:val="SOParaChar"/>
    <w:qFormat/>
    <w:rsid w:val="004B1042"/>
    <w:pPr>
      <w:tabs>
        <w:tab w:val="right" w:pos="1786"/>
      </w:tabs>
      <w:spacing w:before="40"/>
      <w:ind w:left="2070" w:hanging="936"/>
    </w:pPr>
  </w:style>
  <w:style w:type="character" w:customStyle="1" w:styleId="SOParaChar">
    <w:name w:val="SO Para Char"/>
    <w:aliases w:val="soa Char"/>
    <w:basedOn w:val="DefaultParagraphFont"/>
    <w:link w:val="SOPara"/>
    <w:rsid w:val="004B1042"/>
    <w:rPr>
      <w:sz w:val="22"/>
    </w:rPr>
  </w:style>
  <w:style w:type="paragraph" w:customStyle="1" w:styleId="FileName">
    <w:name w:val="FileName"/>
    <w:basedOn w:val="Normal"/>
    <w:rsid w:val="004B1042"/>
  </w:style>
  <w:style w:type="paragraph" w:customStyle="1" w:styleId="TableHeading">
    <w:name w:val="TableHeading"/>
    <w:aliases w:val="th"/>
    <w:basedOn w:val="OPCParaBase"/>
    <w:next w:val="Tabletext"/>
    <w:rsid w:val="004B1042"/>
    <w:pPr>
      <w:keepNext/>
      <w:spacing w:before="60" w:line="240" w:lineRule="atLeast"/>
    </w:pPr>
    <w:rPr>
      <w:b/>
      <w:sz w:val="20"/>
    </w:rPr>
  </w:style>
  <w:style w:type="paragraph" w:customStyle="1" w:styleId="SOHeadBold">
    <w:name w:val="SO HeadBold"/>
    <w:aliases w:val="sohb"/>
    <w:basedOn w:val="SOText"/>
    <w:next w:val="SOText"/>
    <w:link w:val="SOHeadBoldChar"/>
    <w:qFormat/>
    <w:rsid w:val="004B1042"/>
    <w:rPr>
      <w:b/>
    </w:rPr>
  </w:style>
  <w:style w:type="character" w:customStyle="1" w:styleId="SOHeadBoldChar">
    <w:name w:val="SO HeadBold Char"/>
    <w:aliases w:val="sohb Char"/>
    <w:basedOn w:val="DefaultParagraphFont"/>
    <w:link w:val="SOHeadBold"/>
    <w:rsid w:val="004B1042"/>
    <w:rPr>
      <w:b/>
      <w:sz w:val="22"/>
    </w:rPr>
  </w:style>
  <w:style w:type="paragraph" w:customStyle="1" w:styleId="SOHeadItalic">
    <w:name w:val="SO HeadItalic"/>
    <w:aliases w:val="sohi"/>
    <w:basedOn w:val="SOText"/>
    <w:next w:val="SOText"/>
    <w:link w:val="SOHeadItalicChar"/>
    <w:qFormat/>
    <w:rsid w:val="004B1042"/>
    <w:rPr>
      <w:i/>
    </w:rPr>
  </w:style>
  <w:style w:type="character" w:customStyle="1" w:styleId="SOHeadItalicChar">
    <w:name w:val="SO HeadItalic Char"/>
    <w:aliases w:val="sohi Char"/>
    <w:basedOn w:val="DefaultParagraphFont"/>
    <w:link w:val="SOHeadItalic"/>
    <w:rsid w:val="004B1042"/>
    <w:rPr>
      <w:i/>
      <w:sz w:val="22"/>
    </w:rPr>
  </w:style>
  <w:style w:type="paragraph" w:customStyle="1" w:styleId="SOBullet">
    <w:name w:val="SO Bullet"/>
    <w:aliases w:val="sotb"/>
    <w:basedOn w:val="SOText"/>
    <w:link w:val="SOBulletChar"/>
    <w:qFormat/>
    <w:rsid w:val="004B1042"/>
    <w:pPr>
      <w:ind w:left="1559" w:hanging="425"/>
    </w:pPr>
  </w:style>
  <w:style w:type="character" w:customStyle="1" w:styleId="SOBulletChar">
    <w:name w:val="SO Bullet Char"/>
    <w:aliases w:val="sotb Char"/>
    <w:basedOn w:val="DefaultParagraphFont"/>
    <w:link w:val="SOBullet"/>
    <w:rsid w:val="004B1042"/>
    <w:rPr>
      <w:sz w:val="22"/>
    </w:rPr>
  </w:style>
  <w:style w:type="paragraph" w:customStyle="1" w:styleId="SOBulletNote">
    <w:name w:val="SO BulletNote"/>
    <w:aliases w:val="sonb"/>
    <w:basedOn w:val="SOTextNote"/>
    <w:link w:val="SOBulletNoteChar"/>
    <w:qFormat/>
    <w:rsid w:val="004B1042"/>
    <w:pPr>
      <w:tabs>
        <w:tab w:val="left" w:pos="1560"/>
      </w:tabs>
      <w:ind w:left="2268" w:hanging="1134"/>
    </w:pPr>
  </w:style>
  <w:style w:type="character" w:customStyle="1" w:styleId="SOBulletNoteChar">
    <w:name w:val="SO BulletNote Char"/>
    <w:aliases w:val="sonb Char"/>
    <w:basedOn w:val="DefaultParagraphFont"/>
    <w:link w:val="SOBulletNote"/>
    <w:rsid w:val="004B1042"/>
    <w:rPr>
      <w:sz w:val="18"/>
    </w:rPr>
  </w:style>
  <w:style w:type="paragraph" w:customStyle="1" w:styleId="SOText2">
    <w:name w:val="SO Text2"/>
    <w:aliases w:val="sot2"/>
    <w:basedOn w:val="Normal"/>
    <w:next w:val="SOText"/>
    <w:link w:val="SOText2Char"/>
    <w:rsid w:val="004B10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B1042"/>
    <w:rPr>
      <w:sz w:val="22"/>
    </w:rPr>
  </w:style>
  <w:style w:type="paragraph" w:customStyle="1" w:styleId="SubPartCASA">
    <w:name w:val="SubPart(CASA)"/>
    <w:aliases w:val="csp"/>
    <w:basedOn w:val="OPCParaBase"/>
    <w:next w:val="ActHead3"/>
    <w:rsid w:val="004B104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B1042"/>
    <w:rPr>
      <w:rFonts w:eastAsia="Times New Roman" w:cs="Times New Roman"/>
      <w:sz w:val="22"/>
      <w:lang w:eastAsia="en-AU"/>
    </w:rPr>
  </w:style>
  <w:style w:type="character" w:customStyle="1" w:styleId="notetextChar">
    <w:name w:val="note(text) Char"/>
    <w:aliases w:val="n Char"/>
    <w:basedOn w:val="DefaultParagraphFont"/>
    <w:link w:val="notetext"/>
    <w:rsid w:val="004B1042"/>
    <w:rPr>
      <w:rFonts w:eastAsia="Times New Roman" w:cs="Times New Roman"/>
      <w:sz w:val="18"/>
      <w:lang w:eastAsia="en-AU"/>
    </w:rPr>
  </w:style>
  <w:style w:type="character" w:customStyle="1" w:styleId="Heading1Char">
    <w:name w:val="Heading 1 Char"/>
    <w:basedOn w:val="DefaultParagraphFont"/>
    <w:link w:val="Heading1"/>
    <w:uiPriority w:val="9"/>
    <w:rsid w:val="004B10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10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104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B104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B104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B104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B104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B104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B104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B1042"/>
  </w:style>
  <w:style w:type="character" w:customStyle="1" w:styleId="charlegsubtitle1">
    <w:name w:val="charlegsubtitle1"/>
    <w:basedOn w:val="DefaultParagraphFont"/>
    <w:rsid w:val="004B1042"/>
    <w:rPr>
      <w:rFonts w:ascii="Arial" w:hAnsi="Arial" w:cs="Arial" w:hint="default"/>
      <w:b/>
      <w:bCs/>
      <w:sz w:val="28"/>
      <w:szCs w:val="28"/>
    </w:rPr>
  </w:style>
  <w:style w:type="paragraph" w:styleId="Index1">
    <w:name w:val="index 1"/>
    <w:basedOn w:val="Normal"/>
    <w:next w:val="Normal"/>
    <w:autoRedefine/>
    <w:rsid w:val="004B1042"/>
    <w:pPr>
      <w:ind w:left="240" w:hanging="240"/>
    </w:pPr>
  </w:style>
  <w:style w:type="paragraph" w:styleId="Index2">
    <w:name w:val="index 2"/>
    <w:basedOn w:val="Normal"/>
    <w:next w:val="Normal"/>
    <w:autoRedefine/>
    <w:rsid w:val="004B1042"/>
    <w:pPr>
      <w:ind w:left="480" w:hanging="240"/>
    </w:pPr>
  </w:style>
  <w:style w:type="paragraph" w:styleId="Index3">
    <w:name w:val="index 3"/>
    <w:basedOn w:val="Normal"/>
    <w:next w:val="Normal"/>
    <w:autoRedefine/>
    <w:rsid w:val="004B1042"/>
    <w:pPr>
      <w:ind w:left="720" w:hanging="240"/>
    </w:pPr>
  </w:style>
  <w:style w:type="paragraph" w:styleId="Index4">
    <w:name w:val="index 4"/>
    <w:basedOn w:val="Normal"/>
    <w:next w:val="Normal"/>
    <w:autoRedefine/>
    <w:rsid w:val="004B1042"/>
    <w:pPr>
      <w:ind w:left="960" w:hanging="240"/>
    </w:pPr>
  </w:style>
  <w:style w:type="paragraph" w:styleId="Index5">
    <w:name w:val="index 5"/>
    <w:basedOn w:val="Normal"/>
    <w:next w:val="Normal"/>
    <w:autoRedefine/>
    <w:rsid w:val="004B1042"/>
    <w:pPr>
      <w:ind w:left="1200" w:hanging="240"/>
    </w:pPr>
  </w:style>
  <w:style w:type="paragraph" w:styleId="Index6">
    <w:name w:val="index 6"/>
    <w:basedOn w:val="Normal"/>
    <w:next w:val="Normal"/>
    <w:autoRedefine/>
    <w:rsid w:val="004B1042"/>
    <w:pPr>
      <w:ind w:left="1440" w:hanging="240"/>
    </w:pPr>
  </w:style>
  <w:style w:type="paragraph" w:styleId="Index7">
    <w:name w:val="index 7"/>
    <w:basedOn w:val="Normal"/>
    <w:next w:val="Normal"/>
    <w:autoRedefine/>
    <w:rsid w:val="004B1042"/>
    <w:pPr>
      <w:ind w:left="1680" w:hanging="240"/>
    </w:pPr>
  </w:style>
  <w:style w:type="paragraph" w:styleId="Index8">
    <w:name w:val="index 8"/>
    <w:basedOn w:val="Normal"/>
    <w:next w:val="Normal"/>
    <w:autoRedefine/>
    <w:rsid w:val="004B1042"/>
    <w:pPr>
      <w:ind w:left="1920" w:hanging="240"/>
    </w:pPr>
  </w:style>
  <w:style w:type="paragraph" w:styleId="Index9">
    <w:name w:val="index 9"/>
    <w:basedOn w:val="Normal"/>
    <w:next w:val="Normal"/>
    <w:autoRedefine/>
    <w:rsid w:val="004B1042"/>
    <w:pPr>
      <w:ind w:left="2160" w:hanging="240"/>
    </w:pPr>
  </w:style>
  <w:style w:type="paragraph" w:styleId="NormalIndent">
    <w:name w:val="Normal Indent"/>
    <w:basedOn w:val="Normal"/>
    <w:rsid w:val="004B1042"/>
    <w:pPr>
      <w:ind w:left="720"/>
    </w:pPr>
  </w:style>
  <w:style w:type="paragraph" w:styleId="FootnoteText">
    <w:name w:val="footnote text"/>
    <w:basedOn w:val="Normal"/>
    <w:link w:val="FootnoteTextChar"/>
    <w:rsid w:val="004B1042"/>
    <w:rPr>
      <w:sz w:val="20"/>
    </w:rPr>
  </w:style>
  <w:style w:type="character" w:customStyle="1" w:styleId="FootnoteTextChar">
    <w:name w:val="Footnote Text Char"/>
    <w:basedOn w:val="DefaultParagraphFont"/>
    <w:link w:val="FootnoteText"/>
    <w:rsid w:val="004B1042"/>
  </w:style>
  <w:style w:type="paragraph" w:styleId="CommentText">
    <w:name w:val="annotation text"/>
    <w:basedOn w:val="Normal"/>
    <w:link w:val="CommentTextChar"/>
    <w:rsid w:val="004B1042"/>
    <w:rPr>
      <w:sz w:val="20"/>
    </w:rPr>
  </w:style>
  <w:style w:type="character" w:customStyle="1" w:styleId="CommentTextChar">
    <w:name w:val="Comment Text Char"/>
    <w:basedOn w:val="DefaultParagraphFont"/>
    <w:link w:val="CommentText"/>
    <w:rsid w:val="004B1042"/>
  </w:style>
  <w:style w:type="paragraph" w:styleId="IndexHeading">
    <w:name w:val="index heading"/>
    <w:basedOn w:val="Normal"/>
    <w:next w:val="Index1"/>
    <w:rsid w:val="004B1042"/>
    <w:rPr>
      <w:rFonts w:ascii="Arial" w:hAnsi="Arial" w:cs="Arial"/>
      <w:b/>
      <w:bCs/>
    </w:rPr>
  </w:style>
  <w:style w:type="paragraph" w:styleId="Caption">
    <w:name w:val="caption"/>
    <w:basedOn w:val="Normal"/>
    <w:next w:val="Normal"/>
    <w:qFormat/>
    <w:rsid w:val="004B1042"/>
    <w:pPr>
      <w:spacing w:before="120" w:after="120"/>
    </w:pPr>
    <w:rPr>
      <w:b/>
      <w:bCs/>
      <w:sz w:val="20"/>
    </w:rPr>
  </w:style>
  <w:style w:type="paragraph" w:styleId="TableofFigures">
    <w:name w:val="table of figures"/>
    <w:basedOn w:val="Normal"/>
    <w:next w:val="Normal"/>
    <w:rsid w:val="004B1042"/>
    <w:pPr>
      <w:ind w:left="480" w:hanging="480"/>
    </w:pPr>
  </w:style>
  <w:style w:type="paragraph" w:styleId="EnvelopeAddress">
    <w:name w:val="envelope address"/>
    <w:basedOn w:val="Normal"/>
    <w:rsid w:val="004B10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B1042"/>
    <w:rPr>
      <w:rFonts w:ascii="Arial" w:hAnsi="Arial" w:cs="Arial"/>
      <w:sz w:val="20"/>
    </w:rPr>
  </w:style>
  <w:style w:type="character" w:styleId="FootnoteReference">
    <w:name w:val="footnote reference"/>
    <w:basedOn w:val="DefaultParagraphFont"/>
    <w:rsid w:val="004B1042"/>
    <w:rPr>
      <w:rFonts w:ascii="Times New Roman" w:hAnsi="Times New Roman"/>
      <w:sz w:val="20"/>
      <w:vertAlign w:val="superscript"/>
    </w:rPr>
  </w:style>
  <w:style w:type="character" w:styleId="CommentReference">
    <w:name w:val="annotation reference"/>
    <w:basedOn w:val="DefaultParagraphFont"/>
    <w:rsid w:val="004B1042"/>
    <w:rPr>
      <w:sz w:val="16"/>
      <w:szCs w:val="16"/>
    </w:rPr>
  </w:style>
  <w:style w:type="character" w:styleId="PageNumber">
    <w:name w:val="page number"/>
    <w:basedOn w:val="DefaultParagraphFont"/>
    <w:rsid w:val="004B1042"/>
  </w:style>
  <w:style w:type="character" w:styleId="EndnoteReference">
    <w:name w:val="endnote reference"/>
    <w:basedOn w:val="DefaultParagraphFont"/>
    <w:rsid w:val="004B1042"/>
    <w:rPr>
      <w:vertAlign w:val="superscript"/>
    </w:rPr>
  </w:style>
  <w:style w:type="paragraph" w:styleId="EndnoteText">
    <w:name w:val="endnote text"/>
    <w:basedOn w:val="Normal"/>
    <w:link w:val="EndnoteTextChar"/>
    <w:rsid w:val="004B1042"/>
    <w:rPr>
      <w:sz w:val="20"/>
    </w:rPr>
  </w:style>
  <w:style w:type="character" w:customStyle="1" w:styleId="EndnoteTextChar">
    <w:name w:val="Endnote Text Char"/>
    <w:basedOn w:val="DefaultParagraphFont"/>
    <w:link w:val="EndnoteText"/>
    <w:rsid w:val="004B1042"/>
  </w:style>
  <w:style w:type="paragraph" w:styleId="TableofAuthorities">
    <w:name w:val="table of authorities"/>
    <w:basedOn w:val="Normal"/>
    <w:next w:val="Normal"/>
    <w:rsid w:val="004B1042"/>
    <w:pPr>
      <w:ind w:left="240" w:hanging="240"/>
    </w:pPr>
  </w:style>
  <w:style w:type="paragraph" w:styleId="MacroText">
    <w:name w:val="macro"/>
    <w:link w:val="MacroTextChar"/>
    <w:rsid w:val="004B104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B1042"/>
    <w:rPr>
      <w:rFonts w:ascii="Courier New" w:eastAsia="Times New Roman" w:hAnsi="Courier New" w:cs="Courier New"/>
      <w:lang w:eastAsia="en-AU"/>
    </w:rPr>
  </w:style>
  <w:style w:type="paragraph" w:styleId="TOAHeading">
    <w:name w:val="toa heading"/>
    <w:basedOn w:val="Normal"/>
    <w:next w:val="Normal"/>
    <w:rsid w:val="004B1042"/>
    <w:pPr>
      <w:spacing w:before="120"/>
    </w:pPr>
    <w:rPr>
      <w:rFonts w:ascii="Arial" w:hAnsi="Arial" w:cs="Arial"/>
      <w:b/>
      <w:bCs/>
    </w:rPr>
  </w:style>
  <w:style w:type="paragraph" w:styleId="List">
    <w:name w:val="List"/>
    <w:basedOn w:val="Normal"/>
    <w:rsid w:val="004B1042"/>
    <w:pPr>
      <w:ind w:left="283" w:hanging="283"/>
    </w:pPr>
  </w:style>
  <w:style w:type="paragraph" w:styleId="ListBullet">
    <w:name w:val="List Bullet"/>
    <w:basedOn w:val="Normal"/>
    <w:autoRedefine/>
    <w:rsid w:val="004B1042"/>
    <w:pPr>
      <w:tabs>
        <w:tab w:val="num" w:pos="360"/>
      </w:tabs>
      <w:ind w:left="360" w:hanging="360"/>
    </w:pPr>
  </w:style>
  <w:style w:type="paragraph" w:styleId="ListNumber">
    <w:name w:val="List Number"/>
    <w:basedOn w:val="Normal"/>
    <w:rsid w:val="004B1042"/>
    <w:pPr>
      <w:tabs>
        <w:tab w:val="num" w:pos="360"/>
      </w:tabs>
      <w:ind w:left="360" w:hanging="360"/>
    </w:pPr>
  </w:style>
  <w:style w:type="paragraph" w:styleId="List2">
    <w:name w:val="List 2"/>
    <w:basedOn w:val="Normal"/>
    <w:rsid w:val="004B1042"/>
    <w:pPr>
      <w:ind w:left="566" w:hanging="283"/>
    </w:pPr>
  </w:style>
  <w:style w:type="paragraph" w:styleId="List3">
    <w:name w:val="List 3"/>
    <w:basedOn w:val="Normal"/>
    <w:rsid w:val="004B1042"/>
    <w:pPr>
      <w:ind w:left="849" w:hanging="283"/>
    </w:pPr>
  </w:style>
  <w:style w:type="paragraph" w:styleId="List4">
    <w:name w:val="List 4"/>
    <w:basedOn w:val="Normal"/>
    <w:rsid w:val="004B1042"/>
    <w:pPr>
      <w:ind w:left="1132" w:hanging="283"/>
    </w:pPr>
  </w:style>
  <w:style w:type="paragraph" w:styleId="List5">
    <w:name w:val="List 5"/>
    <w:basedOn w:val="Normal"/>
    <w:rsid w:val="004B1042"/>
    <w:pPr>
      <w:ind w:left="1415" w:hanging="283"/>
    </w:pPr>
  </w:style>
  <w:style w:type="paragraph" w:styleId="ListBullet2">
    <w:name w:val="List Bullet 2"/>
    <w:basedOn w:val="Normal"/>
    <w:autoRedefine/>
    <w:rsid w:val="004B1042"/>
    <w:pPr>
      <w:tabs>
        <w:tab w:val="num" w:pos="360"/>
      </w:tabs>
    </w:pPr>
  </w:style>
  <w:style w:type="paragraph" w:styleId="ListBullet3">
    <w:name w:val="List Bullet 3"/>
    <w:basedOn w:val="Normal"/>
    <w:autoRedefine/>
    <w:rsid w:val="004B1042"/>
    <w:pPr>
      <w:tabs>
        <w:tab w:val="num" w:pos="926"/>
      </w:tabs>
      <w:ind w:left="926" w:hanging="360"/>
    </w:pPr>
  </w:style>
  <w:style w:type="paragraph" w:styleId="ListBullet4">
    <w:name w:val="List Bullet 4"/>
    <w:basedOn w:val="Normal"/>
    <w:autoRedefine/>
    <w:rsid w:val="004B1042"/>
    <w:pPr>
      <w:tabs>
        <w:tab w:val="num" w:pos="1209"/>
      </w:tabs>
      <w:ind w:left="1209" w:hanging="360"/>
    </w:pPr>
  </w:style>
  <w:style w:type="paragraph" w:styleId="ListBullet5">
    <w:name w:val="List Bullet 5"/>
    <w:basedOn w:val="Normal"/>
    <w:autoRedefine/>
    <w:rsid w:val="004B1042"/>
    <w:pPr>
      <w:tabs>
        <w:tab w:val="num" w:pos="1492"/>
      </w:tabs>
      <w:ind w:left="1492" w:hanging="360"/>
    </w:pPr>
  </w:style>
  <w:style w:type="paragraph" w:styleId="ListNumber2">
    <w:name w:val="List Number 2"/>
    <w:basedOn w:val="Normal"/>
    <w:rsid w:val="004B1042"/>
    <w:pPr>
      <w:tabs>
        <w:tab w:val="num" w:pos="643"/>
      </w:tabs>
      <w:ind w:left="643" w:hanging="360"/>
    </w:pPr>
  </w:style>
  <w:style w:type="paragraph" w:styleId="ListNumber3">
    <w:name w:val="List Number 3"/>
    <w:basedOn w:val="Normal"/>
    <w:rsid w:val="004B1042"/>
    <w:pPr>
      <w:tabs>
        <w:tab w:val="num" w:pos="926"/>
      </w:tabs>
      <w:ind w:left="926" w:hanging="360"/>
    </w:pPr>
  </w:style>
  <w:style w:type="paragraph" w:styleId="ListNumber4">
    <w:name w:val="List Number 4"/>
    <w:basedOn w:val="Normal"/>
    <w:rsid w:val="004B1042"/>
    <w:pPr>
      <w:tabs>
        <w:tab w:val="num" w:pos="1209"/>
      </w:tabs>
      <w:ind w:left="1209" w:hanging="360"/>
    </w:pPr>
  </w:style>
  <w:style w:type="paragraph" w:styleId="ListNumber5">
    <w:name w:val="List Number 5"/>
    <w:basedOn w:val="Normal"/>
    <w:rsid w:val="004B1042"/>
    <w:pPr>
      <w:tabs>
        <w:tab w:val="num" w:pos="1492"/>
      </w:tabs>
      <w:ind w:left="1492" w:hanging="360"/>
    </w:pPr>
  </w:style>
  <w:style w:type="paragraph" w:styleId="Title">
    <w:name w:val="Title"/>
    <w:basedOn w:val="Normal"/>
    <w:link w:val="TitleChar"/>
    <w:qFormat/>
    <w:rsid w:val="004B1042"/>
    <w:pPr>
      <w:spacing w:before="240" w:after="60"/>
    </w:pPr>
    <w:rPr>
      <w:rFonts w:ascii="Arial" w:hAnsi="Arial" w:cs="Arial"/>
      <w:b/>
      <w:bCs/>
      <w:sz w:val="40"/>
      <w:szCs w:val="40"/>
    </w:rPr>
  </w:style>
  <w:style w:type="character" w:customStyle="1" w:styleId="TitleChar">
    <w:name w:val="Title Char"/>
    <w:basedOn w:val="DefaultParagraphFont"/>
    <w:link w:val="Title"/>
    <w:rsid w:val="004B1042"/>
    <w:rPr>
      <w:rFonts w:ascii="Arial" w:hAnsi="Arial" w:cs="Arial"/>
      <w:b/>
      <w:bCs/>
      <w:sz w:val="40"/>
      <w:szCs w:val="40"/>
    </w:rPr>
  </w:style>
  <w:style w:type="paragraph" w:styleId="Closing">
    <w:name w:val="Closing"/>
    <w:basedOn w:val="Normal"/>
    <w:link w:val="ClosingChar"/>
    <w:rsid w:val="004B1042"/>
    <w:pPr>
      <w:ind w:left="4252"/>
    </w:pPr>
  </w:style>
  <w:style w:type="character" w:customStyle="1" w:styleId="ClosingChar">
    <w:name w:val="Closing Char"/>
    <w:basedOn w:val="DefaultParagraphFont"/>
    <w:link w:val="Closing"/>
    <w:rsid w:val="004B1042"/>
    <w:rPr>
      <w:sz w:val="22"/>
    </w:rPr>
  </w:style>
  <w:style w:type="paragraph" w:styleId="Signature">
    <w:name w:val="Signature"/>
    <w:basedOn w:val="Normal"/>
    <w:link w:val="SignatureChar"/>
    <w:rsid w:val="004B1042"/>
    <w:pPr>
      <w:ind w:left="4252"/>
    </w:pPr>
  </w:style>
  <w:style w:type="character" w:customStyle="1" w:styleId="SignatureChar">
    <w:name w:val="Signature Char"/>
    <w:basedOn w:val="DefaultParagraphFont"/>
    <w:link w:val="Signature"/>
    <w:rsid w:val="004B1042"/>
    <w:rPr>
      <w:sz w:val="22"/>
    </w:rPr>
  </w:style>
  <w:style w:type="paragraph" w:styleId="BodyText">
    <w:name w:val="Body Text"/>
    <w:basedOn w:val="Normal"/>
    <w:link w:val="BodyTextChar"/>
    <w:rsid w:val="004B1042"/>
    <w:pPr>
      <w:spacing w:after="120"/>
    </w:pPr>
  </w:style>
  <w:style w:type="character" w:customStyle="1" w:styleId="BodyTextChar">
    <w:name w:val="Body Text Char"/>
    <w:basedOn w:val="DefaultParagraphFont"/>
    <w:link w:val="BodyText"/>
    <w:rsid w:val="004B1042"/>
    <w:rPr>
      <w:sz w:val="22"/>
    </w:rPr>
  </w:style>
  <w:style w:type="paragraph" w:styleId="BodyTextIndent">
    <w:name w:val="Body Text Indent"/>
    <w:basedOn w:val="Normal"/>
    <w:link w:val="BodyTextIndentChar"/>
    <w:rsid w:val="004B1042"/>
    <w:pPr>
      <w:spacing w:after="120"/>
      <w:ind w:left="283"/>
    </w:pPr>
  </w:style>
  <w:style w:type="character" w:customStyle="1" w:styleId="BodyTextIndentChar">
    <w:name w:val="Body Text Indent Char"/>
    <w:basedOn w:val="DefaultParagraphFont"/>
    <w:link w:val="BodyTextIndent"/>
    <w:rsid w:val="004B1042"/>
    <w:rPr>
      <w:sz w:val="22"/>
    </w:rPr>
  </w:style>
  <w:style w:type="paragraph" w:styleId="ListContinue">
    <w:name w:val="List Continue"/>
    <w:basedOn w:val="Normal"/>
    <w:rsid w:val="004B1042"/>
    <w:pPr>
      <w:spacing w:after="120"/>
      <w:ind w:left="283"/>
    </w:pPr>
  </w:style>
  <w:style w:type="paragraph" w:styleId="ListContinue2">
    <w:name w:val="List Continue 2"/>
    <w:basedOn w:val="Normal"/>
    <w:rsid w:val="004B1042"/>
    <w:pPr>
      <w:spacing w:after="120"/>
      <w:ind w:left="566"/>
    </w:pPr>
  </w:style>
  <w:style w:type="paragraph" w:styleId="ListContinue3">
    <w:name w:val="List Continue 3"/>
    <w:basedOn w:val="Normal"/>
    <w:rsid w:val="004B1042"/>
    <w:pPr>
      <w:spacing w:after="120"/>
      <w:ind w:left="849"/>
    </w:pPr>
  </w:style>
  <w:style w:type="paragraph" w:styleId="ListContinue4">
    <w:name w:val="List Continue 4"/>
    <w:basedOn w:val="Normal"/>
    <w:rsid w:val="004B1042"/>
    <w:pPr>
      <w:spacing w:after="120"/>
      <w:ind w:left="1132"/>
    </w:pPr>
  </w:style>
  <w:style w:type="paragraph" w:styleId="ListContinue5">
    <w:name w:val="List Continue 5"/>
    <w:basedOn w:val="Normal"/>
    <w:rsid w:val="004B1042"/>
    <w:pPr>
      <w:spacing w:after="120"/>
      <w:ind w:left="1415"/>
    </w:pPr>
  </w:style>
  <w:style w:type="paragraph" w:styleId="MessageHeader">
    <w:name w:val="Message Header"/>
    <w:basedOn w:val="Normal"/>
    <w:link w:val="MessageHeaderChar"/>
    <w:rsid w:val="004B104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B1042"/>
    <w:rPr>
      <w:rFonts w:ascii="Arial" w:hAnsi="Arial" w:cs="Arial"/>
      <w:sz w:val="22"/>
      <w:shd w:val="pct20" w:color="auto" w:fill="auto"/>
    </w:rPr>
  </w:style>
  <w:style w:type="paragraph" w:styleId="Subtitle">
    <w:name w:val="Subtitle"/>
    <w:basedOn w:val="Normal"/>
    <w:link w:val="SubtitleChar"/>
    <w:qFormat/>
    <w:rsid w:val="004B1042"/>
    <w:pPr>
      <w:spacing w:after="60"/>
      <w:jc w:val="center"/>
      <w:outlineLvl w:val="1"/>
    </w:pPr>
    <w:rPr>
      <w:rFonts w:ascii="Arial" w:hAnsi="Arial" w:cs="Arial"/>
    </w:rPr>
  </w:style>
  <w:style w:type="character" w:customStyle="1" w:styleId="SubtitleChar">
    <w:name w:val="Subtitle Char"/>
    <w:basedOn w:val="DefaultParagraphFont"/>
    <w:link w:val="Subtitle"/>
    <w:rsid w:val="004B1042"/>
    <w:rPr>
      <w:rFonts w:ascii="Arial" w:hAnsi="Arial" w:cs="Arial"/>
      <w:sz w:val="22"/>
    </w:rPr>
  </w:style>
  <w:style w:type="paragraph" w:styleId="Salutation">
    <w:name w:val="Salutation"/>
    <w:basedOn w:val="Normal"/>
    <w:next w:val="Normal"/>
    <w:link w:val="SalutationChar"/>
    <w:rsid w:val="004B1042"/>
  </w:style>
  <w:style w:type="character" w:customStyle="1" w:styleId="SalutationChar">
    <w:name w:val="Salutation Char"/>
    <w:basedOn w:val="DefaultParagraphFont"/>
    <w:link w:val="Salutation"/>
    <w:rsid w:val="004B1042"/>
    <w:rPr>
      <w:sz w:val="22"/>
    </w:rPr>
  </w:style>
  <w:style w:type="paragraph" w:styleId="Date">
    <w:name w:val="Date"/>
    <w:basedOn w:val="Normal"/>
    <w:next w:val="Normal"/>
    <w:link w:val="DateChar"/>
    <w:rsid w:val="004B1042"/>
  </w:style>
  <w:style w:type="character" w:customStyle="1" w:styleId="DateChar">
    <w:name w:val="Date Char"/>
    <w:basedOn w:val="DefaultParagraphFont"/>
    <w:link w:val="Date"/>
    <w:rsid w:val="004B1042"/>
    <w:rPr>
      <w:sz w:val="22"/>
    </w:rPr>
  </w:style>
  <w:style w:type="paragraph" w:styleId="BodyTextFirstIndent">
    <w:name w:val="Body Text First Indent"/>
    <w:basedOn w:val="BodyText"/>
    <w:link w:val="BodyTextFirstIndentChar"/>
    <w:rsid w:val="004B1042"/>
    <w:pPr>
      <w:ind w:firstLine="210"/>
    </w:pPr>
  </w:style>
  <w:style w:type="character" w:customStyle="1" w:styleId="BodyTextFirstIndentChar">
    <w:name w:val="Body Text First Indent Char"/>
    <w:basedOn w:val="BodyTextChar"/>
    <w:link w:val="BodyTextFirstIndent"/>
    <w:rsid w:val="004B1042"/>
    <w:rPr>
      <w:sz w:val="22"/>
    </w:rPr>
  </w:style>
  <w:style w:type="paragraph" w:styleId="BodyTextFirstIndent2">
    <w:name w:val="Body Text First Indent 2"/>
    <w:basedOn w:val="BodyTextIndent"/>
    <w:link w:val="BodyTextFirstIndent2Char"/>
    <w:rsid w:val="004B1042"/>
    <w:pPr>
      <w:ind w:firstLine="210"/>
    </w:pPr>
  </w:style>
  <w:style w:type="character" w:customStyle="1" w:styleId="BodyTextFirstIndent2Char">
    <w:name w:val="Body Text First Indent 2 Char"/>
    <w:basedOn w:val="BodyTextIndentChar"/>
    <w:link w:val="BodyTextFirstIndent2"/>
    <w:rsid w:val="004B1042"/>
    <w:rPr>
      <w:sz w:val="22"/>
    </w:rPr>
  </w:style>
  <w:style w:type="paragraph" w:styleId="BodyText2">
    <w:name w:val="Body Text 2"/>
    <w:basedOn w:val="Normal"/>
    <w:link w:val="BodyText2Char"/>
    <w:rsid w:val="004B1042"/>
    <w:pPr>
      <w:spacing w:after="120" w:line="480" w:lineRule="auto"/>
    </w:pPr>
  </w:style>
  <w:style w:type="character" w:customStyle="1" w:styleId="BodyText2Char">
    <w:name w:val="Body Text 2 Char"/>
    <w:basedOn w:val="DefaultParagraphFont"/>
    <w:link w:val="BodyText2"/>
    <w:rsid w:val="004B1042"/>
    <w:rPr>
      <w:sz w:val="22"/>
    </w:rPr>
  </w:style>
  <w:style w:type="paragraph" w:styleId="BodyText3">
    <w:name w:val="Body Text 3"/>
    <w:basedOn w:val="Normal"/>
    <w:link w:val="BodyText3Char"/>
    <w:rsid w:val="004B1042"/>
    <w:pPr>
      <w:spacing w:after="120"/>
    </w:pPr>
    <w:rPr>
      <w:sz w:val="16"/>
      <w:szCs w:val="16"/>
    </w:rPr>
  </w:style>
  <w:style w:type="character" w:customStyle="1" w:styleId="BodyText3Char">
    <w:name w:val="Body Text 3 Char"/>
    <w:basedOn w:val="DefaultParagraphFont"/>
    <w:link w:val="BodyText3"/>
    <w:rsid w:val="004B1042"/>
    <w:rPr>
      <w:sz w:val="16"/>
      <w:szCs w:val="16"/>
    </w:rPr>
  </w:style>
  <w:style w:type="paragraph" w:styleId="BodyTextIndent2">
    <w:name w:val="Body Text Indent 2"/>
    <w:basedOn w:val="Normal"/>
    <w:link w:val="BodyTextIndent2Char"/>
    <w:rsid w:val="004B1042"/>
    <w:pPr>
      <w:spacing w:after="120" w:line="480" w:lineRule="auto"/>
      <w:ind w:left="283"/>
    </w:pPr>
  </w:style>
  <w:style w:type="character" w:customStyle="1" w:styleId="BodyTextIndent2Char">
    <w:name w:val="Body Text Indent 2 Char"/>
    <w:basedOn w:val="DefaultParagraphFont"/>
    <w:link w:val="BodyTextIndent2"/>
    <w:rsid w:val="004B1042"/>
    <w:rPr>
      <w:sz w:val="22"/>
    </w:rPr>
  </w:style>
  <w:style w:type="paragraph" w:styleId="BodyTextIndent3">
    <w:name w:val="Body Text Indent 3"/>
    <w:basedOn w:val="Normal"/>
    <w:link w:val="BodyTextIndent3Char"/>
    <w:rsid w:val="004B1042"/>
    <w:pPr>
      <w:spacing w:after="120"/>
      <w:ind w:left="283"/>
    </w:pPr>
    <w:rPr>
      <w:sz w:val="16"/>
      <w:szCs w:val="16"/>
    </w:rPr>
  </w:style>
  <w:style w:type="character" w:customStyle="1" w:styleId="BodyTextIndent3Char">
    <w:name w:val="Body Text Indent 3 Char"/>
    <w:basedOn w:val="DefaultParagraphFont"/>
    <w:link w:val="BodyTextIndent3"/>
    <w:rsid w:val="004B1042"/>
    <w:rPr>
      <w:sz w:val="16"/>
      <w:szCs w:val="16"/>
    </w:rPr>
  </w:style>
  <w:style w:type="paragraph" w:styleId="BlockText">
    <w:name w:val="Block Text"/>
    <w:basedOn w:val="Normal"/>
    <w:rsid w:val="004B1042"/>
    <w:pPr>
      <w:spacing w:after="120"/>
      <w:ind w:left="1440" w:right="1440"/>
    </w:pPr>
  </w:style>
  <w:style w:type="character" w:styleId="Hyperlink">
    <w:name w:val="Hyperlink"/>
    <w:basedOn w:val="DefaultParagraphFont"/>
    <w:rsid w:val="004B1042"/>
    <w:rPr>
      <w:color w:val="0000FF"/>
      <w:u w:val="single"/>
    </w:rPr>
  </w:style>
  <w:style w:type="character" w:styleId="FollowedHyperlink">
    <w:name w:val="FollowedHyperlink"/>
    <w:basedOn w:val="DefaultParagraphFont"/>
    <w:rsid w:val="004B1042"/>
    <w:rPr>
      <w:color w:val="800080"/>
      <w:u w:val="single"/>
    </w:rPr>
  </w:style>
  <w:style w:type="character" w:styleId="Strong">
    <w:name w:val="Strong"/>
    <w:basedOn w:val="DefaultParagraphFont"/>
    <w:qFormat/>
    <w:rsid w:val="004B1042"/>
    <w:rPr>
      <w:b/>
      <w:bCs/>
    </w:rPr>
  </w:style>
  <w:style w:type="character" w:styleId="Emphasis">
    <w:name w:val="Emphasis"/>
    <w:basedOn w:val="DefaultParagraphFont"/>
    <w:qFormat/>
    <w:rsid w:val="004B1042"/>
    <w:rPr>
      <w:i/>
      <w:iCs/>
    </w:rPr>
  </w:style>
  <w:style w:type="paragraph" w:styleId="DocumentMap">
    <w:name w:val="Document Map"/>
    <w:basedOn w:val="Normal"/>
    <w:link w:val="DocumentMapChar"/>
    <w:rsid w:val="004B1042"/>
    <w:pPr>
      <w:shd w:val="clear" w:color="auto" w:fill="000080"/>
    </w:pPr>
    <w:rPr>
      <w:rFonts w:ascii="Tahoma" w:hAnsi="Tahoma" w:cs="Tahoma"/>
    </w:rPr>
  </w:style>
  <w:style w:type="character" w:customStyle="1" w:styleId="DocumentMapChar">
    <w:name w:val="Document Map Char"/>
    <w:basedOn w:val="DefaultParagraphFont"/>
    <w:link w:val="DocumentMap"/>
    <w:rsid w:val="004B1042"/>
    <w:rPr>
      <w:rFonts w:ascii="Tahoma" w:hAnsi="Tahoma" w:cs="Tahoma"/>
      <w:sz w:val="22"/>
      <w:shd w:val="clear" w:color="auto" w:fill="000080"/>
    </w:rPr>
  </w:style>
  <w:style w:type="paragraph" w:styleId="PlainText">
    <w:name w:val="Plain Text"/>
    <w:basedOn w:val="Normal"/>
    <w:link w:val="PlainTextChar"/>
    <w:rsid w:val="004B1042"/>
    <w:rPr>
      <w:rFonts w:ascii="Courier New" w:hAnsi="Courier New" w:cs="Courier New"/>
      <w:sz w:val="20"/>
    </w:rPr>
  </w:style>
  <w:style w:type="character" w:customStyle="1" w:styleId="PlainTextChar">
    <w:name w:val="Plain Text Char"/>
    <w:basedOn w:val="DefaultParagraphFont"/>
    <w:link w:val="PlainText"/>
    <w:rsid w:val="004B1042"/>
    <w:rPr>
      <w:rFonts w:ascii="Courier New" w:hAnsi="Courier New" w:cs="Courier New"/>
    </w:rPr>
  </w:style>
  <w:style w:type="paragraph" w:styleId="E-mailSignature">
    <w:name w:val="E-mail Signature"/>
    <w:basedOn w:val="Normal"/>
    <w:link w:val="E-mailSignatureChar"/>
    <w:rsid w:val="004B1042"/>
  </w:style>
  <w:style w:type="character" w:customStyle="1" w:styleId="E-mailSignatureChar">
    <w:name w:val="E-mail Signature Char"/>
    <w:basedOn w:val="DefaultParagraphFont"/>
    <w:link w:val="E-mailSignature"/>
    <w:rsid w:val="004B1042"/>
    <w:rPr>
      <w:sz w:val="22"/>
    </w:rPr>
  </w:style>
  <w:style w:type="paragraph" w:styleId="NormalWeb">
    <w:name w:val="Normal (Web)"/>
    <w:basedOn w:val="Normal"/>
    <w:rsid w:val="004B1042"/>
  </w:style>
  <w:style w:type="character" w:styleId="HTMLAcronym">
    <w:name w:val="HTML Acronym"/>
    <w:basedOn w:val="DefaultParagraphFont"/>
    <w:rsid w:val="004B1042"/>
  </w:style>
  <w:style w:type="paragraph" w:styleId="HTMLAddress">
    <w:name w:val="HTML Address"/>
    <w:basedOn w:val="Normal"/>
    <w:link w:val="HTMLAddressChar"/>
    <w:rsid w:val="004B1042"/>
    <w:rPr>
      <w:i/>
      <w:iCs/>
    </w:rPr>
  </w:style>
  <w:style w:type="character" w:customStyle="1" w:styleId="HTMLAddressChar">
    <w:name w:val="HTML Address Char"/>
    <w:basedOn w:val="DefaultParagraphFont"/>
    <w:link w:val="HTMLAddress"/>
    <w:rsid w:val="004B1042"/>
    <w:rPr>
      <w:i/>
      <w:iCs/>
      <w:sz w:val="22"/>
    </w:rPr>
  </w:style>
  <w:style w:type="character" w:styleId="HTMLCite">
    <w:name w:val="HTML Cite"/>
    <w:basedOn w:val="DefaultParagraphFont"/>
    <w:rsid w:val="004B1042"/>
    <w:rPr>
      <w:i/>
      <w:iCs/>
    </w:rPr>
  </w:style>
  <w:style w:type="character" w:styleId="HTMLCode">
    <w:name w:val="HTML Code"/>
    <w:basedOn w:val="DefaultParagraphFont"/>
    <w:rsid w:val="004B1042"/>
    <w:rPr>
      <w:rFonts w:ascii="Courier New" w:hAnsi="Courier New" w:cs="Courier New"/>
      <w:sz w:val="20"/>
      <w:szCs w:val="20"/>
    </w:rPr>
  </w:style>
  <w:style w:type="character" w:styleId="HTMLDefinition">
    <w:name w:val="HTML Definition"/>
    <w:basedOn w:val="DefaultParagraphFont"/>
    <w:rsid w:val="004B1042"/>
    <w:rPr>
      <w:i/>
      <w:iCs/>
    </w:rPr>
  </w:style>
  <w:style w:type="character" w:styleId="HTMLKeyboard">
    <w:name w:val="HTML Keyboard"/>
    <w:basedOn w:val="DefaultParagraphFont"/>
    <w:rsid w:val="004B1042"/>
    <w:rPr>
      <w:rFonts w:ascii="Courier New" w:hAnsi="Courier New" w:cs="Courier New"/>
      <w:sz w:val="20"/>
      <w:szCs w:val="20"/>
    </w:rPr>
  </w:style>
  <w:style w:type="paragraph" w:styleId="HTMLPreformatted">
    <w:name w:val="HTML Preformatted"/>
    <w:basedOn w:val="Normal"/>
    <w:link w:val="HTMLPreformattedChar"/>
    <w:rsid w:val="004B1042"/>
    <w:rPr>
      <w:rFonts w:ascii="Courier New" w:hAnsi="Courier New" w:cs="Courier New"/>
      <w:sz w:val="20"/>
    </w:rPr>
  </w:style>
  <w:style w:type="character" w:customStyle="1" w:styleId="HTMLPreformattedChar">
    <w:name w:val="HTML Preformatted Char"/>
    <w:basedOn w:val="DefaultParagraphFont"/>
    <w:link w:val="HTMLPreformatted"/>
    <w:rsid w:val="004B1042"/>
    <w:rPr>
      <w:rFonts w:ascii="Courier New" w:hAnsi="Courier New" w:cs="Courier New"/>
    </w:rPr>
  </w:style>
  <w:style w:type="character" w:styleId="HTMLSample">
    <w:name w:val="HTML Sample"/>
    <w:basedOn w:val="DefaultParagraphFont"/>
    <w:rsid w:val="004B1042"/>
    <w:rPr>
      <w:rFonts w:ascii="Courier New" w:hAnsi="Courier New" w:cs="Courier New"/>
    </w:rPr>
  </w:style>
  <w:style w:type="character" w:styleId="HTMLTypewriter">
    <w:name w:val="HTML Typewriter"/>
    <w:basedOn w:val="DefaultParagraphFont"/>
    <w:rsid w:val="004B1042"/>
    <w:rPr>
      <w:rFonts w:ascii="Courier New" w:hAnsi="Courier New" w:cs="Courier New"/>
      <w:sz w:val="20"/>
      <w:szCs w:val="20"/>
    </w:rPr>
  </w:style>
  <w:style w:type="character" w:styleId="HTMLVariable">
    <w:name w:val="HTML Variable"/>
    <w:basedOn w:val="DefaultParagraphFont"/>
    <w:rsid w:val="004B1042"/>
    <w:rPr>
      <w:i/>
      <w:iCs/>
    </w:rPr>
  </w:style>
  <w:style w:type="paragraph" w:styleId="CommentSubject">
    <w:name w:val="annotation subject"/>
    <w:basedOn w:val="CommentText"/>
    <w:next w:val="CommentText"/>
    <w:link w:val="CommentSubjectChar"/>
    <w:rsid w:val="004B1042"/>
    <w:rPr>
      <w:b/>
      <w:bCs/>
    </w:rPr>
  </w:style>
  <w:style w:type="character" w:customStyle="1" w:styleId="CommentSubjectChar">
    <w:name w:val="Comment Subject Char"/>
    <w:basedOn w:val="CommentTextChar"/>
    <w:link w:val="CommentSubject"/>
    <w:rsid w:val="004B1042"/>
    <w:rPr>
      <w:b/>
      <w:bCs/>
    </w:rPr>
  </w:style>
  <w:style w:type="numbering" w:styleId="1ai">
    <w:name w:val="Outline List 1"/>
    <w:basedOn w:val="NoList"/>
    <w:rsid w:val="004B1042"/>
    <w:pPr>
      <w:numPr>
        <w:numId w:val="14"/>
      </w:numPr>
    </w:pPr>
  </w:style>
  <w:style w:type="numbering" w:styleId="111111">
    <w:name w:val="Outline List 2"/>
    <w:basedOn w:val="NoList"/>
    <w:rsid w:val="004B1042"/>
    <w:pPr>
      <w:numPr>
        <w:numId w:val="15"/>
      </w:numPr>
    </w:pPr>
  </w:style>
  <w:style w:type="numbering" w:styleId="ArticleSection">
    <w:name w:val="Outline List 3"/>
    <w:basedOn w:val="NoList"/>
    <w:rsid w:val="004B1042"/>
    <w:pPr>
      <w:numPr>
        <w:numId w:val="17"/>
      </w:numPr>
    </w:pPr>
  </w:style>
  <w:style w:type="table" w:styleId="TableSimple1">
    <w:name w:val="Table Simple 1"/>
    <w:basedOn w:val="TableNormal"/>
    <w:rsid w:val="004B104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104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10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B104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104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104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104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104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104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104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B104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104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104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104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104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B10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104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104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104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10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10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104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104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B104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104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104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10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10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10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104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10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B104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104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104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B104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B104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B10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B104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104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B104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104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104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B104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B1042"/>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28</Pages>
  <Words>7229</Words>
  <Characters>34993</Characters>
  <Application>Microsoft Office Word</Application>
  <DocSecurity>0</DocSecurity>
  <PresentationFormat/>
  <Lines>945</Lines>
  <Paragraphs>740</Paragraphs>
  <ScaleCrop>false</ScaleCrop>
  <HeadingPairs>
    <vt:vector size="2" baseType="variant">
      <vt:variant>
        <vt:lpstr>Title</vt:lpstr>
      </vt:variant>
      <vt:variant>
        <vt:i4>1</vt:i4>
      </vt:variant>
    </vt:vector>
  </HeadingPairs>
  <TitlesOfParts>
    <vt:vector size="1" baseType="lpstr">
      <vt:lpstr>Home Affairs Legislation Amendment (2021 Measures No. 1) Regulations 2021</vt:lpstr>
    </vt:vector>
  </TitlesOfParts>
  <Manager/>
  <Company/>
  <LinksUpToDate>false</LinksUpToDate>
  <CharactersWithSpaces>41482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2021-06-22T00:08:00Z</dcterms:created>
  <dcterms:modified xsi:type="dcterms:W3CDTF">2021-06-22T00:08:00Z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Home Affairs Legislation Amendment (2021 Measures No. 1)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24 June 2021</vt:lpwstr>
  </property>
  <property fmtid="{D5CDD505-2E9C-101B-9397-08002B2CF9AE}" pid="10" name="ID">
    <vt:lpwstr>OPC65243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ExcoDate">
    <vt:lpwstr>24 June 2021</vt:lpwstr>
  </property>
</Properties>
</file>