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F681A" w14:textId="2C0FF241" w:rsidR="00F109D4" w:rsidRPr="00807318" w:rsidRDefault="00F109D4" w:rsidP="00647BB7">
      <w:pPr>
        <w:pStyle w:val="Heading1"/>
        <w:spacing w:after="360"/>
        <w:rPr>
          <w:rFonts w:ascii="Times New Roman" w:hAnsi="Times New Roman"/>
          <w:sz w:val="24"/>
          <w:szCs w:val="24"/>
        </w:rPr>
      </w:pPr>
      <w:r w:rsidRPr="00807318">
        <w:rPr>
          <w:rFonts w:ascii="Times New Roman" w:hAnsi="Times New Roman"/>
          <w:sz w:val="24"/>
          <w:szCs w:val="24"/>
        </w:rPr>
        <w:t>EXPLANATORY STATEMENT</w:t>
      </w:r>
    </w:p>
    <w:p w14:paraId="6AC970CE" w14:textId="6C789869" w:rsidR="007662C7" w:rsidRPr="00807318" w:rsidRDefault="00F109D4" w:rsidP="003E1CE3">
      <w:pPr>
        <w:pStyle w:val="Heading2"/>
        <w:jc w:val="center"/>
        <w:rPr>
          <w:sz w:val="24"/>
          <w:szCs w:val="24"/>
        </w:rPr>
      </w:pPr>
      <w:r w:rsidRPr="00807318">
        <w:rPr>
          <w:sz w:val="24"/>
          <w:szCs w:val="24"/>
        </w:rPr>
        <w:t>Issued by authority of the</w:t>
      </w:r>
      <w:r w:rsidR="00076178" w:rsidRPr="00807318">
        <w:rPr>
          <w:sz w:val="24"/>
          <w:szCs w:val="24"/>
        </w:rPr>
        <w:t xml:space="preserve"> </w:t>
      </w:r>
      <w:sdt>
        <w:sdtPr>
          <w:rPr>
            <w:sz w:val="24"/>
            <w:szCs w:val="24"/>
          </w:rPr>
          <w:id w:val="435951383"/>
          <w:placeholder>
            <w:docPart w:val="4363A5D9E8574B46833563E52DF02065"/>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B5137D" w:rsidRPr="00807318">
            <w:rPr>
              <w:sz w:val="24"/>
              <w:szCs w:val="24"/>
            </w:rPr>
            <w:t>Assistant Treasurer, Minister for Housing and Minister for Homelessness, Social and Community Housing</w:t>
          </w:r>
        </w:sdtContent>
      </w:sdt>
    </w:p>
    <w:p w14:paraId="4CF973FD" w14:textId="41A210A4" w:rsidR="00F109D4" w:rsidRPr="00807318" w:rsidRDefault="007B7B0A" w:rsidP="003C7907">
      <w:pPr>
        <w:spacing w:before="240" w:after="240"/>
        <w:jc w:val="center"/>
        <w:rPr>
          <w:i/>
        </w:rPr>
      </w:pPr>
      <w:r w:rsidRPr="00807318">
        <w:rPr>
          <w:i/>
        </w:rPr>
        <w:t>A New Tax System (Goods and Services) Act 1999</w:t>
      </w:r>
    </w:p>
    <w:p w14:paraId="2E8EF3E5" w14:textId="27E9B13C" w:rsidR="007B7B0A" w:rsidRPr="00807318" w:rsidRDefault="007B7B0A" w:rsidP="003C7907">
      <w:pPr>
        <w:spacing w:before="240" w:after="240"/>
        <w:jc w:val="center"/>
        <w:rPr>
          <w:i/>
        </w:rPr>
      </w:pPr>
      <w:r w:rsidRPr="00807318">
        <w:rPr>
          <w:i/>
        </w:rPr>
        <w:t xml:space="preserve">Business Names Registration Act 2011 </w:t>
      </w:r>
    </w:p>
    <w:p w14:paraId="4B4101DE" w14:textId="102BF380" w:rsidR="007B7B0A" w:rsidRPr="00807318" w:rsidRDefault="007B7B0A" w:rsidP="003C7907">
      <w:pPr>
        <w:spacing w:before="240" w:after="240"/>
        <w:jc w:val="center"/>
        <w:rPr>
          <w:i/>
        </w:rPr>
      </w:pPr>
      <w:r w:rsidRPr="00807318">
        <w:rPr>
          <w:i/>
        </w:rPr>
        <w:t>Competition and Consumer Act 2010</w:t>
      </w:r>
    </w:p>
    <w:p w14:paraId="012933C5" w14:textId="243DF5FB" w:rsidR="007B7B0A" w:rsidRPr="00807318" w:rsidRDefault="007B7B0A" w:rsidP="003C7907">
      <w:pPr>
        <w:spacing w:before="240" w:after="240"/>
        <w:jc w:val="center"/>
        <w:rPr>
          <w:i/>
        </w:rPr>
      </w:pPr>
      <w:r w:rsidRPr="00807318">
        <w:rPr>
          <w:i/>
        </w:rPr>
        <w:t>Corporations Act 2001</w:t>
      </w:r>
    </w:p>
    <w:p w14:paraId="781258C6" w14:textId="31F3941C" w:rsidR="007B7B0A" w:rsidRPr="00807318" w:rsidRDefault="007B7B0A" w:rsidP="003C7907">
      <w:pPr>
        <w:spacing w:before="240" w:after="240"/>
        <w:jc w:val="center"/>
        <w:rPr>
          <w:i/>
        </w:rPr>
      </w:pPr>
      <w:r w:rsidRPr="00807318">
        <w:rPr>
          <w:i/>
        </w:rPr>
        <w:t>Foreign Acquisitions and Takeovers Act 1975</w:t>
      </w:r>
    </w:p>
    <w:p w14:paraId="14F0BD80" w14:textId="0A07E460" w:rsidR="007B7B0A" w:rsidRPr="00807318" w:rsidRDefault="0074646A" w:rsidP="003C7907">
      <w:pPr>
        <w:spacing w:before="240" w:after="240"/>
        <w:jc w:val="center"/>
        <w:rPr>
          <w:i/>
        </w:rPr>
      </w:pPr>
      <w:r w:rsidRPr="00807318">
        <w:rPr>
          <w:i/>
        </w:rPr>
        <w:t>Income Tax Assessment Act 1997</w:t>
      </w:r>
    </w:p>
    <w:p w14:paraId="6BD0DA3D" w14:textId="29CA1AEC" w:rsidR="0074646A" w:rsidRPr="00807318" w:rsidRDefault="0074646A" w:rsidP="003C7907">
      <w:pPr>
        <w:spacing w:before="240" w:after="240"/>
        <w:jc w:val="center"/>
        <w:rPr>
          <w:i/>
        </w:rPr>
      </w:pPr>
      <w:r w:rsidRPr="00807318">
        <w:rPr>
          <w:i/>
        </w:rPr>
        <w:t>Tax Agent Services Act 2009</w:t>
      </w:r>
    </w:p>
    <w:p w14:paraId="18E39325" w14:textId="38C180F2" w:rsidR="00F109D4" w:rsidRPr="00807318" w:rsidRDefault="0074646A" w:rsidP="00AA1689">
      <w:pPr>
        <w:tabs>
          <w:tab w:val="left" w:pos="1418"/>
        </w:tabs>
        <w:spacing w:before="0" w:after="240"/>
        <w:jc w:val="center"/>
        <w:rPr>
          <w:i/>
        </w:rPr>
      </w:pPr>
      <w:r w:rsidRPr="00807318">
        <w:rPr>
          <w:i/>
        </w:rPr>
        <w:t>Treasury Laws Amendment (Miscellaneous and Technical Amendments) Regulations 2021</w:t>
      </w:r>
    </w:p>
    <w:p w14:paraId="6D90AAEF" w14:textId="0183EA62" w:rsidR="00F109D4" w:rsidRPr="00807318" w:rsidRDefault="00C55D29" w:rsidP="005E3255">
      <w:pPr>
        <w:spacing w:before="240" w:after="240"/>
        <w:rPr>
          <w:i/>
        </w:rPr>
      </w:pPr>
      <w:r w:rsidRPr="00807318">
        <w:t>Section</w:t>
      </w:r>
      <w:r w:rsidR="0074646A" w:rsidRPr="00807318">
        <w:t xml:space="preserve"> 177-15 of the </w:t>
      </w:r>
      <w:r w:rsidR="0074646A" w:rsidRPr="00807318">
        <w:rPr>
          <w:i/>
        </w:rPr>
        <w:t xml:space="preserve">A New Tax System (Goods and Services </w:t>
      </w:r>
      <w:r w:rsidR="00245E08" w:rsidRPr="00807318">
        <w:rPr>
          <w:i/>
        </w:rPr>
        <w:t xml:space="preserve">Tax) </w:t>
      </w:r>
      <w:r w:rsidR="0074646A" w:rsidRPr="00807318">
        <w:rPr>
          <w:i/>
        </w:rPr>
        <w:t xml:space="preserve">Act 1999, </w:t>
      </w:r>
      <w:r w:rsidR="0074646A" w:rsidRPr="00807318">
        <w:t>section</w:t>
      </w:r>
      <w:r w:rsidR="0084079A" w:rsidRPr="00807318">
        <w:t> </w:t>
      </w:r>
      <w:r w:rsidR="0074646A" w:rsidRPr="00807318">
        <w:t xml:space="preserve">90 of the </w:t>
      </w:r>
      <w:r w:rsidR="0074646A" w:rsidRPr="00807318">
        <w:rPr>
          <w:i/>
        </w:rPr>
        <w:t xml:space="preserve">Business Names Registration Act 2011, </w:t>
      </w:r>
      <w:r w:rsidR="00792BAB" w:rsidRPr="00807318">
        <w:t xml:space="preserve">section 172 of the </w:t>
      </w:r>
      <w:r w:rsidR="00792BAB" w:rsidRPr="00807318">
        <w:rPr>
          <w:i/>
        </w:rPr>
        <w:t xml:space="preserve">Competition and Consumer Act 2010, </w:t>
      </w:r>
      <w:r w:rsidR="00792BAB" w:rsidRPr="00807318">
        <w:t xml:space="preserve">section 1364 of the </w:t>
      </w:r>
      <w:r w:rsidR="00792BAB" w:rsidRPr="00807318">
        <w:rPr>
          <w:i/>
        </w:rPr>
        <w:t xml:space="preserve">Corporations Act 2001, </w:t>
      </w:r>
      <w:r w:rsidR="00792BAB" w:rsidRPr="00807318">
        <w:t xml:space="preserve">section 139 of the </w:t>
      </w:r>
      <w:r w:rsidR="00792BAB" w:rsidRPr="00807318">
        <w:rPr>
          <w:i/>
        </w:rPr>
        <w:t>Foreign Acquisitions and Takeovers Act 1975</w:t>
      </w:r>
      <w:r w:rsidR="00D466AD" w:rsidRPr="00807318">
        <w:rPr>
          <w:i/>
        </w:rPr>
        <w:t xml:space="preserve">, </w:t>
      </w:r>
      <w:r w:rsidR="00792BAB" w:rsidRPr="00807318">
        <w:t xml:space="preserve">section 909-1 of the </w:t>
      </w:r>
      <w:r w:rsidR="00792BAB" w:rsidRPr="00807318">
        <w:rPr>
          <w:i/>
        </w:rPr>
        <w:t>Income Tax Assessment Act 1997</w:t>
      </w:r>
      <w:r w:rsidR="0005705A" w:rsidRPr="00807318">
        <w:rPr>
          <w:i/>
        </w:rPr>
        <w:t xml:space="preserve"> </w:t>
      </w:r>
      <w:r w:rsidR="0005705A" w:rsidRPr="00807318">
        <w:t xml:space="preserve">and section 70-55 of the </w:t>
      </w:r>
      <w:r w:rsidR="0005705A" w:rsidRPr="00807318">
        <w:rPr>
          <w:i/>
        </w:rPr>
        <w:t>Tax Agent Services Act</w:t>
      </w:r>
      <w:r w:rsidR="0084079A" w:rsidRPr="00807318">
        <w:rPr>
          <w:i/>
        </w:rPr>
        <w:t> </w:t>
      </w:r>
      <w:r w:rsidR="0005705A" w:rsidRPr="00807318">
        <w:rPr>
          <w:i/>
        </w:rPr>
        <w:t>2009</w:t>
      </w:r>
      <w:r w:rsidR="0005705A" w:rsidRPr="00807318">
        <w:t xml:space="preserve"> (the Authorising Acts) provide </w:t>
      </w:r>
      <w:r w:rsidR="00F109D4" w:rsidRPr="00807318">
        <w:t>that the Governor-General may make regulations prescribing matters required or permitted by the Act</w:t>
      </w:r>
      <w:r w:rsidR="0005705A" w:rsidRPr="00807318">
        <w:t>s</w:t>
      </w:r>
      <w:r w:rsidR="00F109D4" w:rsidRPr="00807318">
        <w:t xml:space="preserve"> to be prescribed, or necessary or convenient to be prescribed for carrying out or giving effect to the Act.</w:t>
      </w:r>
    </w:p>
    <w:p w14:paraId="59D65CAE" w14:textId="65A60E84" w:rsidR="009905C5" w:rsidRPr="00807318" w:rsidRDefault="009905C5" w:rsidP="009905C5">
      <w:r w:rsidRPr="00807318">
        <w:t xml:space="preserve">The purpose of the </w:t>
      </w:r>
      <w:r w:rsidRPr="00807318">
        <w:rPr>
          <w:i/>
        </w:rPr>
        <w:t>Treasury Laws Amendment (Miscellaneous and Technical Amendments) Regulations 202</w:t>
      </w:r>
      <w:r w:rsidR="0005705A" w:rsidRPr="00807318">
        <w:rPr>
          <w:i/>
        </w:rPr>
        <w:t>1</w:t>
      </w:r>
      <w:r w:rsidRPr="00807318">
        <w:t xml:space="preserve"> (the Regulations) is to make minor and technical amendments in the Treasury portfolio, including to tax laws, </w:t>
      </w:r>
      <w:proofErr w:type="gramStart"/>
      <w:r w:rsidRPr="00807318">
        <w:t>corporations</w:t>
      </w:r>
      <w:proofErr w:type="gramEnd"/>
      <w:r w:rsidRPr="00807318">
        <w:t xml:space="preserve"> laws, </w:t>
      </w:r>
      <w:r w:rsidR="0005705A" w:rsidRPr="00807318">
        <w:t xml:space="preserve">foreign </w:t>
      </w:r>
      <w:r w:rsidR="00EB6367" w:rsidRPr="00807318">
        <w:t>investment</w:t>
      </w:r>
      <w:r w:rsidR="0005705A" w:rsidRPr="00807318">
        <w:t xml:space="preserve"> laws and </w:t>
      </w:r>
      <w:r w:rsidRPr="00807318">
        <w:t xml:space="preserve">laws relating to consumer protections. </w:t>
      </w:r>
    </w:p>
    <w:p w14:paraId="0FAE559B" w14:textId="20419B38" w:rsidR="009905C5" w:rsidRPr="00807318" w:rsidRDefault="009905C5" w:rsidP="009905C5">
      <w:r w:rsidRPr="00807318">
        <w:t xml:space="preserve">Minor and technical amendments are periodically made to Treasury legislation to remove anomalies, </w:t>
      </w:r>
      <w:r w:rsidR="001A66DB" w:rsidRPr="00807318">
        <w:t xml:space="preserve">update references, </w:t>
      </w:r>
      <w:r w:rsidRPr="00807318">
        <w:t xml:space="preserve">correct unintended outcomes and improve the quality of laws. </w:t>
      </w:r>
      <w:r w:rsidR="007F0200" w:rsidRPr="00807318">
        <w:t xml:space="preserve">The amendments are part of the Government’s commitment to the care and maintenance of Treasury portfolio legislation. </w:t>
      </w:r>
      <w:r w:rsidRPr="00807318">
        <w:t>The process was first supported by a</w:t>
      </w:r>
      <w:r w:rsidR="007F0200" w:rsidRPr="00807318">
        <w:t xml:space="preserve"> </w:t>
      </w:r>
      <w:r w:rsidRPr="00807318">
        <w:t>recommendation of the 2008 Tax Design Review Panel, which considered ways to improve the quality of tax law changes. It has since been expanded to all Treasury legislation.</w:t>
      </w:r>
    </w:p>
    <w:p w14:paraId="2E16DF58" w14:textId="5BE7079B" w:rsidR="009905C5" w:rsidRPr="00807318" w:rsidRDefault="009905C5" w:rsidP="009905C5">
      <w:r w:rsidRPr="00807318">
        <w:t xml:space="preserve">The Regulations amend various Treasury portfolio regulations to make minor and technical changes that correct typographical </w:t>
      </w:r>
      <w:r w:rsidR="001A66DB" w:rsidRPr="00807318">
        <w:t xml:space="preserve">and referencing </w:t>
      </w:r>
      <w:r w:rsidRPr="00807318">
        <w:t>errors</w:t>
      </w:r>
      <w:r w:rsidR="001A66DB" w:rsidRPr="00807318">
        <w:t>, address</w:t>
      </w:r>
      <w:r w:rsidRPr="00807318">
        <w:t xml:space="preserve"> unintended outcomes, increase out of date thresholds, and repeal inoperative provisions. These changes ensure that the Treasury regulations operate as intended.</w:t>
      </w:r>
    </w:p>
    <w:p w14:paraId="49B7B353" w14:textId="7F60DBA3" w:rsidR="00C02E98" w:rsidRPr="00807318" w:rsidRDefault="00D53834" w:rsidP="009905C5">
      <w:r w:rsidRPr="00807318">
        <w:t>C</w:t>
      </w:r>
      <w:r w:rsidR="00C02E98" w:rsidRPr="00807318">
        <w:t xml:space="preserve">onsultation </w:t>
      </w:r>
      <w:r w:rsidRPr="00807318">
        <w:t xml:space="preserve">on the Regulations </w:t>
      </w:r>
      <w:r w:rsidR="00C02E98" w:rsidRPr="00807318">
        <w:t xml:space="preserve">was undertaken </w:t>
      </w:r>
      <w:r w:rsidRPr="00807318">
        <w:t>from</w:t>
      </w:r>
      <w:r w:rsidR="00C02E98" w:rsidRPr="00807318">
        <w:t xml:space="preserve"> 5 </w:t>
      </w:r>
      <w:r w:rsidRPr="00807318">
        <w:t xml:space="preserve">to </w:t>
      </w:r>
      <w:r w:rsidR="00C02E98" w:rsidRPr="00807318">
        <w:t>25 May 2021</w:t>
      </w:r>
      <w:r w:rsidR="00AA1808" w:rsidRPr="00807318">
        <w:t>. No submissions were received in respect of the Regulations.</w:t>
      </w:r>
    </w:p>
    <w:p w14:paraId="392695F8" w14:textId="26D80EAC" w:rsidR="0005705A" w:rsidRPr="00807318" w:rsidRDefault="0005705A" w:rsidP="009905C5">
      <w:r w:rsidRPr="00807318">
        <w:lastRenderedPageBreak/>
        <w:t xml:space="preserve">Details of the Regulations are set out in </w:t>
      </w:r>
      <w:r w:rsidRPr="00807318">
        <w:rPr>
          <w:u w:val="single"/>
        </w:rPr>
        <w:t>Attachment A</w:t>
      </w:r>
    </w:p>
    <w:p w14:paraId="13F46688" w14:textId="77777777" w:rsidR="009905C5" w:rsidRPr="00807318" w:rsidRDefault="009905C5" w:rsidP="009905C5">
      <w:r w:rsidRPr="00807318">
        <w:t xml:space="preserve">The Authorising Acts specify no conditions that need to be met before the power to make the Regulations may be exercised. </w:t>
      </w:r>
    </w:p>
    <w:p w14:paraId="0148037F" w14:textId="77777777" w:rsidR="002C226C" w:rsidRPr="00807318" w:rsidRDefault="002C226C" w:rsidP="00647BB7">
      <w:pPr>
        <w:spacing w:before="240"/>
      </w:pPr>
      <w:r w:rsidRPr="00807318">
        <w:t xml:space="preserve">The Regulations are a legislative instrument for the purposes of the </w:t>
      </w:r>
      <w:r w:rsidRPr="00807318">
        <w:rPr>
          <w:i/>
        </w:rPr>
        <w:t>Legislation Act 2003</w:t>
      </w:r>
      <w:r w:rsidRPr="00807318">
        <w:t>.</w:t>
      </w:r>
    </w:p>
    <w:p w14:paraId="48DE2E16" w14:textId="5DF808CC" w:rsidR="0077748B" w:rsidRPr="00807318" w:rsidRDefault="0077748B" w:rsidP="0077748B">
      <w:pPr>
        <w:spacing w:before="240"/>
        <w:rPr>
          <w:i/>
        </w:rPr>
      </w:pPr>
      <w:r w:rsidRPr="00807318">
        <w:t xml:space="preserve">Items 1 to </w:t>
      </w:r>
      <w:r w:rsidR="00AF5028" w:rsidRPr="00807318">
        <w:t>14</w:t>
      </w:r>
      <w:r w:rsidR="00770CF6" w:rsidRPr="00807318">
        <w:t xml:space="preserve"> </w:t>
      </w:r>
      <w:r w:rsidRPr="00807318">
        <w:t xml:space="preserve">of the Regulations commence on the day after the Regulations are registered. </w:t>
      </w:r>
    </w:p>
    <w:p w14:paraId="06D49E33" w14:textId="77777777" w:rsidR="00E06FB4" w:rsidRPr="00807318" w:rsidRDefault="00E06FB4" w:rsidP="00E06FB4">
      <w:pPr>
        <w:spacing w:before="240"/>
      </w:pPr>
      <w:r w:rsidRPr="00807318">
        <w:t xml:space="preserve">Item 15 commences on the later of the day after the Regulations are registered and the day that Part 1 of Schedule 3 to the </w:t>
      </w:r>
      <w:r w:rsidRPr="00807318">
        <w:rPr>
          <w:i/>
        </w:rPr>
        <w:t xml:space="preserve">Treasury Laws Amendment (2021 Measures No. 5) Bill 2021 </w:t>
      </w:r>
      <w:r w:rsidRPr="00807318">
        <w:t xml:space="preserve">commences. However, item 15 does not commence at all if Part 1 of Schedule 3 to the </w:t>
      </w:r>
      <w:r w:rsidRPr="00807318">
        <w:rPr>
          <w:i/>
        </w:rPr>
        <w:t xml:space="preserve">Treasury Laws Amendment (2021 Measures No. 5) Bill 2021 </w:t>
      </w:r>
      <w:r w:rsidRPr="00807318">
        <w:t xml:space="preserve">does not commence. </w:t>
      </w:r>
    </w:p>
    <w:p w14:paraId="42BACD38" w14:textId="4DD7E3B2" w:rsidR="009143A0" w:rsidRPr="00807318" w:rsidRDefault="00CA62FC" w:rsidP="0077748B">
      <w:pPr>
        <w:spacing w:before="240"/>
      </w:pPr>
      <w:r w:rsidRPr="00807318">
        <w:t xml:space="preserve">If the Regulation is registered in 2021, Item </w:t>
      </w:r>
      <w:r w:rsidR="00AF5028" w:rsidRPr="00807318">
        <w:t>16</w:t>
      </w:r>
      <w:r w:rsidRPr="00807318">
        <w:t xml:space="preserve"> commences on 1 January 2022. Otherwise, </w:t>
      </w:r>
      <w:r w:rsidR="00E5354E" w:rsidRPr="00807318">
        <w:t xml:space="preserve">Item </w:t>
      </w:r>
      <w:r w:rsidR="00AF5028" w:rsidRPr="00807318">
        <w:t>16</w:t>
      </w:r>
      <w:r w:rsidR="00770CF6" w:rsidRPr="00807318">
        <w:t xml:space="preserve"> </w:t>
      </w:r>
      <w:r w:rsidR="00E5354E" w:rsidRPr="00807318">
        <w:t>commences on the later of the first 1 January</w:t>
      </w:r>
      <w:r w:rsidR="00AB4325" w:rsidRPr="00807318">
        <w:t xml:space="preserve">, 1 April, 1 </w:t>
      </w:r>
      <w:proofErr w:type="gramStart"/>
      <w:r w:rsidR="00AB4325" w:rsidRPr="00807318">
        <w:t>July</w:t>
      </w:r>
      <w:proofErr w:type="gramEnd"/>
      <w:r w:rsidR="00AB4325" w:rsidRPr="00807318">
        <w:t xml:space="preserve"> or 1</w:t>
      </w:r>
      <w:r w:rsidRPr="00807318">
        <w:t> </w:t>
      </w:r>
      <w:r w:rsidR="00AB4325" w:rsidRPr="00807318">
        <w:t>October the day after the instrument is registered.</w:t>
      </w:r>
      <w:r w:rsidR="00834285" w:rsidRPr="00807318">
        <w:t xml:space="preserve"> </w:t>
      </w:r>
    </w:p>
    <w:p w14:paraId="278C9A59" w14:textId="69C9C31A" w:rsidR="004C18A1" w:rsidRPr="00807318" w:rsidRDefault="004C18A1" w:rsidP="00703CF1">
      <w:r w:rsidRPr="00807318">
        <w:t>Items 17 to 19 commence on the later of the day after the instrument is registered, and 1 July 2021.</w:t>
      </w:r>
    </w:p>
    <w:p w14:paraId="7C4EB1DB" w14:textId="26F89F0C" w:rsidR="004C18A1" w:rsidRPr="00807318" w:rsidRDefault="004C18A1" w:rsidP="00703CF1">
      <w:pPr>
        <w:rPr>
          <w:iCs/>
          <w:shd w:val="clear" w:color="auto" w:fill="FFFFFF"/>
        </w:rPr>
      </w:pPr>
      <w:r w:rsidRPr="00807318">
        <w:t xml:space="preserve">The commencement of item 20 depends on the commencement of Schedule 1 to the </w:t>
      </w:r>
      <w:r w:rsidRPr="00807318">
        <w:rPr>
          <w:i/>
          <w:shd w:val="clear" w:color="auto" w:fill="FFFFFF"/>
        </w:rPr>
        <w:t>Financial Sector Reform (Hayne Royal Commission Response—Advice Fees) Regulations 2021</w:t>
      </w:r>
      <w:r w:rsidRPr="00807318">
        <w:rPr>
          <w:iCs/>
          <w:shd w:val="clear" w:color="auto" w:fill="FFFFFF"/>
        </w:rPr>
        <w:t xml:space="preserve">. If Schedule 1 to those Regulations commences after </w:t>
      </w:r>
      <w:r w:rsidR="00F561BA" w:rsidRPr="00807318">
        <w:rPr>
          <w:iCs/>
          <w:shd w:val="clear" w:color="auto" w:fill="FFFFFF"/>
        </w:rPr>
        <w:t xml:space="preserve">the day </w:t>
      </w:r>
      <w:r w:rsidRPr="00807318">
        <w:rPr>
          <w:iCs/>
          <w:shd w:val="clear" w:color="auto" w:fill="FFFFFF"/>
        </w:rPr>
        <w:t xml:space="preserve">this </w:t>
      </w:r>
      <w:r w:rsidR="00771B05" w:rsidRPr="00807318">
        <w:rPr>
          <w:iCs/>
          <w:shd w:val="clear" w:color="auto" w:fill="FFFFFF"/>
        </w:rPr>
        <w:t xml:space="preserve">instrument </w:t>
      </w:r>
      <w:r w:rsidR="00F561BA" w:rsidRPr="00807318">
        <w:rPr>
          <w:iCs/>
          <w:shd w:val="clear" w:color="auto" w:fill="FFFFFF"/>
        </w:rPr>
        <w:t>is registered</w:t>
      </w:r>
      <w:r w:rsidR="001B02A2" w:rsidRPr="00807318">
        <w:rPr>
          <w:iCs/>
          <w:shd w:val="clear" w:color="auto" w:fill="FFFFFF"/>
        </w:rPr>
        <w:t>, item 20 commences immediately after the commencement of Schedule 1 to those Regulations. Otherwise, item 20 commences on the start of the day after the instrument is registered.</w:t>
      </w:r>
    </w:p>
    <w:p w14:paraId="6382CC69" w14:textId="580A1043" w:rsidR="005B71B6" w:rsidRPr="00807318" w:rsidRDefault="005B71B6" w:rsidP="00703CF1">
      <w:r w:rsidRPr="00807318">
        <w:t xml:space="preserve">The Office of Best Practice Regulation considers that the proposal is unlikely to have a more than minor regulatory impact. </w:t>
      </w:r>
      <w:proofErr w:type="gramStart"/>
      <w:r w:rsidRPr="00807318">
        <w:t>Therefore</w:t>
      </w:r>
      <w:proofErr w:type="gramEnd"/>
      <w:r w:rsidRPr="00807318">
        <w:t xml:space="preserve"> a Regulation Impact Statement is not required.</w:t>
      </w:r>
    </w:p>
    <w:p w14:paraId="678747CE" w14:textId="105140A4" w:rsidR="00703CF1" w:rsidRPr="00807318" w:rsidRDefault="00703CF1" w:rsidP="00703CF1">
      <w:pPr>
        <w:spacing w:before="240"/>
      </w:pPr>
      <w:r w:rsidRPr="00807318">
        <w:t xml:space="preserve">A statement of Compatibility with Human Rights is at </w:t>
      </w:r>
      <w:r w:rsidRPr="00807318">
        <w:rPr>
          <w:u w:val="single"/>
        </w:rPr>
        <w:t>Attachment A</w:t>
      </w:r>
      <w:r w:rsidRPr="00807318">
        <w:t xml:space="preserve"> </w:t>
      </w:r>
    </w:p>
    <w:p w14:paraId="0FFED254" w14:textId="77777777" w:rsidR="00703CF1" w:rsidRPr="00807318" w:rsidRDefault="00703CF1" w:rsidP="0077748B">
      <w:pPr>
        <w:spacing w:before="240"/>
      </w:pPr>
    </w:p>
    <w:p w14:paraId="1A26075E" w14:textId="58BE2117" w:rsidR="00EA4DD8" w:rsidRPr="00807318" w:rsidRDefault="00EA4DD8" w:rsidP="00EA4DD8">
      <w:pPr>
        <w:pageBreakBefore/>
        <w:spacing w:before="240"/>
        <w:jc w:val="right"/>
        <w:rPr>
          <w:b/>
          <w:u w:val="single"/>
        </w:rPr>
      </w:pPr>
      <w:r w:rsidRPr="00807318">
        <w:rPr>
          <w:b/>
          <w:u w:val="single"/>
        </w:rPr>
        <w:lastRenderedPageBreak/>
        <w:t xml:space="preserve">ATTACHMENT </w:t>
      </w:r>
      <w:r w:rsidR="003449CA" w:rsidRPr="00807318">
        <w:rPr>
          <w:b/>
          <w:u w:val="single"/>
        </w:rPr>
        <w:t>A</w:t>
      </w:r>
    </w:p>
    <w:p w14:paraId="3FF554C6" w14:textId="063E09DC" w:rsidR="00EA4DD8" w:rsidRPr="00807318" w:rsidRDefault="00EA4DD8" w:rsidP="00EA4DD8">
      <w:pPr>
        <w:spacing w:before="240"/>
        <w:ind w:right="91"/>
        <w:rPr>
          <w:b/>
          <w:bCs/>
          <w:szCs w:val="24"/>
          <w:u w:val="single"/>
        </w:rPr>
      </w:pPr>
      <w:r w:rsidRPr="00807318">
        <w:rPr>
          <w:b/>
          <w:bCs/>
          <w:u w:val="single"/>
        </w:rPr>
        <w:t xml:space="preserve">Details of the </w:t>
      </w:r>
      <w:r w:rsidR="003449CA" w:rsidRPr="00807318">
        <w:rPr>
          <w:b/>
          <w:u w:val="single"/>
        </w:rPr>
        <w:t>Treasury Laws Amendment (Miscellaneous and Technical Amendments) Regulations 2021</w:t>
      </w:r>
      <w:r w:rsidRPr="00807318">
        <w:rPr>
          <w:b/>
          <w:bCs/>
          <w:u w:val="single"/>
        </w:rPr>
        <w:t xml:space="preserve"> </w:t>
      </w:r>
    </w:p>
    <w:p w14:paraId="41C20F8A" w14:textId="77777777" w:rsidR="00EA4DD8" w:rsidRPr="00807318" w:rsidRDefault="00EA4DD8" w:rsidP="00EA4DD8">
      <w:pPr>
        <w:spacing w:before="240"/>
        <w:rPr>
          <w:rFonts w:ascii="Calibri" w:hAnsi="Calibri"/>
          <w:sz w:val="22"/>
          <w:szCs w:val="22"/>
          <w:u w:val="single"/>
          <w:lang w:eastAsia="en-US"/>
        </w:rPr>
      </w:pPr>
      <w:r w:rsidRPr="00807318">
        <w:rPr>
          <w:u w:val="single"/>
        </w:rPr>
        <w:t>Section 1 – Name of the Regulations</w:t>
      </w:r>
    </w:p>
    <w:p w14:paraId="21BA26E0" w14:textId="034305F3" w:rsidR="003449CA" w:rsidRPr="00807318" w:rsidRDefault="003449CA" w:rsidP="00EA4DD8">
      <w:pPr>
        <w:spacing w:before="240"/>
        <w:ind w:right="91"/>
      </w:pPr>
      <w:r w:rsidRPr="00807318">
        <w:t xml:space="preserve">This section </w:t>
      </w:r>
      <w:r w:rsidR="001126D0" w:rsidRPr="00807318">
        <w:t>states</w:t>
      </w:r>
      <w:r w:rsidRPr="00807318">
        <w:t xml:space="preserve"> that the name of the Regulations is the </w:t>
      </w:r>
      <w:r w:rsidRPr="00807318">
        <w:rPr>
          <w:i/>
        </w:rPr>
        <w:t>Treasury Laws Amendment (Miscellaneous and Technical Amendments) Regulations 2021</w:t>
      </w:r>
      <w:r w:rsidRPr="00807318">
        <w:t xml:space="preserve"> (the Regulations).</w:t>
      </w:r>
    </w:p>
    <w:p w14:paraId="068D8322" w14:textId="101571C4" w:rsidR="00EA4DD8" w:rsidRPr="00807318" w:rsidRDefault="00EA4DD8" w:rsidP="00EA4DD8">
      <w:pPr>
        <w:spacing w:before="240"/>
        <w:ind w:right="91"/>
        <w:rPr>
          <w:u w:val="single"/>
        </w:rPr>
      </w:pPr>
      <w:r w:rsidRPr="00807318">
        <w:rPr>
          <w:u w:val="single"/>
        </w:rPr>
        <w:t>Section 2 – Commencement</w:t>
      </w:r>
    </w:p>
    <w:p w14:paraId="425AE11A" w14:textId="1F196DE0" w:rsidR="004F19C1" w:rsidRPr="00807318" w:rsidRDefault="00B34C2D" w:rsidP="00EA4DD8">
      <w:pPr>
        <w:spacing w:before="240"/>
        <w:ind w:right="91"/>
        <w:rPr>
          <w:u w:val="single"/>
        </w:rPr>
      </w:pPr>
      <w:r w:rsidRPr="00807318">
        <w:t>This section</w:t>
      </w:r>
      <w:r w:rsidR="004F19C1" w:rsidRPr="00807318">
        <w:t xml:space="preserve"> sets out the commencement details of the Regulations</w:t>
      </w:r>
      <w:r w:rsidR="00B140E9" w:rsidRPr="00807318">
        <w:t>, which are outlined above</w:t>
      </w:r>
      <w:r w:rsidR="004F19C1" w:rsidRPr="00807318">
        <w:t>.</w:t>
      </w:r>
      <w:r w:rsidR="004F19C1" w:rsidRPr="00807318">
        <w:rPr>
          <w:u w:val="single"/>
        </w:rPr>
        <w:t xml:space="preserve"> </w:t>
      </w:r>
    </w:p>
    <w:p w14:paraId="732D52F1" w14:textId="52C09D2E" w:rsidR="00EA4DD8" w:rsidRPr="00807318" w:rsidRDefault="00EA4DD8" w:rsidP="00EA4DD8">
      <w:pPr>
        <w:spacing w:before="240"/>
        <w:ind w:right="91"/>
        <w:rPr>
          <w:u w:val="single"/>
        </w:rPr>
      </w:pPr>
      <w:r w:rsidRPr="00807318">
        <w:rPr>
          <w:u w:val="single"/>
        </w:rPr>
        <w:t>Section 3 – Authority</w:t>
      </w:r>
    </w:p>
    <w:p w14:paraId="7E0D3F58" w14:textId="5F00A3CA" w:rsidR="00D04285" w:rsidRPr="00807318" w:rsidRDefault="00B34C2D" w:rsidP="00B01B0A">
      <w:pPr>
        <w:pStyle w:val="Bullet"/>
        <w:numPr>
          <w:ilvl w:val="0"/>
          <w:numId w:val="0"/>
        </w:numPr>
      </w:pPr>
      <w:r w:rsidRPr="00807318">
        <w:t xml:space="preserve">This section </w:t>
      </w:r>
      <w:r w:rsidR="0098649E" w:rsidRPr="00807318">
        <w:t>state</w:t>
      </w:r>
      <w:r w:rsidRPr="00807318">
        <w:t>s</w:t>
      </w:r>
      <w:r w:rsidR="0098649E" w:rsidRPr="00807318">
        <w:t xml:space="preserve"> the Regulations are made under: </w:t>
      </w:r>
    </w:p>
    <w:p w14:paraId="25F00C05" w14:textId="17329BEE" w:rsidR="002F6A53" w:rsidRPr="00807318" w:rsidRDefault="002F6A53" w:rsidP="00D04285">
      <w:pPr>
        <w:pStyle w:val="Bullet"/>
        <w:rPr>
          <w:i/>
        </w:rPr>
      </w:pPr>
      <w:r w:rsidRPr="00807318">
        <w:rPr>
          <w:i/>
        </w:rPr>
        <w:t>A New Tax System (Goods and Services) Act 1999</w:t>
      </w:r>
    </w:p>
    <w:p w14:paraId="5D440C34" w14:textId="2A695509" w:rsidR="00D04285" w:rsidRPr="00807318" w:rsidRDefault="00D04285" w:rsidP="00D04285">
      <w:pPr>
        <w:pStyle w:val="Bullet"/>
        <w:rPr>
          <w:i/>
        </w:rPr>
      </w:pPr>
      <w:r w:rsidRPr="00807318">
        <w:rPr>
          <w:i/>
        </w:rPr>
        <w:t xml:space="preserve">Business Names Registration Act 2011 </w:t>
      </w:r>
    </w:p>
    <w:p w14:paraId="1694FCD6" w14:textId="77777777" w:rsidR="00D04285" w:rsidRPr="00807318" w:rsidRDefault="00D04285" w:rsidP="00D04285">
      <w:pPr>
        <w:pStyle w:val="Bullet"/>
        <w:rPr>
          <w:i/>
        </w:rPr>
      </w:pPr>
      <w:r w:rsidRPr="00807318">
        <w:rPr>
          <w:i/>
        </w:rPr>
        <w:t>Competition and Consumer Act 2010</w:t>
      </w:r>
    </w:p>
    <w:p w14:paraId="6CB45E54" w14:textId="77777777" w:rsidR="00D04285" w:rsidRPr="00807318" w:rsidRDefault="00D04285" w:rsidP="00D04285">
      <w:pPr>
        <w:pStyle w:val="Bullet"/>
        <w:rPr>
          <w:i/>
        </w:rPr>
      </w:pPr>
      <w:r w:rsidRPr="00807318">
        <w:rPr>
          <w:i/>
        </w:rPr>
        <w:t>Corporations Act 2001</w:t>
      </w:r>
    </w:p>
    <w:p w14:paraId="5E93AC62" w14:textId="550B1FDA" w:rsidR="00D04285" w:rsidRPr="00807318" w:rsidRDefault="00D04285" w:rsidP="00D04285">
      <w:pPr>
        <w:pStyle w:val="Bullet"/>
        <w:rPr>
          <w:i/>
        </w:rPr>
      </w:pPr>
      <w:r w:rsidRPr="00807318">
        <w:rPr>
          <w:i/>
        </w:rPr>
        <w:t>Foreign Acquisitions and Takeovers Act 1975</w:t>
      </w:r>
    </w:p>
    <w:p w14:paraId="62490CC8" w14:textId="77777777" w:rsidR="00D04285" w:rsidRPr="00807318" w:rsidRDefault="00D04285" w:rsidP="00D04285">
      <w:pPr>
        <w:pStyle w:val="Bullet"/>
        <w:rPr>
          <w:i/>
        </w:rPr>
      </w:pPr>
      <w:r w:rsidRPr="00807318">
        <w:rPr>
          <w:i/>
        </w:rPr>
        <w:t>Income Tax Assessment Act 1997</w:t>
      </w:r>
    </w:p>
    <w:p w14:paraId="277C450D" w14:textId="77777777" w:rsidR="00D04285" w:rsidRPr="00807318" w:rsidRDefault="00D04285" w:rsidP="00D04285">
      <w:pPr>
        <w:pStyle w:val="Bullet"/>
        <w:rPr>
          <w:i/>
        </w:rPr>
      </w:pPr>
      <w:r w:rsidRPr="00807318">
        <w:rPr>
          <w:i/>
        </w:rPr>
        <w:t>Tax Agent Services Act 2009</w:t>
      </w:r>
    </w:p>
    <w:p w14:paraId="544CD873" w14:textId="03D3900B" w:rsidR="00EA4DD8" w:rsidRPr="00807318" w:rsidRDefault="00EA4DD8" w:rsidP="00EA4DD8">
      <w:pPr>
        <w:spacing w:before="240"/>
        <w:ind w:right="91"/>
        <w:rPr>
          <w:u w:val="single"/>
        </w:rPr>
      </w:pPr>
      <w:r w:rsidRPr="00807318">
        <w:rPr>
          <w:u w:val="single"/>
        </w:rPr>
        <w:t>Section 4 – Schedul</w:t>
      </w:r>
      <w:r w:rsidR="00813990" w:rsidRPr="00807318">
        <w:rPr>
          <w:u w:val="single"/>
        </w:rPr>
        <w:t>es</w:t>
      </w:r>
    </w:p>
    <w:p w14:paraId="2C0035C6" w14:textId="691B440A" w:rsidR="00813990" w:rsidRPr="00807318" w:rsidRDefault="001126D0" w:rsidP="00EA4DD8">
      <w:pPr>
        <w:spacing w:before="240" w:after="200"/>
        <w:ind w:right="91"/>
      </w:pPr>
      <w:bookmarkStart w:id="0" w:name="_Hlk73545676"/>
      <w:r w:rsidRPr="00807318">
        <w:t xml:space="preserve">This section </w:t>
      </w:r>
      <w:r w:rsidR="005E3255" w:rsidRPr="00807318">
        <w:t>gives legal effect to the amendments in the Schedules</w:t>
      </w:r>
      <w:bookmarkEnd w:id="0"/>
      <w:r w:rsidR="005E3255" w:rsidRPr="00807318">
        <w:t xml:space="preserve">. </w:t>
      </w:r>
    </w:p>
    <w:p w14:paraId="6849E2AD" w14:textId="6D1D098C" w:rsidR="00EA4DD8" w:rsidRPr="00807318" w:rsidRDefault="00EA4DD8" w:rsidP="00C747DB">
      <w:pPr>
        <w:spacing w:after="0"/>
        <w:ind w:right="91"/>
        <w:jc w:val="center"/>
        <w:rPr>
          <w:b/>
          <w:bCs/>
          <w:color w:val="FF0000"/>
          <w:u w:val="single"/>
        </w:rPr>
      </w:pPr>
      <w:r w:rsidRPr="00807318">
        <w:rPr>
          <w:b/>
          <w:bCs/>
          <w:u w:val="single"/>
        </w:rPr>
        <w:t>Schedule 1 – Amendments</w:t>
      </w:r>
    </w:p>
    <w:p w14:paraId="5DA3774D" w14:textId="211DB9A1" w:rsidR="00BB7F78" w:rsidRPr="00807318" w:rsidRDefault="00BB7F78" w:rsidP="00C747DB">
      <w:pPr>
        <w:pStyle w:val="Bullet"/>
        <w:numPr>
          <w:ilvl w:val="0"/>
          <w:numId w:val="0"/>
        </w:numPr>
        <w:rPr>
          <w:b/>
        </w:rPr>
      </w:pPr>
      <w:r w:rsidRPr="00807318">
        <w:rPr>
          <w:b/>
        </w:rPr>
        <w:t>Part 1 – Amendments</w:t>
      </w:r>
    </w:p>
    <w:p w14:paraId="12323665" w14:textId="367200A4" w:rsidR="00E426BF" w:rsidRPr="00807318" w:rsidRDefault="00E426BF" w:rsidP="00BB7F78">
      <w:pPr>
        <w:pStyle w:val="Bullet"/>
        <w:numPr>
          <w:ilvl w:val="0"/>
          <w:numId w:val="0"/>
        </w:numPr>
        <w:rPr>
          <w:u w:val="single"/>
        </w:rPr>
      </w:pPr>
      <w:r w:rsidRPr="00807318">
        <w:rPr>
          <w:u w:val="single"/>
        </w:rPr>
        <w:t xml:space="preserve">Item 1 - Amendments to the </w:t>
      </w:r>
      <w:r w:rsidRPr="00807318">
        <w:rPr>
          <w:i/>
          <w:u w:val="single"/>
        </w:rPr>
        <w:t>Competition and Consumer Regulations 2010</w:t>
      </w:r>
    </w:p>
    <w:p w14:paraId="71BB8F92" w14:textId="5F1B541B" w:rsidR="00E426BF" w:rsidRPr="00807318" w:rsidRDefault="00BA5E54" w:rsidP="00E426BF">
      <w:pPr>
        <w:pStyle w:val="Bullet"/>
        <w:numPr>
          <w:ilvl w:val="0"/>
          <w:numId w:val="0"/>
        </w:numPr>
        <w:spacing w:after="200"/>
        <w:rPr>
          <w:szCs w:val="20"/>
          <w:u w:val="single"/>
        </w:rPr>
      </w:pPr>
      <w:r w:rsidRPr="00807318">
        <w:t xml:space="preserve">This item makes the law more readable by clarifying the Office of the Registrar is open every business day. It also removes reference to the </w:t>
      </w:r>
      <w:r w:rsidR="00E426BF" w:rsidRPr="00807318">
        <w:rPr>
          <w:i/>
          <w:iCs/>
        </w:rPr>
        <w:t>Public Service Act 1992-1973</w:t>
      </w:r>
      <w:r w:rsidRPr="00807318">
        <w:t xml:space="preserve">, which </w:t>
      </w:r>
      <w:r w:rsidR="00E426BF" w:rsidRPr="00807318">
        <w:t>no longer exists.</w:t>
      </w:r>
    </w:p>
    <w:p w14:paraId="49A65891" w14:textId="77777777" w:rsidR="00E426BF" w:rsidRPr="00807318" w:rsidRDefault="00E426BF" w:rsidP="002D25C9">
      <w:pPr>
        <w:pStyle w:val="Bullet"/>
        <w:keepNext/>
        <w:keepLines/>
        <w:numPr>
          <w:ilvl w:val="0"/>
          <w:numId w:val="0"/>
        </w:numPr>
        <w:rPr>
          <w:u w:val="single"/>
        </w:rPr>
      </w:pPr>
      <w:r w:rsidRPr="00807318">
        <w:rPr>
          <w:u w:val="single"/>
        </w:rPr>
        <w:t xml:space="preserve">Items 2 - 12 - Amendments to the </w:t>
      </w:r>
      <w:r w:rsidRPr="00807318">
        <w:rPr>
          <w:i/>
          <w:u w:val="single"/>
        </w:rPr>
        <w:t>Tax Agent Services Regulations 2009</w:t>
      </w:r>
    </w:p>
    <w:p w14:paraId="291E42D8" w14:textId="7AF5F1FC" w:rsidR="006630E5" w:rsidRPr="00807318" w:rsidRDefault="00367D69" w:rsidP="00B14571">
      <w:pPr>
        <w:pStyle w:val="Bullet"/>
        <w:numPr>
          <w:ilvl w:val="0"/>
          <w:numId w:val="0"/>
        </w:numPr>
        <w:spacing w:after="200"/>
        <w:rPr>
          <w:szCs w:val="20"/>
        </w:rPr>
      </w:pPr>
      <w:r w:rsidRPr="00807318">
        <w:rPr>
          <w:szCs w:val="20"/>
        </w:rPr>
        <w:t>These items repeal c</w:t>
      </w:r>
      <w:r w:rsidR="00E426BF" w:rsidRPr="00807318">
        <w:rPr>
          <w:szCs w:val="20"/>
        </w:rPr>
        <w:t xml:space="preserve">ertain </w:t>
      </w:r>
      <w:r w:rsidRPr="00807318">
        <w:rPr>
          <w:szCs w:val="20"/>
        </w:rPr>
        <w:t xml:space="preserve">out of date </w:t>
      </w:r>
      <w:r w:rsidR="00E426BF" w:rsidRPr="00807318">
        <w:rPr>
          <w:szCs w:val="20"/>
        </w:rPr>
        <w:t>provisions</w:t>
      </w:r>
      <w:r w:rsidRPr="00807318">
        <w:t>.</w:t>
      </w:r>
      <w:r w:rsidRPr="00807318">
        <w:rPr>
          <w:szCs w:val="20"/>
        </w:rPr>
        <w:t xml:space="preserve"> </w:t>
      </w:r>
    </w:p>
    <w:p w14:paraId="5D6B1238" w14:textId="77777777" w:rsidR="00734757" w:rsidRPr="00807318" w:rsidRDefault="00734757" w:rsidP="00B14571">
      <w:pPr>
        <w:pStyle w:val="Bullet"/>
        <w:numPr>
          <w:ilvl w:val="0"/>
          <w:numId w:val="0"/>
        </w:numPr>
        <w:spacing w:after="200"/>
        <w:rPr>
          <w:shd w:val="clear" w:color="auto" w:fill="FFFFFF"/>
        </w:rPr>
      </w:pPr>
      <w:r w:rsidRPr="00807318">
        <w:rPr>
          <w:shd w:val="clear" w:color="auto" w:fill="FFFFFF"/>
        </w:rPr>
        <w:t xml:space="preserve">Items 2, 3 and 4 repeal provisions which enabled the transition of BAS agent association recognition when the tax agent service regime was established. These </w:t>
      </w:r>
      <w:r w:rsidRPr="00807318">
        <w:rPr>
          <w:shd w:val="clear" w:color="auto" w:fill="FFFFFF"/>
        </w:rPr>
        <w:lastRenderedPageBreak/>
        <w:t>provisions ceased operating on 1 March 2013, which was 3 years after the day Part 2 of the </w:t>
      </w:r>
      <w:r w:rsidRPr="00807318">
        <w:rPr>
          <w:i/>
          <w:iCs/>
          <w:shd w:val="clear" w:color="auto" w:fill="FFFFFF"/>
        </w:rPr>
        <w:t>Tax Agent Services Act 2009</w:t>
      </w:r>
      <w:r w:rsidRPr="00807318">
        <w:rPr>
          <w:shd w:val="clear" w:color="auto" w:fill="FFFFFF"/>
        </w:rPr>
        <w:t> commenced. Items 5 and 8 make consequential amendments to support this change.</w:t>
      </w:r>
    </w:p>
    <w:p w14:paraId="1D282C89" w14:textId="77777777" w:rsidR="00734757" w:rsidRPr="00807318" w:rsidRDefault="00734757" w:rsidP="00B14571">
      <w:pPr>
        <w:pStyle w:val="Bullet"/>
        <w:numPr>
          <w:ilvl w:val="0"/>
          <w:numId w:val="0"/>
        </w:numPr>
        <w:spacing w:after="200"/>
        <w:rPr>
          <w:shd w:val="clear" w:color="auto" w:fill="FFFFFF"/>
        </w:rPr>
      </w:pPr>
      <w:r w:rsidRPr="00807318">
        <w:rPr>
          <w:shd w:val="clear" w:color="auto" w:fill="FFFFFF"/>
        </w:rPr>
        <w:t>Item 6 repeals a provision which enabled the transitional treatment of certain financial product advice when the tax agent service regime was established. This provision ceased operating on 1 July 2014, which was 3 years after the expiry of an exemption from the regime for those financial products. Item 7 makes consequential amendments to support this change.</w:t>
      </w:r>
    </w:p>
    <w:p w14:paraId="455324AC" w14:textId="733C7860" w:rsidR="00734757" w:rsidRPr="00807318" w:rsidRDefault="00734757" w:rsidP="00B14571">
      <w:pPr>
        <w:pStyle w:val="Bullet"/>
        <w:numPr>
          <w:ilvl w:val="0"/>
          <w:numId w:val="0"/>
        </w:numPr>
        <w:spacing w:after="200"/>
        <w:rPr>
          <w:shd w:val="clear" w:color="auto" w:fill="FFFFFF"/>
        </w:rPr>
      </w:pPr>
      <w:r w:rsidRPr="00807318">
        <w:rPr>
          <w:shd w:val="clear" w:color="auto" w:fill="FFFFFF"/>
        </w:rPr>
        <w:t>Items 9 to 12 repeal references to dates which have since passed.</w:t>
      </w:r>
    </w:p>
    <w:p w14:paraId="16673781" w14:textId="5F14DD25" w:rsidR="00E426BF" w:rsidRPr="00807318" w:rsidRDefault="00E426BF" w:rsidP="001F6388">
      <w:pPr>
        <w:pStyle w:val="Bullet"/>
        <w:keepNext/>
        <w:keepLines/>
        <w:numPr>
          <w:ilvl w:val="0"/>
          <w:numId w:val="0"/>
        </w:numPr>
        <w:rPr>
          <w:u w:val="single"/>
        </w:rPr>
      </w:pPr>
      <w:r w:rsidRPr="00807318">
        <w:rPr>
          <w:u w:val="single"/>
        </w:rPr>
        <w:t>Item 1</w:t>
      </w:r>
      <w:r w:rsidR="00E16501" w:rsidRPr="00807318">
        <w:rPr>
          <w:u w:val="single"/>
        </w:rPr>
        <w:t>3</w:t>
      </w:r>
      <w:bookmarkStart w:id="1" w:name="_Hlk72339741"/>
      <w:r w:rsidRPr="00807318">
        <w:rPr>
          <w:u w:val="single"/>
        </w:rPr>
        <w:t xml:space="preserve"> - Amendments to the </w:t>
      </w:r>
      <w:r w:rsidRPr="00807318">
        <w:rPr>
          <w:i/>
          <w:u w:val="single"/>
        </w:rPr>
        <w:t>Corporations Regulations 2001</w:t>
      </w:r>
    </w:p>
    <w:p w14:paraId="21409EF3" w14:textId="7871F7A7" w:rsidR="00E426BF" w:rsidRPr="00807318" w:rsidRDefault="008A57CB" w:rsidP="001F6388">
      <w:pPr>
        <w:pStyle w:val="Bullet"/>
        <w:numPr>
          <w:ilvl w:val="0"/>
          <w:numId w:val="0"/>
        </w:numPr>
        <w:spacing w:after="200"/>
        <w:rPr>
          <w:szCs w:val="20"/>
        </w:rPr>
      </w:pPr>
      <w:r w:rsidRPr="00807318">
        <w:rPr>
          <w:szCs w:val="20"/>
        </w:rPr>
        <w:t xml:space="preserve">This item </w:t>
      </w:r>
      <w:r w:rsidR="00E426BF" w:rsidRPr="00807318">
        <w:rPr>
          <w:szCs w:val="20"/>
        </w:rPr>
        <w:t>correct</w:t>
      </w:r>
      <w:r w:rsidR="009F293A" w:rsidRPr="00807318">
        <w:rPr>
          <w:szCs w:val="20"/>
        </w:rPr>
        <w:t>s</w:t>
      </w:r>
      <w:r w:rsidR="00E426BF" w:rsidRPr="00807318">
        <w:rPr>
          <w:szCs w:val="20"/>
        </w:rPr>
        <w:t xml:space="preserve"> a numbering error</w:t>
      </w:r>
      <w:r w:rsidR="00061980" w:rsidRPr="00807318">
        <w:rPr>
          <w:szCs w:val="20"/>
        </w:rPr>
        <w:t>, where two different subparagraphs are labelled</w:t>
      </w:r>
      <w:r w:rsidR="00FA3429" w:rsidRPr="00807318">
        <w:rPr>
          <w:szCs w:val="20"/>
        </w:rPr>
        <w:t> </w:t>
      </w:r>
      <w:r w:rsidR="00061980" w:rsidRPr="00807318">
        <w:rPr>
          <w:szCs w:val="20"/>
        </w:rPr>
        <w:t>‘(</w:t>
      </w:r>
      <w:proofErr w:type="spellStart"/>
      <w:r w:rsidR="00061980" w:rsidRPr="00807318">
        <w:rPr>
          <w:szCs w:val="20"/>
        </w:rPr>
        <w:t>i</w:t>
      </w:r>
      <w:proofErr w:type="spellEnd"/>
      <w:r w:rsidR="00061980" w:rsidRPr="00807318">
        <w:rPr>
          <w:szCs w:val="20"/>
        </w:rPr>
        <w:t>)’</w:t>
      </w:r>
      <w:r w:rsidR="00E426BF" w:rsidRPr="00807318">
        <w:rPr>
          <w:szCs w:val="20"/>
        </w:rPr>
        <w:t xml:space="preserve">. </w:t>
      </w:r>
    </w:p>
    <w:bookmarkEnd w:id="1"/>
    <w:p w14:paraId="7F9D6E53" w14:textId="205CAEA7" w:rsidR="00E10C28" w:rsidRPr="00807318" w:rsidRDefault="00AD7F09" w:rsidP="00E426BF">
      <w:pPr>
        <w:pStyle w:val="Bullet"/>
        <w:numPr>
          <w:ilvl w:val="0"/>
          <w:numId w:val="0"/>
        </w:numPr>
        <w:rPr>
          <w:u w:val="single"/>
        </w:rPr>
      </w:pPr>
      <w:r w:rsidRPr="00807318">
        <w:rPr>
          <w:u w:val="single"/>
        </w:rPr>
        <w:t xml:space="preserve">Item </w:t>
      </w:r>
      <w:r w:rsidR="00E426BF" w:rsidRPr="00807318">
        <w:rPr>
          <w:u w:val="single"/>
        </w:rPr>
        <w:t>1</w:t>
      </w:r>
      <w:r w:rsidR="00E16501" w:rsidRPr="00807318">
        <w:rPr>
          <w:u w:val="single"/>
        </w:rPr>
        <w:t>4</w:t>
      </w:r>
      <w:r w:rsidR="00E10C28" w:rsidRPr="00807318">
        <w:rPr>
          <w:u w:val="single"/>
        </w:rPr>
        <w:t xml:space="preserve"> - Amendments to the </w:t>
      </w:r>
      <w:r w:rsidR="00E10C28" w:rsidRPr="00807318">
        <w:rPr>
          <w:i/>
          <w:u w:val="single"/>
        </w:rPr>
        <w:t>A New Tax System (Goods and Services) Regulations 2019</w:t>
      </w:r>
    </w:p>
    <w:p w14:paraId="1C676FBB" w14:textId="61301D33" w:rsidR="0099211E" w:rsidRPr="00807318" w:rsidRDefault="41818F2A" w:rsidP="00ED0ED7">
      <w:pPr>
        <w:pStyle w:val="Bullet"/>
        <w:numPr>
          <w:ilvl w:val="0"/>
          <w:numId w:val="0"/>
        </w:numPr>
        <w:spacing w:after="200"/>
      </w:pPr>
      <w:r w:rsidRPr="00807318">
        <w:t xml:space="preserve">The Australian Capital Territory (ACT) has introduced a new </w:t>
      </w:r>
      <w:r w:rsidR="0075398E" w:rsidRPr="00807318">
        <w:t>compulsory</w:t>
      </w:r>
      <w:r w:rsidR="00CE3075" w:rsidRPr="00807318">
        <w:t xml:space="preserve"> third-party scheme</w:t>
      </w:r>
      <w:r w:rsidRPr="00807318">
        <w:t xml:space="preserve"> </w:t>
      </w:r>
      <w:r w:rsidR="0099211E" w:rsidRPr="00807318">
        <w:t>for car accident insurance.</w:t>
      </w:r>
      <w:r w:rsidRPr="00807318">
        <w:t xml:space="preserve"> </w:t>
      </w:r>
      <w:r w:rsidR="001A66DB" w:rsidRPr="00807318">
        <w:t xml:space="preserve">All third-party schemes for car accident insurance are listed in Commonwealth law. </w:t>
      </w:r>
      <w:r w:rsidR="00FF7BED" w:rsidRPr="00807318">
        <w:t>This item</w:t>
      </w:r>
      <w:r w:rsidR="00CE027B" w:rsidRPr="00807318">
        <w:t xml:space="preserve"> </w:t>
      </w:r>
      <w:r w:rsidR="001A66DB" w:rsidRPr="00807318">
        <w:t xml:space="preserve">updates the list to include </w:t>
      </w:r>
      <w:r w:rsidR="00CE027B" w:rsidRPr="00807318">
        <w:t xml:space="preserve">the new scheme and its legislation as a specified compulsory third-party scheme, to allow operators of compulsory third-party schemes in the ACT to access special provisions. These provisions would enable operators to have adjustments to correctly reflect margins after settlements of claims and other payments have been </w:t>
      </w:r>
      <w:proofErr w:type="gramStart"/>
      <w:r w:rsidR="00CE027B" w:rsidRPr="00807318">
        <w:t>taken into account</w:t>
      </w:r>
      <w:proofErr w:type="gramEnd"/>
      <w:r w:rsidR="00CE027B" w:rsidRPr="00807318">
        <w:t>.</w:t>
      </w:r>
      <w:r w:rsidR="0099211E" w:rsidRPr="00807318">
        <w:t xml:space="preserve"> </w:t>
      </w:r>
    </w:p>
    <w:p w14:paraId="36BB31D0" w14:textId="35807724" w:rsidR="003376C4" w:rsidRPr="00807318" w:rsidRDefault="0075398E" w:rsidP="00ED0ED7">
      <w:pPr>
        <w:pStyle w:val="Bullet"/>
        <w:numPr>
          <w:ilvl w:val="0"/>
          <w:numId w:val="0"/>
        </w:numPr>
        <w:spacing w:after="200"/>
      </w:pPr>
      <w:r w:rsidRPr="00807318">
        <w:t>T</w:t>
      </w:r>
      <w:r w:rsidR="41818F2A" w:rsidRPr="00807318">
        <w:t>he</w:t>
      </w:r>
      <w:r w:rsidR="00710460" w:rsidRPr="00807318">
        <w:t xml:space="preserve"> ACT’s</w:t>
      </w:r>
      <w:r w:rsidR="41818F2A" w:rsidRPr="00807318">
        <w:t xml:space="preserve"> former </w:t>
      </w:r>
      <w:r w:rsidRPr="00807318">
        <w:t xml:space="preserve">compulsory third-party scheme </w:t>
      </w:r>
      <w:r w:rsidR="00201F4C" w:rsidRPr="00807318">
        <w:t>has been retained</w:t>
      </w:r>
      <w:r w:rsidR="41818F2A" w:rsidRPr="00807318">
        <w:t xml:space="preserve"> as it is anticipated that settlements and payments will continue to be made under the former scheme for the foreseeable future.</w:t>
      </w:r>
      <w:r w:rsidR="00B60AF6" w:rsidRPr="00807318">
        <w:rPr>
          <w:rStyle w:val="Referencingstyle"/>
        </w:rPr>
        <w:t xml:space="preserve"> </w:t>
      </w:r>
    </w:p>
    <w:p w14:paraId="7263E095" w14:textId="5839E69D" w:rsidR="00BB7F78" w:rsidRPr="00807318" w:rsidRDefault="00BB7F78" w:rsidP="00202F5F">
      <w:pPr>
        <w:rPr>
          <w:b/>
        </w:rPr>
      </w:pPr>
      <w:r w:rsidRPr="00807318">
        <w:rPr>
          <w:b/>
        </w:rPr>
        <w:t>Part 2 – Other amendments</w:t>
      </w:r>
    </w:p>
    <w:p w14:paraId="2F9693FF" w14:textId="0DDD0B7E" w:rsidR="00A77596" w:rsidRPr="00807318" w:rsidRDefault="00A77596" w:rsidP="00A77596">
      <w:pPr>
        <w:pStyle w:val="Bullet"/>
        <w:numPr>
          <w:ilvl w:val="0"/>
          <w:numId w:val="0"/>
        </w:numPr>
        <w:rPr>
          <w:i/>
          <w:u w:val="single"/>
        </w:rPr>
      </w:pPr>
      <w:r w:rsidRPr="00807318">
        <w:rPr>
          <w:u w:val="single"/>
        </w:rPr>
        <w:t xml:space="preserve">Item </w:t>
      </w:r>
      <w:r w:rsidR="00CE6AB9" w:rsidRPr="00807318">
        <w:rPr>
          <w:u w:val="single"/>
        </w:rPr>
        <w:t>1</w:t>
      </w:r>
      <w:r w:rsidR="001A66DB" w:rsidRPr="00807318">
        <w:rPr>
          <w:u w:val="single"/>
        </w:rPr>
        <w:t>5</w:t>
      </w:r>
      <w:r w:rsidR="0091388E" w:rsidRPr="00807318">
        <w:rPr>
          <w:u w:val="single"/>
        </w:rPr>
        <w:t xml:space="preserve"> </w:t>
      </w:r>
      <w:r w:rsidRPr="00807318">
        <w:rPr>
          <w:u w:val="single"/>
        </w:rPr>
        <w:t xml:space="preserve">- Amendments to the </w:t>
      </w:r>
      <w:r w:rsidRPr="00807318">
        <w:rPr>
          <w:i/>
          <w:u w:val="single"/>
        </w:rPr>
        <w:t>Foreign Acquisitions and Takeovers Regulation 2015</w:t>
      </w:r>
    </w:p>
    <w:p w14:paraId="75BD40F5" w14:textId="24C9D8A8" w:rsidR="009F293A" w:rsidRPr="00807318" w:rsidRDefault="00CE6AB9" w:rsidP="00CA339E">
      <w:pPr>
        <w:pStyle w:val="Bullet"/>
        <w:numPr>
          <w:ilvl w:val="0"/>
          <w:numId w:val="0"/>
        </w:numPr>
        <w:spacing w:after="200"/>
      </w:pPr>
      <w:r w:rsidRPr="00807318">
        <w:t>This item</w:t>
      </w:r>
      <w:r w:rsidR="0091388E" w:rsidRPr="00807318">
        <w:t xml:space="preserve"> </w:t>
      </w:r>
      <w:r w:rsidR="00CA339E" w:rsidRPr="00807318">
        <w:t xml:space="preserve">makes consequential amendments to </w:t>
      </w:r>
      <w:r w:rsidR="000178FF" w:rsidRPr="00807318">
        <w:rPr>
          <w:iCs/>
        </w:rPr>
        <w:t xml:space="preserve">support </w:t>
      </w:r>
      <w:r w:rsidR="009F293A" w:rsidRPr="00807318">
        <w:rPr>
          <w:iCs/>
        </w:rPr>
        <w:t>an</w:t>
      </w:r>
      <w:r w:rsidR="000178FF" w:rsidRPr="00807318">
        <w:rPr>
          <w:iCs/>
        </w:rPr>
        <w:t xml:space="preserve"> amendment </w:t>
      </w:r>
      <w:r w:rsidR="00CA339E" w:rsidRPr="00807318">
        <w:t xml:space="preserve">made by the </w:t>
      </w:r>
      <w:r w:rsidR="00CA339E" w:rsidRPr="00807318">
        <w:rPr>
          <w:i/>
          <w:iCs/>
        </w:rPr>
        <w:t>Treasury Laws Amendment (</w:t>
      </w:r>
      <w:r w:rsidR="007F7C1D" w:rsidRPr="00807318">
        <w:rPr>
          <w:i/>
          <w:iCs/>
        </w:rPr>
        <w:t xml:space="preserve">2021 </w:t>
      </w:r>
      <w:r w:rsidR="00CA339E" w:rsidRPr="00807318">
        <w:rPr>
          <w:i/>
          <w:iCs/>
        </w:rPr>
        <w:t>Measures</w:t>
      </w:r>
      <w:r w:rsidR="007F7C1D" w:rsidRPr="00807318">
        <w:rPr>
          <w:i/>
          <w:iCs/>
        </w:rPr>
        <w:t xml:space="preserve"> No. 5</w:t>
      </w:r>
      <w:r w:rsidR="00CA339E" w:rsidRPr="00807318">
        <w:rPr>
          <w:i/>
          <w:iCs/>
        </w:rPr>
        <w:t>) Bill 2021</w:t>
      </w:r>
      <w:r w:rsidR="009F293A" w:rsidRPr="00807318">
        <w:t xml:space="preserve">. </w:t>
      </w:r>
    </w:p>
    <w:p w14:paraId="2E79EE1A" w14:textId="791F0B96" w:rsidR="00CA339E" w:rsidRPr="00807318" w:rsidRDefault="009F293A" w:rsidP="00CA339E">
      <w:pPr>
        <w:pStyle w:val="Bullet"/>
        <w:numPr>
          <w:ilvl w:val="0"/>
          <w:numId w:val="0"/>
        </w:numPr>
        <w:spacing w:after="200"/>
        <w:rPr>
          <w:szCs w:val="20"/>
        </w:rPr>
      </w:pPr>
      <w:r w:rsidRPr="00807318">
        <w:t>The amendment made by the Bill allows</w:t>
      </w:r>
      <w:r w:rsidR="00CA339E" w:rsidRPr="00807318">
        <w:t xml:space="preserve"> the Treasurer </w:t>
      </w:r>
      <w:r w:rsidRPr="00807318">
        <w:t xml:space="preserve">to </w:t>
      </w:r>
      <w:r w:rsidR="00CA339E" w:rsidRPr="00807318">
        <w:t xml:space="preserve">extend the decision period by up to 90 days for exemption certificates. </w:t>
      </w:r>
      <w:r w:rsidR="000178FF" w:rsidRPr="00807318">
        <w:t xml:space="preserve">Item </w:t>
      </w:r>
      <w:r w:rsidR="00CE6AB9" w:rsidRPr="00807318">
        <w:t>16</w:t>
      </w:r>
      <w:r w:rsidR="0091388E" w:rsidRPr="00807318">
        <w:t xml:space="preserve"> </w:t>
      </w:r>
      <w:r w:rsidRPr="00807318">
        <w:t>clarifies</w:t>
      </w:r>
      <w:r w:rsidR="00CA339E" w:rsidRPr="00807318">
        <w:rPr>
          <w:szCs w:val="20"/>
        </w:rPr>
        <w:t xml:space="preserve"> </w:t>
      </w:r>
      <w:r w:rsidR="001A66DB" w:rsidRPr="00807318">
        <w:rPr>
          <w:szCs w:val="20"/>
        </w:rPr>
        <w:t xml:space="preserve">in a note </w:t>
      </w:r>
      <w:r w:rsidR="00CA339E" w:rsidRPr="00807318">
        <w:rPr>
          <w:szCs w:val="20"/>
        </w:rPr>
        <w:t xml:space="preserve">that the Treasurer’s decision needs to be made before the end of </w:t>
      </w:r>
      <w:r w:rsidR="001A66DB" w:rsidRPr="00807318">
        <w:rPr>
          <w:szCs w:val="20"/>
        </w:rPr>
        <w:t>the decision period (including</w:t>
      </w:r>
      <w:r w:rsidR="00CA339E" w:rsidRPr="00807318">
        <w:rPr>
          <w:szCs w:val="20"/>
        </w:rPr>
        <w:t xml:space="preserve"> the</w:t>
      </w:r>
      <w:r w:rsidR="00A073FE" w:rsidRPr="00807318">
        <w:rPr>
          <w:szCs w:val="20"/>
        </w:rPr>
        <w:t xml:space="preserve"> period extended under the Act</w:t>
      </w:r>
      <w:r w:rsidR="001A66DB" w:rsidRPr="00807318">
        <w:rPr>
          <w:szCs w:val="20"/>
        </w:rPr>
        <w:t>)</w:t>
      </w:r>
      <w:r w:rsidR="00A073FE" w:rsidRPr="00807318">
        <w:rPr>
          <w:szCs w:val="20"/>
        </w:rPr>
        <w:t>.</w:t>
      </w:r>
    </w:p>
    <w:p w14:paraId="419FE55A" w14:textId="135495DD" w:rsidR="0069479C" w:rsidRPr="00807318" w:rsidRDefault="0069479C" w:rsidP="006A2711">
      <w:pPr>
        <w:pStyle w:val="Bullet"/>
        <w:keepNext/>
        <w:keepLines/>
        <w:numPr>
          <w:ilvl w:val="0"/>
          <w:numId w:val="0"/>
        </w:numPr>
        <w:rPr>
          <w:u w:val="single"/>
        </w:rPr>
      </w:pPr>
      <w:bookmarkStart w:id="2" w:name="_Hlk72339748"/>
      <w:r w:rsidRPr="00807318">
        <w:rPr>
          <w:u w:val="single"/>
        </w:rPr>
        <w:t xml:space="preserve">Item </w:t>
      </w:r>
      <w:r w:rsidR="00CE6AB9" w:rsidRPr="00807318">
        <w:rPr>
          <w:u w:val="single"/>
        </w:rPr>
        <w:t>16</w:t>
      </w:r>
      <w:r w:rsidR="0091388E" w:rsidRPr="00807318">
        <w:rPr>
          <w:u w:val="single"/>
        </w:rPr>
        <w:t xml:space="preserve"> </w:t>
      </w:r>
      <w:r w:rsidRPr="00807318">
        <w:rPr>
          <w:u w:val="single"/>
        </w:rPr>
        <w:t xml:space="preserve">- Amendments to the </w:t>
      </w:r>
      <w:r w:rsidRPr="00807318">
        <w:rPr>
          <w:i/>
          <w:u w:val="single"/>
        </w:rPr>
        <w:t>Business Names Registration Regulations 2011</w:t>
      </w:r>
    </w:p>
    <w:p w14:paraId="05A3F6F9" w14:textId="5A4F3BDF" w:rsidR="001746D7" w:rsidRPr="00807318" w:rsidRDefault="00CE6AB9" w:rsidP="00ED0ED7">
      <w:pPr>
        <w:pStyle w:val="Bullet"/>
        <w:numPr>
          <w:ilvl w:val="0"/>
          <w:numId w:val="0"/>
        </w:numPr>
        <w:spacing w:after="200"/>
        <w:rPr>
          <w:szCs w:val="20"/>
        </w:rPr>
      </w:pPr>
      <w:r w:rsidRPr="00807318">
        <w:rPr>
          <w:szCs w:val="20"/>
        </w:rPr>
        <w:t>This item</w:t>
      </w:r>
      <w:r w:rsidR="0091388E" w:rsidRPr="00807318">
        <w:rPr>
          <w:szCs w:val="20"/>
        </w:rPr>
        <w:t xml:space="preserve"> </w:t>
      </w:r>
      <w:r w:rsidR="00010258" w:rsidRPr="00807318">
        <w:rPr>
          <w:szCs w:val="20"/>
        </w:rPr>
        <w:t>allow</w:t>
      </w:r>
      <w:r w:rsidR="00F5100B" w:rsidRPr="00807318">
        <w:rPr>
          <w:szCs w:val="20"/>
        </w:rPr>
        <w:t>s</w:t>
      </w:r>
      <w:r w:rsidR="00010258" w:rsidRPr="00807318">
        <w:rPr>
          <w:szCs w:val="20"/>
        </w:rPr>
        <w:t xml:space="preserve"> the Minister</w:t>
      </w:r>
      <w:r w:rsidR="001746D7" w:rsidRPr="00807318">
        <w:rPr>
          <w:szCs w:val="20"/>
        </w:rPr>
        <w:t xml:space="preserve"> to delegate to ASIC the power to consent to the use of a restricted word or expression, or words or expressions that are </w:t>
      </w:r>
      <w:proofErr w:type="gramStart"/>
      <w:r w:rsidR="001746D7" w:rsidRPr="00807318">
        <w:rPr>
          <w:szCs w:val="20"/>
        </w:rPr>
        <w:t>similar to</w:t>
      </w:r>
      <w:proofErr w:type="gramEnd"/>
      <w:r w:rsidR="001746D7" w:rsidRPr="00807318">
        <w:rPr>
          <w:szCs w:val="20"/>
        </w:rPr>
        <w:t xml:space="preserve"> restricted words or expressions. </w:t>
      </w:r>
      <w:r w:rsidR="001A66DB" w:rsidRPr="00807318">
        <w:rPr>
          <w:szCs w:val="20"/>
        </w:rPr>
        <w:t>The Treasurer currently has provided an authorisation for ASIC to carry out these functions. An authorisation ceases to have effect when a new Treasurer is appointed, requiring it to be remade for these administrative decisions. The amendments propose to address this.</w:t>
      </w:r>
    </w:p>
    <w:p w14:paraId="6024657C" w14:textId="77777777" w:rsidR="00664BB6" w:rsidRPr="00807318" w:rsidRDefault="00664BB6" w:rsidP="00664BB6">
      <w:pPr>
        <w:pStyle w:val="Bullet"/>
        <w:numPr>
          <w:ilvl w:val="0"/>
          <w:numId w:val="0"/>
        </w:numPr>
        <w:spacing w:after="200"/>
        <w:rPr>
          <w:szCs w:val="20"/>
        </w:rPr>
      </w:pPr>
      <w:r w:rsidRPr="00807318">
        <w:rPr>
          <w:szCs w:val="20"/>
        </w:rPr>
        <w:lastRenderedPageBreak/>
        <w:t>The powers can only be delegated to the extent that they are exercised in relation to a particular entity or business. This ensures that there is no sub-delegation of powers, and that only the Minister’s administrative functions can be delegated.</w:t>
      </w:r>
    </w:p>
    <w:p w14:paraId="01FD77CB" w14:textId="2627BB8C" w:rsidR="003C46CF" w:rsidRPr="00807318" w:rsidRDefault="001746D7" w:rsidP="00ED0ED7">
      <w:pPr>
        <w:pStyle w:val="Bullet"/>
        <w:numPr>
          <w:ilvl w:val="0"/>
          <w:numId w:val="0"/>
        </w:numPr>
        <w:spacing w:after="200"/>
        <w:rPr>
          <w:szCs w:val="20"/>
        </w:rPr>
      </w:pPr>
      <w:r w:rsidRPr="00807318">
        <w:rPr>
          <w:szCs w:val="20"/>
        </w:rPr>
        <w:t xml:space="preserve">This amendment works within the existing delegation framework of the </w:t>
      </w:r>
      <w:r w:rsidRPr="00807318">
        <w:rPr>
          <w:i/>
        </w:rPr>
        <w:t>Business Names Registration Act 2011</w:t>
      </w:r>
      <w:r w:rsidRPr="00807318">
        <w:rPr>
          <w:iCs/>
        </w:rPr>
        <w:t xml:space="preserve">. The existing framework only allows the power to be delegated to an ASIC member or senior staff member. </w:t>
      </w:r>
      <w:r w:rsidR="00347BF8" w:rsidRPr="00807318">
        <w:rPr>
          <w:szCs w:val="20"/>
        </w:rPr>
        <w:t xml:space="preserve">Senior staff members are </w:t>
      </w:r>
      <w:r w:rsidR="004B6598" w:rsidRPr="00807318">
        <w:rPr>
          <w:szCs w:val="20"/>
        </w:rPr>
        <w:t>generally</w:t>
      </w:r>
      <w:r w:rsidR="00607A02" w:rsidRPr="00807318">
        <w:rPr>
          <w:szCs w:val="20"/>
        </w:rPr>
        <w:t xml:space="preserve"> </w:t>
      </w:r>
      <w:r w:rsidR="00D121A2" w:rsidRPr="00807318">
        <w:rPr>
          <w:szCs w:val="20"/>
        </w:rPr>
        <w:t>‘senior executive service’</w:t>
      </w:r>
      <w:r w:rsidR="00607A02" w:rsidRPr="00807318">
        <w:rPr>
          <w:szCs w:val="20"/>
        </w:rPr>
        <w:t xml:space="preserve"> employee</w:t>
      </w:r>
      <w:r w:rsidR="00986C53" w:rsidRPr="00807318">
        <w:rPr>
          <w:szCs w:val="20"/>
        </w:rPr>
        <w:t xml:space="preserve"> equivalent.</w:t>
      </w:r>
      <w:r w:rsidR="004B6598" w:rsidRPr="00807318">
        <w:rPr>
          <w:szCs w:val="20"/>
        </w:rPr>
        <w:t xml:space="preserve"> The ASIC Chairperson can identify which staff members are a ‘senior staff member’ in a </w:t>
      </w:r>
      <w:r w:rsidR="00FD2A6E" w:rsidRPr="00807318">
        <w:rPr>
          <w:szCs w:val="20"/>
        </w:rPr>
        <w:t>legislative</w:t>
      </w:r>
      <w:r w:rsidR="004B6598" w:rsidRPr="00807318">
        <w:rPr>
          <w:szCs w:val="20"/>
        </w:rPr>
        <w:t xml:space="preserve"> instrument.</w:t>
      </w:r>
      <w:r w:rsidR="00FD2A6E" w:rsidRPr="00807318">
        <w:rPr>
          <w:szCs w:val="20"/>
        </w:rPr>
        <w:t xml:space="preserve"> </w:t>
      </w:r>
      <w:r w:rsidR="00986C53" w:rsidRPr="00807318">
        <w:rPr>
          <w:szCs w:val="20"/>
        </w:rPr>
        <w:t>This</w:t>
      </w:r>
      <w:r w:rsidR="003C46CF" w:rsidRPr="00807318">
        <w:rPr>
          <w:szCs w:val="20"/>
        </w:rPr>
        <w:t xml:space="preserve"> ensures that only staff of sufficient seniority can be delegated the powers.</w:t>
      </w:r>
    </w:p>
    <w:p w14:paraId="54E42026" w14:textId="54963C39" w:rsidR="00B46E19" w:rsidRPr="00807318" w:rsidRDefault="00B46E19" w:rsidP="00B46E19">
      <w:pPr>
        <w:pStyle w:val="Bullet"/>
        <w:numPr>
          <w:ilvl w:val="0"/>
          <w:numId w:val="0"/>
        </w:numPr>
        <w:rPr>
          <w:u w:val="single"/>
        </w:rPr>
      </w:pPr>
      <w:r w:rsidRPr="00807318">
        <w:rPr>
          <w:u w:val="single"/>
        </w:rPr>
        <w:t xml:space="preserve">Items </w:t>
      </w:r>
      <w:r w:rsidR="00CE6AB9" w:rsidRPr="00807318">
        <w:rPr>
          <w:u w:val="single"/>
        </w:rPr>
        <w:t>17 to 19</w:t>
      </w:r>
      <w:r w:rsidRPr="00807318">
        <w:rPr>
          <w:u w:val="single"/>
        </w:rPr>
        <w:t xml:space="preserve"> - Amendments to the </w:t>
      </w:r>
      <w:r w:rsidRPr="00807318">
        <w:rPr>
          <w:i/>
          <w:u w:val="single"/>
        </w:rPr>
        <w:t>Income Tax Assessment (1997 Act) Regulations 2021</w:t>
      </w:r>
    </w:p>
    <w:p w14:paraId="4EB221D4" w14:textId="77777777" w:rsidR="00B46E19" w:rsidRPr="00807318" w:rsidRDefault="00B46E19" w:rsidP="00B46E19">
      <w:pPr>
        <w:pStyle w:val="Bullet"/>
        <w:numPr>
          <w:ilvl w:val="0"/>
          <w:numId w:val="0"/>
        </w:numPr>
        <w:spacing w:after="200"/>
        <w:rPr>
          <w:iCs/>
        </w:rPr>
      </w:pPr>
      <w:r w:rsidRPr="00807318">
        <w:rPr>
          <w:iCs/>
        </w:rPr>
        <w:t xml:space="preserve">Section 291-25 of the </w:t>
      </w:r>
      <w:r w:rsidRPr="00807318">
        <w:rPr>
          <w:i/>
          <w:iCs/>
        </w:rPr>
        <w:t>Income Tax Assessment Act</w:t>
      </w:r>
      <w:r w:rsidRPr="00807318">
        <w:rPr>
          <w:iCs/>
        </w:rPr>
        <w:t xml:space="preserve"> </w:t>
      </w:r>
      <w:r w:rsidRPr="00807318">
        <w:rPr>
          <w:i/>
          <w:iCs/>
        </w:rPr>
        <w:t>1997</w:t>
      </w:r>
      <w:r w:rsidRPr="00807318">
        <w:rPr>
          <w:iCs/>
        </w:rPr>
        <w:t xml:space="preserve"> outlines an individual’s concessional superannuation contributions for a financial year, including amounts specified in the regulations. An amount is included in an individual’s concessional contributions in accordance with section 291-25 of the </w:t>
      </w:r>
      <w:r w:rsidRPr="00807318">
        <w:rPr>
          <w:i/>
        </w:rPr>
        <w:t>Income Tax Assessment (1997 Act) Regulations 2021</w:t>
      </w:r>
      <w:r w:rsidRPr="00807318">
        <w:rPr>
          <w:iCs/>
        </w:rPr>
        <w:t xml:space="preserve"> if it meets the relevant general conditions or it is allocated from a reserve maintained by the trustee, unless it meets one of the relevant exceptions. </w:t>
      </w:r>
    </w:p>
    <w:p w14:paraId="22C89B8F" w14:textId="1A75FF19" w:rsidR="00B46E19" w:rsidRPr="00807318" w:rsidRDefault="00B46E19" w:rsidP="00B46E19">
      <w:pPr>
        <w:pStyle w:val="Bullet"/>
        <w:numPr>
          <w:ilvl w:val="0"/>
          <w:numId w:val="0"/>
        </w:numPr>
        <w:rPr>
          <w:shd w:val="clear" w:color="auto" w:fill="FFFFFF"/>
        </w:rPr>
      </w:pPr>
      <w:r w:rsidRPr="00807318">
        <w:rPr>
          <w:shd w:val="clear" w:color="auto" w:fill="FFFFFF"/>
        </w:rPr>
        <w:t xml:space="preserve">Items </w:t>
      </w:r>
      <w:r w:rsidR="00CE6AB9" w:rsidRPr="00807318">
        <w:rPr>
          <w:shd w:val="clear" w:color="auto" w:fill="FFFFFF"/>
        </w:rPr>
        <w:t>17</w:t>
      </w:r>
      <w:r w:rsidRPr="00807318">
        <w:rPr>
          <w:shd w:val="clear" w:color="auto" w:fill="FFFFFF"/>
        </w:rPr>
        <w:t xml:space="preserve"> and </w:t>
      </w:r>
      <w:r w:rsidR="00CE6AB9" w:rsidRPr="00807318">
        <w:rPr>
          <w:shd w:val="clear" w:color="auto" w:fill="FFFFFF"/>
        </w:rPr>
        <w:t>18</w:t>
      </w:r>
      <w:r w:rsidRPr="00807318">
        <w:rPr>
          <w:shd w:val="clear" w:color="auto" w:fill="FFFFFF"/>
        </w:rPr>
        <w:t xml:space="preserve"> clarify that a fee refund paid by a trustee to a member’s superannuation account is not a concessional contribution. This means the amount refunded does not count towards the member’s concessional contribution cap (the cap for FY20-21 is $25,000). </w:t>
      </w:r>
      <w:r w:rsidR="001A66DB" w:rsidRPr="00807318">
        <w:rPr>
          <w:shd w:val="clear" w:color="auto" w:fill="FFFFFF"/>
        </w:rPr>
        <w:t xml:space="preserve">Currently the fee refund is counted towards the cap, which is an unintended outcome. </w:t>
      </w:r>
      <w:r w:rsidRPr="00807318">
        <w:rPr>
          <w:shd w:val="clear" w:color="auto" w:fill="FFFFFF"/>
        </w:rPr>
        <w:t xml:space="preserve">A fee must be refunded to the member under the </w:t>
      </w:r>
      <w:r w:rsidRPr="00807318">
        <w:rPr>
          <w:i/>
          <w:iCs/>
        </w:rPr>
        <w:t>Superannuation Industry (Supervision) Act 1993</w:t>
      </w:r>
      <w:r w:rsidRPr="00807318">
        <w:rPr>
          <w:shd w:val="clear" w:color="auto" w:fill="FFFFFF"/>
        </w:rPr>
        <w:t xml:space="preserve"> if the account is a low balance account, and the total fees for the year are above the maximum level.</w:t>
      </w:r>
    </w:p>
    <w:p w14:paraId="050472C0" w14:textId="3BF4C88B" w:rsidR="00B46E19" w:rsidRPr="00807318" w:rsidRDefault="00B46E19" w:rsidP="00B46E19">
      <w:pPr>
        <w:pStyle w:val="Bullet"/>
        <w:numPr>
          <w:ilvl w:val="0"/>
          <w:numId w:val="0"/>
        </w:numPr>
      </w:pPr>
      <w:r w:rsidRPr="00807318">
        <w:t xml:space="preserve">Item </w:t>
      </w:r>
      <w:r w:rsidR="00CE6AB9" w:rsidRPr="00807318">
        <w:t>19</w:t>
      </w:r>
      <w:r w:rsidRPr="00807318">
        <w:t xml:space="preserve"> provides that the item 24 and 25 amendment</w:t>
      </w:r>
      <w:r w:rsidR="003850A5" w:rsidRPr="00807318">
        <w:t>s</w:t>
      </w:r>
      <w:r w:rsidRPr="00807318">
        <w:t xml:space="preserve"> </w:t>
      </w:r>
      <w:proofErr w:type="gramStart"/>
      <w:r w:rsidRPr="00807318">
        <w:t>applies</w:t>
      </w:r>
      <w:proofErr w:type="gramEnd"/>
      <w:r w:rsidRPr="00807318">
        <w:t xml:space="preserve"> from the 2021</w:t>
      </w:r>
      <w:r w:rsidRPr="00807318">
        <w:noBreakHyphen/>
        <w:t>2022 financial year.</w:t>
      </w:r>
    </w:p>
    <w:bookmarkEnd w:id="2"/>
    <w:p w14:paraId="52E828F4" w14:textId="3FEBD00D" w:rsidR="006410D6" w:rsidRPr="00807318" w:rsidRDefault="006410D6" w:rsidP="006410D6">
      <w:pPr>
        <w:pStyle w:val="Bullet"/>
        <w:numPr>
          <w:ilvl w:val="0"/>
          <w:numId w:val="0"/>
        </w:numPr>
        <w:rPr>
          <w:u w:val="single"/>
        </w:rPr>
      </w:pPr>
      <w:r w:rsidRPr="00807318">
        <w:rPr>
          <w:u w:val="single"/>
        </w:rPr>
        <w:t>Item 2</w:t>
      </w:r>
      <w:r w:rsidR="00CE6AB9" w:rsidRPr="00807318">
        <w:rPr>
          <w:u w:val="single"/>
        </w:rPr>
        <w:t>0</w:t>
      </w:r>
      <w:r w:rsidRPr="00807318">
        <w:rPr>
          <w:u w:val="single"/>
        </w:rPr>
        <w:t xml:space="preserve"> – Amendments to the </w:t>
      </w:r>
      <w:r w:rsidRPr="00807318">
        <w:rPr>
          <w:i/>
          <w:iCs/>
          <w:u w:val="single"/>
        </w:rPr>
        <w:t>Corporations Regulations 2001</w:t>
      </w:r>
    </w:p>
    <w:p w14:paraId="2F77F986" w14:textId="474EB425" w:rsidR="006410D6" w:rsidRPr="00807318" w:rsidRDefault="006410D6" w:rsidP="006410D6">
      <w:pPr>
        <w:pStyle w:val="Bullet"/>
        <w:numPr>
          <w:ilvl w:val="0"/>
          <w:numId w:val="0"/>
        </w:numPr>
      </w:pPr>
      <w:r w:rsidRPr="00807318">
        <w:t xml:space="preserve">Schedule 1 to the </w:t>
      </w:r>
      <w:r w:rsidRPr="00807318">
        <w:rPr>
          <w:i/>
          <w:iCs/>
        </w:rPr>
        <w:t>Financial Sector Reform (Hayne Royal Commission Response No. 2) Act 2021</w:t>
      </w:r>
      <w:r w:rsidRPr="00807318">
        <w:t xml:space="preserve"> provides that fee recipients with ongoing fee arrangements </w:t>
      </w:r>
      <w:r w:rsidR="009F65BD" w:rsidRPr="00807318">
        <w:t xml:space="preserve">produce </w:t>
      </w:r>
      <w:r w:rsidRPr="00807318">
        <w:t xml:space="preserve">a fee disclosure statement every 12 months. </w:t>
      </w:r>
      <w:r w:rsidR="001A66DB" w:rsidRPr="00807318">
        <w:t xml:space="preserve">Fee recipients with arrangements must provide the fee disclosure statement within 60 days. </w:t>
      </w:r>
      <w:r w:rsidRPr="00807318">
        <w:t xml:space="preserve"> </w:t>
      </w:r>
    </w:p>
    <w:p w14:paraId="28AC5E33" w14:textId="20164977" w:rsidR="006410D6" w:rsidRPr="00807318" w:rsidRDefault="006410D6" w:rsidP="006410D6">
      <w:pPr>
        <w:pStyle w:val="Bullet"/>
        <w:numPr>
          <w:ilvl w:val="0"/>
          <w:numId w:val="0"/>
        </w:numPr>
      </w:pPr>
      <w:r w:rsidRPr="00807318">
        <w:t xml:space="preserve">Under the transitional arrangements </w:t>
      </w:r>
      <w:r w:rsidR="001A66DB" w:rsidRPr="00807318">
        <w:t xml:space="preserve">(and depending on when the fee recipient provides the statement) the </w:t>
      </w:r>
      <w:r w:rsidRPr="00807318">
        <w:t>fee disclosure statement must include the</w:t>
      </w:r>
      <w:r w:rsidR="009F65BD" w:rsidRPr="00807318">
        <w:t xml:space="preserve"> </w:t>
      </w:r>
      <w:r w:rsidRPr="00807318">
        <w:t>fees paid by the client during the 12 month period</w:t>
      </w:r>
      <w:r w:rsidR="002C0386" w:rsidRPr="00807318">
        <w:t xml:space="preserve"> up to and including the fees paid the day before the </w:t>
      </w:r>
      <w:r w:rsidRPr="00807318">
        <w:t xml:space="preserve">fee disclosure statement is given. </w:t>
      </w:r>
      <w:r w:rsidR="003E1FEF" w:rsidRPr="00807318">
        <w:t xml:space="preserve">Similarly, the fee disclosure statement must include the services provided to the client during the </w:t>
      </w:r>
      <w:proofErr w:type="gramStart"/>
      <w:r w:rsidR="003E1FEF" w:rsidRPr="00807318">
        <w:t>12 month</w:t>
      </w:r>
      <w:proofErr w:type="gramEnd"/>
      <w:r w:rsidR="003E1FEF" w:rsidRPr="00807318">
        <w:t xml:space="preserve"> period, up to and including the day before the fee disclosure statement is given. </w:t>
      </w:r>
      <w:r w:rsidRPr="00807318">
        <w:t>This</w:t>
      </w:r>
      <w:r w:rsidR="009F65BD" w:rsidRPr="00807318">
        <w:t xml:space="preserve"> may result in some </w:t>
      </w:r>
      <w:r w:rsidRPr="00807318">
        <w:t>fee recipients hav</w:t>
      </w:r>
      <w:r w:rsidR="009F65BD" w:rsidRPr="00807318">
        <w:t>ing</w:t>
      </w:r>
      <w:r w:rsidRPr="00807318">
        <w:t xml:space="preserve"> only one day to prepare the fee disclosure statement when ordinarily they would have 60 days. </w:t>
      </w:r>
      <w:r w:rsidR="001A66DB" w:rsidRPr="00807318">
        <w:t>This is an unintended outcome.</w:t>
      </w:r>
      <w:r w:rsidRPr="00807318">
        <w:t xml:space="preserve"> </w:t>
      </w:r>
    </w:p>
    <w:p w14:paraId="77A6A02B" w14:textId="23D7D283" w:rsidR="006410D6" w:rsidRPr="00807318" w:rsidRDefault="006410D6" w:rsidP="006410D6">
      <w:pPr>
        <w:pStyle w:val="Bullet"/>
        <w:numPr>
          <w:ilvl w:val="0"/>
          <w:numId w:val="0"/>
        </w:numPr>
      </w:pPr>
      <w:r w:rsidRPr="00807318">
        <w:t xml:space="preserve">This item provides that fee disclosure statements given to clients during the transition period need to include a reasonable estimate of the amount of any ongoing fees paid </w:t>
      </w:r>
      <w:r w:rsidR="003E1FEF" w:rsidRPr="00807318">
        <w:lastRenderedPageBreak/>
        <w:t xml:space="preserve">and services expected to be provided for </w:t>
      </w:r>
      <w:r w:rsidRPr="00807318">
        <w:t xml:space="preserve">the 60 day period </w:t>
      </w:r>
      <w:r w:rsidR="003E1FEF" w:rsidRPr="00807318">
        <w:t xml:space="preserve">immediately </w:t>
      </w:r>
      <w:r w:rsidRPr="00807318">
        <w:t xml:space="preserve">before the fee disclosure statement is provided rather than the exact amount. </w:t>
      </w:r>
    </w:p>
    <w:p w14:paraId="46A88429" w14:textId="77777777" w:rsidR="00EA4DD8" w:rsidRPr="00807318" w:rsidRDefault="00EA4DD8" w:rsidP="00EA4DD8">
      <w:pPr>
        <w:spacing w:before="0" w:after="0"/>
      </w:pPr>
      <w:r w:rsidRPr="00807318">
        <w:br w:type="page"/>
      </w:r>
    </w:p>
    <w:p w14:paraId="49E2EBD7" w14:textId="770C3857" w:rsidR="007A55A7" w:rsidRPr="00807318" w:rsidRDefault="007A55A7" w:rsidP="00013390">
      <w:pPr>
        <w:pageBreakBefore/>
        <w:spacing w:before="240"/>
        <w:jc w:val="right"/>
        <w:rPr>
          <w:b/>
          <w:u w:val="single"/>
        </w:rPr>
      </w:pPr>
      <w:r w:rsidRPr="00807318">
        <w:rPr>
          <w:b/>
          <w:u w:val="single"/>
        </w:rPr>
        <w:lastRenderedPageBreak/>
        <w:t xml:space="preserve">ATTACHMENT </w:t>
      </w:r>
      <w:r w:rsidR="00F62065" w:rsidRPr="00807318">
        <w:rPr>
          <w:b/>
          <w:u w:val="single"/>
        </w:rPr>
        <w:t>B</w:t>
      </w:r>
    </w:p>
    <w:p w14:paraId="217E73DE" w14:textId="77777777" w:rsidR="00E4438C" w:rsidRPr="00807318" w:rsidRDefault="00E4438C" w:rsidP="003E1CE3">
      <w:pPr>
        <w:pStyle w:val="Heading3"/>
      </w:pPr>
      <w:r w:rsidRPr="00807318">
        <w:t>Statement of Compatibility with Human Rights</w:t>
      </w:r>
    </w:p>
    <w:p w14:paraId="0B2FE08C" w14:textId="77777777" w:rsidR="00E4438C" w:rsidRPr="00807318" w:rsidRDefault="00E4438C" w:rsidP="00AC1D15">
      <w:pPr>
        <w:spacing w:before="240"/>
        <w:jc w:val="center"/>
        <w:rPr>
          <w:i/>
        </w:rPr>
      </w:pPr>
      <w:r w:rsidRPr="00807318">
        <w:rPr>
          <w:i/>
        </w:rPr>
        <w:t>Prepared in accordance with Part 3 of the Human Rights (Parliamentary Scrutiny) Act 2011</w:t>
      </w:r>
    </w:p>
    <w:p w14:paraId="46C6069E" w14:textId="27F09A3A" w:rsidR="00E4438C" w:rsidRPr="00807318" w:rsidRDefault="00BE00DE" w:rsidP="003E1CE3">
      <w:pPr>
        <w:pStyle w:val="Heading3"/>
        <w:jc w:val="center"/>
      </w:pPr>
      <w:r w:rsidRPr="00807318">
        <w:rPr>
          <w:i/>
        </w:rPr>
        <w:t>Treasury Laws Amendment (Miscellaneous and Technical Amendments) Regulations 2021</w:t>
      </w:r>
    </w:p>
    <w:p w14:paraId="35F8B83C" w14:textId="77777777" w:rsidR="00E4438C" w:rsidRPr="00807318" w:rsidRDefault="00E4438C" w:rsidP="00647BB7">
      <w:pPr>
        <w:spacing w:before="240"/>
      </w:pPr>
      <w:r w:rsidRPr="00807318">
        <w:t xml:space="preserve">This Legislative Instrument is compatible with the human rights and freedoms recognised or declared in the international instruments listed in section 3 of the </w:t>
      </w:r>
      <w:r w:rsidRPr="00807318">
        <w:rPr>
          <w:i/>
        </w:rPr>
        <w:t>Human Rights (Parliamentary Scrutiny) Act 2011</w:t>
      </w:r>
      <w:r w:rsidRPr="00807318">
        <w:t>.</w:t>
      </w:r>
    </w:p>
    <w:p w14:paraId="21C0B1A9" w14:textId="77777777" w:rsidR="00E4438C" w:rsidRPr="00807318" w:rsidRDefault="00E4438C" w:rsidP="003E1CE3">
      <w:pPr>
        <w:pStyle w:val="Heading3"/>
      </w:pPr>
      <w:r w:rsidRPr="00807318">
        <w:t>Overview of the Legislative Instrument</w:t>
      </w:r>
    </w:p>
    <w:p w14:paraId="786C6E64" w14:textId="22E2C9D8" w:rsidR="00E4438C" w:rsidRPr="00807318" w:rsidRDefault="00F873C5" w:rsidP="0001727C">
      <w:r w:rsidRPr="00807318">
        <w:t>The Legislative Instrument makes minor and technical amendments to regulations in the Treasury portfolio, including tax laws</w:t>
      </w:r>
      <w:r w:rsidR="00083FA2" w:rsidRPr="00807318">
        <w:t xml:space="preserve">, </w:t>
      </w:r>
      <w:proofErr w:type="gramStart"/>
      <w:r w:rsidR="00083FA2" w:rsidRPr="00807318">
        <w:t>corporations</w:t>
      </w:r>
      <w:proofErr w:type="gramEnd"/>
      <w:r w:rsidR="00083FA2" w:rsidRPr="00807318">
        <w:t xml:space="preserve"> laws, superannuation laws, laws relating to consumer protection, and foreign investment laws. The amendments are part of the Government’s commitment for the care and maintenance of Treasury portfolio legislation. </w:t>
      </w:r>
    </w:p>
    <w:p w14:paraId="72D3F5E6" w14:textId="50AE91F3" w:rsidR="00E4438C" w:rsidRPr="00807318" w:rsidRDefault="00E4438C" w:rsidP="003E1CE3">
      <w:pPr>
        <w:pStyle w:val="Heading3"/>
      </w:pPr>
      <w:r w:rsidRPr="00807318">
        <w:t>Human rights implications</w:t>
      </w:r>
    </w:p>
    <w:p w14:paraId="6E1F0EF3" w14:textId="45C1E8C2" w:rsidR="00083FA2" w:rsidRPr="00807318" w:rsidRDefault="00083FA2" w:rsidP="00647BB7">
      <w:pPr>
        <w:spacing w:before="240"/>
      </w:pPr>
      <w:r w:rsidRPr="00807318">
        <w:t>Right</w:t>
      </w:r>
      <w:r w:rsidR="0039150B" w:rsidRPr="00807318">
        <w:t>s</w:t>
      </w:r>
      <w:r w:rsidRPr="00807318">
        <w:t xml:space="preserve"> to </w:t>
      </w:r>
      <w:r w:rsidR="0039150B" w:rsidRPr="00807318">
        <w:t>justice</w:t>
      </w:r>
    </w:p>
    <w:p w14:paraId="302A840A" w14:textId="1DC9387D" w:rsidR="00083FA2" w:rsidRPr="00807318" w:rsidRDefault="00083FA2" w:rsidP="0039150B">
      <w:pPr>
        <w:pStyle w:val="Bullet"/>
        <w:numPr>
          <w:ilvl w:val="0"/>
          <w:numId w:val="0"/>
        </w:numPr>
        <w:spacing w:after="200"/>
        <w:rPr>
          <w:szCs w:val="20"/>
        </w:rPr>
      </w:pPr>
      <w:r w:rsidRPr="00807318">
        <w:t xml:space="preserve">Item </w:t>
      </w:r>
      <w:r w:rsidR="00BC69EB" w:rsidRPr="00807318">
        <w:t>15</w:t>
      </w:r>
      <w:r w:rsidRPr="00807318">
        <w:t xml:space="preserve"> of the instrument amends the </w:t>
      </w:r>
      <w:r w:rsidRPr="00807318">
        <w:rPr>
          <w:i/>
          <w:iCs/>
        </w:rPr>
        <w:t>Foreign Acquisitions and Takeovers Regulation 2015</w:t>
      </w:r>
      <w:r w:rsidR="0039150B" w:rsidRPr="00807318">
        <w:t xml:space="preserve"> to allow the Treasurer to extend a decision to approve or not approve an exemption certificate by up to 90 days. Item </w:t>
      </w:r>
      <w:r w:rsidR="00BC69EB" w:rsidRPr="00807318">
        <w:t>15</w:t>
      </w:r>
      <w:r w:rsidR="0039150B" w:rsidRPr="00807318">
        <w:t xml:space="preserve"> clarifies</w:t>
      </w:r>
      <w:r w:rsidR="0039150B" w:rsidRPr="00807318">
        <w:rPr>
          <w:szCs w:val="20"/>
        </w:rPr>
        <w:t xml:space="preserve"> that the Treasurer’s decision to grant an exemption certificate needs to be made before the end of </w:t>
      </w:r>
      <w:proofErr w:type="gramStart"/>
      <w:r w:rsidR="0039150B" w:rsidRPr="00807318">
        <w:rPr>
          <w:szCs w:val="20"/>
        </w:rPr>
        <w:t>30 day</w:t>
      </w:r>
      <w:proofErr w:type="gramEnd"/>
      <w:r w:rsidR="0039150B" w:rsidRPr="00807318">
        <w:rPr>
          <w:szCs w:val="20"/>
        </w:rPr>
        <w:t xml:space="preserve"> period or the period extended under the Act. The amendments do not allow for merits review of the decision to extend the time and do not require the Treasurer to afford an applicant natural justice in the decision-making process. </w:t>
      </w:r>
    </w:p>
    <w:p w14:paraId="23734F4E" w14:textId="0B6BA601" w:rsidR="00083FA2" w:rsidRPr="00807318" w:rsidRDefault="0039150B" w:rsidP="000A7055">
      <w:pPr>
        <w:pStyle w:val="Bullet"/>
        <w:numPr>
          <w:ilvl w:val="0"/>
          <w:numId w:val="0"/>
        </w:numPr>
        <w:spacing w:after="200"/>
      </w:pPr>
      <w:r w:rsidRPr="00807318">
        <w:rPr>
          <w:szCs w:val="20"/>
        </w:rPr>
        <w:t xml:space="preserve">The powers to which these limitations apply only relate to the </w:t>
      </w:r>
      <w:proofErr w:type="gramStart"/>
      <w:r w:rsidRPr="00807318">
        <w:rPr>
          <w:szCs w:val="20"/>
        </w:rPr>
        <w:t>time period</w:t>
      </w:r>
      <w:proofErr w:type="gramEnd"/>
      <w:r w:rsidRPr="00807318">
        <w:rPr>
          <w:szCs w:val="20"/>
        </w:rPr>
        <w:t xml:space="preserve"> to make a decision. An applicant’s review rights, and review process of the substantive decision are not affected, they will continue attract appropriate review mechanisms. These limitations are appropriate </w:t>
      </w:r>
      <w:r w:rsidR="00090C1C" w:rsidRPr="00807318">
        <w:rPr>
          <w:szCs w:val="20"/>
        </w:rPr>
        <w:t xml:space="preserve">because they allow the Treasurer to extend the decision period </w:t>
      </w:r>
      <w:r w:rsidR="000A7055" w:rsidRPr="00807318">
        <w:rPr>
          <w:szCs w:val="20"/>
        </w:rPr>
        <w:t xml:space="preserve">to enable cases to be processed more efficiently and meet urgent commercial deadlines without potentially being delayed by procedures such as needing to obtain consent to extend the time to make a decision. Additionally, impacts on these rights are appropriate and proportionate considering the role the foreign investment framework plays in protecting Australia’s national interest, including Australia’s national security. </w:t>
      </w:r>
    </w:p>
    <w:p w14:paraId="7624FECF" w14:textId="77777777" w:rsidR="00E4438C" w:rsidRPr="00807318" w:rsidRDefault="00E4438C" w:rsidP="003E1CE3">
      <w:pPr>
        <w:pStyle w:val="Heading3"/>
      </w:pPr>
      <w:r w:rsidRPr="00807318">
        <w:t>Conclusion</w:t>
      </w:r>
    </w:p>
    <w:p w14:paraId="137E4D61" w14:textId="158A4142" w:rsidR="00482B81" w:rsidRPr="00EA4DD8" w:rsidRDefault="00E4438C" w:rsidP="00807318">
      <w:pPr>
        <w:spacing w:before="240"/>
      </w:pPr>
      <w:r w:rsidRPr="00807318">
        <w:t>This Legislative Instrument is compatible with human rights as it</w:t>
      </w:r>
      <w:r w:rsidR="000A7055" w:rsidRPr="00807318">
        <w:t xml:space="preserve"> does not raise any human rights issues.</w:t>
      </w:r>
      <w:r w:rsidR="000A7055">
        <w:t xml:space="preserve"> </w:t>
      </w:r>
    </w:p>
    <w:sectPr w:rsidR="00482B81" w:rsidRPr="00EA4DD8" w:rsidSect="00A76171">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8B66A" w14:textId="77777777" w:rsidR="005F0579" w:rsidRDefault="005F0579" w:rsidP="00954679">
      <w:pPr>
        <w:spacing w:before="0" w:after="0"/>
      </w:pPr>
      <w:r>
        <w:separator/>
      </w:r>
    </w:p>
  </w:endnote>
  <w:endnote w:type="continuationSeparator" w:id="0">
    <w:p w14:paraId="57533AE8" w14:textId="77777777" w:rsidR="005F0579" w:rsidRDefault="005F0579" w:rsidP="00954679">
      <w:pPr>
        <w:spacing w:before="0" w:after="0"/>
      </w:pPr>
      <w:r>
        <w:continuationSeparator/>
      </w:r>
    </w:p>
  </w:endnote>
  <w:endnote w:type="continuationNotice" w:id="1">
    <w:p w14:paraId="593DD5EB" w14:textId="77777777" w:rsidR="005F0579" w:rsidRDefault="005F05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33290D6" w14:textId="54FA7D80" w:rsidR="005F0579" w:rsidRDefault="005F05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5</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7</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0FA68" w14:textId="77777777" w:rsidR="005F0579" w:rsidRDefault="005F0579" w:rsidP="00954679">
      <w:pPr>
        <w:spacing w:before="0" w:after="0"/>
      </w:pPr>
      <w:r>
        <w:separator/>
      </w:r>
    </w:p>
  </w:footnote>
  <w:footnote w:type="continuationSeparator" w:id="0">
    <w:p w14:paraId="1B97E841" w14:textId="77777777" w:rsidR="005F0579" w:rsidRDefault="005F0579" w:rsidP="00954679">
      <w:pPr>
        <w:spacing w:before="0" w:after="0"/>
      </w:pPr>
      <w:r>
        <w:continuationSeparator/>
      </w:r>
    </w:p>
  </w:footnote>
  <w:footnote w:type="continuationNotice" w:id="1">
    <w:p w14:paraId="3444A295" w14:textId="77777777" w:rsidR="005F0579" w:rsidRDefault="005F057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A93616A"/>
    <w:multiLevelType w:val="multilevel"/>
    <w:tmpl w:val="BA806BF2"/>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F361F3"/>
    <w:multiLevelType w:val="hybridMultilevel"/>
    <w:tmpl w:val="03AC5A36"/>
    <w:lvl w:ilvl="0" w:tplc="461605C0">
      <w:start w:val="1"/>
      <w:numFmt w:val="bullet"/>
      <w:lvlText w:val=""/>
      <w:lvlJc w:val="left"/>
      <w:pPr>
        <w:ind w:left="720" w:hanging="360"/>
      </w:pPr>
      <w:rPr>
        <w:rFonts w:ascii="Symbol" w:hAnsi="Symbol" w:hint="default"/>
      </w:rPr>
    </w:lvl>
    <w:lvl w:ilvl="1" w:tplc="D0BC7428">
      <w:start w:val="1"/>
      <w:numFmt w:val="bullet"/>
      <w:lvlText w:val="o"/>
      <w:lvlJc w:val="left"/>
      <w:pPr>
        <w:ind w:left="1440" w:hanging="360"/>
      </w:pPr>
      <w:rPr>
        <w:rFonts w:ascii="Courier New" w:hAnsi="Courier New" w:hint="default"/>
      </w:rPr>
    </w:lvl>
    <w:lvl w:ilvl="2" w:tplc="8884AE7E">
      <w:start w:val="1"/>
      <w:numFmt w:val="bullet"/>
      <w:lvlText w:val=""/>
      <w:lvlJc w:val="left"/>
      <w:pPr>
        <w:ind w:left="2160" w:hanging="360"/>
      </w:pPr>
      <w:rPr>
        <w:rFonts w:ascii="Wingdings" w:hAnsi="Wingdings" w:hint="default"/>
      </w:rPr>
    </w:lvl>
    <w:lvl w:ilvl="3" w:tplc="BFA46FCE">
      <w:start w:val="1"/>
      <w:numFmt w:val="bullet"/>
      <w:lvlText w:val=""/>
      <w:lvlJc w:val="left"/>
      <w:pPr>
        <w:ind w:left="2880" w:hanging="360"/>
      </w:pPr>
      <w:rPr>
        <w:rFonts w:ascii="Symbol" w:hAnsi="Symbol" w:hint="default"/>
      </w:rPr>
    </w:lvl>
    <w:lvl w:ilvl="4" w:tplc="B742E7AC">
      <w:start w:val="1"/>
      <w:numFmt w:val="bullet"/>
      <w:lvlText w:val="o"/>
      <w:lvlJc w:val="left"/>
      <w:pPr>
        <w:ind w:left="3600" w:hanging="360"/>
      </w:pPr>
      <w:rPr>
        <w:rFonts w:ascii="Courier New" w:hAnsi="Courier New" w:hint="default"/>
      </w:rPr>
    </w:lvl>
    <w:lvl w:ilvl="5" w:tplc="4F1A0CD2">
      <w:start w:val="1"/>
      <w:numFmt w:val="bullet"/>
      <w:lvlText w:val=""/>
      <w:lvlJc w:val="left"/>
      <w:pPr>
        <w:ind w:left="4320" w:hanging="360"/>
      </w:pPr>
      <w:rPr>
        <w:rFonts w:ascii="Wingdings" w:hAnsi="Wingdings" w:hint="default"/>
      </w:rPr>
    </w:lvl>
    <w:lvl w:ilvl="6" w:tplc="15D2980A">
      <w:start w:val="1"/>
      <w:numFmt w:val="bullet"/>
      <w:lvlText w:val=""/>
      <w:lvlJc w:val="left"/>
      <w:pPr>
        <w:ind w:left="5040" w:hanging="360"/>
      </w:pPr>
      <w:rPr>
        <w:rFonts w:ascii="Symbol" w:hAnsi="Symbol" w:hint="default"/>
      </w:rPr>
    </w:lvl>
    <w:lvl w:ilvl="7" w:tplc="38547D2C">
      <w:start w:val="1"/>
      <w:numFmt w:val="bullet"/>
      <w:lvlText w:val="o"/>
      <w:lvlJc w:val="left"/>
      <w:pPr>
        <w:ind w:left="5760" w:hanging="360"/>
      </w:pPr>
      <w:rPr>
        <w:rFonts w:ascii="Courier New" w:hAnsi="Courier New" w:hint="default"/>
      </w:rPr>
    </w:lvl>
    <w:lvl w:ilvl="8" w:tplc="6C349DBA">
      <w:start w:val="1"/>
      <w:numFmt w:val="bullet"/>
      <w:lvlText w:val=""/>
      <w:lvlJc w:val="left"/>
      <w:pPr>
        <w:ind w:left="6480" w:hanging="360"/>
      </w:pPr>
      <w:rPr>
        <w:rFonts w:ascii="Wingdings" w:hAnsi="Wingdings" w:hint="default"/>
      </w:rPr>
    </w:lvl>
  </w:abstractNum>
  <w:abstractNum w:abstractNumId="6" w15:restartNumberingAfterBreak="0">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A43C0B"/>
    <w:multiLevelType w:val="multilevel"/>
    <w:tmpl w:val="37449BF8"/>
    <w:name w:val="StandardBulletedList"/>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5"/>
  </w:num>
  <w:num w:numId="2">
    <w:abstractNumId w:val="2"/>
  </w:num>
  <w:num w:numId="3">
    <w:abstractNumId w:val="7"/>
  </w:num>
  <w:num w:numId="4">
    <w:abstractNumId w:val="1"/>
  </w:num>
  <w:num w:numId="5">
    <w:abstractNumId w:val="0"/>
  </w:num>
  <w:num w:numId="6">
    <w:abstractNumId w:val="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4"/>
  </w:num>
  <w:num w:numId="8">
    <w:abstractNumId w:val="7"/>
  </w:num>
  <w:num w:numId="9">
    <w:abstractNumId w:val="7"/>
  </w:num>
  <w:num w:numId="10">
    <w:abstractNumId w:val="7"/>
  </w:num>
  <w:num w:numId="11">
    <w:abstractNumId w:val="7"/>
  </w:num>
  <w:num w:numId="12">
    <w:abstractNumId w:val="7"/>
  </w:num>
  <w:num w:numId="13">
    <w:abstractNumId w:val="3"/>
  </w:num>
  <w:num w:numId="14">
    <w:abstractNumId w:val="7"/>
  </w:num>
  <w:num w:numId="15">
    <w:abstractNumId w:val="7"/>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85"/>
    <w:rsid w:val="00007F08"/>
    <w:rsid w:val="00010258"/>
    <w:rsid w:val="00010780"/>
    <w:rsid w:val="00012D19"/>
    <w:rsid w:val="00013390"/>
    <w:rsid w:val="0001346B"/>
    <w:rsid w:val="00016EA2"/>
    <w:rsid w:val="0001727C"/>
    <w:rsid w:val="000178FF"/>
    <w:rsid w:val="00017B44"/>
    <w:rsid w:val="0002721A"/>
    <w:rsid w:val="00027561"/>
    <w:rsid w:val="00043DDE"/>
    <w:rsid w:val="0005705A"/>
    <w:rsid w:val="00061347"/>
    <w:rsid w:val="00061980"/>
    <w:rsid w:val="000744E4"/>
    <w:rsid w:val="00074843"/>
    <w:rsid w:val="00076178"/>
    <w:rsid w:val="00083FA2"/>
    <w:rsid w:val="000859A9"/>
    <w:rsid w:val="0008778B"/>
    <w:rsid w:val="000877CB"/>
    <w:rsid w:val="00090C1C"/>
    <w:rsid w:val="00093C65"/>
    <w:rsid w:val="00095211"/>
    <w:rsid w:val="000A7055"/>
    <w:rsid w:val="000B1241"/>
    <w:rsid w:val="000B39A1"/>
    <w:rsid w:val="000B6B41"/>
    <w:rsid w:val="000B7315"/>
    <w:rsid w:val="000B7EEA"/>
    <w:rsid w:val="000C10DF"/>
    <w:rsid w:val="000C2450"/>
    <w:rsid w:val="000C6935"/>
    <w:rsid w:val="000D33C6"/>
    <w:rsid w:val="000D45BF"/>
    <w:rsid w:val="000D6DCE"/>
    <w:rsid w:val="000E172D"/>
    <w:rsid w:val="000E32E3"/>
    <w:rsid w:val="000F7E3E"/>
    <w:rsid w:val="00101FA2"/>
    <w:rsid w:val="001123B7"/>
    <w:rsid w:val="001126D0"/>
    <w:rsid w:val="00113B45"/>
    <w:rsid w:val="00113C81"/>
    <w:rsid w:val="00115652"/>
    <w:rsid w:val="001266E7"/>
    <w:rsid w:val="001279A6"/>
    <w:rsid w:val="00127B2F"/>
    <w:rsid w:val="00136751"/>
    <w:rsid w:val="00142284"/>
    <w:rsid w:val="001427E3"/>
    <w:rsid w:val="00143BC0"/>
    <w:rsid w:val="00145750"/>
    <w:rsid w:val="00151787"/>
    <w:rsid w:val="00155104"/>
    <w:rsid w:val="00155586"/>
    <w:rsid w:val="00155DA5"/>
    <w:rsid w:val="001622AA"/>
    <w:rsid w:val="001634EA"/>
    <w:rsid w:val="00171209"/>
    <w:rsid w:val="00171F60"/>
    <w:rsid w:val="00172F79"/>
    <w:rsid w:val="00173DCE"/>
    <w:rsid w:val="001746D7"/>
    <w:rsid w:val="001760CB"/>
    <w:rsid w:val="001806BB"/>
    <w:rsid w:val="0018176D"/>
    <w:rsid w:val="00190B11"/>
    <w:rsid w:val="00190D1F"/>
    <w:rsid w:val="00190E1C"/>
    <w:rsid w:val="00191AC5"/>
    <w:rsid w:val="001A3EBA"/>
    <w:rsid w:val="001A66DB"/>
    <w:rsid w:val="001B02A2"/>
    <w:rsid w:val="001B0A94"/>
    <w:rsid w:val="001B3704"/>
    <w:rsid w:val="001B6C4F"/>
    <w:rsid w:val="001B7535"/>
    <w:rsid w:val="001C2AE3"/>
    <w:rsid w:val="001C589C"/>
    <w:rsid w:val="001D1F7D"/>
    <w:rsid w:val="001E3DF4"/>
    <w:rsid w:val="001E59D0"/>
    <w:rsid w:val="001E6228"/>
    <w:rsid w:val="001E6A74"/>
    <w:rsid w:val="001F2173"/>
    <w:rsid w:val="001F41D0"/>
    <w:rsid w:val="001F6388"/>
    <w:rsid w:val="00200D86"/>
    <w:rsid w:val="00200FE8"/>
    <w:rsid w:val="00201F4C"/>
    <w:rsid w:val="00202513"/>
    <w:rsid w:val="00202F5F"/>
    <w:rsid w:val="00205363"/>
    <w:rsid w:val="00210763"/>
    <w:rsid w:val="00213E58"/>
    <w:rsid w:val="002152D0"/>
    <w:rsid w:val="00220F16"/>
    <w:rsid w:val="00226B97"/>
    <w:rsid w:val="00230EE1"/>
    <w:rsid w:val="00242260"/>
    <w:rsid w:val="00245E08"/>
    <w:rsid w:val="002502C5"/>
    <w:rsid w:val="0025138B"/>
    <w:rsid w:val="002537AE"/>
    <w:rsid w:val="00254C5B"/>
    <w:rsid w:val="00263107"/>
    <w:rsid w:val="00274E03"/>
    <w:rsid w:val="00275B8F"/>
    <w:rsid w:val="00277C6E"/>
    <w:rsid w:val="00284668"/>
    <w:rsid w:val="00286B0B"/>
    <w:rsid w:val="002A2AFF"/>
    <w:rsid w:val="002A5D23"/>
    <w:rsid w:val="002A7CD8"/>
    <w:rsid w:val="002A7E1F"/>
    <w:rsid w:val="002B03A1"/>
    <w:rsid w:val="002B173B"/>
    <w:rsid w:val="002B2287"/>
    <w:rsid w:val="002B3589"/>
    <w:rsid w:val="002B464B"/>
    <w:rsid w:val="002C0386"/>
    <w:rsid w:val="002C226C"/>
    <w:rsid w:val="002C58F8"/>
    <w:rsid w:val="002C5C24"/>
    <w:rsid w:val="002C5CB7"/>
    <w:rsid w:val="002C5F28"/>
    <w:rsid w:val="002D25C9"/>
    <w:rsid w:val="002D491F"/>
    <w:rsid w:val="002E1C7D"/>
    <w:rsid w:val="002F023D"/>
    <w:rsid w:val="002F5A50"/>
    <w:rsid w:val="002F6A53"/>
    <w:rsid w:val="003028F8"/>
    <w:rsid w:val="003041FA"/>
    <w:rsid w:val="00306BF3"/>
    <w:rsid w:val="003145FD"/>
    <w:rsid w:val="00316139"/>
    <w:rsid w:val="003342CD"/>
    <w:rsid w:val="00335042"/>
    <w:rsid w:val="003376C4"/>
    <w:rsid w:val="00341C57"/>
    <w:rsid w:val="00343675"/>
    <w:rsid w:val="003449CA"/>
    <w:rsid w:val="00346A02"/>
    <w:rsid w:val="00347BF8"/>
    <w:rsid w:val="00362B70"/>
    <w:rsid w:val="003663EA"/>
    <w:rsid w:val="00367D69"/>
    <w:rsid w:val="00371F3D"/>
    <w:rsid w:val="00380A43"/>
    <w:rsid w:val="003850A5"/>
    <w:rsid w:val="00387763"/>
    <w:rsid w:val="0039150B"/>
    <w:rsid w:val="00392BBA"/>
    <w:rsid w:val="003934CF"/>
    <w:rsid w:val="003954FD"/>
    <w:rsid w:val="003A30F2"/>
    <w:rsid w:val="003A4214"/>
    <w:rsid w:val="003A6D48"/>
    <w:rsid w:val="003B4066"/>
    <w:rsid w:val="003B49D5"/>
    <w:rsid w:val="003B72A2"/>
    <w:rsid w:val="003C3491"/>
    <w:rsid w:val="003C46CF"/>
    <w:rsid w:val="003C5023"/>
    <w:rsid w:val="003C62A6"/>
    <w:rsid w:val="003C7907"/>
    <w:rsid w:val="003D60D7"/>
    <w:rsid w:val="003E1CE3"/>
    <w:rsid w:val="003E1FEF"/>
    <w:rsid w:val="003E2425"/>
    <w:rsid w:val="003E4AC2"/>
    <w:rsid w:val="003F59A2"/>
    <w:rsid w:val="003F742D"/>
    <w:rsid w:val="0040295E"/>
    <w:rsid w:val="00417785"/>
    <w:rsid w:val="00422D80"/>
    <w:rsid w:val="004238CA"/>
    <w:rsid w:val="00441F6B"/>
    <w:rsid w:val="0044353E"/>
    <w:rsid w:val="00443D01"/>
    <w:rsid w:val="00445ACA"/>
    <w:rsid w:val="0044739C"/>
    <w:rsid w:val="00453C2C"/>
    <w:rsid w:val="0045410A"/>
    <w:rsid w:val="004617B5"/>
    <w:rsid w:val="00462095"/>
    <w:rsid w:val="0046347F"/>
    <w:rsid w:val="00466B99"/>
    <w:rsid w:val="00467D01"/>
    <w:rsid w:val="004712C6"/>
    <w:rsid w:val="00473095"/>
    <w:rsid w:val="004757BA"/>
    <w:rsid w:val="00482B81"/>
    <w:rsid w:val="00482D4C"/>
    <w:rsid w:val="00497958"/>
    <w:rsid w:val="004A399F"/>
    <w:rsid w:val="004A44F8"/>
    <w:rsid w:val="004A67ED"/>
    <w:rsid w:val="004B1B60"/>
    <w:rsid w:val="004B3C0F"/>
    <w:rsid w:val="004B6598"/>
    <w:rsid w:val="004B665D"/>
    <w:rsid w:val="004C05E4"/>
    <w:rsid w:val="004C18A1"/>
    <w:rsid w:val="004C27D5"/>
    <w:rsid w:val="004D150E"/>
    <w:rsid w:val="004E369C"/>
    <w:rsid w:val="004E39E1"/>
    <w:rsid w:val="004E6C81"/>
    <w:rsid w:val="004F19C1"/>
    <w:rsid w:val="004F1AC5"/>
    <w:rsid w:val="004F56D0"/>
    <w:rsid w:val="0050292E"/>
    <w:rsid w:val="00503E44"/>
    <w:rsid w:val="00507204"/>
    <w:rsid w:val="00507438"/>
    <w:rsid w:val="00512961"/>
    <w:rsid w:val="00515283"/>
    <w:rsid w:val="00515916"/>
    <w:rsid w:val="00520357"/>
    <w:rsid w:val="005250CA"/>
    <w:rsid w:val="00533926"/>
    <w:rsid w:val="00534070"/>
    <w:rsid w:val="00537483"/>
    <w:rsid w:val="00537AFF"/>
    <w:rsid w:val="00544194"/>
    <w:rsid w:val="00545E4F"/>
    <w:rsid w:val="005503F0"/>
    <w:rsid w:val="00550E8F"/>
    <w:rsid w:val="005557B1"/>
    <w:rsid w:val="00556492"/>
    <w:rsid w:val="0055675D"/>
    <w:rsid w:val="00561D7D"/>
    <w:rsid w:val="00566E8F"/>
    <w:rsid w:val="0057422E"/>
    <w:rsid w:val="00576613"/>
    <w:rsid w:val="005833BE"/>
    <w:rsid w:val="00585C45"/>
    <w:rsid w:val="00586872"/>
    <w:rsid w:val="005910DB"/>
    <w:rsid w:val="00592200"/>
    <w:rsid w:val="005948BF"/>
    <w:rsid w:val="005968A6"/>
    <w:rsid w:val="005A4F53"/>
    <w:rsid w:val="005B20B6"/>
    <w:rsid w:val="005B6881"/>
    <w:rsid w:val="005B6B54"/>
    <w:rsid w:val="005B71B6"/>
    <w:rsid w:val="005B7A5E"/>
    <w:rsid w:val="005C4C2C"/>
    <w:rsid w:val="005C72D6"/>
    <w:rsid w:val="005C79A0"/>
    <w:rsid w:val="005D0EE9"/>
    <w:rsid w:val="005D3013"/>
    <w:rsid w:val="005D5F8A"/>
    <w:rsid w:val="005D7D5A"/>
    <w:rsid w:val="005E3255"/>
    <w:rsid w:val="005E371B"/>
    <w:rsid w:val="005E4BAC"/>
    <w:rsid w:val="005E4D2D"/>
    <w:rsid w:val="005F0579"/>
    <w:rsid w:val="005F20F7"/>
    <w:rsid w:val="005F543C"/>
    <w:rsid w:val="005F6652"/>
    <w:rsid w:val="0060130D"/>
    <w:rsid w:val="00607A02"/>
    <w:rsid w:val="0061077C"/>
    <w:rsid w:val="00611173"/>
    <w:rsid w:val="006118B7"/>
    <w:rsid w:val="006162EB"/>
    <w:rsid w:val="00626A1A"/>
    <w:rsid w:val="00631FE7"/>
    <w:rsid w:val="006410D6"/>
    <w:rsid w:val="0064129F"/>
    <w:rsid w:val="00643AF3"/>
    <w:rsid w:val="00647BB7"/>
    <w:rsid w:val="00654C78"/>
    <w:rsid w:val="006630E5"/>
    <w:rsid w:val="00664BB6"/>
    <w:rsid w:val="00667312"/>
    <w:rsid w:val="00673592"/>
    <w:rsid w:val="00675727"/>
    <w:rsid w:val="00677504"/>
    <w:rsid w:val="00677F17"/>
    <w:rsid w:val="00680297"/>
    <w:rsid w:val="00680FB0"/>
    <w:rsid w:val="0068380E"/>
    <w:rsid w:val="00684756"/>
    <w:rsid w:val="00685CDB"/>
    <w:rsid w:val="006873CE"/>
    <w:rsid w:val="0069479C"/>
    <w:rsid w:val="006A0786"/>
    <w:rsid w:val="006A2711"/>
    <w:rsid w:val="006A46C0"/>
    <w:rsid w:val="006B620A"/>
    <w:rsid w:val="006C5D6C"/>
    <w:rsid w:val="006E359C"/>
    <w:rsid w:val="006E4016"/>
    <w:rsid w:val="006E705E"/>
    <w:rsid w:val="006F0F5F"/>
    <w:rsid w:val="00702EDF"/>
    <w:rsid w:val="00703CF1"/>
    <w:rsid w:val="0070630C"/>
    <w:rsid w:val="007103D0"/>
    <w:rsid w:val="00710460"/>
    <w:rsid w:val="00710E94"/>
    <w:rsid w:val="007125B7"/>
    <w:rsid w:val="00727780"/>
    <w:rsid w:val="00727D8A"/>
    <w:rsid w:val="00731FEA"/>
    <w:rsid w:val="00734757"/>
    <w:rsid w:val="00736F61"/>
    <w:rsid w:val="007412F8"/>
    <w:rsid w:val="00741D6A"/>
    <w:rsid w:val="00742253"/>
    <w:rsid w:val="00742E32"/>
    <w:rsid w:val="007431E0"/>
    <w:rsid w:val="00745930"/>
    <w:rsid w:val="0074646A"/>
    <w:rsid w:val="007522EF"/>
    <w:rsid w:val="0075398E"/>
    <w:rsid w:val="00761461"/>
    <w:rsid w:val="007643F6"/>
    <w:rsid w:val="007662C7"/>
    <w:rsid w:val="00767114"/>
    <w:rsid w:val="00770CF6"/>
    <w:rsid w:val="00771B05"/>
    <w:rsid w:val="00775559"/>
    <w:rsid w:val="00776306"/>
    <w:rsid w:val="0077748B"/>
    <w:rsid w:val="00777F47"/>
    <w:rsid w:val="00781174"/>
    <w:rsid w:val="007847FC"/>
    <w:rsid w:val="007903AF"/>
    <w:rsid w:val="00792BAB"/>
    <w:rsid w:val="007A1BF7"/>
    <w:rsid w:val="007A55A7"/>
    <w:rsid w:val="007B1F10"/>
    <w:rsid w:val="007B335E"/>
    <w:rsid w:val="007B7B0A"/>
    <w:rsid w:val="007C290B"/>
    <w:rsid w:val="007C51E4"/>
    <w:rsid w:val="007D1B36"/>
    <w:rsid w:val="007D5675"/>
    <w:rsid w:val="007D7559"/>
    <w:rsid w:val="007D7AF2"/>
    <w:rsid w:val="007E018D"/>
    <w:rsid w:val="007E4CC4"/>
    <w:rsid w:val="007E5B18"/>
    <w:rsid w:val="007E7025"/>
    <w:rsid w:val="007E755C"/>
    <w:rsid w:val="007F0200"/>
    <w:rsid w:val="007F0477"/>
    <w:rsid w:val="007F1B3F"/>
    <w:rsid w:val="007F1B71"/>
    <w:rsid w:val="007F7C1D"/>
    <w:rsid w:val="007F7E10"/>
    <w:rsid w:val="00807318"/>
    <w:rsid w:val="00807E7D"/>
    <w:rsid w:val="0081236D"/>
    <w:rsid w:val="00813990"/>
    <w:rsid w:val="00831675"/>
    <w:rsid w:val="008324B1"/>
    <w:rsid w:val="00834285"/>
    <w:rsid w:val="0084079A"/>
    <w:rsid w:val="0084386A"/>
    <w:rsid w:val="0084444E"/>
    <w:rsid w:val="008478D5"/>
    <w:rsid w:val="00865932"/>
    <w:rsid w:val="00871A72"/>
    <w:rsid w:val="0087635A"/>
    <w:rsid w:val="0088467C"/>
    <w:rsid w:val="00886920"/>
    <w:rsid w:val="00892286"/>
    <w:rsid w:val="00894579"/>
    <w:rsid w:val="008A57CB"/>
    <w:rsid w:val="008A5B67"/>
    <w:rsid w:val="008A669C"/>
    <w:rsid w:val="008A6C0C"/>
    <w:rsid w:val="008A6CDC"/>
    <w:rsid w:val="008B07B8"/>
    <w:rsid w:val="008B3EFC"/>
    <w:rsid w:val="008B6569"/>
    <w:rsid w:val="008C1FD8"/>
    <w:rsid w:val="008D09C5"/>
    <w:rsid w:val="008D16F7"/>
    <w:rsid w:val="008D3518"/>
    <w:rsid w:val="008E1427"/>
    <w:rsid w:val="008E1861"/>
    <w:rsid w:val="008E217B"/>
    <w:rsid w:val="008E2DA0"/>
    <w:rsid w:val="008E30CF"/>
    <w:rsid w:val="008E493D"/>
    <w:rsid w:val="008E507E"/>
    <w:rsid w:val="008E68B6"/>
    <w:rsid w:val="008F23AD"/>
    <w:rsid w:val="008F6C1C"/>
    <w:rsid w:val="00900C8C"/>
    <w:rsid w:val="00905B36"/>
    <w:rsid w:val="00905E55"/>
    <w:rsid w:val="00911E4E"/>
    <w:rsid w:val="0091388E"/>
    <w:rsid w:val="009143A0"/>
    <w:rsid w:val="009148FE"/>
    <w:rsid w:val="009322ED"/>
    <w:rsid w:val="00936028"/>
    <w:rsid w:val="00936902"/>
    <w:rsid w:val="00936F2E"/>
    <w:rsid w:val="00951ED5"/>
    <w:rsid w:val="00954679"/>
    <w:rsid w:val="00955E5F"/>
    <w:rsid w:val="00960C87"/>
    <w:rsid w:val="00963B8C"/>
    <w:rsid w:val="00970343"/>
    <w:rsid w:val="00980B43"/>
    <w:rsid w:val="00983C42"/>
    <w:rsid w:val="009860A2"/>
    <w:rsid w:val="0098649E"/>
    <w:rsid w:val="00986C53"/>
    <w:rsid w:val="00990013"/>
    <w:rsid w:val="009905C5"/>
    <w:rsid w:val="00991391"/>
    <w:rsid w:val="0099211E"/>
    <w:rsid w:val="00994430"/>
    <w:rsid w:val="00994637"/>
    <w:rsid w:val="009A1E0F"/>
    <w:rsid w:val="009A292F"/>
    <w:rsid w:val="009A6DE6"/>
    <w:rsid w:val="009B2256"/>
    <w:rsid w:val="009B2E24"/>
    <w:rsid w:val="009B36D2"/>
    <w:rsid w:val="009C0948"/>
    <w:rsid w:val="009C27F1"/>
    <w:rsid w:val="009C6A1E"/>
    <w:rsid w:val="009D0463"/>
    <w:rsid w:val="009D47DB"/>
    <w:rsid w:val="009E2F86"/>
    <w:rsid w:val="009E6CD0"/>
    <w:rsid w:val="009E7840"/>
    <w:rsid w:val="009E7F85"/>
    <w:rsid w:val="009F14A4"/>
    <w:rsid w:val="009F293A"/>
    <w:rsid w:val="009F4B79"/>
    <w:rsid w:val="009F65BD"/>
    <w:rsid w:val="009F7083"/>
    <w:rsid w:val="00A067F8"/>
    <w:rsid w:val="00A06A88"/>
    <w:rsid w:val="00A073FE"/>
    <w:rsid w:val="00A12209"/>
    <w:rsid w:val="00A2158C"/>
    <w:rsid w:val="00A2203D"/>
    <w:rsid w:val="00A33945"/>
    <w:rsid w:val="00A36DF3"/>
    <w:rsid w:val="00A50EB5"/>
    <w:rsid w:val="00A52399"/>
    <w:rsid w:val="00A532DD"/>
    <w:rsid w:val="00A60749"/>
    <w:rsid w:val="00A71FC9"/>
    <w:rsid w:val="00A721AE"/>
    <w:rsid w:val="00A7378E"/>
    <w:rsid w:val="00A74553"/>
    <w:rsid w:val="00A76171"/>
    <w:rsid w:val="00A77596"/>
    <w:rsid w:val="00A80BCF"/>
    <w:rsid w:val="00A82C8C"/>
    <w:rsid w:val="00A8369C"/>
    <w:rsid w:val="00A85CE9"/>
    <w:rsid w:val="00AA1689"/>
    <w:rsid w:val="00AA1808"/>
    <w:rsid w:val="00AA2CEF"/>
    <w:rsid w:val="00AA4DB4"/>
    <w:rsid w:val="00AA5770"/>
    <w:rsid w:val="00AB171F"/>
    <w:rsid w:val="00AB3059"/>
    <w:rsid w:val="00AB4325"/>
    <w:rsid w:val="00AB439A"/>
    <w:rsid w:val="00AC1D15"/>
    <w:rsid w:val="00AC204F"/>
    <w:rsid w:val="00AC3017"/>
    <w:rsid w:val="00AC5FAD"/>
    <w:rsid w:val="00AC6526"/>
    <w:rsid w:val="00AC6E5C"/>
    <w:rsid w:val="00AD1DD6"/>
    <w:rsid w:val="00AD7AE8"/>
    <w:rsid w:val="00AD7F09"/>
    <w:rsid w:val="00AF5028"/>
    <w:rsid w:val="00B01B0A"/>
    <w:rsid w:val="00B02335"/>
    <w:rsid w:val="00B047CB"/>
    <w:rsid w:val="00B07B0C"/>
    <w:rsid w:val="00B10F16"/>
    <w:rsid w:val="00B13F5B"/>
    <w:rsid w:val="00B140E9"/>
    <w:rsid w:val="00B14571"/>
    <w:rsid w:val="00B24F1A"/>
    <w:rsid w:val="00B25563"/>
    <w:rsid w:val="00B26D48"/>
    <w:rsid w:val="00B2710B"/>
    <w:rsid w:val="00B3115D"/>
    <w:rsid w:val="00B33545"/>
    <w:rsid w:val="00B34C2D"/>
    <w:rsid w:val="00B37C46"/>
    <w:rsid w:val="00B42EE1"/>
    <w:rsid w:val="00B46E19"/>
    <w:rsid w:val="00B5137D"/>
    <w:rsid w:val="00B5161D"/>
    <w:rsid w:val="00B5504D"/>
    <w:rsid w:val="00B60006"/>
    <w:rsid w:val="00B60AF6"/>
    <w:rsid w:val="00B7290C"/>
    <w:rsid w:val="00B72AD6"/>
    <w:rsid w:val="00B741EF"/>
    <w:rsid w:val="00B770E0"/>
    <w:rsid w:val="00B8293D"/>
    <w:rsid w:val="00B831E3"/>
    <w:rsid w:val="00B9059A"/>
    <w:rsid w:val="00B92478"/>
    <w:rsid w:val="00B97A69"/>
    <w:rsid w:val="00BA4A5E"/>
    <w:rsid w:val="00BA5698"/>
    <w:rsid w:val="00BA5E54"/>
    <w:rsid w:val="00BA6188"/>
    <w:rsid w:val="00BA7D11"/>
    <w:rsid w:val="00BB5637"/>
    <w:rsid w:val="00BB5686"/>
    <w:rsid w:val="00BB7F78"/>
    <w:rsid w:val="00BC69EB"/>
    <w:rsid w:val="00BD0A26"/>
    <w:rsid w:val="00BD61A2"/>
    <w:rsid w:val="00BD739D"/>
    <w:rsid w:val="00BE00DE"/>
    <w:rsid w:val="00BE0703"/>
    <w:rsid w:val="00BE2954"/>
    <w:rsid w:val="00BE3E68"/>
    <w:rsid w:val="00BE484D"/>
    <w:rsid w:val="00BE636C"/>
    <w:rsid w:val="00BF3BE2"/>
    <w:rsid w:val="00C01110"/>
    <w:rsid w:val="00C01303"/>
    <w:rsid w:val="00C02E98"/>
    <w:rsid w:val="00C035C9"/>
    <w:rsid w:val="00C20028"/>
    <w:rsid w:val="00C2688A"/>
    <w:rsid w:val="00C272D1"/>
    <w:rsid w:val="00C37E05"/>
    <w:rsid w:val="00C50144"/>
    <w:rsid w:val="00C54D78"/>
    <w:rsid w:val="00C55D29"/>
    <w:rsid w:val="00C57650"/>
    <w:rsid w:val="00C66AA4"/>
    <w:rsid w:val="00C67101"/>
    <w:rsid w:val="00C747DB"/>
    <w:rsid w:val="00C849AC"/>
    <w:rsid w:val="00C867F0"/>
    <w:rsid w:val="00C926E5"/>
    <w:rsid w:val="00C93C9D"/>
    <w:rsid w:val="00C96CDB"/>
    <w:rsid w:val="00CA0BE9"/>
    <w:rsid w:val="00CA138D"/>
    <w:rsid w:val="00CA339E"/>
    <w:rsid w:val="00CA49F1"/>
    <w:rsid w:val="00CA62FC"/>
    <w:rsid w:val="00CA6D2D"/>
    <w:rsid w:val="00CB0C0B"/>
    <w:rsid w:val="00CB4278"/>
    <w:rsid w:val="00CC3446"/>
    <w:rsid w:val="00CC3D12"/>
    <w:rsid w:val="00CC7641"/>
    <w:rsid w:val="00CD0937"/>
    <w:rsid w:val="00CD2865"/>
    <w:rsid w:val="00CE027B"/>
    <w:rsid w:val="00CE21C3"/>
    <w:rsid w:val="00CE3075"/>
    <w:rsid w:val="00CE6AB9"/>
    <w:rsid w:val="00CF0469"/>
    <w:rsid w:val="00CF0D22"/>
    <w:rsid w:val="00CF6CD9"/>
    <w:rsid w:val="00D024A6"/>
    <w:rsid w:val="00D04285"/>
    <w:rsid w:val="00D05076"/>
    <w:rsid w:val="00D06FAD"/>
    <w:rsid w:val="00D10638"/>
    <w:rsid w:val="00D121A2"/>
    <w:rsid w:val="00D13794"/>
    <w:rsid w:val="00D1748E"/>
    <w:rsid w:val="00D221C0"/>
    <w:rsid w:val="00D24052"/>
    <w:rsid w:val="00D24386"/>
    <w:rsid w:val="00D30461"/>
    <w:rsid w:val="00D31575"/>
    <w:rsid w:val="00D34605"/>
    <w:rsid w:val="00D34626"/>
    <w:rsid w:val="00D34FB4"/>
    <w:rsid w:val="00D4257A"/>
    <w:rsid w:val="00D466AD"/>
    <w:rsid w:val="00D53834"/>
    <w:rsid w:val="00D61D18"/>
    <w:rsid w:val="00D62665"/>
    <w:rsid w:val="00D75D9E"/>
    <w:rsid w:val="00D7645F"/>
    <w:rsid w:val="00D76991"/>
    <w:rsid w:val="00D82E47"/>
    <w:rsid w:val="00D831F7"/>
    <w:rsid w:val="00D8361E"/>
    <w:rsid w:val="00D85389"/>
    <w:rsid w:val="00D90883"/>
    <w:rsid w:val="00DA350D"/>
    <w:rsid w:val="00DB475F"/>
    <w:rsid w:val="00DC02A6"/>
    <w:rsid w:val="00DC0CDE"/>
    <w:rsid w:val="00DC4D72"/>
    <w:rsid w:val="00DC75F7"/>
    <w:rsid w:val="00DD1A8C"/>
    <w:rsid w:val="00DE014A"/>
    <w:rsid w:val="00DE2F87"/>
    <w:rsid w:val="00DE3035"/>
    <w:rsid w:val="00DF1569"/>
    <w:rsid w:val="00E052EE"/>
    <w:rsid w:val="00E0611B"/>
    <w:rsid w:val="00E0624D"/>
    <w:rsid w:val="00E06FB4"/>
    <w:rsid w:val="00E1023A"/>
    <w:rsid w:val="00E10B2C"/>
    <w:rsid w:val="00E10C28"/>
    <w:rsid w:val="00E16501"/>
    <w:rsid w:val="00E329BB"/>
    <w:rsid w:val="00E40976"/>
    <w:rsid w:val="00E426BF"/>
    <w:rsid w:val="00E4438C"/>
    <w:rsid w:val="00E457F3"/>
    <w:rsid w:val="00E47CAA"/>
    <w:rsid w:val="00E5354E"/>
    <w:rsid w:val="00E57808"/>
    <w:rsid w:val="00E617D4"/>
    <w:rsid w:val="00E66769"/>
    <w:rsid w:val="00E71AB6"/>
    <w:rsid w:val="00E75513"/>
    <w:rsid w:val="00E827DB"/>
    <w:rsid w:val="00E849B7"/>
    <w:rsid w:val="00E94CC4"/>
    <w:rsid w:val="00E96CB5"/>
    <w:rsid w:val="00EA4DD8"/>
    <w:rsid w:val="00EB2AEF"/>
    <w:rsid w:val="00EB3C97"/>
    <w:rsid w:val="00EB4CA9"/>
    <w:rsid w:val="00EB6367"/>
    <w:rsid w:val="00EB64C0"/>
    <w:rsid w:val="00EB7E71"/>
    <w:rsid w:val="00EC024D"/>
    <w:rsid w:val="00EC3A8D"/>
    <w:rsid w:val="00ED0ED7"/>
    <w:rsid w:val="00ED39AD"/>
    <w:rsid w:val="00ED4406"/>
    <w:rsid w:val="00EE03C8"/>
    <w:rsid w:val="00EE2C04"/>
    <w:rsid w:val="00F03273"/>
    <w:rsid w:val="00F109D4"/>
    <w:rsid w:val="00F124D9"/>
    <w:rsid w:val="00F125A4"/>
    <w:rsid w:val="00F15CEA"/>
    <w:rsid w:val="00F15EE9"/>
    <w:rsid w:val="00F22526"/>
    <w:rsid w:val="00F229E2"/>
    <w:rsid w:val="00F33262"/>
    <w:rsid w:val="00F359A8"/>
    <w:rsid w:val="00F37218"/>
    <w:rsid w:val="00F37C0A"/>
    <w:rsid w:val="00F43496"/>
    <w:rsid w:val="00F43F7C"/>
    <w:rsid w:val="00F47585"/>
    <w:rsid w:val="00F50845"/>
    <w:rsid w:val="00F5100B"/>
    <w:rsid w:val="00F51FD3"/>
    <w:rsid w:val="00F557E7"/>
    <w:rsid w:val="00F561BA"/>
    <w:rsid w:val="00F62065"/>
    <w:rsid w:val="00F64E52"/>
    <w:rsid w:val="00F70347"/>
    <w:rsid w:val="00F764F7"/>
    <w:rsid w:val="00F76969"/>
    <w:rsid w:val="00F76BED"/>
    <w:rsid w:val="00F85E6F"/>
    <w:rsid w:val="00F86E34"/>
    <w:rsid w:val="00F873C5"/>
    <w:rsid w:val="00FA19EB"/>
    <w:rsid w:val="00FA20E4"/>
    <w:rsid w:val="00FA3429"/>
    <w:rsid w:val="00FB60E9"/>
    <w:rsid w:val="00FC101E"/>
    <w:rsid w:val="00FD2A6E"/>
    <w:rsid w:val="00FE04E4"/>
    <w:rsid w:val="00FE6D43"/>
    <w:rsid w:val="00FE73F9"/>
    <w:rsid w:val="00FE78F3"/>
    <w:rsid w:val="00FE7E19"/>
    <w:rsid w:val="00FF0086"/>
    <w:rsid w:val="00FF1057"/>
    <w:rsid w:val="00FF3E25"/>
    <w:rsid w:val="00FF7221"/>
    <w:rsid w:val="00FF7BED"/>
    <w:rsid w:val="165047A1"/>
    <w:rsid w:val="16AADB49"/>
    <w:rsid w:val="29689B16"/>
    <w:rsid w:val="41818F2A"/>
    <w:rsid w:val="619EF505"/>
    <w:rsid w:val="6639E451"/>
    <w:rsid w:val="6BDFE8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CE2FE"/>
  <w15:docId w15:val="{EA8CDA66-6C59-4C18-BACA-C8CEB7EB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2"/>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3"/>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3"/>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3"/>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190B11"/>
    <w:rPr>
      <w:sz w:val="24"/>
    </w:rPr>
  </w:style>
  <w:style w:type="paragraph" w:customStyle="1" w:styleId="ChapterHeading">
    <w:name w:val="Chapter Heading"/>
    <w:next w:val="Heading2"/>
    <w:rsid w:val="00190B11"/>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190B11"/>
    <w:pPr>
      <w:numPr>
        <w:numId w:val="7"/>
      </w:numPr>
    </w:pPr>
  </w:style>
  <w:style w:type="paragraph" w:customStyle="1" w:styleId="Diagram">
    <w:name w:val="Diagram"/>
    <w:basedOn w:val="Normal"/>
    <w:next w:val="Normal"/>
    <w:rsid w:val="00190B11"/>
    <w:pPr>
      <w:keepNext/>
      <w:spacing w:before="0" w:after="0"/>
      <w:ind w:left="1134"/>
    </w:pPr>
    <w:rPr>
      <w:b/>
      <w:sz w:val="22"/>
    </w:rPr>
  </w:style>
  <w:style w:type="paragraph" w:customStyle="1" w:styleId="ExampleHeading">
    <w:name w:val="Example Heading"/>
    <w:basedOn w:val="Normal"/>
    <w:next w:val="Normal"/>
    <w:rsid w:val="00190B11"/>
    <w:pPr>
      <w:keepNext/>
      <w:ind w:left="1134"/>
    </w:pPr>
    <w:rPr>
      <w:b/>
      <w:sz w:val="22"/>
    </w:rPr>
  </w:style>
  <w:style w:type="paragraph" w:customStyle="1" w:styleId="TableHeadingoutsidetable">
    <w:name w:val="Table Heading (outside table)"/>
    <w:basedOn w:val="Heading4"/>
    <w:rsid w:val="00190B11"/>
    <w:pPr>
      <w:tabs>
        <w:tab w:val="clear" w:pos="1987"/>
        <w:tab w:val="num" w:pos="360"/>
      </w:tabs>
      <w:spacing w:after="200"/>
      <w:ind w:left="1134"/>
    </w:pPr>
    <w:rPr>
      <w:b w:val="0"/>
      <w:iCs/>
      <w:kern w:val="0"/>
      <w:sz w:val="22"/>
    </w:rPr>
  </w:style>
  <w:style w:type="character" w:styleId="Emphasis">
    <w:name w:val="Emphasis"/>
    <w:basedOn w:val="DefaultParagraphFont"/>
    <w:uiPriority w:val="20"/>
    <w:qFormat/>
    <w:rsid w:val="00F125A4"/>
    <w:rPr>
      <w:i/>
      <w:iCs/>
    </w:rPr>
  </w:style>
  <w:style w:type="character" w:customStyle="1" w:styleId="UnresolvedMention1">
    <w:name w:val="Unresolved Mention1"/>
    <w:basedOn w:val="DefaultParagraphFont"/>
    <w:uiPriority w:val="99"/>
    <w:semiHidden/>
    <w:unhideWhenUsed/>
    <w:rsid w:val="005C72D6"/>
    <w:rPr>
      <w:color w:val="605E5C"/>
      <w:shd w:val="clear" w:color="auto" w:fill="E1DFDD"/>
    </w:rPr>
  </w:style>
  <w:style w:type="paragraph" w:customStyle="1" w:styleId="OutlineNumbered1">
    <w:name w:val="Outline Numbered 1"/>
    <w:basedOn w:val="Normal"/>
    <w:link w:val="OutlineNumbered1Char"/>
    <w:rsid w:val="00274E03"/>
    <w:pPr>
      <w:numPr>
        <w:numId w:val="13"/>
      </w:numPr>
      <w:spacing w:after="200"/>
    </w:pPr>
    <w:rPr>
      <w:color w:val="000000"/>
      <w:szCs w:val="23"/>
    </w:rPr>
  </w:style>
  <w:style w:type="character" w:customStyle="1" w:styleId="OutlineNumbered1Char">
    <w:name w:val="Outline Numbered 1 Char"/>
    <w:basedOn w:val="BulletChar"/>
    <w:link w:val="OutlineNumbered1"/>
    <w:rsid w:val="00274E03"/>
    <w:rPr>
      <w:color w:val="000000"/>
      <w:sz w:val="24"/>
      <w:szCs w:val="23"/>
    </w:rPr>
  </w:style>
  <w:style w:type="paragraph" w:customStyle="1" w:styleId="OutlineNumbered2">
    <w:name w:val="Outline Numbered 2"/>
    <w:basedOn w:val="Normal"/>
    <w:link w:val="OutlineNumbered2Char"/>
    <w:rsid w:val="00274E03"/>
    <w:pPr>
      <w:numPr>
        <w:ilvl w:val="1"/>
        <w:numId w:val="13"/>
      </w:numPr>
      <w:spacing w:after="200"/>
    </w:pPr>
    <w:rPr>
      <w:color w:val="000000"/>
      <w:szCs w:val="23"/>
    </w:rPr>
  </w:style>
  <w:style w:type="character" w:customStyle="1" w:styleId="OutlineNumbered2Char">
    <w:name w:val="Outline Numbered 2 Char"/>
    <w:basedOn w:val="BulletChar"/>
    <w:link w:val="OutlineNumbered2"/>
    <w:rsid w:val="00274E03"/>
    <w:rPr>
      <w:color w:val="000000"/>
      <w:sz w:val="24"/>
      <w:szCs w:val="23"/>
    </w:rPr>
  </w:style>
  <w:style w:type="paragraph" w:customStyle="1" w:styleId="OutlineNumbered3">
    <w:name w:val="Outline Numbered 3"/>
    <w:basedOn w:val="Normal"/>
    <w:link w:val="OutlineNumbered3Char"/>
    <w:rsid w:val="00274E03"/>
    <w:pPr>
      <w:numPr>
        <w:ilvl w:val="2"/>
        <w:numId w:val="13"/>
      </w:numPr>
      <w:spacing w:after="200"/>
    </w:pPr>
    <w:rPr>
      <w:color w:val="000000"/>
      <w:szCs w:val="23"/>
    </w:rPr>
  </w:style>
  <w:style w:type="character" w:customStyle="1" w:styleId="OutlineNumbered3Char">
    <w:name w:val="Outline Numbered 3 Char"/>
    <w:basedOn w:val="BulletChar"/>
    <w:link w:val="OutlineNumbered3"/>
    <w:rsid w:val="00274E03"/>
    <w:rPr>
      <w:color w:val="000000"/>
      <w:sz w:val="24"/>
      <w:szCs w:val="23"/>
    </w:rPr>
  </w:style>
  <w:style w:type="paragraph" w:styleId="NormalWeb">
    <w:name w:val="Normal (Web)"/>
    <w:basedOn w:val="Normal"/>
    <w:uiPriority w:val="99"/>
    <w:unhideWhenUsed/>
    <w:rsid w:val="008A6CDC"/>
    <w:pPr>
      <w:spacing w:before="100" w:beforeAutospacing="1" w:after="100" w:afterAutospacing="1"/>
    </w:pPr>
    <w:rPr>
      <w:rFonts w:eastAsiaTheme="minorHAnsi"/>
      <w:szCs w:val="24"/>
    </w:rPr>
  </w:style>
  <w:style w:type="paragraph" w:styleId="Revision">
    <w:name w:val="Revision"/>
    <w:hidden/>
    <w:uiPriority w:val="99"/>
    <w:semiHidden/>
    <w:rsid w:val="009A1E0F"/>
    <w:rPr>
      <w:sz w:val="24"/>
    </w:rPr>
  </w:style>
  <w:style w:type="character" w:customStyle="1" w:styleId="Referencingstyle">
    <w:name w:val="Referencing style"/>
    <w:basedOn w:val="DefaultParagraphFont"/>
    <w:rsid w:val="00CF6CD9"/>
    <w:rPr>
      <w:rFonts w:ascii="Times New Roman" w:hAnsi="Times New Roman" w:cs="Times New Roman"/>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451436">
      <w:bodyDiv w:val="1"/>
      <w:marLeft w:val="0"/>
      <w:marRight w:val="0"/>
      <w:marTop w:val="0"/>
      <w:marBottom w:val="0"/>
      <w:divBdr>
        <w:top w:val="none" w:sz="0" w:space="0" w:color="auto"/>
        <w:left w:val="none" w:sz="0" w:space="0" w:color="auto"/>
        <w:bottom w:val="none" w:sz="0" w:space="0" w:color="auto"/>
        <w:right w:val="none" w:sz="0" w:space="0" w:color="auto"/>
      </w:divBdr>
    </w:div>
    <w:div w:id="947615249">
      <w:bodyDiv w:val="1"/>
      <w:marLeft w:val="0"/>
      <w:marRight w:val="0"/>
      <w:marTop w:val="0"/>
      <w:marBottom w:val="0"/>
      <w:divBdr>
        <w:top w:val="none" w:sz="0" w:space="0" w:color="auto"/>
        <w:left w:val="none" w:sz="0" w:space="0" w:color="auto"/>
        <w:bottom w:val="none" w:sz="0" w:space="0" w:color="auto"/>
        <w:right w:val="none" w:sz="0" w:space="0" w:color="auto"/>
      </w:divBdr>
    </w:div>
    <w:div w:id="1477650575">
      <w:bodyDiv w:val="1"/>
      <w:marLeft w:val="0"/>
      <w:marRight w:val="0"/>
      <w:marTop w:val="0"/>
      <w:marBottom w:val="0"/>
      <w:divBdr>
        <w:top w:val="none" w:sz="0" w:space="0" w:color="auto"/>
        <w:left w:val="none" w:sz="0" w:space="0" w:color="auto"/>
        <w:bottom w:val="none" w:sz="0" w:space="0" w:color="auto"/>
        <w:right w:val="none" w:sz="0" w:space="0" w:color="auto"/>
      </w:divBdr>
    </w:div>
    <w:div w:id="181282405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32543496">
      <w:bodyDiv w:val="1"/>
      <w:marLeft w:val="0"/>
      <w:marRight w:val="0"/>
      <w:marTop w:val="0"/>
      <w:marBottom w:val="0"/>
      <w:divBdr>
        <w:top w:val="none" w:sz="0" w:space="0" w:color="auto"/>
        <w:left w:val="none" w:sz="0" w:space="0" w:color="auto"/>
        <w:bottom w:val="none" w:sz="0" w:space="0" w:color="auto"/>
        <w:right w:val="none" w:sz="0" w:space="0" w:color="auto"/>
      </w:divBdr>
    </w:div>
    <w:div w:id="20883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63A5D9E8574B46833563E52DF02065"/>
        <w:category>
          <w:name w:val="General"/>
          <w:gallery w:val="placeholder"/>
        </w:category>
        <w:types>
          <w:type w:val="bbPlcHdr"/>
        </w:types>
        <w:behaviors>
          <w:behavior w:val="content"/>
        </w:behaviors>
        <w:guid w:val="{2A3F3262-926C-4992-A5A7-932C5D980C1C}"/>
      </w:docPartPr>
      <w:docPartBody>
        <w:p w:rsidR="002C535F" w:rsidRDefault="009B49F9">
          <w:pPr>
            <w:pStyle w:val="4363A5D9E8574B46833563E52DF02065"/>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F9"/>
    <w:rsid w:val="00045A08"/>
    <w:rsid w:val="00064D33"/>
    <w:rsid w:val="002C535F"/>
    <w:rsid w:val="002D4976"/>
    <w:rsid w:val="002F0DAF"/>
    <w:rsid w:val="00462DD6"/>
    <w:rsid w:val="00951D97"/>
    <w:rsid w:val="009B49F9"/>
    <w:rsid w:val="00B03548"/>
    <w:rsid w:val="00C14805"/>
    <w:rsid w:val="00C248DC"/>
    <w:rsid w:val="00C2538D"/>
    <w:rsid w:val="00C802B7"/>
    <w:rsid w:val="00ED13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9F9"/>
    <w:rPr>
      <w:color w:val="808080"/>
    </w:rPr>
  </w:style>
  <w:style w:type="paragraph" w:customStyle="1" w:styleId="154202BE147E4B2EBDB158A46F17C828">
    <w:name w:val="154202BE147E4B2EBDB158A46F17C828"/>
  </w:style>
  <w:style w:type="paragraph" w:customStyle="1" w:styleId="93EA5DAF47BB416B832D3B6734ED51A2">
    <w:name w:val="93EA5DAF47BB416B832D3B6734ED51A2"/>
  </w:style>
  <w:style w:type="paragraph" w:customStyle="1" w:styleId="2E3D5DB45BD74161B880169D34E5D00C">
    <w:name w:val="2E3D5DB45BD74161B880169D34E5D00C"/>
  </w:style>
  <w:style w:type="paragraph" w:customStyle="1" w:styleId="A94ECA7B1FE2466E85CA862465407F18">
    <w:name w:val="A94ECA7B1FE2466E85CA862465407F18"/>
  </w:style>
  <w:style w:type="paragraph" w:customStyle="1" w:styleId="7AE83DB39EEC41A0B35DCF3356FF5469">
    <w:name w:val="7AE83DB39EEC41A0B35DCF3356FF5469"/>
    <w:rsid w:val="009B49F9"/>
  </w:style>
  <w:style w:type="paragraph" w:customStyle="1" w:styleId="4363A5D9E8574B46833563E52DF02065">
    <w:name w:val="4363A5D9E8574B46833563E52DF02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2021RG-111-19248</_dlc_DocId>
    <_dlc_DocIdUrl xmlns="0f563589-9cf9-4143-b1eb-fb0534803d38">
      <Url>http://tweb/sites/rg/ldp/lmu/_layouts/15/DocIdRedir.aspx?ID=2021RG-111-19248</Url>
      <Description>2021RG-111-19248</Description>
    </_dlc_DocIdUrl>
    <i6880fa62fd2465ea894b48b45824d1c xmlns="9f7bc583-7cbe-45b9-a2bd-8bbb6543b37e">
      <Terms xmlns="http://schemas.microsoft.com/office/infopath/2007/PartnerControls"/>
    </i6880fa62fd2465ea894b48b45824d1c>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8806" ma:contentTypeDescription=" " ma:contentTypeScope="" ma:versionID="097d2cacfc1f2f19b33a2aac331b62a6">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89EA06C8-F55A-4B79-887A-18E43CFB3FD0}">
  <ds:schemaRefs>
    <ds:schemaRef ds:uri="http://schemas.openxmlformats.org/officeDocument/2006/bibliography"/>
  </ds:schemaRefs>
</ds:datastoreItem>
</file>

<file path=customXml/itemProps5.xml><?xml version="1.0" encoding="utf-8"?>
<ds:datastoreItem xmlns:ds="http://schemas.openxmlformats.org/officeDocument/2006/customXml" ds:itemID="{9BCD847A-1D49-49B0-A12E-3A3019738B3B}">
  <ds:schemaRefs>
    <ds:schemaRef ds:uri="http://schemas.microsoft.com/sharepoint/events"/>
  </ds:schemaRefs>
</ds:datastoreItem>
</file>

<file path=customXml/itemProps6.xml><?xml version="1.0" encoding="utf-8"?>
<ds:datastoreItem xmlns:ds="http://schemas.openxmlformats.org/officeDocument/2006/customXml" ds:itemID="{98CDB5FA-7C02-41A9-83F4-CFFFB16D0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7</Pages>
  <Words>2152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MTA_Regulations_ES</vt:lpstr>
    </vt:vector>
  </TitlesOfParts>
  <Company>Treasury</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MTA_Regulations_ES</dc:title>
  <dc:creator>Haines, David</dc:creator>
  <cp:lastModifiedBy>Cooper, Faith</cp:lastModifiedBy>
  <cp:revision>3</cp:revision>
  <cp:lastPrinted>2021-04-20T00:38:00Z</cp:lastPrinted>
  <dcterms:created xsi:type="dcterms:W3CDTF">2021-06-09T03:13:00Z</dcterms:created>
  <dcterms:modified xsi:type="dcterms:W3CDTF">2021-06-22T00:11:00Z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TSYRecordClass">
    <vt:lpwstr>1;#AE-20260-Destroy 7 years after action completed|623f5ec9-ec5d-4824-8e13-9c9bfc51fe7e</vt:lpwstr>
  </property>
  <property fmtid="{D5CDD505-2E9C-101B-9397-08002B2CF9AE}" pid="9" name="_dlc_DocIdItemGuid">
    <vt:lpwstr>614012b8-7bf6-4e99-aca9-c1f54743078b</vt:lpwstr>
  </property>
  <property fmtid="{D5CDD505-2E9C-101B-9397-08002B2CF9AE}" pid="10" name="_PreviousAdHocReviewCycleID">
    <vt:i4>1180105450</vt:i4>
  </property>
  <property fmtid="{D5CDD505-2E9C-101B-9397-08002B2CF9AE}" pid="11" name="_ReviewingToolsShownOnce">
    <vt:lpwstr/>
  </property>
  <property fmtid="{D5CDD505-2E9C-101B-9397-08002B2CF9AE}" pid="12" name="TSYTopic">
    <vt:lpwstr/>
  </property>
</Properties>
</file>