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52879" w14:textId="77777777" w:rsidR="00166576" w:rsidRPr="00A02F5E" w:rsidRDefault="00166576" w:rsidP="00A02F5E">
      <w:pPr>
        <w:spacing w:line="23" w:lineRule="atLeast"/>
        <w:jc w:val="center"/>
        <w:rPr>
          <w:b/>
          <w:u w:val="single"/>
        </w:rPr>
      </w:pPr>
      <w:r w:rsidRPr="00A02F5E">
        <w:rPr>
          <w:b/>
          <w:u w:val="single"/>
        </w:rPr>
        <w:t>EXPLANATORY STATEMENT</w:t>
      </w:r>
    </w:p>
    <w:p w14:paraId="6385287A" w14:textId="77777777" w:rsidR="00166576" w:rsidRPr="00BB2557" w:rsidRDefault="00166576" w:rsidP="00166576">
      <w:pPr>
        <w:spacing w:line="23" w:lineRule="atLeast"/>
        <w:jc w:val="center"/>
        <w:rPr>
          <w:sz w:val="24"/>
          <w:szCs w:val="24"/>
        </w:rPr>
      </w:pPr>
      <w:r w:rsidRPr="00BB2557">
        <w:rPr>
          <w:sz w:val="24"/>
          <w:szCs w:val="24"/>
        </w:rPr>
        <w:t>Issued by the authority of the Minister for the Environment</w:t>
      </w:r>
    </w:p>
    <w:p w14:paraId="6385287B" w14:textId="77777777" w:rsidR="00166576" w:rsidRPr="00BB2557" w:rsidRDefault="00166576" w:rsidP="00166576">
      <w:pPr>
        <w:spacing w:line="23" w:lineRule="atLeast"/>
        <w:jc w:val="center"/>
        <w:rPr>
          <w:b/>
          <w:i/>
          <w:sz w:val="24"/>
          <w:szCs w:val="24"/>
        </w:rPr>
      </w:pPr>
      <w:r w:rsidRPr="00BB2557">
        <w:rPr>
          <w:b/>
          <w:i/>
          <w:sz w:val="24"/>
          <w:szCs w:val="24"/>
        </w:rPr>
        <w:t>Great Barrier Reef Marine Park Act 1975</w:t>
      </w:r>
    </w:p>
    <w:p w14:paraId="6385287C" w14:textId="36273960" w:rsidR="00166576" w:rsidRPr="00BB2557" w:rsidRDefault="00166576" w:rsidP="00166576">
      <w:pPr>
        <w:spacing w:line="23" w:lineRule="atLeast"/>
        <w:jc w:val="center"/>
        <w:rPr>
          <w:b/>
          <w:i/>
          <w:sz w:val="24"/>
          <w:szCs w:val="24"/>
        </w:rPr>
      </w:pPr>
      <w:r w:rsidRPr="00BB2557">
        <w:rPr>
          <w:b/>
          <w:i/>
          <w:sz w:val="24"/>
          <w:szCs w:val="24"/>
        </w:rPr>
        <w:t xml:space="preserve">Great Barrier </w:t>
      </w:r>
      <w:r>
        <w:rPr>
          <w:b/>
          <w:i/>
          <w:sz w:val="24"/>
          <w:szCs w:val="24"/>
        </w:rPr>
        <w:t>Reef Marine Park Amendment (</w:t>
      </w:r>
      <w:r w:rsidR="00463458">
        <w:rPr>
          <w:b/>
          <w:i/>
          <w:sz w:val="24"/>
          <w:szCs w:val="24"/>
        </w:rPr>
        <w:t>No-Anchoring Areas) Regulations 2021</w:t>
      </w:r>
    </w:p>
    <w:p w14:paraId="6385287D" w14:textId="77777777" w:rsidR="00166576" w:rsidRDefault="00166576" w:rsidP="00166576">
      <w:pPr>
        <w:spacing w:line="23" w:lineRule="atLeast"/>
        <w:rPr>
          <w:sz w:val="24"/>
          <w:szCs w:val="24"/>
        </w:rPr>
      </w:pPr>
      <w:r>
        <w:rPr>
          <w:b/>
          <w:sz w:val="24"/>
          <w:szCs w:val="24"/>
        </w:rPr>
        <w:t>Legislative Authority</w:t>
      </w:r>
    </w:p>
    <w:p w14:paraId="6385287E" w14:textId="77777777" w:rsidR="00166576" w:rsidRPr="00BB2557" w:rsidRDefault="00166576" w:rsidP="00166576">
      <w:pPr>
        <w:spacing w:line="23" w:lineRule="atLeast"/>
        <w:rPr>
          <w:sz w:val="24"/>
          <w:szCs w:val="24"/>
        </w:rPr>
      </w:pPr>
      <w:r w:rsidRPr="00BB2557">
        <w:rPr>
          <w:sz w:val="24"/>
          <w:szCs w:val="24"/>
        </w:rPr>
        <w:t xml:space="preserve">The </w:t>
      </w:r>
      <w:r w:rsidRPr="00BB2557">
        <w:rPr>
          <w:i/>
          <w:sz w:val="24"/>
          <w:szCs w:val="24"/>
        </w:rPr>
        <w:t xml:space="preserve">Great Barrier Reef Marine Park Act 1975 </w:t>
      </w:r>
      <w:r w:rsidRPr="00BB2557">
        <w:rPr>
          <w:sz w:val="24"/>
          <w:szCs w:val="24"/>
        </w:rPr>
        <w:t xml:space="preserve">(the Act) establishes the Great Barrier Reef Marine Park Authority (the Authority) and makes provision for and in relation to the establishment, control, care and development of a Marine Park in the Great Barrier Reef Region (the </w:t>
      </w:r>
      <w:r w:rsidRPr="00BB2557">
        <w:rPr>
          <w:sz w:val="24"/>
        </w:rPr>
        <w:t>Region</w:t>
      </w:r>
      <w:r w:rsidRPr="00BB2557">
        <w:rPr>
          <w:sz w:val="24"/>
          <w:szCs w:val="24"/>
        </w:rPr>
        <w:t xml:space="preserve">). </w:t>
      </w:r>
    </w:p>
    <w:p w14:paraId="6385287F" w14:textId="77777777" w:rsidR="00166576" w:rsidRPr="00BB2557" w:rsidRDefault="00166576" w:rsidP="00166576">
      <w:pPr>
        <w:spacing w:line="23" w:lineRule="atLeast"/>
        <w:rPr>
          <w:sz w:val="24"/>
          <w:szCs w:val="24"/>
        </w:rPr>
      </w:pPr>
      <w:r w:rsidRPr="00BB2557">
        <w:rPr>
          <w:sz w:val="24"/>
          <w:szCs w:val="24"/>
        </w:rPr>
        <w:t xml:space="preserve">Under subsection 66(1) of the Act, the Governor-General may make regulations, not inconsistent with the Act or with a zoning plan, prescribing all matters required or permitted by the Act to be prescribed or necessary or convenient to be prescribed for carrying out or giving effect to the Act. </w:t>
      </w:r>
    </w:p>
    <w:p w14:paraId="63852880" w14:textId="67AE7C7B" w:rsidR="00166576" w:rsidRDefault="00166576" w:rsidP="00166576">
      <w:pPr>
        <w:pStyle w:val="Default"/>
        <w:spacing w:after="200" w:line="23" w:lineRule="atLeast"/>
        <w:rPr>
          <w:rFonts w:asciiTheme="minorHAnsi" w:hAnsiTheme="minorHAnsi" w:cs="Times New Roman"/>
          <w:b/>
          <w:lang w:eastAsia="en-AU"/>
        </w:rPr>
      </w:pPr>
      <w:r>
        <w:rPr>
          <w:rFonts w:asciiTheme="minorHAnsi" w:hAnsiTheme="minorHAnsi" w:cs="Times New Roman"/>
          <w:b/>
          <w:lang w:eastAsia="en-AU"/>
        </w:rPr>
        <w:t>Background</w:t>
      </w:r>
    </w:p>
    <w:p w14:paraId="0170DC9E" w14:textId="4DD8EECD" w:rsidR="008C621C" w:rsidRDefault="00CA0957" w:rsidP="00166576">
      <w:pPr>
        <w:pStyle w:val="Default"/>
        <w:spacing w:after="200" w:line="23" w:lineRule="atLeast"/>
        <w:rPr>
          <w:rFonts w:asciiTheme="minorHAnsi" w:hAnsiTheme="minorHAnsi" w:cs="Times New Roman"/>
          <w:lang w:eastAsia="en-AU"/>
        </w:rPr>
      </w:pPr>
      <w:r>
        <w:rPr>
          <w:rFonts w:asciiTheme="minorHAnsi" w:hAnsiTheme="minorHAnsi" w:cs="Times New Roman"/>
          <w:lang w:eastAsia="en-AU"/>
        </w:rPr>
        <w:t xml:space="preserve">No-anchoring areas throughout the Marine Park are designed to protect sensitive habitats such as coral communities from anchor damage. Generally vessels </w:t>
      </w:r>
      <w:r w:rsidR="008C621C">
        <w:rPr>
          <w:rFonts w:asciiTheme="minorHAnsi" w:hAnsiTheme="minorHAnsi" w:cs="Times New Roman"/>
          <w:lang w:eastAsia="en-AU"/>
        </w:rPr>
        <w:t xml:space="preserve">may enter a no-anchoring area, but an anchor must not be dropped in the area. </w:t>
      </w:r>
    </w:p>
    <w:p w14:paraId="4C1D3127" w14:textId="51F9F3C2" w:rsidR="008C621C" w:rsidRDefault="008C621C" w:rsidP="00166576">
      <w:pPr>
        <w:pStyle w:val="Default"/>
        <w:spacing w:after="200" w:line="23" w:lineRule="atLeast"/>
        <w:rPr>
          <w:rFonts w:asciiTheme="minorHAnsi" w:hAnsiTheme="minorHAnsi" w:cs="Times New Roman"/>
          <w:lang w:eastAsia="en-AU"/>
        </w:rPr>
      </w:pPr>
      <w:r>
        <w:rPr>
          <w:rFonts w:asciiTheme="minorHAnsi" w:hAnsiTheme="minorHAnsi" w:cs="Times New Roman"/>
          <w:lang w:eastAsia="en-AU"/>
        </w:rPr>
        <w:t xml:space="preserve">Presently there are no-anchoring areas located in the Marine Park in the Cairns Planning Area, the Hinchinbrook Planning Area and the Whitsunday Planning Area (the Planning Areas). The rules applicable to these no-anchoring areas are contained in the </w:t>
      </w:r>
      <w:r>
        <w:rPr>
          <w:rFonts w:asciiTheme="minorHAnsi" w:hAnsiTheme="minorHAnsi" w:cs="Times New Roman"/>
          <w:i/>
          <w:lang w:eastAsia="en-AU"/>
        </w:rPr>
        <w:t xml:space="preserve">Cairns Area Plan of Management 1998, Hinchinbrook Plan of Management 2004 </w:t>
      </w:r>
      <w:r w:rsidR="000A0438">
        <w:rPr>
          <w:rFonts w:asciiTheme="minorHAnsi" w:hAnsiTheme="minorHAnsi" w:cs="Times New Roman"/>
          <w:lang w:eastAsia="en-AU"/>
        </w:rPr>
        <w:t>and</w:t>
      </w:r>
      <w:r>
        <w:rPr>
          <w:rFonts w:asciiTheme="minorHAnsi" w:hAnsiTheme="minorHAnsi" w:cs="Times New Roman"/>
          <w:i/>
          <w:lang w:eastAsia="en-AU"/>
        </w:rPr>
        <w:t xml:space="preserve"> Whitsundays Plan of Management 1998</w:t>
      </w:r>
      <w:r>
        <w:rPr>
          <w:rFonts w:asciiTheme="minorHAnsi" w:hAnsiTheme="minorHAnsi" w:cs="Times New Roman"/>
          <w:lang w:eastAsia="en-AU"/>
        </w:rPr>
        <w:t>.</w:t>
      </w:r>
    </w:p>
    <w:p w14:paraId="2BEA78CA" w14:textId="6E4F1682" w:rsidR="00CA0957" w:rsidRDefault="008C621C" w:rsidP="00166576">
      <w:pPr>
        <w:pStyle w:val="Default"/>
        <w:spacing w:after="200" w:line="23" w:lineRule="atLeast"/>
        <w:rPr>
          <w:rFonts w:asciiTheme="minorHAnsi" w:hAnsiTheme="minorHAnsi" w:cs="Times New Roman"/>
          <w:lang w:eastAsia="en-AU"/>
        </w:rPr>
      </w:pPr>
      <w:r>
        <w:rPr>
          <w:rFonts w:asciiTheme="minorHAnsi" w:hAnsiTheme="minorHAnsi" w:cs="Times New Roman"/>
          <w:lang w:eastAsia="en-AU"/>
        </w:rPr>
        <w:t xml:space="preserve">Contravention of </w:t>
      </w:r>
      <w:r w:rsidR="00E07050" w:rsidRPr="00E07050">
        <w:rPr>
          <w:rFonts w:asciiTheme="minorHAnsi" w:hAnsiTheme="minorHAnsi" w:cs="Times New Roman"/>
          <w:lang w:eastAsia="en-AU"/>
        </w:rPr>
        <w:t>a plan of management</w:t>
      </w:r>
      <w:r w:rsidR="00E07050">
        <w:rPr>
          <w:rFonts w:asciiTheme="minorHAnsi" w:hAnsiTheme="minorHAnsi" w:cs="Times New Roman"/>
          <w:lang w:eastAsia="en-AU"/>
        </w:rPr>
        <w:t xml:space="preserve"> </w:t>
      </w:r>
      <w:r>
        <w:rPr>
          <w:rFonts w:asciiTheme="minorHAnsi" w:hAnsiTheme="minorHAnsi" w:cs="Times New Roman"/>
          <w:lang w:eastAsia="en-AU"/>
        </w:rPr>
        <w:t xml:space="preserve">is a strict liability offence pursuant to section 234 of the </w:t>
      </w:r>
      <w:r>
        <w:rPr>
          <w:rFonts w:asciiTheme="minorHAnsi" w:hAnsiTheme="minorHAnsi" w:cs="Times New Roman"/>
          <w:i/>
          <w:lang w:eastAsia="en-AU"/>
        </w:rPr>
        <w:t xml:space="preserve">Great Barrier Reef Marine Park Regulations 2019 </w:t>
      </w:r>
      <w:r>
        <w:rPr>
          <w:rFonts w:asciiTheme="minorHAnsi" w:hAnsiTheme="minorHAnsi" w:cs="Times New Roman"/>
          <w:lang w:eastAsia="en-AU"/>
        </w:rPr>
        <w:t>(the Principal Regulations).</w:t>
      </w:r>
      <w:r w:rsidR="00E223C9">
        <w:rPr>
          <w:rFonts w:ascii="Times New Roman" w:hAnsi="Times New Roman" w:cs="Times New Roman"/>
          <w:color w:val="auto"/>
          <w:sz w:val="22"/>
          <w:szCs w:val="22"/>
        </w:rPr>
        <w:t xml:space="preserve"> </w:t>
      </w:r>
      <w:r w:rsidR="00E07050" w:rsidRPr="00E07050">
        <w:rPr>
          <w:rFonts w:asciiTheme="minorHAnsi" w:hAnsiTheme="minorHAnsi" w:cs="Times New Roman"/>
          <w:lang w:eastAsia="en-AU"/>
        </w:rPr>
        <w:t xml:space="preserve">Accordingly, if there is a contravention of the rules applicable to the no-anchoring areas located in the Planning Areas, the strict liability offence under section 234 of the Principal Regulations applies. This offence does not apply to areas of the Marine Park outside of the Planning Areas.   </w:t>
      </w:r>
      <w:r>
        <w:rPr>
          <w:rFonts w:asciiTheme="minorHAnsi" w:hAnsiTheme="minorHAnsi" w:cs="Times New Roman"/>
          <w:lang w:eastAsia="en-AU"/>
        </w:rPr>
        <w:t xml:space="preserve">  </w:t>
      </w:r>
    </w:p>
    <w:p w14:paraId="6C0C5740" w14:textId="22C4A336" w:rsidR="00B83F60" w:rsidRPr="00CA0957" w:rsidRDefault="00B83F60" w:rsidP="00166576">
      <w:pPr>
        <w:pStyle w:val="Default"/>
        <w:spacing w:after="200" w:line="23" w:lineRule="atLeast"/>
        <w:rPr>
          <w:rFonts w:asciiTheme="minorHAnsi" w:hAnsiTheme="minorHAnsi" w:cs="Times New Roman"/>
          <w:lang w:eastAsia="en-AU"/>
        </w:rPr>
      </w:pPr>
      <w:r>
        <w:rPr>
          <w:rFonts w:asciiTheme="minorHAnsi" w:hAnsiTheme="minorHAnsi" w:cs="Times New Roman"/>
          <w:lang w:eastAsia="en-AU"/>
        </w:rPr>
        <w:t>Pursuant to paragraph 5(2)(b) of the Principal Regulations the A</w:t>
      </w:r>
      <w:r w:rsidR="004E3E45">
        <w:rPr>
          <w:rFonts w:asciiTheme="minorHAnsi" w:hAnsiTheme="minorHAnsi" w:cs="Times New Roman"/>
          <w:lang w:eastAsia="en-AU"/>
        </w:rPr>
        <w:t>uthority may</w:t>
      </w:r>
      <w:r>
        <w:rPr>
          <w:rFonts w:asciiTheme="minorHAnsi" w:hAnsiTheme="minorHAnsi" w:cs="Times New Roman"/>
          <w:lang w:eastAsia="en-AU"/>
        </w:rPr>
        <w:t>, by notifiable instrument,</w:t>
      </w:r>
      <w:r w:rsidR="004E3E45">
        <w:rPr>
          <w:rFonts w:asciiTheme="minorHAnsi" w:hAnsiTheme="minorHAnsi" w:cs="Times New Roman"/>
          <w:lang w:eastAsia="en-AU"/>
        </w:rPr>
        <w:t xml:space="preserve"> declare an area described in the declaration to be a no-anchoring area. On </w:t>
      </w:r>
      <w:r w:rsidR="00E07050">
        <w:rPr>
          <w:rFonts w:asciiTheme="minorHAnsi" w:hAnsiTheme="minorHAnsi" w:cs="Times New Roman"/>
          <w:lang w:eastAsia="en-AU"/>
        </w:rPr>
        <w:t>21 May</w:t>
      </w:r>
      <w:r w:rsidR="004E3E45">
        <w:rPr>
          <w:rFonts w:asciiTheme="minorHAnsi" w:hAnsiTheme="minorHAnsi" w:cs="Times New Roman"/>
          <w:lang w:eastAsia="en-AU"/>
        </w:rPr>
        <w:t xml:space="preserve"> 20</w:t>
      </w:r>
      <w:r w:rsidR="00815079">
        <w:rPr>
          <w:rFonts w:asciiTheme="minorHAnsi" w:hAnsiTheme="minorHAnsi" w:cs="Times New Roman"/>
          <w:lang w:eastAsia="en-AU"/>
        </w:rPr>
        <w:t>21</w:t>
      </w:r>
      <w:r w:rsidR="004E3E45">
        <w:rPr>
          <w:rFonts w:asciiTheme="minorHAnsi" w:hAnsiTheme="minorHAnsi" w:cs="Times New Roman"/>
          <w:lang w:eastAsia="en-AU"/>
        </w:rPr>
        <w:t xml:space="preserve"> the Authority made the </w:t>
      </w:r>
      <w:r w:rsidR="004E3E45">
        <w:rPr>
          <w:rFonts w:asciiTheme="minorHAnsi" w:hAnsiTheme="minorHAnsi" w:cs="Times New Roman"/>
          <w:i/>
          <w:lang w:eastAsia="en-AU"/>
        </w:rPr>
        <w:t>Great Barrier Reef Marine Park (Declaration of No-Anchoring Areas</w:t>
      </w:r>
      <w:r w:rsidR="00564B97" w:rsidRPr="00564B97">
        <w:rPr>
          <w:rFonts w:asciiTheme="minorHAnsi" w:hAnsiTheme="minorHAnsi" w:cs="Times New Roman"/>
          <w:i/>
          <w:lang w:eastAsia="en-AU"/>
        </w:rPr>
        <w:t xml:space="preserve"> </w:t>
      </w:r>
      <w:r w:rsidR="00564B97">
        <w:rPr>
          <w:rFonts w:asciiTheme="minorHAnsi" w:hAnsiTheme="minorHAnsi" w:cs="Times New Roman"/>
          <w:i/>
          <w:lang w:eastAsia="en-AU"/>
        </w:rPr>
        <w:t>–Townsville/Whitsunday</w:t>
      </w:r>
      <w:r w:rsidR="00564B97" w:rsidRPr="00815079">
        <w:rPr>
          <w:rFonts w:asciiTheme="minorHAnsi" w:hAnsiTheme="minorHAnsi" w:cs="Times New Roman"/>
          <w:i/>
          <w:lang w:eastAsia="en-AU"/>
        </w:rPr>
        <w:t xml:space="preserve"> Management Area</w:t>
      </w:r>
      <w:r w:rsidR="004E3E45">
        <w:rPr>
          <w:rFonts w:asciiTheme="minorHAnsi" w:hAnsiTheme="minorHAnsi" w:cs="Times New Roman"/>
          <w:i/>
          <w:lang w:eastAsia="en-AU"/>
        </w:rPr>
        <w:t>) Notifiable Instrument 2021</w:t>
      </w:r>
      <w:r w:rsidR="004E3E45">
        <w:rPr>
          <w:rFonts w:asciiTheme="minorHAnsi" w:hAnsiTheme="minorHAnsi" w:cs="Times New Roman"/>
          <w:lang w:eastAsia="en-AU"/>
        </w:rPr>
        <w:t xml:space="preserve"> (the </w:t>
      </w:r>
      <w:r w:rsidR="005C3F01">
        <w:rPr>
          <w:rFonts w:asciiTheme="minorHAnsi" w:hAnsiTheme="minorHAnsi" w:cs="Times New Roman"/>
          <w:lang w:eastAsia="en-AU"/>
        </w:rPr>
        <w:t xml:space="preserve">2021 </w:t>
      </w:r>
      <w:r w:rsidR="004E3E45">
        <w:rPr>
          <w:rFonts w:asciiTheme="minorHAnsi" w:hAnsiTheme="minorHAnsi" w:cs="Times New Roman"/>
          <w:lang w:eastAsia="en-AU"/>
        </w:rPr>
        <w:t>Declaration) which, inter alia, declares no-anchoring areas in other areas of the Marine P</w:t>
      </w:r>
      <w:r w:rsidR="00B0323C">
        <w:rPr>
          <w:rFonts w:asciiTheme="minorHAnsi" w:hAnsiTheme="minorHAnsi" w:cs="Times New Roman"/>
          <w:lang w:eastAsia="en-AU"/>
        </w:rPr>
        <w:t>ark</w:t>
      </w:r>
      <w:r w:rsidR="004E3E45">
        <w:rPr>
          <w:rFonts w:asciiTheme="minorHAnsi" w:hAnsiTheme="minorHAnsi" w:cs="Times New Roman"/>
          <w:lang w:eastAsia="en-AU"/>
        </w:rPr>
        <w:t xml:space="preserve"> outside of the Planning Areas. The </w:t>
      </w:r>
      <w:r w:rsidR="005C3F01">
        <w:rPr>
          <w:rFonts w:asciiTheme="minorHAnsi" w:hAnsiTheme="minorHAnsi" w:cs="Times New Roman"/>
          <w:lang w:eastAsia="en-AU"/>
        </w:rPr>
        <w:t xml:space="preserve">2021 </w:t>
      </w:r>
      <w:r w:rsidR="004E3E45">
        <w:rPr>
          <w:rFonts w:asciiTheme="minorHAnsi" w:hAnsiTheme="minorHAnsi" w:cs="Times New Roman"/>
          <w:lang w:eastAsia="en-AU"/>
        </w:rPr>
        <w:t xml:space="preserve">Declaration </w:t>
      </w:r>
      <w:r w:rsidR="001B7C05">
        <w:rPr>
          <w:rFonts w:asciiTheme="minorHAnsi" w:hAnsiTheme="minorHAnsi" w:cs="Times New Roman"/>
          <w:lang w:eastAsia="en-AU"/>
        </w:rPr>
        <w:t>takes effect</w:t>
      </w:r>
      <w:r w:rsidR="00B0323C">
        <w:rPr>
          <w:rFonts w:asciiTheme="minorHAnsi" w:hAnsiTheme="minorHAnsi" w:cs="Times New Roman"/>
          <w:lang w:eastAsia="en-AU"/>
        </w:rPr>
        <w:t xml:space="preserve"> </w:t>
      </w:r>
      <w:r w:rsidR="00E07050">
        <w:rPr>
          <w:rFonts w:asciiTheme="minorHAnsi" w:hAnsiTheme="minorHAnsi" w:cs="Times New Roman"/>
          <w:lang w:eastAsia="en-AU"/>
        </w:rPr>
        <w:t xml:space="preserve">on the date of commencement </w:t>
      </w:r>
      <w:r w:rsidR="00B0323C">
        <w:rPr>
          <w:rFonts w:asciiTheme="minorHAnsi" w:hAnsiTheme="minorHAnsi" w:cs="Times New Roman"/>
          <w:lang w:eastAsia="en-AU"/>
        </w:rPr>
        <w:t xml:space="preserve">of the </w:t>
      </w:r>
      <w:r w:rsidR="00B0323C" w:rsidRPr="00B0323C">
        <w:rPr>
          <w:rFonts w:asciiTheme="minorHAnsi" w:hAnsiTheme="minorHAnsi" w:cs="Times New Roman"/>
          <w:i/>
          <w:lang w:eastAsia="en-AU"/>
        </w:rPr>
        <w:t>Great Barrier Reef Marine Park Amendment (No-Anchoring Areas) Regulations 2021</w:t>
      </w:r>
      <w:r w:rsidR="00B0323C">
        <w:rPr>
          <w:rFonts w:asciiTheme="minorHAnsi" w:hAnsiTheme="minorHAnsi" w:cs="Times New Roman"/>
          <w:i/>
          <w:lang w:eastAsia="en-AU"/>
        </w:rPr>
        <w:t xml:space="preserve"> </w:t>
      </w:r>
      <w:r w:rsidR="00B0323C">
        <w:rPr>
          <w:rFonts w:asciiTheme="minorHAnsi" w:hAnsiTheme="minorHAnsi" w:cs="Times New Roman"/>
          <w:lang w:eastAsia="en-AU"/>
        </w:rPr>
        <w:t>(the Amendment Regulations)</w:t>
      </w:r>
      <w:r w:rsidR="00E07050">
        <w:rPr>
          <w:rFonts w:asciiTheme="minorHAnsi" w:hAnsiTheme="minorHAnsi" w:cs="Times New Roman"/>
          <w:lang w:eastAsia="en-AU"/>
        </w:rPr>
        <w:t>.</w:t>
      </w:r>
      <w:r w:rsidR="00E07050" w:rsidRPr="00E07050">
        <w:t xml:space="preserve"> </w:t>
      </w:r>
      <w:r w:rsidR="00E07050">
        <w:rPr>
          <w:rFonts w:asciiTheme="minorHAnsi" w:hAnsiTheme="minorHAnsi" w:cs="Times New Roman"/>
          <w:lang w:eastAsia="en-AU"/>
        </w:rPr>
        <w:t>T</w:t>
      </w:r>
      <w:r w:rsidR="00E07050" w:rsidRPr="00E07050">
        <w:rPr>
          <w:rFonts w:asciiTheme="minorHAnsi" w:hAnsiTheme="minorHAnsi" w:cs="Times New Roman"/>
          <w:lang w:eastAsia="en-AU"/>
        </w:rPr>
        <w:t xml:space="preserve">he </w:t>
      </w:r>
      <w:r w:rsidR="001B7C05">
        <w:rPr>
          <w:rFonts w:asciiTheme="minorHAnsi" w:hAnsiTheme="minorHAnsi" w:cs="Times New Roman"/>
          <w:lang w:eastAsia="en-AU"/>
        </w:rPr>
        <w:t>matters declared in</w:t>
      </w:r>
      <w:r w:rsidR="00E07050" w:rsidRPr="00E07050">
        <w:rPr>
          <w:rFonts w:asciiTheme="minorHAnsi" w:hAnsiTheme="minorHAnsi" w:cs="Times New Roman"/>
          <w:lang w:eastAsia="en-AU"/>
        </w:rPr>
        <w:t xml:space="preserve"> the </w:t>
      </w:r>
      <w:r w:rsidR="001B7C05">
        <w:rPr>
          <w:rFonts w:asciiTheme="minorHAnsi" w:hAnsiTheme="minorHAnsi" w:cs="Times New Roman"/>
          <w:lang w:eastAsia="en-AU"/>
        </w:rPr>
        <w:t xml:space="preserve">2021 </w:t>
      </w:r>
      <w:r w:rsidR="00E07050" w:rsidRPr="00E07050">
        <w:rPr>
          <w:rFonts w:asciiTheme="minorHAnsi" w:hAnsiTheme="minorHAnsi" w:cs="Times New Roman"/>
          <w:lang w:eastAsia="en-AU"/>
        </w:rPr>
        <w:t xml:space="preserve">Declaration </w:t>
      </w:r>
      <w:r w:rsidR="001B7C05">
        <w:rPr>
          <w:rFonts w:asciiTheme="minorHAnsi" w:hAnsiTheme="minorHAnsi" w:cs="Times New Roman"/>
          <w:lang w:eastAsia="en-AU"/>
        </w:rPr>
        <w:t>are</w:t>
      </w:r>
      <w:r w:rsidR="00E07050" w:rsidRPr="00E07050">
        <w:rPr>
          <w:rFonts w:asciiTheme="minorHAnsi" w:hAnsiTheme="minorHAnsi" w:cs="Times New Roman"/>
          <w:lang w:eastAsia="en-AU"/>
        </w:rPr>
        <w:t xml:space="preserve"> </w:t>
      </w:r>
      <w:r w:rsidR="00E07050">
        <w:rPr>
          <w:rFonts w:asciiTheme="minorHAnsi" w:hAnsiTheme="minorHAnsi" w:cs="Times New Roman"/>
          <w:lang w:eastAsia="en-AU"/>
        </w:rPr>
        <w:t xml:space="preserve">therefore </w:t>
      </w:r>
      <w:r w:rsidR="00E07050" w:rsidRPr="00E07050">
        <w:rPr>
          <w:rFonts w:asciiTheme="minorHAnsi" w:hAnsiTheme="minorHAnsi" w:cs="Times New Roman"/>
          <w:lang w:eastAsia="en-AU"/>
        </w:rPr>
        <w:t xml:space="preserve">contingent upon </w:t>
      </w:r>
      <w:r w:rsidR="00E07050">
        <w:rPr>
          <w:rFonts w:asciiTheme="minorHAnsi" w:hAnsiTheme="minorHAnsi" w:cs="Times New Roman"/>
          <w:lang w:eastAsia="en-AU"/>
        </w:rPr>
        <w:t>the commencement of the Amendment</w:t>
      </w:r>
      <w:r w:rsidR="00E07050" w:rsidRPr="00E07050">
        <w:rPr>
          <w:rFonts w:asciiTheme="minorHAnsi" w:hAnsiTheme="minorHAnsi" w:cs="Times New Roman"/>
          <w:lang w:eastAsia="en-AU"/>
        </w:rPr>
        <w:t xml:space="preserve"> Regulations. The notifiable instrument is registered on the Federal Register of Legislation and may be accessed at no cost at www.legislation.gov.au</w:t>
      </w:r>
      <w:r w:rsidR="00B0323C">
        <w:rPr>
          <w:rFonts w:asciiTheme="minorHAnsi" w:hAnsiTheme="minorHAnsi" w:cs="Times New Roman"/>
          <w:lang w:eastAsia="en-AU"/>
        </w:rPr>
        <w:t xml:space="preserve">. </w:t>
      </w:r>
      <w:r w:rsidR="00B0323C" w:rsidRPr="00B0323C">
        <w:rPr>
          <w:rFonts w:asciiTheme="minorHAnsi" w:hAnsiTheme="minorHAnsi" w:cs="Times New Roman"/>
          <w:i/>
          <w:lang w:eastAsia="en-AU"/>
        </w:rPr>
        <w:t xml:space="preserve"> </w:t>
      </w:r>
      <w:r w:rsidR="004E3E45">
        <w:rPr>
          <w:rFonts w:asciiTheme="minorHAnsi" w:hAnsiTheme="minorHAnsi" w:cs="Times New Roman"/>
          <w:lang w:eastAsia="en-AU"/>
        </w:rPr>
        <w:t xml:space="preserve">   </w:t>
      </w:r>
      <w:r>
        <w:rPr>
          <w:rFonts w:asciiTheme="minorHAnsi" w:hAnsiTheme="minorHAnsi" w:cs="Times New Roman"/>
          <w:lang w:eastAsia="en-AU"/>
        </w:rPr>
        <w:t xml:space="preserve"> </w:t>
      </w:r>
      <w:bookmarkStart w:id="0" w:name="_GoBack"/>
      <w:bookmarkEnd w:id="0"/>
    </w:p>
    <w:p w14:paraId="63852884" w14:textId="6A9D5687" w:rsidR="00166576" w:rsidRPr="00E07050" w:rsidRDefault="00166576" w:rsidP="00E07050">
      <w:pPr>
        <w:spacing w:after="160" w:line="259" w:lineRule="auto"/>
        <w:rPr>
          <w:rFonts w:cs="Times New Roman"/>
          <w:b/>
          <w:color w:val="000000"/>
          <w:sz w:val="24"/>
          <w:szCs w:val="24"/>
          <w:lang w:eastAsia="en-AU"/>
        </w:rPr>
      </w:pPr>
      <w:r>
        <w:rPr>
          <w:rFonts w:cs="Times New Roman"/>
          <w:b/>
          <w:lang w:eastAsia="en-AU"/>
        </w:rPr>
        <w:lastRenderedPageBreak/>
        <w:t>Purpose</w:t>
      </w:r>
    </w:p>
    <w:p w14:paraId="0158B920" w14:textId="7BBF3094" w:rsidR="00463458" w:rsidRDefault="008C621C" w:rsidP="00166576">
      <w:pPr>
        <w:spacing w:line="23" w:lineRule="atLeast"/>
        <w:rPr>
          <w:rFonts w:cs="Times New Roman"/>
          <w:color w:val="000000"/>
          <w:sz w:val="24"/>
          <w:szCs w:val="24"/>
          <w:lang w:eastAsia="en-AU"/>
        </w:rPr>
      </w:pPr>
      <w:r>
        <w:rPr>
          <w:rFonts w:cs="Times New Roman"/>
          <w:color w:val="000000"/>
          <w:sz w:val="24"/>
          <w:szCs w:val="24"/>
          <w:lang w:eastAsia="en-AU"/>
        </w:rPr>
        <w:t xml:space="preserve">The </w:t>
      </w:r>
      <w:r w:rsidR="00B83F60">
        <w:rPr>
          <w:rFonts w:cs="Times New Roman"/>
          <w:color w:val="000000"/>
          <w:sz w:val="24"/>
          <w:szCs w:val="24"/>
          <w:lang w:eastAsia="en-AU"/>
        </w:rPr>
        <w:t xml:space="preserve">primary </w:t>
      </w:r>
      <w:r>
        <w:rPr>
          <w:rFonts w:cs="Times New Roman"/>
          <w:color w:val="000000"/>
          <w:sz w:val="24"/>
          <w:szCs w:val="24"/>
          <w:lang w:eastAsia="en-AU"/>
        </w:rPr>
        <w:t xml:space="preserve">objective of the </w:t>
      </w:r>
      <w:r w:rsidR="00B0323C">
        <w:rPr>
          <w:rFonts w:cs="Times New Roman"/>
          <w:color w:val="000000"/>
          <w:sz w:val="24"/>
          <w:szCs w:val="24"/>
          <w:lang w:eastAsia="en-AU"/>
        </w:rPr>
        <w:t xml:space="preserve">Amendment Regulations </w:t>
      </w:r>
      <w:r w:rsidR="00B83F60">
        <w:rPr>
          <w:rFonts w:cs="Times New Roman"/>
          <w:color w:val="000000"/>
          <w:sz w:val="24"/>
          <w:szCs w:val="24"/>
          <w:lang w:eastAsia="en-AU"/>
        </w:rPr>
        <w:t xml:space="preserve">is to </w:t>
      </w:r>
      <w:r w:rsidR="00732DA9">
        <w:rPr>
          <w:rFonts w:cs="Times New Roman"/>
          <w:color w:val="000000"/>
          <w:sz w:val="24"/>
          <w:szCs w:val="24"/>
          <w:lang w:eastAsia="en-AU"/>
        </w:rPr>
        <w:t>ensure</w:t>
      </w:r>
      <w:r w:rsidR="000A0438">
        <w:rPr>
          <w:rFonts w:cs="Times New Roman"/>
          <w:color w:val="000000"/>
          <w:sz w:val="24"/>
          <w:szCs w:val="24"/>
          <w:lang w:eastAsia="en-AU"/>
        </w:rPr>
        <w:t xml:space="preserve"> </w:t>
      </w:r>
      <w:r w:rsidR="000A0438" w:rsidDel="001A5E30">
        <w:rPr>
          <w:rFonts w:cs="Times New Roman"/>
          <w:color w:val="000000"/>
          <w:sz w:val="24"/>
          <w:szCs w:val="24"/>
          <w:lang w:eastAsia="en-AU"/>
        </w:rPr>
        <w:t xml:space="preserve">that </w:t>
      </w:r>
      <w:r w:rsidR="000A0438">
        <w:rPr>
          <w:rFonts w:cs="Times New Roman"/>
          <w:color w:val="000000"/>
          <w:sz w:val="24"/>
          <w:szCs w:val="24"/>
          <w:lang w:eastAsia="en-AU"/>
        </w:rPr>
        <w:t xml:space="preserve">there are </w:t>
      </w:r>
      <w:r w:rsidR="00DC2514">
        <w:rPr>
          <w:rFonts w:cs="Times New Roman"/>
          <w:color w:val="000000"/>
          <w:sz w:val="24"/>
          <w:szCs w:val="24"/>
          <w:lang w:eastAsia="en-AU"/>
        </w:rPr>
        <w:t xml:space="preserve">enforceable </w:t>
      </w:r>
      <w:r w:rsidR="000A0438">
        <w:rPr>
          <w:rFonts w:cs="Times New Roman"/>
          <w:color w:val="000000"/>
          <w:sz w:val="24"/>
          <w:szCs w:val="24"/>
          <w:lang w:eastAsia="en-AU"/>
        </w:rPr>
        <w:t>rules capable of applying</w:t>
      </w:r>
      <w:r w:rsidR="00B0323C">
        <w:rPr>
          <w:rFonts w:cs="Times New Roman"/>
          <w:color w:val="000000"/>
          <w:sz w:val="24"/>
          <w:szCs w:val="24"/>
          <w:lang w:eastAsia="en-AU"/>
        </w:rPr>
        <w:t xml:space="preserve"> to no-anchoring areas </w:t>
      </w:r>
      <w:r w:rsidR="00F62FC9">
        <w:rPr>
          <w:rFonts w:cs="Times New Roman"/>
          <w:color w:val="000000"/>
          <w:sz w:val="24"/>
          <w:szCs w:val="24"/>
          <w:lang w:eastAsia="en-AU"/>
        </w:rPr>
        <w:t>declared under paragraph 5(2)(b) of the Principal Regulations</w:t>
      </w:r>
      <w:r w:rsidR="009E55EC">
        <w:rPr>
          <w:rFonts w:cs="Times New Roman"/>
          <w:color w:val="000000"/>
          <w:sz w:val="24"/>
          <w:szCs w:val="24"/>
          <w:lang w:eastAsia="en-AU"/>
        </w:rPr>
        <w:t xml:space="preserve"> in all </w:t>
      </w:r>
      <w:r w:rsidR="00B0323C" w:rsidDel="001A5E30">
        <w:rPr>
          <w:rFonts w:cs="Times New Roman"/>
          <w:color w:val="000000"/>
          <w:sz w:val="24"/>
          <w:szCs w:val="24"/>
          <w:lang w:eastAsia="en-AU"/>
        </w:rPr>
        <w:t>areas of the Marine Park</w:t>
      </w:r>
      <w:r w:rsidR="00E27865" w:rsidRPr="006E3458">
        <w:rPr>
          <w:rFonts w:cs="Times New Roman"/>
          <w:color w:val="000000"/>
          <w:sz w:val="24"/>
          <w:szCs w:val="24"/>
          <w:lang w:eastAsia="en-AU"/>
        </w:rPr>
        <w:t>, as the existing offence provision under section 234 of the Principal Regulations is only capable of</w:t>
      </w:r>
      <w:r w:rsidR="006E3458">
        <w:rPr>
          <w:rFonts w:cs="Times New Roman"/>
          <w:color w:val="000000"/>
          <w:sz w:val="24"/>
          <w:szCs w:val="24"/>
          <w:lang w:eastAsia="en-AU"/>
        </w:rPr>
        <w:t xml:space="preserve"> applying in the Planning Areas</w:t>
      </w:r>
      <w:r w:rsidR="00B0323C">
        <w:rPr>
          <w:rFonts w:cs="Times New Roman"/>
          <w:color w:val="000000"/>
          <w:sz w:val="24"/>
          <w:szCs w:val="24"/>
          <w:lang w:eastAsia="en-AU"/>
        </w:rPr>
        <w:t>.</w:t>
      </w:r>
      <w:r w:rsidR="0019548A">
        <w:rPr>
          <w:rFonts w:cs="Times New Roman"/>
          <w:color w:val="000000"/>
          <w:sz w:val="24"/>
          <w:szCs w:val="24"/>
          <w:lang w:eastAsia="en-AU"/>
        </w:rPr>
        <w:t xml:space="preserve"> </w:t>
      </w:r>
    </w:p>
    <w:p w14:paraId="73CD16AD" w14:textId="331C8E63" w:rsidR="00B0323C" w:rsidRPr="00B0323C" w:rsidRDefault="00B0323C" w:rsidP="00B0323C">
      <w:pPr>
        <w:spacing w:line="23" w:lineRule="atLeast"/>
        <w:rPr>
          <w:rFonts w:cs="Times New Roman"/>
          <w:color w:val="000000"/>
          <w:sz w:val="24"/>
          <w:szCs w:val="24"/>
          <w:lang w:eastAsia="en-AU"/>
        </w:rPr>
      </w:pPr>
      <w:r w:rsidRPr="00B0323C">
        <w:rPr>
          <w:rFonts w:cs="Times New Roman"/>
          <w:color w:val="000000"/>
          <w:sz w:val="24"/>
          <w:szCs w:val="24"/>
          <w:lang w:eastAsia="en-AU"/>
        </w:rPr>
        <w:t>The provisions of the Amendment Regulations achieve this objective by</w:t>
      </w:r>
      <w:r>
        <w:rPr>
          <w:rFonts w:cs="Times New Roman"/>
          <w:color w:val="000000"/>
          <w:sz w:val="24"/>
          <w:szCs w:val="24"/>
          <w:lang w:eastAsia="en-AU"/>
        </w:rPr>
        <w:t xml:space="preserve"> amending the Principal Regulations so that </w:t>
      </w:r>
      <w:r w:rsidRPr="00B0323C">
        <w:rPr>
          <w:rFonts w:cs="Times New Roman"/>
          <w:color w:val="000000"/>
          <w:sz w:val="24"/>
          <w:szCs w:val="24"/>
          <w:lang w:eastAsia="en-AU"/>
        </w:rPr>
        <w:t xml:space="preserve">new strict liability </w:t>
      </w:r>
      <w:r w:rsidR="00B30380">
        <w:rPr>
          <w:rFonts w:cs="Times New Roman"/>
          <w:color w:val="000000"/>
          <w:sz w:val="24"/>
          <w:szCs w:val="24"/>
          <w:lang w:eastAsia="en-AU"/>
        </w:rPr>
        <w:t>offence</w:t>
      </w:r>
      <w:r w:rsidR="00E9746A">
        <w:rPr>
          <w:rFonts w:cs="Times New Roman"/>
          <w:color w:val="000000"/>
          <w:sz w:val="24"/>
          <w:szCs w:val="24"/>
          <w:lang w:eastAsia="en-AU"/>
        </w:rPr>
        <w:t xml:space="preserve"> and </w:t>
      </w:r>
      <w:r>
        <w:rPr>
          <w:rFonts w:cs="Times New Roman"/>
          <w:color w:val="000000"/>
          <w:sz w:val="24"/>
          <w:szCs w:val="24"/>
          <w:lang w:eastAsia="en-AU"/>
        </w:rPr>
        <w:t>infringement notice offence</w:t>
      </w:r>
      <w:r w:rsidR="00E9746A">
        <w:rPr>
          <w:rFonts w:cs="Times New Roman"/>
          <w:color w:val="000000"/>
          <w:sz w:val="24"/>
          <w:szCs w:val="24"/>
          <w:lang w:eastAsia="en-AU"/>
        </w:rPr>
        <w:t xml:space="preserve"> provisions are</w:t>
      </w:r>
      <w:r w:rsidRPr="00B0323C">
        <w:rPr>
          <w:rFonts w:cs="Times New Roman"/>
          <w:color w:val="000000"/>
          <w:sz w:val="24"/>
          <w:szCs w:val="24"/>
          <w:lang w:eastAsia="en-AU"/>
        </w:rPr>
        <w:t xml:space="preserve"> created for an</w:t>
      </w:r>
      <w:r>
        <w:rPr>
          <w:rFonts w:cs="Times New Roman"/>
          <w:color w:val="000000"/>
          <w:sz w:val="24"/>
          <w:szCs w:val="24"/>
          <w:lang w:eastAsia="en-AU"/>
        </w:rPr>
        <w:t xml:space="preserve">choring in a </w:t>
      </w:r>
      <w:r w:rsidR="00881A56">
        <w:rPr>
          <w:rFonts w:cs="Times New Roman"/>
          <w:color w:val="000000"/>
          <w:sz w:val="24"/>
          <w:szCs w:val="24"/>
          <w:lang w:eastAsia="en-AU"/>
        </w:rPr>
        <w:t xml:space="preserve">declared </w:t>
      </w:r>
      <w:r>
        <w:rPr>
          <w:rFonts w:cs="Times New Roman"/>
          <w:color w:val="000000"/>
          <w:sz w:val="24"/>
          <w:szCs w:val="24"/>
          <w:lang w:eastAsia="en-AU"/>
        </w:rPr>
        <w:t>no-anchoring area.</w:t>
      </w:r>
    </w:p>
    <w:p w14:paraId="6385288C" w14:textId="0D5E9A79" w:rsidR="00166576" w:rsidRPr="006123D0" w:rsidRDefault="00166576" w:rsidP="00166576">
      <w:pPr>
        <w:spacing w:line="23" w:lineRule="atLeast"/>
        <w:rPr>
          <w:sz w:val="24"/>
          <w:szCs w:val="24"/>
        </w:rPr>
      </w:pPr>
      <w:r w:rsidRPr="00BB2557">
        <w:rPr>
          <w:sz w:val="24"/>
          <w:szCs w:val="24"/>
        </w:rPr>
        <w:t xml:space="preserve">The </w:t>
      </w:r>
      <w:r>
        <w:rPr>
          <w:sz w:val="24"/>
          <w:szCs w:val="24"/>
        </w:rPr>
        <w:t>Amendment Regulations are</w:t>
      </w:r>
      <w:r w:rsidRPr="00BB2557">
        <w:rPr>
          <w:sz w:val="24"/>
          <w:szCs w:val="24"/>
        </w:rPr>
        <w:t xml:space="preserve"> a legislative instrument for the purposes of the </w:t>
      </w:r>
      <w:r w:rsidRPr="006123D0">
        <w:rPr>
          <w:i/>
          <w:sz w:val="24"/>
          <w:szCs w:val="24"/>
        </w:rPr>
        <w:t>Legislation Act 2003</w:t>
      </w:r>
      <w:r w:rsidRPr="006123D0">
        <w:rPr>
          <w:sz w:val="24"/>
          <w:szCs w:val="24"/>
        </w:rPr>
        <w:t>.</w:t>
      </w:r>
    </w:p>
    <w:p w14:paraId="6385288D" w14:textId="77777777" w:rsidR="00166576" w:rsidRPr="00BB2557" w:rsidRDefault="00166576" w:rsidP="00166576">
      <w:pPr>
        <w:spacing w:line="23" w:lineRule="atLeast"/>
        <w:rPr>
          <w:sz w:val="24"/>
          <w:szCs w:val="24"/>
        </w:rPr>
      </w:pPr>
      <w:r>
        <w:rPr>
          <w:sz w:val="24"/>
          <w:szCs w:val="24"/>
        </w:rPr>
        <w:t xml:space="preserve">Details of the Amendment Regulations and the notes on clauses are set out at </w:t>
      </w:r>
      <w:r w:rsidRPr="006123D0">
        <w:rPr>
          <w:b/>
          <w:sz w:val="24"/>
          <w:szCs w:val="24"/>
        </w:rPr>
        <w:t>Attachment A.</w:t>
      </w:r>
      <w:r>
        <w:rPr>
          <w:sz w:val="24"/>
          <w:szCs w:val="24"/>
        </w:rPr>
        <w:t xml:space="preserve"> </w:t>
      </w:r>
    </w:p>
    <w:p w14:paraId="6385288E" w14:textId="77777777" w:rsidR="00166576" w:rsidRDefault="00166576" w:rsidP="00166576">
      <w:pPr>
        <w:spacing w:line="23" w:lineRule="atLeast"/>
        <w:rPr>
          <w:b/>
          <w:sz w:val="24"/>
          <w:szCs w:val="24"/>
        </w:rPr>
      </w:pPr>
      <w:r w:rsidRPr="008E5E4A">
        <w:rPr>
          <w:b/>
          <w:sz w:val="24"/>
          <w:szCs w:val="24"/>
        </w:rPr>
        <w:t>Commencement</w:t>
      </w:r>
    </w:p>
    <w:p w14:paraId="6385288F" w14:textId="79EEAF3D" w:rsidR="00166576" w:rsidRPr="008E5E4A" w:rsidRDefault="00166576" w:rsidP="00166576">
      <w:pPr>
        <w:spacing w:line="23" w:lineRule="atLeast"/>
        <w:rPr>
          <w:sz w:val="24"/>
          <w:szCs w:val="24"/>
        </w:rPr>
      </w:pPr>
      <w:r w:rsidRPr="008E5E4A">
        <w:rPr>
          <w:sz w:val="24"/>
          <w:szCs w:val="24"/>
        </w:rPr>
        <w:t>The Amendment Regulations</w:t>
      </w:r>
      <w:r>
        <w:rPr>
          <w:sz w:val="24"/>
          <w:szCs w:val="24"/>
        </w:rPr>
        <w:t xml:space="preserve"> will </w:t>
      </w:r>
      <w:r w:rsidRPr="00CB42D8">
        <w:rPr>
          <w:sz w:val="24"/>
          <w:szCs w:val="24"/>
        </w:rPr>
        <w:t xml:space="preserve">commence on </w:t>
      </w:r>
      <w:r w:rsidR="001774F4" w:rsidRPr="00CB42D8">
        <w:rPr>
          <w:sz w:val="24"/>
          <w:szCs w:val="24"/>
        </w:rPr>
        <w:t>the day after registration</w:t>
      </w:r>
      <w:r w:rsidRPr="00CB42D8">
        <w:rPr>
          <w:sz w:val="24"/>
          <w:szCs w:val="24"/>
        </w:rPr>
        <w:t>.</w:t>
      </w:r>
      <w:r>
        <w:rPr>
          <w:sz w:val="24"/>
          <w:szCs w:val="24"/>
        </w:rPr>
        <w:t xml:space="preserve"> </w:t>
      </w:r>
      <w:r w:rsidRPr="008E5E4A">
        <w:rPr>
          <w:sz w:val="24"/>
          <w:szCs w:val="24"/>
        </w:rPr>
        <w:t xml:space="preserve"> </w:t>
      </w:r>
    </w:p>
    <w:p w14:paraId="63852890" w14:textId="7545B330" w:rsidR="00166576" w:rsidRDefault="00166576" w:rsidP="00166576">
      <w:pPr>
        <w:spacing w:line="23" w:lineRule="atLeast"/>
        <w:rPr>
          <w:b/>
          <w:sz w:val="24"/>
          <w:szCs w:val="24"/>
        </w:rPr>
      </w:pPr>
      <w:r w:rsidRPr="00BB2557">
        <w:rPr>
          <w:b/>
          <w:sz w:val="24"/>
          <w:szCs w:val="24"/>
        </w:rPr>
        <w:t xml:space="preserve">Consultation </w:t>
      </w:r>
    </w:p>
    <w:p w14:paraId="0DF81E58" w14:textId="392ED05C" w:rsidR="00B0323C" w:rsidRDefault="00B0323C" w:rsidP="00166576">
      <w:pPr>
        <w:spacing w:line="23" w:lineRule="atLeast"/>
        <w:rPr>
          <w:sz w:val="24"/>
          <w:szCs w:val="24"/>
        </w:rPr>
      </w:pPr>
      <w:r>
        <w:rPr>
          <w:sz w:val="24"/>
          <w:szCs w:val="24"/>
        </w:rPr>
        <w:t xml:space="preserve">Prior to the </w:t>
      </w:r>
      <w:r w:rsidR="005C3F01">
        <w:rPr>
          <w:sz w:val="24"/>
          <w:szCs w:val="24"/>
        </w:rPr>
        <w:t xml:space="preserve">2021 </w:t>
      </w:r>
      <w:r>
        <w:rPr>
          <w:sz w:val="24"/>
          <w:szCs w:val="24"/>
        </w:rPr>
        <w:t xml:space="preserve">Declaration being made, reef protection markers were installed throughout the Marine Park to delineate the boundaries of the </w:t>
      </w:r>
      <w:r w:rsidR="00682C61">
        <w:rPr>
          <w:sz w:val="24"/>
          <w:szCs w:val="24"/>
        </w:rPr>
        <w:t xml:space="preserve">no-anchoring </w:t>
      </w:r>
      <w:r>
        <w:rPr>
          <w:sz w:val="24"/>
          <w:szCs w:val="24"/>
        </w:rPr>
        <w:t xml:space="preserve">areas that are now reflected in the </w:t>
      </w:r>
      <w:r w:rsidR="005C3F01">
        <w:rPr>
          <w:sz w:val="24"/>
          <w:szCs w:val="24"/>
        </w:rPr>
        <w:t xml:space="preserve">2021 </w:t>
      </w:r>
      <w:r>
        <w:rPr>
          <w:sz w:val="24"/>
          <w:szCs w:val="24"/>
        </w:rPr>
        <w:t>Declaration. Local stakeholders were consulted prior to the installation</w:t>
      </w:r>
      <w:r w:rsidR="00682C61">
        <w:rPr>
          <w:sz w:val="24"/>
          <w:szCs w:val="24"/>
        </w:rPr>
        <w:t xml:space="preserve"> of these markers with the understanding </w:t>
      </w:r>
      <w:r w:rsidR="00DC2514">
        <w:rPr>
          <w:sz w:val="24"/>
          <w:szCs w:val="24"/>
        </w:rPr>
        <w:t xml:space="preserve">that </w:t>
      </w:r>
      <w:r w:rsidR="00682C61">
        <w:rPr>
          <w:sz w:val="24"/>
          <w:szCs w:val="24"/>
        </w:rPr>
        <w:t>the</w:t>
      </w:r>
      <w:r w:rsidR="001C24BE">
        <w:rPr>
          <w:sz w:val="24"/>
          <w:szCs w:val="24"/>
        </w:rPr>
        <w:t xml:space="preserve"> marked areas</w:t>
      </w:r>
      <w:r w:rsidR="00102E30">
        <w:rPr>
          <w:sz w:val="24"/>
          <w:szCs w:val="24"/>
        </w:rPr>
        <w:t xml:space="preserve"> are</w:t>
      </w:r>
      <w:r w:rsidR="00682C61">
        <w:rPr>
          <w:sz w:val="24"/>
          <w:szCs w:val="24"/>
        </w:rPr>
        <w:t xml:space="preserve"> </w:t>
      </w:r>
      <w:r w:rsidR="00102E30">
        <w:rPr>
          <w:sz w:val="24"/>
          <w:szCs w:val="24"/>
        </w:rPr>
        <w:t xml:space="preserve">sensitive </w:t>
      </w:r>
      <w:r w:rsidR="00881A56">
        <w:rPr>
          <w:sz w:val="24"/>
          <w:szCs w:val="24"/>
        </w:rPr>
        <w:t>habitat</w:t>
      </w:r>
      <w:r w:rsidR="00102E30">
        <w:rPr>
          <w:sz w:val="24"/>
          <w:szCs w:val="24"/>
        </w:rPr>
        <w:t xml:space="preserve">s, </w:t>
      </w:r>
      <w:r w:rsidR="00E27865">
        <w:rPr>
          <w:sz w:val="24"/>
          <w:szCs w:val="24"/>
        </w:rPr>
        <w:t>and therefore</w:t>
      </w:r>
      <w:r w:rsidR="00881A56">
        <w:rPr>
          <w:sz w:val="24"/>
          <w:szCs w:val="24"/>
        </w:rPr>
        <w:t xml:space="preserve"> anchoring</w:t>
      </w:r>
      <w:r w:rsidR="00D069C0">
        <w:rPr>
          <w:sz w:val="24"/>
          <w:szCs w:val="24"/>
        </w:rPr>
        <w:t xml:space="preserve"> </w:t>
      </w:r>
      <w:r w:rsidR="00707D82">
        <w:rPr>
          <w:sz w:val="24"/>
          <w:szCs w:val="24"/>
        </w:rPr>
        <w:t>is</w:t>
      </w:r>
      <w:r w:rsidR="00881A56">
        <w:rPr>
          <w:sz w:val="24"/>
          <w:szCs w:val="24"/>
        </w:rPr>
        <w:t xml:space="preserve"> not a desirable activity </w:t>
      </w:r>
      <w:r w:rsidR="001C24BE">
        <w:rPr>
          <w:sz w:val="24"/>
          <w:szCs w:val="24"/>
        </w:rPr>
        <w:t>due to the</w:t>
      </w:r>
      <w:r w:rsidR="00881A56">
        <w:rPr>
          <w:sz w:val="24"/>
          <w:szCs w:val="24"/>
        </w:rPr>
        <w:t xml:space="preserve"> high likelihood of damage</w:t>
      </w:r>
      <w:r w:rsidR="001C24BE">
        <w:rPr>
          <w:sz w:val="24"/>
          <w:szCs w:val="24"/>
        </w:rPr>
        <w:t xml:space="preserve"> to </w:t>
      </w:r>
      <w:r w:rsidR="00707D82">
        <w:rPr>
          <w:sz w:val="24"/>
          <w:szCs w:val="24"/>
        </w:rPr>
        <w:t>coral</w:t>
      </w:r>
      <w:r w:rsidR="00881A56">
        <w:rPr>
          <w:sz w:val="24"/>
          <w:szCs w:val="24"/>
        </w:rPr>
        <w:t xml:space="preserve"> from dropping an anchor</w:t>
      </w:r>
      <w:r w:rsidR="001C24BE">
        <w:rPr>
          <w:sz w:val="24"/>
          <w:szCs w:val="24"/>
        </w:rPr>
        <w:t xml:space="preserve">. </w:t>
      </w:r>
      <w:r>
        <w:rPr>
          <w:sz w:val="24"/>
          <w:szCs w:val="24"/>
        </w:rPr>
        <w:t xml:space="preserve"> </w:t>
      </w:r>
    </w:p>
    <w:p w14:paraId="335584C8" w14:textId="551752EF" w:rsidR="0064691E" w:rsidRPr="00B0323C" w:rsidRDefault="0064691E" w:rsidP="00166576">
      <w:pPr>
        <w:spacing w:line="23" w:lineRule="atLeast"/>
        <w:rPr>
          <w:sz w:val="24"/>
          <w:szCs w:val="24"/>
        </w:rPr>
      </w:pPr>
      <w:r>
        <w:rPr>
          <w:sz w:val="24"/>
          <w:szCs w:val="24"/>
        </w:rPr>
        <w:t xml:space="preserve">The Amendment Regulations have been prepared in consultation with the Commonwealth Director of Public Prosecutions (CDPP). Comments made by staff of CDPP relating to prosecution and enforcement were taken into account in the development of the Amendment Regulations.  </w:t>
      </w:r>
    </w:p>
    <w:p w14:paraId="63852893" w14:textId="69F4AEE3" w:rsidR="00166576" w:rsidRPr="00BB2557" w:rsidRDefault="00166576" w:rsidP="00166576">
      <w:pPr>
        <w:spacing w:line="23" w:lineRule="atLeast"/>
        <w:rPr>
          <w:b/>
          <w:sz w:val="24"/>
          <w:szCs w:val="24"/>
        </w:rPr>
      </w:pPr>
      <w:r w:rsidRPr="00BB2557">
        <w:rPr>
          <w:b/>
          <w:sz w:val="24"/>
          <w:szCs w:val="24"/>
        </w:rPr>
        <w:t>Regulatory Assessment</w:t>
      </w:r>
    </w:p>
    <w:p w14:paraId="63852894" w14:textId="47D0D73E" w:rsidR="00166576" w:rsidRPr="00BB2557" w:rsidRDefault="00166576" w:rsidP="00166576">
      <w:pPr>
        <w:spacing w:line="23" w:lineRule="atLeast"/>
        <w:rPr>
          <w:sz w:val="24"/>
          <w:szCs w:val="24"/>
        </w:rPr>
      </w:pPr>
      <w:r w:rsidRPr="00BB2557">
        <w:rPr>
          <w:sz w:val="24"/>
          <w:szCs w:val="24"/>
        </w:rPr>
        <w:t xml:space="preserve">The Authority undertook preliminary regulatory assessment. Advice was received from the Office of Best Practice Regulation confirming that a regulation impact statement was not </w:t>
      </w:r>
      <w:r w:rsidR="001774F4">
        <w:rPr>
          <w:sz w:val="24"/>
          <w:szCs w:val="24"/>
        </w:rPr>
        <w:t xml:space="preserve">required (reference number </w:t>
      </w:r>
      <w:r w:rsidR="0057708A">
        <w:rPr>
          <w:sz w:val="24"/>
          <w:szCs w:val="24"/>
        </w:rPr>
        <w:t>42471</w:t>
      </w:r>
      <w:r w:rsidRPr="00BB2557">
        <w:rPr>
          <w:sz w:val="24"/>
          <w:szCs w:val="24"/>
        </w:rPr>
        <w:t xml:space="preserve">). </w:t>
      </w:r>
    </w:p>
    <w:p w14:paraId="63852895" w14:textId="77777777" w:rsidR="00166576" w:rsidRDefault="00166576" w:rsidP="00166576">
      <w:pPr>
        <w:spacing w:line="23" w:lineRule="atLeast"/>
        <w:rPr>
          <w:b/>
          <w:sz w:val="24"/>
          <w:szCs w:val="24"/>
        </w:rPr>
      </w:pPr>
      <w:r>
        <w:rPr>
          <w:b/>
          <w:sz w:val="24"/>
          <w:szCs w:val="24"/>
        </w:rPr>
        <w:t>Statement of Compatibility with Human Rights</w:t>
      </w:r>
    </w:p>
    <w:p w14:paraId="63852896" w14:textId="77777777" w:rsidR="00166576" w:rsidRDefault="00166576" w:rsidP="00166576">
      <w:pPr>
        <w:spacing w:line="23" w:lineRule="atLeast"/>
        <w:rPr>
          <w:sz w:val="24"/>
          <w:szCs w:val="24"/>
        </w:rPr>
      </w:pPr>
      <w:r w:rsidRPr="006123D0">
        <w:rPr>
          <w:sz w:val="24"/>
          <w:szCs w:val="24"/>
        </w:rPr>
        <w:t xml:space="preserve">A statement of compatibility with human rights for the purposes of Part 3 of the </w:t>
      </w:r>
      <w:r w:rsidRPr="006123D0">
        <w:rPr>
          <w:i/>
          <w:sz w:val="24"/>
          <w:szCs w:val="24"/>
        </w:rPr>
        <w:t>Human Rights (Parliamentary Scrutiny) Act 2011</w:t>
      </w:r>
      <w:r w:rsidRPr="006123D0">
        <w:rPr>
          <w:sz w:val="24"/>
          <w:szCs w:val="24"/>
        </w:rPr>
        <w:t xml:space="preserve"> is set out in </w:t>
      </w:r>
      <w:r w:rsidRPr="006123D0">
        <w:rPr>
          <w:b/>
          <w:sz w:val="24"/>
          <w:szCs w:val="24"/>
        </w:rPr>
        <w:t>Attachment B</w:t>
      </w:r>
      <w:r w:rsidRPr="006123D0">
        <w:rPr>
          <w:sz w:val="24"/>
          <w:szCs w:val="24"/>
        </w:rPr>
        <w:t>.</w:t>
      </w:r>
    </w:p>
    <w:p w14:paraId="63852897" w14:textId="77777777" w:rsidR="00166576" w:rsidRPr="006123D0" w:rsidRDefault="00166576" w:rsidP="00166576">
      <w:pPr>
        <w:spacing w:line="23" w:lineRule="atLeast"/>
        <w:rPr>
          <w:sz w:val="24"/>
          <w:szCs w:val="24"/>
        </w:rPr>
      </w:pPr>
    </w:p>
    <w:p w14:paraId="63852898" w14:textId="77777777" w:rsidR="00166576" w:rsidRDefault="00166576">
      <w:pPr>
        <w:sectPr w:rsidR="00166576" w:rsidSect="0016657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63852899" w14:textId="77777777" w:rsidR="00166576" w:rsidRPr="00511B0A" w:rsidRDefault="00166576" w:rsidP="00166576">
      <w:pPr>
        <w:spacing w:line="23" w:lineRule="atLeast"/>
        <w:jc w:val="right"/>
        <w:rPr>
          <w:b/>
          <w:sz w:val="24"/>
          <w:szCs w:val="24"/>
        </w:rPr>
      </w:pPr>
      <w:r w:rsidRPr="00511B0A">
        <w:rPr>
          <w:b/>
          <w:sz w:val="24"/>
          <w:szCs w:val="24"/>
        </w:rPr>
        <w:lastRenderedPageBreak/>
        <w:t>ATTACHMENT A</w:t>
      </w:r>
    </w:p>
    <w:p w14:paraId="6385289A" w14:textId="77777777" w:rsidR="00166576" w:rsidRDefault="00166576" w:rsidP="00166576">
      <w:pPr>
        <w:spacing w:line="23" w:lineRule="atLeast"/>
        <w:rPr>
          <w:sz w:val="24"/>
          <w:szCs w:val="24"/>
        </w:rPr>
      </w:pPr>
    </w:p>
    <w:p w14:paraId="6385289B" w14:textId="2E9632B4" w:rsidR="00166576" w:rsidRPr="00BB2557" w:rsidRDefault="00166576" w:rsidP="00166576">
      <w:pPr>
        <w:spacing w:line="23" w:lineRule="atLeast"/>
        <w:rPr>
          <w:sz w:val="24"/>
          <w:szCs w:val="24"/>
        </w:rPr>
      </w:pPr>
      <w:r w:rsidRPr="00BB2557">
        <w:rPr>
          <w:sz w:val="24"/>
          <w:szCs w:val="24"/>
        </w:rPr>
        <w:t xml:space="preserve">Details of the </w:t>
      </w:r>
      <w:r w:rsidRPr="00BB2557">
        <w:rPr>
          <w:i/>
          <w:sz w:val="24"/>
          <w:szCs w:val="24"/>
        </w:rPr>
        <w:t xml:space="preserve">Great Barrier Reef Marine Park </w:t>
      </w:r>
      <w:r>
        <w:rPr>
          <w:i/>
          <w:sz w:val="24"/>
          <w:szCs w:val="24"/>
        </w:rPr>
        <w:t>Amendment (</w:t>
      </w:r>
      <w:r w:rsidR="00463458">
        <w:rPr>
          <w:i/>
          <w:sz w:val="24"/>
          <w:szCs w:val="24"/>
        </w:rPr>
        <w:t>No-Anchoring Areas) Regulations 2021</w:t>
      </w:r>
      <w:r w:rsidRPr="00BB2557">
        <w:rPr>
          <w:sz w:val="24"/>
          <w:szCs w:val="24"/>
        </w:rPr>
        <w:t xml:space="preserve"> </w:t>
      </w:r>
    </w:p>
    <w:p w14:paraId="6385289C" w14:textId="77777777" w:rsidR="00166576" w:rsidRPr="00BB2557" w:rsidRDefault="00166576" w:rsidP="00166576">
      <w:pPr>
        <w:spacing w:line="23" w:lineRule="atLeast"/>
        <w:rPr>
          <w:b/>
          <w:sz w:val="24"/>
          <w:szCs w:val="24"/>
        </w:rPr>
      </w:pPr>
      <w:r w:rsidRPr="00BB2557">
        <w:rPr>
          <w:b/>
          <w:sz w:val="24"/>
          <w:szCs w:val="24"/>
        </w:rPr>
        <w:t>Section 1 – Name</w:t>
      </w:r>
    </w:p>
    <w:p w14:paraId="6385289D" w14:textId="65271FCC" w:rsidR="00166576" w:rsidRPr="00BB2557" w:rsidRDefault="00166576" w:rsidP="00166576">
      <w:pPr>
        <w:spacing w:line="23" w:lineRule="atLeast"/>
        <w:rPr>
          <w:sz w:val="24"/>
          <w:szCs w:val="24"/>
        </w:rPr>
      </w:pPr>
      <w:r w:rsidRPr="00BB2557">
        <w:rPr>
          <w:sz w:val="24"/>
          <w:szCs w:val="24"/>
        </w:rPr>
        <w:t xml:space="preserve">This section provides that the title of the </w:t>
      </w:r>
      <w:r>
        <w:rPr>
          <w:sz w:val="24"/>
          <w:szCs w:val="24"/>
        </w:rPr>
        <w:t>Amendment Regulations</w:t>
      </w:r>
      <w:r w:rsidRPr="00BB2557">
        <w:rPr>
          <w:sz w:val="24"/>
          <w:szCs w:val="24"/>
        </w:rPr>
        <w:t xml:space="preserve"> is the </w:t>
      </w:r>
      <w:r w:rsidRPr="00BB2557">
        <w:rPr>
          <w:i/>
          <w:sz w:val="24"/>
          <w:szCs w:val="24"/>
        </w:rPr>
        <w:t xml:space="preserve">Great Barrier Reef Marine Park </w:t>
      </w:r>
      <w:r>
        <w:rPr>
          <w:i/>
          <w:sz w:val="24"/>
          <w:szCs w:val="24"/>
        </w:rPr>
        <w:t>Amendment (</w:t>
      </w:r>
      <w:r w:rsidR="00463458">
        <w:rPr>
          <w:i/>
          <w:sz w:val="24"/>
          <w:szCs w:val="24"/>
        </w:rPr>
        <w:t>No-Anchoring Areas) Regulations 2021</w:t>
      </w:r>
      <w:r w:rsidRPr="00BB2557">
        <w:rPr>
          <w:sz w:val="24"/>
          <w:szCs w:val="24"/>
        </w:rPr>
        <w:t>.</w:t>
      </w:r>
    </w:p>
    <w:p w14:paraId="6385289E" w14:textId="77777777" w:rsidR="00166576" w:rsidRPr="00BB2557" w:rsidRDefault="00166576" w:rsidP="00166576">
      <w:pPr>
        <w:spacing w:line="23" w:lineRule="atLeast"/>
        <w:rPr>
          <w:b/>
          <w:sz w:val="24"/>
          <w:szCs w:val="24"/>
        </w:rPr>
      </w:pPr>
      <w:r w:rsidRPr="00BB2557">
        <w:rPr>
          <w:b/>
          <w:sz w:val="24"/>
          <w:szCs w:val="24"/>
        </w:rPr>
        <w:t>Section 2 – Commencement</w:t>
      </w:r>
    </w:p>
    <w:p w14:paraId="6385289F" w14:textId="1EFFE2CE" w:rsidR="00166576" w:rsidRPr="00CB42D8" w:rsidRDefault="00166576" w:rsidP="00166576">
      <w:pPr>
        <w:spacing w:line="23" w:lineRule="atLeast"/>
        <w:rPr>
          <w:sz w:val="24"/>
          <w:szCs w:val="24"/>
        </w:rPr>
      </w:pPr>
      <w:r w:rsidRPr="00BB2557">
        <w:rPr>
          <w:sz w:val="24"/>
          <w:szCs w:val="24"/>
        </w:rPr>
        <w:t xml:space="preserve">This section sets out the timetable for the commencement of the provisions of the </w:t>
      </w:r>
      <w:r>
        <w:rPr>
          <w:sz w:val="24"/>
          <w:szCs w:val="24"/>
        </w:rPr>
        <w:t>Amendment Regulations</w:t>
      </w:r>
      <w:r w:rsidRPr="00BB2557">
        <w:rPr>
          <w:sz w:val="24"/>
          <w:szCs w:val="24"/>
        </w:rPr>
        <w:t xml:space="preserve">. The </w:t>
      </w:r>
      <w:r>
        <w:rPr>
          <w:sz w:val="24"/>
          <w:szCs w:val="24"/>
        </w:rPr>
        <w:t>Amendment Regulations</w:t>
      </w:r>
      <w:r w:rsidRPr="00BB2557">
        <w:rPr>
          <w:sz w:val="24"/>
          <w:szCs w:val="24"/>
        </w:rPr>
        <w:t xml:space="preserve"> </w:t>
      </w:r>
      <w:r w:rsidRPr="00CB42D8">
        <w:rPr>
          <w:sz w:val="24"/>
          <w:szCs w:val="24"/>
        </w:rPr>
        <w:t xml:space="preserve">commence on </w:t>
      </w:r>
      <w:r w:rsidR="00945D11" w:rsidRPr="00CB42D8">
        <w:rPr>
          <w:sz w:val="24"/>
          <w:szCs w:val="24"/>
        </w:rPr>
        <w:t>the day after registration</w:t>
      </w:r>
      <w:r w:rsidRPr="00CB42D8">
        <w:rPr>
          <w:sz w:val="24"/>
          <w:szCs w:val="24"/>
        </w:rPr>
        <w:t>.</w:t>
      </w:r>
    </w:p>
    <w:p w14:paraId="638528A1" w14:textId="77777777" w:rsidR="00166576" w:rsidRPr="00BB2557" w:rsidRDefault="00166576" w:rsidP="00166576">
      <w:pPr>
        <w:spacing w:line="23" w:lineRule="atLeast"/>
        <w:rPr>
          <w:b/>
          <w:sz w:val="24"/>
          <w:szCs w:val="24"/>
        </w:rPr>
      </w:pPr>
      <w:r w:rsidRPr="00CB42D8">
        <w:rPr>
          <w:b/>
          <w:sz w:val="24"/>
          <w:szCs w:val="24"/>
        </w:rPr>
        <w:t>Section 3 – Authority</w:t>
      </w:r>
    </w:p>
    <w:p w14:paraId="638528A2" w14:textId="77777777" w:rsidR="00166576" w:rsidRPr="00BB2557" w:rsidRDefault="00166576" w:rsidP="00166576">
      <w:pPr>
        <w:spacing w:line="23" w:lineRule="atLeast"/>
        <w:rPr>
          <w:sz w:val="24"/>
          <w:szCs w:val="24"/>
        </w:rPr>
      </w:pPr>
      <w:r w:rsidRPr="00BB2557">
        <w:rPr>
          <w:sz w:val="24"/>
          <w:szCs w:val="24"/>
        </w:rPr>
        <w:t xml:space="preserve">This section provides that the </w:t>
      </w:r>
      <w:r>
        <w:rPr>
          <w:sz w:val="24"/>
          <w:szCs w:val="24"/>
        </w:rPr>
        <w:t>Amendment Regulations are made under</w:t>
      </w:r>
      <w:r w:rsidRPr="00BB2557">
        <w:rPr>
          <w:sz w:val="24"/>
          <w:szCs w:val="24"/>
        </w:rPr>
        <w:t xml:space="preserve"> </w:t>
      </w:r>
      <w:r>
        <w:rPr>
          <w:sz w:val="24"/>
          <w:szCs w:val="24"/>
        </w:rPr>
        <w:t>the Act</w:t>
      </w:r>
      <w:r w:rsidRPr="00BB2557">
        <w:rPr>
          <w:sz w:val="24"/>
          <w:szCs w:val="24"/>
        </w:rPr>
        <w:t>.</w:t>
      </w:r>
    </w:p>
    <w:p w14:paraId="638528A3" w14:textId="77777777" w:rsidR="00166576" w:rsidRPr="00BB2557" w:rsidRDefault="00166576" w:rsidP="00166576">
      <w:pPr>
        <w:spacing w:line="23" w:lineRule="atLeast"/>
        <w:rPr>
          <w:b/>
          <w:sz w:val="24"/>
          <w:szCs w:val="24"/>
        </w:rPr>
      </w:pPr>
      <w:r w:rsidRPr="00BB2557">
        <w:rPr>
          <w:b/>
          <w:sz w:val="24"/>
          <w:szCs w:val="24"/>
        </w:rPr>
        <w:t>Section 4 – Schedule</w:t>
      </w:r>
      <w:r>
        <w:rPr>
          <w:b/>
          <w:sz w:val="24"/>
          <w:szCs w:val="24"/>
        </w:rPr>
        <w:t>s</w:t>
      </w:r>
    </w:p>
    <w:p w14:paraId="638528A4" w14:textId="77777777" w:rsidR="00166576" w:rsidRDefault="00166576" w:rsidP="00166576">
      <w:pPr>
        <w:spacing w:line="23" w:lineRule="atLeast"/>
        <w:rPr>
          <w:sz w:val="24"/>
          <w:szCs w:val="24"/>
        </w:rPr>
      </w:pPr>
      <w:r w:rsidRPr="00BB2557">
        <w:rPr>
          <w:sz w:val="24"/>
          <w:szCs w:val="24"/>
        </w:rPr>
        <w:t xml:space="preserve">This section provides that each instrument specified in </w:t>
      </w:r>
      <w:r>
        <w:rPr>
          <w:sz w:val="24"/>
          <w:szCs w:val="24"/>
        </w:rPr>
        <w:t xml:space="preserve">a </w:t>
      </w:r>
      <w:r w:rsidRPr="00BB2557">
        <w:rPr>
          <w:sz w:val="24"/>
          <w:szCs w:val="24"/>
        </w:rPr>
        <w:t xml:space="preserve">Schedule to the </w:t>
      </w:r>
      <w:r>
        <w:rPr>
          <w:sz w:val="24"/>
          <w:szCs w:val="24"/>
        </w:rPr>
        <w:t>Amendment Regulations</w:t>
      </w:r>
      <w:r w:rsidRPr="00BB2557">
        <w:rPr>
          <w:sz w:val="24"/>
          <w:szCs w:val="24"/>
        </w:rPr>
        <w:t xml:space="preserve"> is amended or repealed as set out in the applicable items in the Schedule concerned, and any other item in a Schedule to the </w:t>
      </w:r>
      <w:r>
        <w:rPr>
          <w:sz w:val="24"/>
          <w:szCs w:val="24"/>
        </w:rPr>
        <w:t>Amendment Regulations</w:t>
      </w:r>
      <w:r w:rsidRPr="00BB2557">
        <w:rPr>
          <w:sz w:val="24"/>
          <w:szCs w:val="24"/>
        </w:rPr>
        <w:t xml:space="preserve"> has effect according to its terms.</w:t>
      </w:r>
    </w:p>
    <w:p w14:paraId="638528A5" w14:textId="77777777" w:rsidR="00166576" w:rsidRDefault="00166576" w:rsidP="00166576">
      <w:pPr>
        <w:spacing w:line="23" w:lineRule="atLeast"/>
        <w:rPr>
          <w:b/>
          <w:sz w:val="24"/>
          <w:szCs w:val="24"/>
        </w:rPr>
      </w:pPr>
      <w:r>
        <w:rPr>
          <w:b/>
          <w:sz w:val="24"/>
          <w:szCs w:val="24"/>
        </w:rPr>
        <w:t>Schedule 1 – Amendments</w:t>
      </w:r>
    </w:p>
    <w:p w14:paraId="72C0A311" w14:textId="56C8053F" w:rsidR="00945D11" w:rsidRDefault="00945D11" w:rsidP="00463458">
      <w:pPr>
        <w:spacing w:line="23" w:lineRule="atLeast"/>
        <w:rPr>
          <w:b/>
          <w:sz w:val="24"/>
          <w:szCs w:val="24"/>
        </w:rPr>
      </w:pPr>
      <w:r w:rsidRPr="00945D11">
        <w:rPr>
          <w:b/>
          <w:sz w:val="24"/>
          <w:szCs w:val="24"/>
        </w:rPr>
        <w:t xml:space="preserve">Item [1] </w:t>
      </w:r>
      <w:r w:rsidR="00004F5D" w:rsidRPr="00004F5D">
        <w:rPr>
          <w:b/>
          <w:sz w:val="24"/>
          <w:szCs w:val="24"/>
        </w:rPr>
        <w:t>Subsection 5(1) (definition of no anchoring area)</w:t>
      </w:r>
    </w:p>
    <w:p w14:paraId="527E15E1" w14:textId="62EAB460" w:rsidR="00004F5D" w:rsidRDefault="00000BA6" w:rsidP="00463458">
      <w:pPr>
        <w:spacing w:line="23" w:lineRule="atLeast"/>
        <w:rPr>
          <w:sz w:val="24"/>
          <w:szCs w:val="24"/>
        </w:rPr>
      </w:pPr>
      <w:r>
        <w:rPr>
          <w:sz w:val="24"/>
          <w:szCs w:val="24"/>
        </w:rPr>
        <w:t>Prior to the Amendment Regulations being made, the definition contained in s</w:t>
      </w:r>
      <w:r w:rsidR="005F4848">
        <w:rPr>
          <w:sz w:val="24"/>
          <w:szCs w:val="24"/>
        </w:rPr>
        <w:t>ubs</w:t>
      </w:r>
      <w:r w:rsidR="00004F5D">
        <w:rPr>
          <w:sz w:val="24"/>
          <w:szCs w:val="24"/>
        </w:rPr>
        <w:t>ection 5</w:t>
      </w:r>
      <w:r w:rsidR="005F4848">
        <w:rPr>
          <w:sz w:val="24"/>
          <w:szCs w:val="24"/>
        </w:rPr>
        <w:t>(1)</w:t>
      </w:r>
      <w:r w:rsidR="00004F5D">
        <w:rPr>
          <w:sz w:val="24"/>
          <w:szCs w:val="24"/>
        </w:rPr>
        <w:t xml:space="preserve"> of the Principal Regulations </w:t>
      </w:r>
      <w:r>
        <w:rPr>
          <w:sz w:val="24"/>
          <w:szCs w:val="24"/>
        </w:rPr>
        <w:t>provided that</w:t>
      </w:r>
      <w:r w:rsidR="005572D2">
        <w:rPr>
          <w:sz w:val="24"/>
          <w:szCs w:val="24"/>
        </w:rPr>
        <w:t xml:space="preserve"> a no-anchoring area:</w:t>
      </w:r>
    </w:p>
    <w:p w14:paraId="0954C69C" w14:textId="77777777" w:rsidR="005572D2" w:rsidRDefault="005572D2" w:rsidP="00B12398">
      <w:pPr>
        <w:spacing w:line="23" w:lineRule="atLeast"/>
        <w:ind w:firstLine="360"/>
        <w:rPr>
          <w:i/>
          <w:sz w:val="24"/>
          <w:szCs w:val="24"/>
        </w:rPr>
      </w:pPr>
      <w:r>
        <w:rPr>
          <w:sz w:val="24"/>
          <w:szCs w:val="24"/>
        </w:rPr>
        <w:t>‘</w:t>
      </w:r>
      <w:r>
        <w:rPr>
          <w:i/>
          <w:sz w:val="24"/>
          <w:szCs w:val="24"/>
        </w:rPr>
        <w:t>means an area described in:</w:t>
      </w:r>
    </w:p>
    <w:p w14:paraId="6D81B929" w14:textId="77777777" w:rsidR="005572D2" w:rsidRPr="005572D2" w:rsidRDefault="005572D2" w:rsidP="005572D2">
      <w:pPr>
        <w:pStyle w:val="ListParagraph"/>
        <w:numPr>
          <w:ilvl w:val="0"/>
          <w:numId w:val="7"/>
        </w:numPr>
        <w:spacing w:line="23" w:lineRule="atLeast"/>
        <w:rPr>
          <w:i/>
          <w:sz w:val="24"/>
          <w:szCs w:val="24"/>
        </w:rPr>
      </w:pPr>
      <w:r w:rsidRPr="005572D2">
        <w:rPr>
          <w:i/>
          <w:sz w:val="24"/>
          <w:szCs w:val="24"/>
        </w:rPr>
        <w:t>Schedule 3; or</w:t>
      </w:r>
    </w:p>
    <w:p w14:paraId="123A853F" w14:textId="274B371B" w:rsidR="005572D2" w:rsidRDefault="005572D2" w:rsidP="005572D2">
      <w:pPr>
        <w:pStyle w:val="ListParagraph"/>
        <w:numPr>
          <w:ilvl w:val="0"/>
          <w:numId w:val="7"/>
        </w:numPr>
        <w:spacing w:line="23" w:lineRule="atLeast"/>
        <w:rPr>
          <w:sz w:val="24"/>
          <w:szCs w:val="24"/>
        </w:rPr>
      </w:pPr>
      <w:r w:rsidRPr="005572D2">
        <w:rPr>
          <w:i/>
          <w:sz w:val="24"/>
          <w:szCs w:val="24"/>
        </w:rPr>
        <w:t xml:space="preserve">without limiting paragraph (a), if a declaration is in force under paragraph (2)(b) of this </w:t>
      </w:r>
      <w:r w:rsidR="00564B97">
        <w:rPr>
          <w:i/>
          <w:sz w:val="24"/>
          <w:szCs w:val="24"/>
        </w:rPr>
        <w:t>section</w:t>
      </w:r>
      <w:r w:rsidR="008419E2">
        <w:rPr>
          <w:i/>
          <w:sz w:val="24"/>
          <w:szCs w:val="24"/>
        </w:rPr>
        <w:t>–</w:t>
      </w:r>
      <w:r w:rsidR="00564B97">
        <w:rPr>
          <w:i/>
          <w:sz w:val="24"/>
          <w:szCs w:val="24"/>
        </w:rPr>
        <w:t>the declaration, as in force from time to time.</w:t>
      </w:r>
      <w:r w:rsidRPr="005572D2">
        <w:rPr>
          <w:sz w:val="24"/>
          <w:szCs w:val="24"/>
        </w:rPr>
        <w:t>’</w:t>
      </w:r>
    </w:p>
    <w:p w14:paraId="0586A56E" w14:textId="77777777" w:rsidR="00AA3B2D" w:rsidRDefault="00AA3B2D" w:rsidP="00AA3B2D">
      <w:pPr>
        <w:spacing w:line="23" w:lineRule="atLeast"/>
        <w:rPr>
          <w:sz w:val="24"/>
          <w:szCs w:val="24"/>
        </w:rPr>
      </w:pPr>
      <w:r w:rsidRPr="00AA3B2D">
        <w:rPr>
          <w:sz w:val="24"/>
          <w:szCs w:val="24"/>
        </w:rPr>
        <w:t xml:space="preserve">Pursuant to paragraph 5(2)(b) of the Principal Regulations the Authority may, by notifiable instrument, declare an area described in the declaration to be a no-anchoring area. </w:t>
      </w:r>
    </w:p>
    <w:p w14:paraId="67BDC514" w14:textId="60D4BBF6" w:rsidR="005F4848" w:rsidRDefault="005C3F01" w:rsidP="00AA3B2D">
      <w:pPr>
        <w:spacing w:line="23" w:lineRule="atLeast"/>
        <w:rPr>
          <w:sz w:val="24"/>
          <w:szCs w:val="24"/>
        </w:rPr>
      </w:pPr>
      <w:r w:rsidRPr="005C3F01">
        <w:rPr>
          <w:sz w:val="24"/>
          <w:szCs w:val="24"/>
        </w:rPr>
        <w:t>T</w:t>
      </w:r>
      <w:r w:rsidR="00AA3B2D" w:rsidRPr="00AA3B2D">
        <w:rPr>
          <w:sz w:val="24"/>
          <w:szCs w:val="24"/>
        </w:rPr>
        <w:t xml:space="preserve">he </w:t>
      </w:r>
      <w:r>
        <w:rPr>
          <w:sz w:val="24"/>
          <w:szCs w:val="24"/>
        </w:rPr>
        <w:t>2021 Declaration</w:t>
      </w:r>
      <w:r w:rsidR="00AA3B2D">
        <w:rPr>
          <w:sz w:val="24"/>
          <w:szCs w:val="24"/>
        </w:rPr>
        <w:t xml:space="preserve"> declares no-anchoring areas in accordance with paragraph 5(2)(b) of the Principal Regulations. For ease of reference, the no-anchoring areas described in Schedule 3 of the Principal Regulations </w:t>
      </w:r>
      <w:r w:rsidR="0064691E">
        <w:rPr>
          <w:sz w:val="24"/>
          <w:szCs w:val="24"/>
        </w:rPr>
        <w:t xml:space="preserve">(which are all located in the Whitsunday Planning Area) </w:t>
      </w:r>
      <w:r w:rsidR="00AA3B2D">
        <w:rPr>
          <w:sz w:val="24"/>
          <w:szCs w:val="24"/>
        </w:rPr>
        <w:t xml:space="preserve">are </w:t>
      </w:r>
      <w:r w:rsidR="008D6FC5">
        <w:rPr>
          <w:sz w:val="24"/>
          <w:szCs w:val="24"/>
        </w:rPr>
        <w:t xml:space="preserve">now </w:t>
      </w:r>
      <w:r w:rsidR="00AA3B2D">
        <w:rPr>
          <w:sz w:val="24"/>
          <w:szCs w:val="24"/>
        </w:rPr>
        <w:t xml:space="preserve">described in the </w:t>
      </w:r>
      <w:r>
        <w:rPr>
          <w:sz w:val="24"/>
          <w:szCs w:val="24"/>
        </w:rPr>
        <w:t xml:space="preserve">2021 </w:t>
      </w:r>
      <w:r w:rsidR="00AA3B2D">
        <w:rPr>
          <w:sz w:val="24"/>
          <w:szCs w:val="24"/>
        </w:rPr>
        <w:t>Declaration, along with other additional no-anchoring areas</w:t>
      </w:r>
      <w:r w:rsidR="0064691E">
        <w:rPr>
          <w:sz w:val="24"/>
          <w:szCs w:val="24"/>
        </w:rPr>
        <w:t xml:space="preserve"> (which are located outside of the Whitsunday Planning Area)</w:t>
      </w:r>
      <w:r w:rsidR="00AA3B2D">
        <w:rPr>
          <w:sz w:val="24"/>
          <w:szCs w:val="24"/>
        </w:rPr>
        <w:t xml:space="preserve">. </w:t>
      </w:r>
    </w:p>
    <w:p w14:paraId="003FE3F7" w14:textId="6E942FDB" w:rsidR="00AA3B2D" w:rsidRDefault="00AA3B2D" w:rsidP="00AA3B2D">
      <w:pPr>
        <w:spacing w:line="23" w:lineRule="atLeast"/>
        <w:rPr>
          <w:sz w:val="24"/>
          <w:szCs w:val="24"/>
        </w:rPr>
      </w:pPr>
      <w:r>
        <w:rPr>
          <w:sz w:val="24"/>
          <w:szCs w:val="24"/>
        </w:rPr>
        <w:t>I</w:t>
      </w:r>
      <w:r w:rsidR="005F4848">
        <w:rPr>
          <w:sz w:val="24"/>
          <w:szCs w:val="24"/>
        </w:rPr>
        <w:t>t is</w:t>
      </w:r>
      <w:r>
        <w:rPr>
          <w:sz w:val="24"/>
          <w:szCs w:val="24"/>
        </w:rPr>
        <w:t xml:space="preserve"> no longer necessary to describe no-anchoring areas in Schedule 3</w:t>
      </w:r>
      <w:r w:rsidR="005F4848">
        <w:rPr>
          <w:sz w:val="24"/>
          <w:szCs w:val="24"/>
        </w:rPr>
        <w:t xml:space="preserve"> of the Principal Regulations, as the descriptions for these no-anchoring areas have all been consolidated </w:t>
      </w:r>
      <w:r w:rsidR="005F4848">
        <w:rPr>
          <w:sz w:val="24"/>
          <w:szCs w:val="24"/>
        </w:rPr>
        <w:lastRenderedPageBreak/>
        <w:t xml:space="preserve">with the descriptions for other no-anchoring areas in a single instrument (the </w:t>
      </w:r>
      <w:r w:rsidR="005C3F01">
        <w:rPr>
          <w:sz w:val="24"/>
          <w:szCs w:val="24"/>
        </w:rPr>
        <w:t xml:space="preserve">2021 </w:t>
      </w:r>
      <w:r w:rsidR="005F4848">
        <w:rPr>
          <w:sz w:val="24"/>
          <w:szCs w:val="24"/>
        </w:rPr>
        <w:t>Declaration). I</w:t>
      </w:r>
      <w:r w:rsidR="000578BB">
        <w:rPr>
          <w:sz w:val="24"/>
          <w:szCs w:val="24"/>
        </w:rPr>
        <w:t>tem 1 therefore repeals and substitutes</w:t>
      </w:r>
      <w:r w:rsidR="005F4848">
        <w:rPr>
          <w:sz w:val="24"/>
          <w:szCs w:val="24"/>
        </w:rPr>
        <w:t xml:space="preserve"> the definition of no-anchoring area to remove the reference to Schedule 3</w:t>
      </w:r>
      <w:r w:rsidR="00B30380">
        <w:rPr>
          <w:sz w:val="24"/>
          <w:szCs w:val="24"/>
        </w:rPr>
        <w:t xml:space="preserve"> (Schedule 3 is also repealed –see </w:t>
      </w:r>
      <w:r w:rsidR="001B2C1D" w:rsidRPr="003800A6">
        <w:rPr>
          <w:sz w:val="24"/>
          <w:szCs w:val="24"/>
        </w:rPr>
        <w:t>explanation of I</w:t>
      </w:r>
      <w:r w:rsidR="00A64753" w:rsidRPr="003800A6">
        <w:rPr>
          <w:sz w:val="24"/>
          <w:szCs w:val="24"/>
        </w:rPr>
        <w:t>tem 6</w:t>
      </w:r>
      <w:r w:rsidR="00921984">
        <w:rPr>
          <w:sz w:val="24"/>
          <w:szCs w:val="24"/>
        </w:rPr>
        <w:t xml:space="preserve"> below</w:t>
      </w:r>
      <w:r w:rsidR="00B30380">
        <w:rPr>
          <w:sz w:val="24"/>
          <w:szCs w:val="24"/>
        </w:rPr>
        <w:t>)</w:t>
      </w:r>
      <w:r w:rsidR="005F4848">
        <w:rPr>
          <w:sz w:val="24"/>
          <w:szCs w:val="24"/>
        </w:rPr>
        <w:t xml:space="preserve">.  </w:t>
      </w:r>
    </w:p>
    <w:p w14:paraId="0C6EE34D" w14:textId="2133A2BB" w:rsidR="000578BB" w:rsidRDefault="00B12398" w:rsidP="00AA3B2D">
      <w:pPr>
        <w:spacing w:line="23" w:lineRule="atLeast"/>
        <w:rPr>
          <w:sz w:val="24"/>
          <w:szCs w:val="24"/>
        </w:rPr>
      </w:pPr>
      <w:r>
        <w:rPr>
          <w:sz w:val="24"/>
          <w:szCs w:val="24"/>
        </w:rPr>
        <w:t>Under the new definition, a no-anchoring area:</w:t>
      </w:r>
    </w:p>
    <w:p w14:paraId="54F6A218" w14:textId="5371EE3F" w:rsidR="00B12398" w:rsidRPr="00B12398" w:rsidRDefault="00B12398" w:rsidP="00B12398">
      <w:pPr>
        <w:spacing w:line="23" w:lineRule="atLeast"/>
        <w:ind w:left="720"/>
        <w:rPr>
          <w:i/>
          <w:sz w:val="24"/>
          <w:szCs w:val="24"/>
        </w:rPr>
      </w:pPr>
      <w:r>
        <w:rPr>
          <w:sz w:val="24"/>
          <w:szCs w:val="24"/>
        </w:rPr>
        <w:t>‘</w:t>
      </w:r>
      <w:r>
        <w:rPr>
          <w:i/>
          <w:sz w:val="24"/>
          <w:szCs w:val="24"/>
        </w:rPr>
        <w:t>means an area described in a declaration under paragraph (2)(b) of this section, as in force from time to time.’</w:t>
      </w:r>
    </w:p>
    <w:p w14:paraId="082ADFFB" w14:textId="23658C8B" w:rsidR="00B12398" w:rsidRDefault="000578BB" w:rsidP="00AA3B2D">
      <w:pPr>
        <w:spacing w:line="23" w:lineRule="atLeast"/>
        <w:rPr>
          <w:sz w:val="24"/>
          <w:szCs w:val="24"/>
        </w:rPr>
      </w:pPr>
      <w:r>
        <w:rPr>
          <w:sz w:val="24"/>
          <w:szCs w:val="24"/>
        </w:rPr>
        <w:t>T</w:t>
      </w:r>
      <w:r w:rsidR="00B12398">
        <w:rPr>
          <w:sz w:val="24"/>
          <w:szCs w:val="24"/>
        </w:rPr>
        <w:t>he reference</w:t>
      </w:r>
      <w:r>
        <w:rPr>
          <w:sz w:val="24"/>
          <w:szCs w:val="24"/>
        </w:rPr>
        <w:t xml:space="preserve"> to a declaration ‘as in force from time to time’</w:t>
      </w:r>
      <w:r w:rsidR="00B12398">
        <w:rPr>
          <w:sz w:val="24"/>
          <w:szCs w:val="24"/>
        </w:rPr>
        <w:t xml:space="preserve"> is allowed by subsection 66(13) of the </w:t>
      </w:r>
      <w:r w:rsidR="00B30380" w:rsidRPr="00B30380">
        <w:rPr>
          <w:sz w:val="24"/>
          <w:szCs w:val="24"/>
        </w:rPr>
        <w:t>Act</w:t>
      </w:r>
      <w:r w:rsidR="00B12398">
        <w:rPr>
          <w:sz w:val="24"/>
          <w:szCs w:val="24"/>
        </w:rPr>
        <w:t xml:space="preserve">, which authorises the Principal Regulations to make provision in relation to a matter by applying, adopting or incorporating any matter contained in an instrument or other writing as in force or existing from time to time.  </w:t>
      </w:r>
    </w:p>
    <w:p w14:paraId="1C1CB98F" w14:textId="42911A77" w:rsidR="000578BB" w:rsidRPr="00AA3B2D" w:rsidRDefault="00B12398" w:rsidP="00AA3B2D">
      <w:pPr>
        <w:spacing w:line="23" w:lineRule="atLeast"/>
        <w:rPr>
          <w:sz w:val="24"/>
          <w:szCs w:val="24"/>
        </w:rPr>
      </w:pPr>
      <w:r>
        <w:rPr>
          <w:sz w:val="24"/>
          <w:szCs w:val="24"/>
        </w:rPr>
        <w:t xml:space="preserve">Any declarations made under paragraph </w:t>
      </w:r>
      <w:r w:rsidR="00DE0BAD">
        <w:rPr>
          <w:sz w:val="24"/>
          <w:szCs w:val="24"/>
        </w:rPr>
        <w:t>5</w:t>
      </w:r>
      <w:r>
        <w:rPr>
          <w:sz w:val="24"/>
          <w:szCs w:val="24"/>
        </w:rPr>
        <w:t xml:space="preserve">(2)(b) of the Principal Regulations are registered as notifiable instruments on the Federal Register of Legislation. These declarations may be accessed </w:t>
      </w:r>
      <w:r w:rsidR="00161206">
        <w:rPr>
          <w:sz w:val="24"/>
          <w:szCs w:val="24"/>
        </w:rPr>
        <w:t>at no cost</w:t>
      </w:r>
      <w:r w:rsidR="00DC2514">
        <w:rPr>
          <w:sz w:val="24"/>
          <w:szCs w:val="24"/>
        </w:rPr>
        <w:t xml:space="preserve"> </w:t>
      </w:r>
      <w:r>
        <w:rPr>
          <w:sz w:val="24"/>
          <w:szCs w:val="24"/>
        </w:rPr>
        <w:t xml:space="preserve">and used by members of the public from the Federal Register of Legislation website </w:t>
      </w:r>
      <w:hyperlink r:id="rId18" w:history="1">
        <w:r w:rsidRPr="00B82D52">
          <w:rPr>
            <w:rStyle w:val="Hyperlink"/>
            <w:sz w:val="24"/>
            <w:szCs w:val="24"/>
          </w:rPr>
          <w:t>www.legislation.gov.au</w:t>
        </w:r>
      </w:hyperlink>
      <w:r>
        <w:rPr>
          <w:sz w:val="24"/>
          <w:szCs w:val="24"/>
        </w:rPr>
        <w:t>.</w:t>
      </w:r>
      <w:r w:rsidR="005C3F01">
        <w:rPr>
          <w:sz w:val="24"/>
          <w:szCs w:val="24"/>
        </w:rPr>
        <w:t xml:space="preserve"> As at the date of commencement of the Amendment Regulations</w:t>
      </w:r>
      <w:r w:rsidR="008419E2">
        <w:rPr>
          <w:sz w:val="24"/>
          <w:szCs w:val="24"/>
        </w:rPr>
        <w:t>, there i</w:t>
      </w:r>
      <w:r w:rsidR="005C3F01">
        <w:rPr>
          <w:sz w:val="24"/>
          <w:szCs w:val="24"/>
        </w:rPr>
        <w:t xml:space="preserve">s only one declaration in force, being the 2021 Declaration. </w:t>
      </w:r>
      <w:r>
        <w:rPr>
          <w:sz w:val="24"/>
          <w:szCs w:val="24"/>
        </w:rPr>
        <w:t xml:space="preserve">  </w:t>
      </w:r>
      <w:r w:rsidR="000578BB">
        <w:rPr>
          <w:sz w:val="24"/>
          <w:szCs w:val="24"/>
        </w:rPr>
        <w:t xml:space="preserve"> </w:t>
      </w:r>
    </w:p>
    <w:p w14:paraId="633CAFBF" w14:textId="7A1A371C" w:rsidR="00945D11" w:rsidRDefault="00CB42D8" w:rsidP="00945D11">
      <w:pPr>
        <w:spacing w:line="23" w:lineRule="atLeast"/>
        <w:rPr>
          <w:b/>
          <w:sz w:val="24"/>
          <w:szCs w:val="24"/>
        </w:rPr>
      </w:pPr>
      <w:r>
        <w:rPr>
          <w:b/>
          <w:sz w:val="24"/>
          <w:szCs w:val="24"/>
        </w:rPr>
        <w:t>I</w:t>
      </w:r>
      <w:r w:rsidR="00463458">
        <w:rPr>
          <w:b/>
          <w:sz w:val="24"/>
          <w:szCs w:val="24"/>
        </w:rPr>
        <w:t>tem [2]</w:t>
      </w:r>
      <w:r w:rsidR="005F4848">
        <w:rPr>
          <w:b/>
          <w:sz w:val="24"/>
          <w:szCs w:val="24"/>
        </w:rPr>
        <w:t xml:space="preserve"> Section 166</w:t>
      </w:r>
    </w:p>
    <w:p w14:paraId="5AC11DF0" w14:textId="36735970" w:rsidR="005F4848" w:rsidRDefault="00E9746A" w:rsidP="00945D11">
      <w:pPr>
        <w:spacing w:line="23" w:lineRule="atLeast"/>
        <w:rPr>
          <w:sz w:val="24"/>
          <w:szCs w:val="24"/>
        </w:rPr>
      </w:pPr>
      <w:r>
        <w:rPr>
          <w:sz w:val="24"/>
          <w:szCs w:val="24"/>
        </w:rPr>
        <w:t>Section 166 of the Principal Regulations contains a simplified outline of Part 6 (Removal of property and various offences). In light of t</w:t>
      </w:r>
      <w:r w:rsidR="00921984">
        <w:rPr>
          <w:sz w:val="24"/>
          <w:szCs w:val="24"/>
        </w:rPr>
        <w:t>he new strict liability offence</w:t>
      </w:r>
      <w:r>
        <w:rPr>
          <w:sz w:val="24"/>
          <w:szCs w:val="24"/>
        </w:rPr>
        <w:t xml:space="preserve"> provisions being inserted into Part 6 (see explanation </w:t>
      </w:r>
      <w:r w:rsidRPr="003800A6">
        <w:rPr>
          <w:sz w:val="24"/>
          <w:szCs w:val="24"/>
        </w:rPr>
        <w:t xml:space="preserve">of </w:t>
      </w:r>
      <w:r w:rsidR="00E07D61" w:rsidRPr="003800A6">
        <w:rPr>
          <w:sz w:val="24"/>
          <w:szCs w:val="24"/>
        </w:rPr>
        <w:t xml:space="preserve">Item </w:t>
      </w:r>
      <w:r w:rsidR="003800A6" w:rsidRPr="003800A6">
        <w:rPr>
          <w:sz w:val="24"/>
          <w:szCs w:val="24"/>
        </w:rPr>
        <w:t>3</w:t>
      </w:r>
      <w:r w:rsidRPr="003800A6">
        <w:rPr>
          <w:sz w:val="24"/>
          <w:szCs w:val="24"/>
        </w:rPr>
        <w:t xml:space="preserve"> below</w:t>
      </w:r>
      <w:r>
        <w:rPr>
          <w:sz w:val="24"/>
          <w:szCs w:val="24"/>
        </w:rPr>
        <w:t xml:space="preserve">), </w:t>
      </w:r>
      <w:r w:rsidR="005F4848">
        <w:rPr>
          <w:sz w:val="24"/>
          <w:szCs w:val="24"/>
        </w:rPr>
        <w:t xml:space="preserve">Item 2 amends the </w:t>
      </w:r>
      <w:r>
        <w:rPr>
          <w:sz w:val="24"/>
          <w:szCs w:val="24"/>
        </w:rPr>
        <w:t>simplified outline of Part 6 to acknowledge this.</w:t>
      </w:r>
    </w:p>
    <w:p w14:paraId="5148346D" w14:textId="12363673" w:rsidR="00E9746A" w:rsidRDefault="00E9746A" w:rsidP="00945D11">
      <w:pPr>
        <w:spacing w:line="23" w:lineRule="atLeast"/>
        <w:rPr>
          <w:b/>
          <w:sz w:val="24"/>
          <w:szCs w:val="24"/>
        </w:rPr>
      </w:pPr>
      <w:r>
        <w:rPr>
          <w:b/>
          <w:sz w:val="24"/>
          <w:szCs w:val="24"/>
        </w:rPr>
        <w:t>Item [3] At the end of Part 6</w:t>
      </w:r>
    </w:p>
    <w:p w14:paraId="0A127715" w14:textId="5167013F" w:rsidR="00A00D18" w:rsidRDefault="00A00D18" w:rsidP="00945D11">
      <w:pPr>
        <w:spacing w:line="23" w:lineRule="atLeast"/>
        <w:rPr>
          <w:sz w:val="24"/>
          <w:szCs w:val="24"/>
        </w:rPr>
      </w:pPr>
      <w:r>
        <w:rPr>
          <w:sz w:val="24"/>
          <w:szCs w:val="24"/>
        </w:rPr>
        <w:t>Two</w:t>
      </w:r>
      <w:r w:rsidR="00C77E59">
        <w:rPr>
          <w:sz w:val="24"/>
          <w:szCs w:val="24"/>
        </w:rPr>
        <w:t xml:space="preserve"> new strict liability offence provision</w:t>
      </w:r>
      <w:r>
        <w:rPr>
          <w:sz w:val="24"/>
          <w:szCs w:val="24"/>
        </w:rPr>
        <w:t>s</w:t>
      </w:r>
      <w:r w:rsidR="00C77E59">
        <w:rPr>
          <w:sz w:val="24"/>
          <w:szCs w:val="24"/>
        </w:rPr>
        <w:t xml:space="preserve"> </w:t>
      </w:r>
      <w:r>
        <w:rPr>
          <w:sz w:val="24"/>
          <w:szCs w:val="24"/>
        </w:rPr>
        <w:t>are</w:t>
      </w:r>
      <w:r w:rsidR="00C77E59">
        <w:rPr>
          <w:sz w:val="24"/>
          <w:szCs w:val="24"/>
        </w:rPr>
        <w:t xml:space="preserve"> inserted by Item 3 at the end of Part 6 of the Principal Regulations, as </w:t>
      </w:r>
      <w:r>
        <w:rPr>
          <w:sz w:val="24"/>
          <w:szCs w:val="24"/>
        </w:rPr>
        <w:t>sub</w:t>
      </w:r>
      <w:r w:rsidR="00C77E59">
        <w:rPr>
          <w:sz w:val="24"/>
          <w:szCs w:val="24"/>
        </w:rPr>
        <w:t>section</w:t>
      </w:r>
      <w:r>
        <w:rPr>
          <w:sz w:val="24"/>
          <w:szCs w:val="24"/>
        </w:rPr>
        <w:t>s</w:t>
      </w:r>
      <w:r w:rsidR="00C77E59">
        <w:rPr>
          <w:sz w:val="24"/>
          <w:szCs w:val="24"/>
        </w:rPr>
        <w:t xml:space="preserve"> 171A</w:t>
      </w:r>
      <w:r>
        <w:rPr>
          <w:sz w:val="24"/>
          <w:szCs w:val="24"/>
        </w:rPr>
        <w:t>(1) and (2)</w:t>
      </w:r>
      <w:r w:rsidR="00C77E59">
        <w:rPr>
          <w:sz w:val="24"/>
          <w:szCs w:val="24"/>
        </w:rPr>
        <w:t xml:space="preserve">. </w:t>
      </w:r>
    </w:p>
    <w:p w14:paraId="18184684" w14:textId="2482D650" w:rsidR="00C77E59" w:rsidRDefault="00C77E59" w:rsidP="00945D11">
      <w:pPr>
        <w:spacing w:line="23" w:lineRule="atLeast"/>
        <w:rPr>
          <w:sz w:val="24"/>
          <w:szCs w:val="24"/>
        </w:rPr>
      </w:pPr>
      <w:r>
        <w:rPr>
          <w:sz w:val="24"/>
          <w:szCs w:val="24"/>
        </w:rPr>
        <w:t xml:space="preserve">The new provision </w:t>
      </w:r>
      <w:r w:rsidR="00A00D18">
        <w:rPr>
          <w:sz w:val="24"/>
          <w:szCs w:val="24"/>
        </w:rPr>
        <w:t xml:space="preserve">in subsection 171A(1) </w:t>
      </w:r>
      <w:r>
        <w:rPr>
          <w:sz w:val="24"/>
          <w:szCs w:val="24"/>
        </w:rPr>
        <w:t xml:space="preserve">provides that a person commits an offence of strict liability if the person drops an anchor for a vessel, an aircraft or any other facility in a no-anchoring area (other than a no-anchoring area that is in the Whitsunday Planning Area). </w:t>
      </w:r>
      <w:r w:rsidR="005C3F01">
        <w:rPr>
          <w:sz w:val="24"/>
          <w:szCs w:val="24"/>
        </w:rPr>
        <w:t xml:space="preserve">The penalty for a contravention of the offence in </w:t>
      </w:r>
      <w:r w:rsidR="00A00D18">
        <w:rPr>
          <w:sz w:val="24"/>
          <w:szCs w:val="24"/>
        </w:rPr>
        <w:t>sub</w:t>
      </w:r>
      <w:r w:rsidR="005C3F01">
        <w:rPr>
          <w:sz w:val="24"/>
          <w:szCs w:val="24"/>
        </w:rPr>
        <w:t>section 171A</w:t>
      </w:r>
      <w:r w:rsidR="00A00D18">
        <w:rPr>
          <w:sz w:val="24"/>
          <w:szCs w:val="24"/>
        </w:rPr>
        <w:t>(1)</w:t>
      </w:r>
      <w:r w:rsidR="005C3F01">
        <w:rPr>
          <w:sz w:val="24"/>
          <w:szCs w:val="24"/>
        </w:rPr>
        <w:t xml:space="preserve"> is 50 penalty units.</w:t>
      </w:r>
    </w:p>
    <w:p w14:paraId="6B77090C" w14:textId="62AC84E9" w:rsidR="00C77E59" w:rsidRDefault="00E9746A" w:rsidP="00945D11">
      <w:pPr>
        <w:spacing w:line="23" w:lineRule="atLeast"/>
        <w:rPr>
          <w:sz w:val="24"/>
          <w:szCs w:val="24"/>
        </w:rPr>
      </w:pPr>
      <w:r>
        <w:rPr>
          <w:sz w:val="24"/>
          <w:szCs w:val="24"/>
        </w:rPr>
        <w:t xml:space="preserve">In addition to describing the no-anchoring areas </w:t>
      </w:r>
      <w:r w:rsidR="0008796A">
        <w:rPr>
          <w:sz w:val="24"/>
          <w:szCs w:val="24"/>
        </w:rPr>
        <w:t>previously</w:t>
      </w:r>
      <w:r>
        <w:rPr>
          <w:sz w:val="24"/>
          <w:szCs w:val="24"/>
        </w:rPr>
        <w:t xml:space="preserve"> contained in Schedule 3 of the Principal Regulations (which are all located within the Whitsunday Planning Area), the </w:t>
      </w:r>
      <w:r w:rsidR="005C3F01">
        <w:rPr>
          <w:sz w:val="24"/>
          <w:szCs w:val="24"/>
        </w:rPr>
        <w:t xml:space="preserve">2021 </w:t>
      </w:r>
      <w:r>
        <w:rPr>
          <w:sz w:val="24"/>
          <w:szCs w:val="24"/>
        </w:rPr>
        <w:t xml:space="preserve">Declaration </w:t>
      </w:r>
      <w:r w:rsidR="008D6FC5">
        <w:rPr>
          <w:sz w:val="24"/>
          <w:szCs w:val="24"/>
        </w:rPr>
        <w:t xml:space="preserve">also </w:t>
      </w:r>
      <w:r>
        <w:rPr>
          <w:sz w:val="24"/>
          <w:szCs w:val="24"/>
        </w:rPr>
        <w:t xml:space="preserve">describes no-anchoring areas in other areas of the Marine Park. </w:t>
      </w:r>
      <w:r w:rsidR="00A00D18">
        <w:rPr>
          <w:sz w:val="24"/>
          <w:szCs w:val="24"/>
        </w:rPr>
        <w:t>Subsection 171A(1)</w:t>
      </w:r>
      <w:r>
        <w:rPr>
          <w:sz w:val="24"/>
          <w:szCs w:val="24"/>
        </w:rPr>
        <w:t xml:space="preserve"> </w:t>
      </w:r>
      <w:r w:rsidR="00875FB1">
        <w:rPr>
          <w:sz w:val="24"/>
          <w:szCs w:val="24"/>
        </w:rPr>
        <w:t xml:space="preserve">creates a </w:t>
      </w:r>
      <w:r w:rsidR="00875FB1" w:rsidRPr="00B0323C">
        <w:rPr>
          <w:rFonts w:cs="Times New Roman"/>
          <w:color w:val="000000"/>
          <w:sz w:val="24"/>
          <w:szCs w:val="24"/>
          <w:lang w:eastAsia="en-AU"/>
        </w:rPr>
        <w:t xml:space="preserve">new strict liability </w:t>
      </w:r>
      <w:r w:rsidR="00875FB1">
        <w:rPr>
          <w:rFonts w:cs="Times New Roman"/>
          <w:color w:val="000000"/>
          <w:sz w:val="24"/>
          <w:szCs w:val="24"/>
          <w:lang w:eastAsia="en-AU"/>
        </w:rPr>
        <w:t>offence provision</w:t>
      </w:r>
      <w:r w:rsidR="00875FB1">
        <w:rPr>
          <w:sz w:val="24"/>
          <w:szCs w:val="24"/>
        </w:rPr>
        <w:t xml:space="preserve"> applicable to anchoring in no-anchoring areas outside of the Whitsunday Planning Area</w:t>
      </w:r>
      <w:r w:rsidR="008419E2">
        <w:rPr>
          <w:sz w:val="24"/>
          <w:szCs w:val="24"/>
        </w:rPr>
        <w:t>,</w:t>
      </w:r>
      <w:r w:rsidR="00875FB1">
        <w:rPr>
          <w:sz w:val="24"/>
          <w:szCs w:val="24"/>
        </w:rPr>
        <w:t xml:space="preserve"> </w:t>
      </w:r>
      <w:r w:rsidR="003B2D67">
        <w:rPr>
          <w:sz w:val="24"/>
          <w:szCs w:val="24"/>
        </w:rPr>
        <w:t xml:space="preserve">which </w:t>
      </w:r>
      <w:r w:rsidR="000578BB">
        <w:rPr>
          <w:sz w:val="24"/>
          <w:szCs w:val="24"/>
        </w:rPr>
        <w:t>complements</w:t>
      </w:r>
      <w:r>
        <w:rPr>
          <w:sz w:val="24"/>
          <w:szCs w:val="24"/>
        </w:rPr>
        <w:t xml:space="preserve"> the</w:t>
      </w:r>
      <w:r w:rsidR="005C3F01">
        <w:rPr>
          <w:sz w:val="24"/>
          <w:szCs w:val="24"/>
        </w:rPr>
        <w:t xml:space="preserve"> 2021</w:t>
      </w:r>
      <w:r>
        <w:rPr>
          <w:sz w:val="24"/>
          <w:szCs w:val="24"/>
        </w:rPr>
        <w:t xml:space="preserve"> </w:t>
      </w:r>
      <w:r w:rsidR="000578BB">
        <w:rPr>
          <w:sz w:val="24"/>
          <w:szCs w:val="24"/>
        </w:rPr>
        <w:t>Declaration</w:t>
      </w:r>
      <w:r w:rsidR="00CE38F5">
        <w:rPr>
          <w:sz w:val="24"/>
          <w:szCs w:val="24"/>
        </w:rPr>
        <w:t xml:space="preserve"> (and any future declarations)</w:t>
      </w:r>
      <w:r w:rsidR="000578BB">
        <w:rPr>
          <w:sz w:val="24"/>
          <w:szCs w:val="24"/>
        </w:rPr>
        <w:t xml:space="preserve"> to the extent that </w:t>
      </w:r>
      <w:r w:rsidR="003B2D67">
        <w:rPr>
          <w:sz w:val="24"/>
          <w:szCs w:val="24"/>
        </w:rPr>
        <w:t xml:space="preserve">such declarations declare </w:t>
      </w:r>
      <w:r w:rsidR="000578BB">
        <w:rPr>
          <w:sz w:val="24"/>
          <w:szCs w:val="24"/>
        </w:rPr>
        <w:t xml:space="preserve">no-anchoring areas outside of the Whitsunday Planning Area. The new </w:t>
      </w:r>
      <w:r w:rsidR="00B12398">
        <w:rPr>
          <w:sz w:val="24"/>
          <w:szCs w:val="24"/>
        </w:rPr>
        <w:t xml:space="preserve">offence </w:t>
      </w:r>
      <w:r w:rsidR="001C3088">
        <w:rPr>
          <w:sz w:val="24"/>
          <w:szCs w:val="24"/>
        </w:rPr>
        <w:t>provision</w:t>
      </w:r>
      <w:r w:rsidR="000578BB">
        <w:rPr>
          <w:sz w:val="24"/>
          <w:szCs w:val="24"/>
        </w:rPr>
        <w:t xml:space="preserve"> do</w:t>
      </w:r>
      <w:r w:rsidR="001C3088">
        <w:rPr>
          <w:sz w:val="24"/>
          <w:szCs w:val="24"/>
        </w:rPr>
        <w:t>es</w:t>
      </w:r>
      <w:r w:rsidR="000578BB">
        <w:rPr>
          <w:sz w:val="24"/>
          <w:szCs w:val="24"/>
        </w:rPr>
        <w:t xml:space="preserve"> not apply to no-anchoring areas in the Whitsunday Planning Area</w:t>
      </w:r>
      <w:r w:rsidR="001C3088">
        <w:rPr>
          <w:sz w:val="24"/>
          <w:szCs w:val="24"/>
        </w:rPr>
        <w:t xml:space="preserve"> because there is</w:t>
      </w:r>
      <w:r w:rsidR="000578BB">
        <w:rPr>
          <w:sz w:val="24"/>
          <w:szCs w:val="24"/>
        </w:rPr>
        <w:t xml:space="preserve"> already </w:t>
      </w:r>
      <w:r w:rsidR="001C3088">
        <w:rPr>
          <w:sz w:val="24"/>
          <w:szCs w:val="24"/>
        </w:rPr>
        <w:t xml:space="preserve">a </w:t>
      </w:r>
      <w:r w:rsidR="000578BB">
        <w:rPr>
          <w:sz w:val="24"/>
          <w:szCs w:val="24"/>
        </w:rPr>
        <w:t>strict liability offence</w:t>
      </w:r>
      <w:r w:rsidR="001C3088">
        <w:rPr>
          <w:sz w:val="24"/>
          <w:szCs w:val="24"/>
        </w:rPr>
        <w:t xml:space="preserve"> in section 234 of the Principal Regulations which, when read in conjunction with subclause 2.12(3) of the </w:t>
      </w:r>
      <w:r w:rsidR="001C3088">
        <w:rPr>
          <w:i/>
          <w:sz w:val="24"/>
          <w:szCs w:val="24"/>
        </w:rPr>
        <w:t xml:space="preserve">Whitsundays Plan of Management </w:t>
      </w:r>
      <w:r w:rsidR="001C3088" w:rsidRPr="00CD09DF">
        <w:rPr>
          <w:i/>
          <w:sz w:val="24"/>
          <w:szCs w:val="24"/>
        </w:rPr>
        <w:t>1998</w:t>
      </w:r>
      <w:r w:rsidR="001C3088">
        <w:rPr>
          <w:sz w:val="24"/>
          <w:szCs w:val="24"/>
        </w:rPr>
        <w:t xml:space="preserve">, is </w:t>
      </w:r>
      <w:r w:rsidR="00B12398" w:rsidRPr="001C3088">
        <w:rPr>
          <w:sz w:val="24"/>
          <w:szCs w:val="24"/>
        </w:rPr>
        <w:t>applicable</w:t>
      </w:r>
      <w:r w:rsidR="00B12398">
        <w:rPr>
          <w:sz w:val="24"/>
          <w:szCs w:val="24"/>
        </w:rPr>
        <w:t xml:space="preserve"> to </w:t>
      </w:r>
      <w:r w:rsidR="001C3088">
        <w:rPr>
          <w:sz w:val="24"/>
          <w:szCs w:val="24"/>
        </w:rPr>
        <w:t xml:space="preserve">the contravention of no-anchoring rules that apply in </w:t>
      </w:r>
      <w:r w:rsidR="00B12398">
        <w:rPr>
          <w:sz w:val="24"/>
          <w:szCs w:val="24"/>
        </w:rPr>
        <w:t>the Whitsunday Planning Area.</w:t>
      </w:r>
      <w:r w:rsidR="000578BB">
        <w:rPr>
          <w:sz w:val="24"/>
          <w:szCs w:val="24"/>
        </w:rPr>
        <w:t xml:space="preserve"> </w:t>
      </w:r>
    </w:p>
    <w:p w14:paraId="54FA21C3" w14:textId="628A1B26" w:rsidR="00A00D18" w:rsidRDefault="00A00D18" w:rsidP="00945D11">
      <w:pPr>
        <w:spacing w:line="23" w:lineRule="atLeast"/>
        <w:rPr>
          <w:sz w:val="24"/>
          <w:szCs w:val="24"/>
        </w:rPr>
      </w:pPr>
      <w:r>
        <w:rPr>
          <w:sz w:val="24"/>
          <w:szCs w:val="24"/>
        </w:rPr>
        <w:lastRenderedPageBreak/>
        <w:t xml:space="preserve">The new provision in subsection 171A(2) </w:t>
      </w:r>
      <w:r w:rsidR="00CE0E8D">
        <w:rPr>
          <w:sz w:val="24"/>
          <w:szCs w:val="24"/>
        </w:rPr>
        <w:t xml:space="preserve">provides that </w:t>
      </w:r>
      <w:r w:rsidR="0064691E">
        <w:rPr>
          <w:sz w:val="24"/>
          <w:szCs w:val="24"/>
        </w:rPr>
        <w:t>the master of a vessel</w:t>
      </w:r>
      <w:r w:rsidR="00CE0E8D">
        <w:rPr>
          <w:sz w:val="24"/>
          <w:szCs w:val="24"/>
        </w:rPr>
        <w:t xml:space="preserve"> commits an offence of strict liability if any person </w:t>
      </w:r>
      <w:r w:rsidR="0064691E">
        <w:rPr>
          <w:sz w:val="24"/>
          <w:szCs w:val="24"/>
        </w:rPr>
        <w:t xml:space="preserve">on board the vessel </w:t>
      </w:r>
      <w:r w:rsidR="00CE0E8D">
        <w:rPr>
          <w:sz w:val="24"/>
          <w:szCs w:val="24"/>
        </w:rPr>
        <w:t>drops an anchor f</w:t>
      </w:r>
      <w:r w:rsidR="00A52636">
        <w:rPr>
          <w:sz w:val="24"/>
          <w:szCs w:val="24"/>
        </w:rPr>
        <w:t>or</w:t>
      </w:r>
      <w:r w:rsidR="00CE0E8D">
        <w:rPr>
          <w:sz w:val="24"/>
          <w:szCs w:val="24"/>
        </w:rPr>
        <w:t xml:space="preserve"> the vessel in a no</w:t>
      </w:r>
      <w:r w:rsidR="00EF4CF8">
        <w:rPr>
          <w:sz w:val="24"/>
          <w:szCs w:val="24"/>
        </w:rPr>
        <w:t>-</w:t>
      </w:r>
      <w:r w:rsidR="00CE0E8D">
        <w:rPr>
          <w:sz w:val="24"/>
          <w:szCs w:val="24"/>
        </w:rPr>
        <w:t xml:space="preserve">anchoring area. </w:t>
      </w:r>
      <w:r w:rsidR="00391CD0">
        <w:rPr>
          <w:sz w:val="24"/>
          <w:szCs w:val="24"/>
        </w:rPr>
        <w:t xml:space="preserve">The penalty for a contravention of the offence in subsection 171A(2) is 50 penalty units. </w:t>
      </w:r>
      <w:r w:rsidR="00CE0E8D">
        <w:rPr>
          <w:sz w:val="24"/>
          <w:szCs w:val="24"/>
        </w:rPr>
        <w:t>Th</w:t>
      </w:r>
      <w:r w:rsidR="00C615ED">
        <w:rPr>
          <w:sz w:val="24"/>
          <w:szCs w:val="24"/>
        </w:rPr>
        <w:t xml:space="preserve">is additional offence has been included </w:t>
      </w:r>
      <w:r w:rsidR="00161206">
        <w:rPr>
          <w:sz w:val="24"/>
          <w:szCs w:val="24"/>
        </w:rPr>
        <w:t>due to</w:t>
      </w:r>
      <w:r w:rsidR="00C615ED">
        <w:rPr>
          <w:sz w:val="24"/>
          <w:szCs w:val="24"/>
        </w:rPr>
        <w:t xml:space="preserve"> the important role that the master of a vessel has in ensuring the vessel is not operated in a way that causes damage to the marine environment, including by ensuring persons on board the vessel do not drop an anchor in a no-anchoring area</w:t>
      </w:r>
      <w:r w:rsidR="00DE0BAD">
        <w:rPr>
          <w:sz w:val="24"/>
          <w:szCs w:val="24"/>
        </w:rPr>
        <w:t>.</w:t>
      </w:r>
      <w:r w:rsidR="00CE0E8D">
        <w:rPr>
          <w:sz w:val="24"/>
          <w:szCs w:val="24"/>
        </w:rPr>
        <w:t xml:space="preserve"> </w:t>
      </w:r>
    </w:p>
    <w:p w14:paraId="73C2D17B" w14:textId="0F9A24F2" w:rsidR="00C77E59" w:rsidRDefault="00C77E59" w:rsidP="00945D11">
      <w:pPr>
        <w:spacing w:line="23" w:lineRule="atLeast"/>
        <w:rPr>
          <w:sz w:val="24"/>
          <w:szCs w:val="24"/>
        </w:rPr>
      </w:pPr>
      <w:r>
        <w:rPr>
          <w:sz w:val="24"/>
          <w:szCs w:val="24"/>
        </w:rPr>
        <w:t>The reference</w:t>
      </w:r>
      <w:r w:rsidR="00C615ED">
        <w:rPr>
          <w:sz w:val="24"/>
          <w:szCs w:val="24"/>
        </w:rPr>
        <w:t>s</w:t>
      </w:r>
      <w:r>
        <w:rPr>
          <w:sz w:val="24"/>
          <w:szCs w:val="24"/>
        </w:rPr>
        <w:t xml:space="preserve"> to </w:t>
      </w:r>
      <w:r w:rsidR="00921984">
        <w:rPr>
          <w:sz w:val="24"/>
          <w:szCs w:val="24"/>
        </w:rPr>
        <w:t>‘</w:t>
      </w:r>
      <w:r>
        <w:rPr>
          <w:sz w:val="24"/>
          <w:szCs w:val="24"/>
        </w:rPr>
        <w:t>dropping an anchor</w:t>
      </w:r>
      <w:r w:rsidR="00921984">
        <w:rPr>
          <w:sz w:val="24"/>
          <w:szCs w:val="24"/>
        </w:rPr>
        <w:t>’</w:t>
      </w:r>
      <w:r>
        <w:rPr>
          <w:sz w:val="24"/>
          <w:szCs w:val="24"/>
        </w:rPr>
        <w:t xml:space="preserve"> </w:t>
      </w:r>
      <w:r w:rsidR="00C615ED">
        <w:rPr>
          <w:sz w:val="24"/>
          <w:szCs w:val="24"/>
        </w:rPr>
        <w:t>in both subsections 171A(1) and (2) are</w:t>
      </w:r>
      <w:r>
        <w:rPr>
          <w:sz w:val="24"/>
          <w:szCs w:val="24"/>
        </w:rPr>
        <w:t xml:space="preserve"> intended to ensure that </w:t>
      </w:r>
      <w:r w:rsidR="00C77FC3">
        <w:rPr>
          <w:sz w:val="24"/>
          <w:szCs w:val="24"/>
        </w:rPr>
        <w:t xml:space="preserve">where </w:t>
      </w:r>
      <w:r>
        <w:rPr>
          <w:sz w:val="24"/>
          <w:szCs w:val="24"/>
        </w:rPr>
        <w:t>vessels or other facilities are equipped with dynamic positioning systems</w:t>
      </w:r>
      <w:r w:rsidR="0002455B">
        <w:rPr>
          <w:sz w:val="24"/>
          <w:szCs w:val="24"/>
        </w:rPr>
        <w:t>,</w:t>
      </w:r>
      <w:r w:rsidR="00161206">
        <w:rPr>
          <w:sz w:val="24"/>
          <w:szCs w:val="24"/>
        </w:rPr>
        <w:t xml:space="preserve"> </w:t>
      </w:r>
      <w:r w:rsidR="0002455B">
        <w:rPr>
          <w:sz w:val="24"/>
          <w:szCs w:val="24"/>
        </w:rPr>
        <w:t>a person</w:t>
      </w:r>
      <w:r>
        <w:rPr>
          <w:sz w:val="24"/>
          <w:szCs w:val="24"/>
        </w:rPr>
        <w:t xml:space="preserve"> will not be in contravention of the offence</w:t>
      </w:r>
      <w:r w:rsidR="00C615ED">
        <w:rPr>
          <w:sz w:val="24"/>
          <w:szCs w:val="24"/>
        </w:rPr>
        <w:t>s</w:t>
      </w:r>
      <w:r>
        <w:rPr>
          <w:sz w:val="24"/>
          <w:szCs w:val="24"/>
        </w:rPr>
        <w:t xml:space="preserve"> when using these systems at a no-anchoring area. This is because dynamic positioning systems can allow a vessel to remain stationary in an area without </w:t>
      </w:r>
      <w:r w:rsidR="00921984">
        <w:rPr>
          <w:sz w:val="24"/>
          <w:szCs w:val="24"/>
        </w:rPr>
        <w:t>the need to physically drop</w:t>
      </w:r>
      <w:r>
        <w:rPr>
          <w:sz w:val="24"/>
          <w:szCs w:val="24"/>
        </w:rPr>
        <w:t xml:space="preserve"> an anchor, and as a result, no anchor damage</w:t>
      </w:r>
      <w:r w:rsidR="00FA0228">
        <w:rPr>
          <w:sz w:val="24"/>
          <w:szCs w:val="24"/>
        </w:rPr>
        <w:t xml:space="preserve"> to sensitive habitats</w:t>
      </w:r>
      <w:r>
        <w:rPr>
          <w:sz w:val="24"/>
          <w:szCs w:val="24"/>
        </w:rPr>
        <w:t xml:space="preserve"> is caused. </w:t>
      </w:r>
    </w:p>
    <w:p w14:paraId="6A32173F" w14:textId="0A1E9942" w:rsidR="00C77E59" w:rsidRDefault="00FA0228" w:rsidP="00945D11">
      <w:pPr>
        <w:spacing w:line="23" w:lineRule="atLeast"/>
        <w:rPr>
          <w:sz w:val="24"/>
          <w:szCs w:val="24"/>
        </w:rPr>
      </w:pPr>
      <w:r>
        <w:rPr>
          <w:sz w:val="24"/>
          <w:szCs w:val="24"/>
        </w:rPr>
        <w:t>The Authority is aware</w:t>
      </w:r>
      <w:r w:rsidR="00C77E59">
        <w:rPr>
          <w:sz w:val="24"/>
          <w:szCs w:val="24"/>
        </w:rPr>
        <w:t xml:space="preserve"> that some operators </w:t>
      </w:r>
      <w:r w:rsidR="00CD09DF">
        <w:rPr>
          <w:sz w:val="24"/>
          <w:szCs w:val="24"/>
        </w:rPr>
        <w:t xml:space="preserve">(and, in particular, tourism operators) </w:t>
      </w:r>
      <w:r w:rsidR="00C77E59">
        <w:rPr>
          <w:sz w:val="24"/>
          <w:szCs w:val="24"/>
        </w:rPr>
        <w:t>of vessels</w:t>
      </w:r>
      <w:r w:rsidR="00EF4CF8">
        <w:rPr>
          <w:sz w:val="24"/>
          <w:szCs w:val="24"/>
        </w:rPr>
        <w:t>, aircraft</w:t>
      </w:r>
      <w:r w:rsidR="00C42E39">
        <w:rPr>
          <w:sz w:val="24"/>
          <w:szCs w:val="24"/>
        </w:rPr>
        <w:t xml:space="preserve"> and other facilities</w:t>
      </w:r>
      <w:r w:rsidR="00C77E59">
        <w:rPr>
          <w:sz w:val="24"/>
          <w:szCs w:val="24"/>
        </w:rPr>
        <w:t xml:space="preserve"> attempt to avoid causing anchor damage</w:t>
      </w:r>
      <w:r>
        <w:rPr>
          <w:sz w:val="24"/>
          <w:szCs w:val="24"/>
        </w:rPr>
        <w:t xml:space="preserve"> to sensitive habitats</w:t>
      </w:r>
      <w:r w:rsidR="00C77E59">
        <w:rPr>
          <w:sz w:val="24"/>
          <w:szCs w:val="24"/>
        </w:rPr>
        <w:t xml:space="preserve"> by swimming down to the ocean floor </w:t>
      </w:r>
      <w:r>
        <w:rPr>
          <w:sz w:val="24"/>
          <w:szCs w:val="24"/>
        </w:rPr>
        <w:t xml:space="preserve">with an anchor </w:t>
      </w:r>
      <w:r w:rsidR="00C77E59">
        <w:rPr>
          <w:sz w:val="24"/>
          <w:szCs w:val="24"/>
        </w:rPr>
        <w:t>and placing the anchor in a location where it is less likely to cause damage.</w:t>
      </w:r>
      <w:r>
        <w:rPr>
          <w:sz w:val="24"/>
          <w:szCs w:val="24"/>
        </w:rPr>
        <w:t xml:space="preserve"> Whilst the Authority acknowledges this </w:t>
      </w:r>
      <w:r w:rsidR="00EF4CF8">
        <w:rPr>
          <w:sz w:val="24"/>
          <w:szCs w:val="24"/>
        </w:rPr>
        <w:t xml:space="preserve">responsible reef </w:t>
      </w:r>
      <w:r>
        <w:rPr>
          <w:sz w:val="24"/>
          <w:szCs w:val="24"/>
        </w:rPr>
        <w:t>practice, it should be noted that this manner of anchoring is not allowed in a no-anchoring area</w:t>
      </w:r>
      <w:r w:rsidR="00921984">
        <w:rPr>
          <w:sz w:val="24"/>
          <w:szCs w:val="24"/>
        </w:rPr>
        <w:t xml:space="preserve">, and would constitute a contravention of the </w:t>
      </w:r>
      <w:r w:rsidR="00E07D61">
        <w:rPr>
          <w:sz w:val="24"/>
          <w:szCs w:val="24"/>
        </w:rPr>
        <w:t>no-anchoring rules that apply in the Marine Park</w:t>
      </w:r>
      <w:r>
        <w:rPr>
          <w:sz w:val="24"/>
          <w:szCs w:val="24"/>
        </w:rPr>
        <w:t xml:space="preserve">. </w:t>
      </w:r>
    </w:p>
    <w:p w14:paraId="6C713C3A" w14:textId="01990315" w:rsidR="005C3F01" w:rsidRDefault="00C77E59" w:rsidP="00945D11">
      <w:pPr>
        <w:spacing w:line="23" w:lineRule="atLeast"/>
        <w:rPr>
          <w:sz w:val="24"/>
          <w:szCs w:val="24"/>
        </w:rPr>
      </w:pPr>
      <w:r>
        <w:rPr>
          <w:sz w:val="24"/>
          <w:szCs w:val="24"/>
        </w:rPr>
        <w:t>Regarding the reference to</w:t>
      </w:r>
      <w:r w:rsidR="001C3088">
        <w:rPr>
          <w:sz w:val="24"/>
          <w:szCs w:val="24"/>
        </w:rPr>
        <w:t xml:space="preserve"> ‘facility’ </w:t>
      </w:r>
      <w:r>
        <w:rPr>
          <w:sz w:val="24"/>
          <w:szCs w:val="24"/>
        </w:rPr>
        <w:t xml:space="preserve">in the new </w:t>
      </w:r>
      <w:r w:rsidR="00C77FC3">
        <w:rPr>
          <w:sz w:val="24"/>
          <w:szCs w:val="24"/>
        </w:rPr>
        <w:t>sub</w:t>
      </w:r>
      <w:r>
        <w:rPr>
          <w:sz w:val="24"/>
          <w:szCs w:val="24"/>
        </w:rPr>
        <w:t>section 171A</w:t>
      </w:r>
      <w:r w:rsidR="00C77FC3">
        <w:rPr>
          <w:sz w:val="24"/>
          <w:szCs w:val="24"/>
        </w:rPr>
        <w:t>(1)</w:t>
      </w:r>
      <w:r>
        <w:rPr>
          <w:sz w:val="24"/>
          <w:szCs w:val="24"/>
        </w:rPr>
        <w:t xml:space="preserve">, this phrase </w:t>
      </w:r>
      <w:r w:rsidR="001C3088">
        <w:rPr>
          <w:sz w:val="24"/>
          <w:szCs w:val="24"/>
        </w:rPr>
        <w:t xml:space="preserve">is defined in subsection 5(1) of the Principal Regulations </w:t>
      </w:r>
      <w:r>
        <w:rPr>
          <w:sz w:val="24"/>
          <w:szCs w:val="24"/>
        </w:rPr>
        <w:t xml:space="preserve">as having the same meaning as it has in subsection 3A(9) of the </w:t>
      </w:r>
      <w:r w:rsidR="00921984" w:rsidRPr="00921984">
        <w:rPr>
          <w:sz w:val="24"/>
          <w:szCs w:val="24"/>
        </w:rPr>
        <w:t>Act</w:t>
      </w:r>
      <w:r>
        <w:rPr>
          <w:sz w:val="24"/>
          <w:szCs w:val="24"/>
        </w:rPr>
        <w:t xml:space="preserve">. As at the date of </w:t>
      </w:r>
      <w:r w:rsidR="00205887">
        <w:rPr>
          <w:sz w:val="24"/>
          <w:szCs w:val="24"/>
        </w:rPr>
        <w:t xml:space="preserve">commencement of </w:t>
      </w:r>
      <w:r>
        <w:rPr>
          <w:sz w:val="24"/>
          <w:szCs w:val="24"/>
        </w:rPr>
        <w:t xml:space="preserve">the Amendment Regulations, that definition provided that </w:t>
      </w:r>
      <w:r w:rsidR="00FA0228">
        <w:rPr>
          <w:sz w:val="24"/>
          <w:szCs w:val="24"/>
        </w:rPr>
        <w:t>a facility ‘</w:t>
      </w:r>
      <w:r w:rsidR="00FA0228">
        <w:rPr>
          <w:i/>
          <w:sz w:val="24"/>
          <w:szCs w:val="24"/>
        </w:rPr>
        <w:t>includes a building, a structure, a vessel, goods, equipment or services.’</w:t>
      </w:r>
      <w:r w:rsidR="00FA0228">
        <w:rPr>
          <w:sz w:val="24"/>
          <w:szCs w:val="24"/>
        </w:rPr>
        <w:t xml:space="preserve"> Whilst it is acknowledged that not all types of facilities are capable of dropping an anchor in a no-anchoring area, by using the ph</w:t>
      </w:r>
      <w:r w:rsidR="007C0611">
        <w:rPr>
          <w:sz w:val="24"/>
          <w:szCs w:val="24"/>
        </w:rPr>
        <w:t>r</w:t>
      </w:r>
      <w:r w:rsidR="00FA0228">
        <w:rPr>
          <w:sz w:val="24"/>
          <w:szCs w:val="24"/>
        </w:rPr>
        <w:t>ase ‘facility’ in section 171A</w:t>
      </w:r>
      <w:r w:rsidR="005C3F01">
        <w:rPr>
          <w:sz w:val="24"/>
          <w:szCs w:val="24"/>
        </w:rPr>
        <w:t xml:space="preserve">, it is intended that the offence provision will be capable of having a broad interpretation and will apply to any facility that drops an anchor. </w:t>
      </w:r>
      <w:r w:rsidR="00003F69">
        <w:rPr>
          <w:sz w:val="24"/>
          <w:szCs w:val="24"/>
        </w:rPr>
        <w:t>Use of this phrase will also achieve consistency with the equivalent no-anchoring provision in section</w:t>
      </w:r>
      <w:r w:rsidR="00E07D61">
        <w:rPr>
          <w:sz w:val="24"/>
          <w:szCs w:val="24"/>
        </w:rPr>
        <w:t xml:space="preserve"> </w:t>
      </w:r>
      <w:r w:rsidR="00003F69">
        <w:rPr>
          <w:sz w:val="24"/>
          <w:szCs w:val="24"/>
        </w:rPr>
        <w:t xml:space="preserve">2.12 of the </w:t>
      </w:r>
      <w:r w:rsidR="00003F69">
        <w:rPr>
          <w:i/>
          <w:sz w:val="24"/>
          <w:szCs w:val="24"/>
        </w:rPr>
        <w:t>Whitsundays Plan of Management 1998</w:t>
      </w:r>
      <w:r w:rsidR="00003F69">
        <w:rPr>
          <w:sz w:val="24"/>
          <w:szCs w:val="24"/>
        </w:rPr>
        <w:t xml:space="preserve">.  </w:t>
      </w:r>
    </w:p>
    <w:p w14:paraId="5096ADA6" w14:textId="46D65544" w:rsidR="001C3088" w:rsidRPr="00E9746A" w:rsidRDefault="005C3F01" w:rsidP="00945D11">
      <w:pPr>
        <w:spacing w:line="23" w:lineRule="atLeast"/>
        <w:rPr>
          <w:sz w:val="24"/>
          <w:szCs w:val="24"/>
        </w:rPr>
      </w:pPr>
      <w:r w:rsidRPr="005C3F01">
        <w:rPr>
          <w:sz w:val="24"/>
          <w:szCs w:val="24"/>
        </w:rPr>
        <w:t xml:space="preserve">The </w:t>
      </w:r>
      <w:r>
        <w:rPr>
          <w:sz w:val="24"/>
          <w:szCs w:val="24"/>
        </w:rPr>
        <w:t xml:space="preserve">offence </w:t>
      </w:r>
      <w:r w:rsidRPr="005C3F01">
        <w:rPr>
          <w:sz w:val="24"/>
          <w:szCs w:val="24"/>
        </w:rPr>
        <w:t>provision</w:t>
      </w:r>
      <w:r w:rsidR="00C77FC3">
        <w:rPr>
          <w:sz w:val="24"/>
          <w:szCs w:val="24"/>
        </w:rPr>
        <w:t>s</w:t>
      </w:r>
      <w:r w:rsidRPr="005C3F01">
        <w:rPr>
          <w:sz w:val="24"/>
          <w:szCs w:val="24"/>
        </w:rPr>
        <w:t xml:space="preserve"> </w:t>
      </w:r>
      <w:r w:rsidR="00C77FC3">
        <w:rPr>
          <w:sz w:val="24"/>
          <w:szCs w:val="24"/>
        </w:rPr>
        <w:t>are</w:t>
      </w:r>
      <w:r w:rsidRPr="005C3F01">
        <w:rPr>
          <w:sz w:val="24"/>
          <w:szCs w:val="24"/>
        </w:rPr>
        <w:t xml:space="preserve"> drafted to be consistent with </w:t>
      </w:r>
      <w:r w:rsidRPr="005C3F01">
        <w:rPr>
          <w:i/>
          <w:sz w:val="24"/>
          <w:szCs w:val="24"/>
        </w:rPr>
        <w:t>A Guide to Framing Commonwealth Offences, Civil Penalties and Enforcement Powers</w:t>
      </w:r>
      <w:r w:rsidRPr="005C3F01">
        <w:rPr>
          <w:sz w:val="24"/>
          <w:szCs w:val="24"/>
        </w:rPr>
        <w:t xml:space="preserve">. </w:t>
      </w:r>
      <w:r w:rsidR="00C77FC3">
        <w:rPr>
          <w:sz w:val="24"/>
          <w:szCs w:val="24"/>
        </w:rPr>
        <w:t>The offences are</w:t>
      </w:r>
      <w:r w:rsidRPr="005C3F01">
        <w:rPr>
          <w:sz w:val="24"/>
          <w:szCs w:val="24"/>
        </w:rPr>
        <w:t xml:space="preserve"> appropriately strict liability offence</w:t>
      </w:r>
      <w:r w:rsidR="00C77FC3">
        <w:rPr>
          <w:sz w:val="24"/>
          <w:szCs w:val="24"/>
        </w:rPr>
        <w:t>s</w:t>
      </w:r>
      <w:r w:rsidRPr="005C3F01">
        <w:rPr>
          <w:sz w:val="24"/>
          <w:szCs w:val="24"/>
        </w:rPr>
        <w:t xml:space="preserve"> as </w:t>
      </w:r>
      <w:r w:rsidR="00C77FC3">
        <w:rPr>
          <w:sz w:val="24"/>
          <w:szCs w:val="24"/>
        </w:rPr>
        <w:t>they</w:t>
      </w:r>
      <w:r w:rsidRPr="005C3F01">
        <w:rPr>
          <w:sz w:val="24"/>
          <w:szCs w:val="24"/>
        </w:rPr>
        <w:t xml:space="preserve"> support the integrity of the regulatory scheme for the environment. It is also important for the offence</w:t>
      </w:r>
      <w:r w:rsidR="00C77FC3">
        <w:rPr>
          <w:sz w:val="24"/>
          <w:szCs w:val="24"/>
        </w:rPr>
        <w:t>s</w:t>
      </w:r>
      <w:r w:rsidRPr="005C3F01">
        <w:rPr>
          <w:sz w:val="24"/>
          <w:szCs w:val="24"/>
        </w:rPr>
        <w:t xml:space="preserve"> to be strict liability offence</w:t>
      </w:r>
      <w:r w:rsidR="00C77FC3">
        <w:rPr>
          <w:sz w:val="24"/>
          <w:szCs w:val="24"/>
        </w:rPr>
        <w:t>s</w:t>
      </w:r>
      <w:r w:rsidRPr="005C3F01">
        <w:rPr>
          <w:sz w:val="24"/>
          <w:szCs w:val="24"/>
        </w:rPr>
        <w:t xml:space="preserve"> so </w:t>
      </w:r>
      <w:r w:rsidR="00C95B01">
        <w:rPr>
          <w:sz w:val="24"/>
          <w:szCs w:val="24"/>
        </w:rPr>
        <w:t>that it is appropriate</w:t>
      </w:r>
      <w:r w:rsidR="003800A6">
        <w:rPr>
          <w:sz w:val="24"/>
          <w:szCs w:val="24"/>
        </w:rPr>
        <w:t xml:space="preserve"> </w:t>
      </w:r>
      <w:r w:rsidRPr="005C3F01">
        <w:rPr>
          <w:sz w:val="24"/>
          <w:szCs w:val="24"/>
        </w:rPr>
        <w:t xml:space="preserve">to bring </w:t>
      </w:r>
      <w:r w:rsidR="00C77FC3">
        <w:rPr>
          <w:sz w:val="24"/>
          <w:szCs w:val="24"/>
        </w:rPr>
        <w:t>them</w:t>
      </w:r>
      <w:r w:rsidRPr="005C3F01">
        <w:rPr>
          <w:sz w:val="24"/>
          <w:szCs w:val="24"/>
        </w:rPr>
        <w:t xml:space="preserve"> within the </w:t>
      </w:r>
      <w:r w:rsidR="001B2C1D">
        <w:rPr>
          <w:sz w:val="24"/>
          <w:szCs w:val="24"/>
        </w:rPr>
        <w:t xml:space="preserve">existing infringement notice scheme in accordance </w:t>
      </w:r>
      <w:r w:rsidR="001B2C1D" w:rsidRPr="003800A6">
        <w:rPr>
          <w:sz w:val="24"/>
          <w:szCs w:val="24"/>
        </w:rPr>
        <w:t>with Item</w:t>
      </w:r>
      <w:r w:rsidR="00E07D61" w:rsidRPr="003800A6">
        <w:rPr>
          <w:sz w:val="24"/>
          <w:szCs w:val="24"/>
        </w:rPr>
        <w:t xml:space="preserve"> 5</w:t>
      </w:r>
      <w:r w:rsidRPr="003800A6">
        <w:rPr>
          <w:sz w:val="24"/>
          <w:szCs w:val="24"/>
        </w:rPr>
        <w:t xml:space="preserve"> of</w:t>
      </w:r>
      <w:r>
        <w:rPr>
          <w:sz w:val="24"/>
          <w:szCs w:val="24"/>
        </w:rPr>
        <w:t xml:space="preserve"> the Amendment Regulations</w:t>
      </w:r>
      <w:r w:rsidRPr="005C3F01">
        <w:rPr>
          <w:sz w:val="24"/>
          <w:szCs w:val="24"/>
        </w:rPr>
        <w:t>. It is reasonable for persons who use or enter the Marine Park to expect there will be rules that apply and that they need to be familiar with the rules</w:t>
      </w:r>
      <w:r w:rsidR="00DE0BAD" w:rsidRPr="00DE0BAD">
        <w:rPr>
          <w:rFonts w:ascii="Times New Roman" w:hAnsi="Times New Roman" w:cs="Times New Roman"/>
          <w:sz w:val="24"/>
          <w:szCs w:val="24"/>
        </w:rPr>
        <w:t xml:space="preserve"> </w:t>
      </w:r>
      <w:r w:rsidR="00DE0BAD" w:rsidRPr="00DE0BAD">
        <w:rPr>
          <w:sz w:val="24"/>
          <w:szCs w:val="24"/>
        </w:rPr>
        <w:t xml:space="preserve">when </w:t>
      </w:r>
      <w:r w:rsidR="00DE0BAD">
        <w:rPr>
          <w:sz w:val="24"/>
          <w:szCs w:val="24"/>
        </w:rPr>
        <w:t xml:space="preserve">accessing and </w:t>
      </w:r>
      <w:r w:rsidR="00DE0BAD" w:rsidRPr="00DE0BAD">
        <w:rPr>
          <w:sz w:val="24"/>
          <w:szCs w:val="24"/>
        </w:rPr>
        <w:t>undertaking activities in the Marine Park</w:t>
      </w:r>
      <w:r w:rsidRPr="005C3F01">
        <w:rPr>
          <w:sz w:val="24"/>
          <w:szCs w:val="24"/>
        </w:rPr>
        <w:t xml:space="preserve">. </w:t>
      </w:r>
      <w:r w:rsidR="00C77FC3">
        <w:rPr>
          <w:sz w:val="24"/>
          <w:szCs w:val="24"/>
        </w:rPr>
        <w:t>Marine Park users</w:t>
      </w:r>
      <w:r w:rsidRPr="005C3F01">
        <w:rPr>
          <w:sz w:val="24"/>
          <w:szCs w:val="24"/>
        </w:rPr>
        <w:t xml:space="preserve"> can therefore be considered to be placed on notice to guard against the possibility of a contravention. The penalty does not include imprisonment and the fine does not exceed 60 penalty units for an individual.</w:t>
      </w:r>
    </w:p>
    <w:p w14:paraId="784D71F1" w14:textId="77777777" w:rsidR="00C77FC3" w:rsidRDefault="00C77FC3">
      <w:pPr>
        <w:spacing w:after="160" w:line="259" w:lineRule="auto"/>
        <w:rPr>
          <w:b/>
          <w:sz w:val="24"/>
          <w:szCs w:val="24"/>
        </w:rPr>
      </w:pPr>
      <w:r>
        <w:rPr>
          <w:b/>
          <w:sz w:val="24"/>
          <w:szCs w:val="24"/>
        </w:rPr>
        <w:br w:type="page"/>
      </w:r>
    </w:p>
    <w:p w14:paraId="32D8A3B7" w14:textId="70D3AF8E" w:rsidR="00391CD0" w:rsidRDefault="00391CD0" w:rsidP="00166576">
      <w:pPr>
        <w:spacing w:line="23" w:lineRule="atLeast"/>
        <w:rPr>
          <w:b/>
          <w:sz w:val="24"/>
          <w:szCs w:val="24"/>
        </w:rPr>
      </w:pPr>
      <w:r w:rsidRPr="003800A6">
        <w:rPr>
          <w:b/>
          <w:sz w:val="24"/>
          <w:szCs w:val="24"/>
        </w:rPr>
        <w:lastRenderedPageBreak/>
        <w:t>Item [</w:t>
      </w:r>
      <w:r w:rsidR="00E07D61" w:rsidRPr="003800A6">
        <w:rPr>
          <w:b/>
          <w:sz w:val="24"/>
          <w:szCs w:val="24"/>
        </w:rPr>
        <w:t>4</w:t>
      </w:r>
      <w:r w:rsidRPr="003800A6">
        <w:rPr>
          <w:b/>
          <w:sz w:val="24"/>
          <w:szCs w:val="24"/>
        </w:rPr>
        <w:t>] Subsection</w:t>
      </w:r>
      <w:r>
        <w:rPr>
          <w:b/>
          <w:sz w:val="24"/>
          <w:szCs w:val="24"/>
        </w:rPr>
        <w:t xml:space="preserve"> 243(1) (table item 9)</w:t>
      </w:r>
    </w:p>
    <w:p w14:paraId="075D6780" w14:textId="77777777" w:rsidR="00391CD0" w:rsidRDefault="00391CD0" w:rsidP="00391CD0">
      <w:pPr>
        <w:spacing w:line="23" w:lineRule="atLeast"/>
        <w:rPr>
          <w:sz w:val="24"/>
          <w:szCs w:val="24"/>
        </w:rPr>
      </w:pPr>
      <w:r w:rsidRPr="00711E3B">
        <w:rPr>
          <w:sz w:val="24"/>
          <w:szCs w:val="24"/>
        </w:rPr>
        <w:t>The table in subsection 243(1)</w:t>
      </w:r>
      <w:r>
        <w:rPr>
          <w:sz w:val="24"/>
          <w:szCs w:val="24"/>
        </w:rPr>
        <w:t xml:space="preserve"> of the Principal Regulations</w:t>
      </w:r>
      <w:r w:rsidRPr="00711E3B">
        <w:rPr>
          <w:sz w:val="24"/>
          <w:szCs w:val="24"/>
        </w:rPr>
        <w:t xml:space="preserve"> sets out the infringement no</w:t>
      </w:r>
      <w:r>
        <w:rPr>
          <w:sz w:val="24"/>
          <w:szCs w:val="24"/>
        </w:rPr>
        <w:t>tice offences for the Principal Regulations</w:t>
      </w:r>
      <w:r w:rsidRPr="00711E3B">
        <w:rPr>
          <w:sz w:val="24"/>
          <w:szCs w:val="24"/>
        </w:rPr>
        <w:t xml:space="preserve"> and the corresponding infringement notice penalties. Subsection 243(1) provides that an offence against a provision of the </w:t>
      </w:r>
      <w:r>
        <w:rPr>
          <w:sz w:val="24"/>
          <w:szCs w:val="24"/>
        </w:rPr>
        <w:t>Principal Regulations</w:t>
      </w:r>
      <w:r w:rsidRPr="00711E3B">
        <w:rPr>
          <w:sz w:val="24"/>
          <w:szCs w:val="24"/>
        </w:rPr>
        <w:t xml:space="preserve"> mentioned in column 1 of an item in the table set out in the subsection is an infringement notice offence. The penalty (being the infringement notice penalty) for the offence is the penalty mentioned in column 2 of the item. </w:t>
      </w:r>
      <w:r w:rsidRPr="00383D6C">
        <w:rPr>
          <w:sz w:val="24"/>
          <w:szCs w:val="24"/>
        </w:rPr>
        <w:t xml:space="preserve">  </w:t>
      </w:r>
    </w:p>
    <w:p w14:paraId="3F59E52E" w14:textId="44E55D4C" w:rsidR="00391CD0" w:rsidRDefault="00E07D61" w:rsidP="00166576">
      <w:pPr>
        <w:spacing w:line="23" w:lineRule="atLeast"/>
        <w:rPr>
          <w:b/>
          <w:sz w:val="24"/>
          <w:szCs w:val="24"/>
        </w:rPr>
      </w:pPr>
      <w:r w:rsidRPr="003800A6">
        <w:rPr>
          <w:sz w:val="24"/>
          <w:szCs w:val="24"/>
        </w:rPr>
        <w:t>Item 4</w:t>
      </w:r>
      <w:r w:rsidR="00D04CF9" w:rsidRPr="003800A6">
        <w:rPr>
          <w:sz w:val="24"/>
          <w:szCs w:val="24"/>
        </w:rPr>
        <w:t xml:space="preserve"> is intended</w:t>
      </w:r>
      <w:r w:rsidR="00D04CF9">
        <w:rPr>
          <w:sz w:val="24"/>
          <w:szCs w:val="24"/>
        </w:rPr>
        <w:t xml:space="preserve"> to correct</w:t>
      </w:r>
      <w:r w:rsidR="00391CD0">
        <w:rPr>
          <w:sz w:val="24"/>
          <w:szCs w:val="24"/>
        </w:rPr>
        <w:t xml:space="preserve"> a minor typographical matter that was identified during the drafting of the Amendment Regulations, in that the reference in table item 9</w:t>
      </w:r>
      <w:r>
        <w:rPr>
          <w:sz w:val="24"/>
          <w:szCs w:val="24"/>
        </w:rPr>
        <w:t>,</w:t>
      </w:r>
      <w:r w:rsidR="00391CD0">
        <w:rPr>
          <w:sz w:val="24"/>
          <w:szCs w:val="24"/>
        </w:rPr>
        <w:t xml:space="preserve"> which lists the four offences in section 171</w:t>
      </w:r>
      <w:r>
        <w:rPr>
          <w:sz w:val="24"/>
          <w:szCs w:val="24"/>
        </w:rPr>
        <w:t>,</w:t>
      </w:r>
      <w:r w:rsidR="00391CD0">
        <w:rPr>
          <w:sz w:val="24"/>
          <w:szCs w:val="24"/>
        </w:rPr>
        <w:t xml:space="preserve"> should be separated by the phrase ‘or’ (rather than the phrase ‘and’) so that there is no doubt that any of those offences constitute an infringement notice </w:t>
      </w:r>
      <w:r w:rsidR="00391CD0" w:rsidRPr="003800A6">
        <w:rPr>
          <w:sz w:val="24"/>
          <w:szCs w:val="24"/>
        </w:rPr>
        <w:t xml:space="preserve">offence. Item </w:t>
      </w:r>
      <w:r w:rsidR="00A64753" w:rsidRPr="003800A6">
        <w:rPr>
          <w:sz w:val="24"/>
          <w:szCs w:val="24"/>
        </w:rPr>
        <w:t>4</w:t>
      </w:r>
      <w:r w:rsidR="00D04CF9" w:rsidRPr="003800A6">
        <w:rPr>
          <w:sz w:val="24"/>
          <w:szCs w:val="24"/>
        </w:rPr>
        <w:t xml:space="preserve"> therefore</w:t>
      </w:r>
      <w:r w:rsidR="00391CD0">
        <w:rPr>
          <w:sz w:val="24"/>
          <w:szCs w:val="24"/>
        </w:rPr>
        <w:t xml:space="preserve"> substitutes the phrase ‘and’ with the phrase ‘or’</w:t>
      </w:r>
      <w:r w:rsidR="00D04CF9">
        <w:rPr>
          <w:sz w:val="24"/>
          <w:szCs w:val="24"/>
        </w:rPr>
        <w:t>, which is more consistent with the manner in which other items in the table have been drafted.</w:t>
      </w:r>
      <w:r w:rsidR="00391CD0">
        <w:rPr>
          <w:sz w:val="24"/>
          <w:szCs w:val="24"/>
        </w:rPr>
        <w:t xml:space="preserve">   </w:t>
      </w:r>
    </w:p>
    <w:p w14:paraId="583F1973" w14:textId="6F5F4512" w:rsidR="00032222" w:rsidRDefault="00032222" w:rsidP="00166576">
      <w:pPr>
        <w:spacing w:line="23" w:lineRule="atLeast"/>
        <w:rPr>
          <w:b/>
          <w:sz w:val="24"/>
          <w:szCs w:val="24"/>
        </w:rPr>
      </w:pPr>
      <w:r w:rsidRPr="003800A6">
        <w:rPr>
          <w:b/>
          <w:sz w:val="24"/>
          <w:szCs w:val="24"/>
        </w:rPr>
        <w:t>Item [</w:t>
      </w:r>
      <w:r w:rsidR="00E07D61" w:rsidRPr="003800A6">
        <w:rPr>
          <w:b/>
          <w:sz w:val="24"/>
          <w:szCs w:val="24"/>
        </w:rPr>
        <w:t>5</w:t>
      </w:r>
      <w:r w:rsidRPr="003800A6">
        <w:rPr>
          <w:b/>
          <w:sz w:val="24"/>
          <w:szCs w:val="24"/>
        </w:rPr>
        <w:t>] Subsection</w:t>
      </w:r>
      <w:r>
        <w:rPr>
          <w:b/>
          <w:sz w:val="24"/>
          <w:szCs w:val="24"/>
        </w:rPr>
        <w:t xml:space="preserve"> 243(1) (after table item 9)</w:t>
      </w:r>
    </w:p>
    <w:p w14:paraId="01F9E048" w14:textId="1B32BF19" w:rsidR="00711E3B" w:rsidRPr="00383D6C" w:rsidRDefault="00A64753" w:rsidP="00166576">
      <w:pPr>
        <w:spacing w:line="23" w:lineRule="atLeast"/>
        <w:rPr>
          <w:sz w:val="24"/>
          <w:szCs w:val="24"/>
        </w:rPr>
      </w:pPr>
      <w:r w:rsidRPr="003800A6">
        <w:rPr>
          <w:sz w:val="24"/>
          <w:szCs w:val="24"/>
        </w:rPr>
        <w:t>Item 5</w:t>
      </w:r>
      <w:r w:rsidR="00711E3B" w:rsidRPr="003800A6">
        <w:rPr>
          <w:sz w:val="24"/>
          <w:szCs w:val="24"/>
        </w:rPr>
        <w:t xml:space="preserve"> inserts</w:t>
      </w:r>
      <w:r w:rsidR="00711E3B">
        <w:rPr>
          <w:sz w:val="24"/>
          <w:szCs w:val="24"/>
        </w:rPr>
        <w:t xml:space="preserve"> a new item into the table in section 243(1) of the Principal Regulations, so that an offence </w:t>
      </w:r>
      <w:r w:rsidR="00711E3B" w:rsidRPr="00B61229">
        <w:rPr>
          <w:sz w:val="24"/>
          <w:szCs w:val="24"/>
        </w:rPr>
        <w:t>again</w:t>
      </w:r>
      <w:r w:rsidR="002D1CDB" w:rsidRPr="00B61229">
        <w:rPr>
          <w:sz w:val="24"/>
          <w:szCs w:val="24"/>
        </w:rPr>
        <w:t>st</w:t>
      </w:r>
      <w:r w:rsidR="00711E3B" w:rsidRPr="00B61229">
        <w:rPr>
          <w:sz w:val="24"/>
          <w:szCs w:val="24"/>
        </w:rPr>
        <w:t xml:space="preserve"> </w:t>
      </w:r>
      <w:r w:rsidR="002D1CDB" w:rsidRPr="00B61229">
        <w:rPr>
          <w:sz w:val="24"/>
          <w:szCs w:val="24"/>
        </w:rPr>
        <w:t>either sub</w:t>
      </w:r>
      <w:r w:rsidR="00711E3B" w:rsidRPr="00B61229">
        <w:rPr>
          <w:sz w:val="24"/>
          <w:szCs w:val="24"/>
        </w:rPr>
        <w:t>section 171A</w:t>
      </w:r>
      <w:r w:rsidR="002D1CDB" w:rsidRPr="00B61229">
        <w:rPr>
          <w:sz w:val="24"/>
          <w:szCs w:val="24"/>
        </w:rPr>
        <w:t>(1), or subsection 171A(2</w:t>
      </w:r>
      <w:r w:rsidR="002D1CDB">
        <w:rPr>
          <w:sz w:val="24"/>
          <w:szCs w:val="24"/>
        </w:rPr>
        <w:t>),</w:t>
      </w:r>
      <w:r w:rsidR="00711E3B">
        <w:rPr>
          <w:sz w:val="24"/>
          <w:szCs w:val="24"/>
        </w:rPr>
        <w:t xml:space="preserve"> is an infringement notice offence. The infringement notice penalty for </w:t>
      </w:r>
      <w:r w:rsidR="002D1CDB">
        <w:rPr>
          <w:sz w:val="24"/>
          <w:szCs w:val="24"/>
        </w:rPr>
        <w:t>such an</w:t>
      </w:r>
      <w:r w:rsidR="00711E3B">
        <w:rPr>
          <w:sz w:val="24"/>
          <w:szCs w:val="24"/>
        </w:rPr>
        <w:t xml:space="preserve"> offence is 3 penalty units. </w:t>
      </w:r>
      <w:r w:rsidR="00F87B2F">
        <w:rPr>
          <w:sz w:val="24"/>
          <w:szCs w:val="24"/>
        </w:rPr>
        <w:t>This penalty aligns with the infringement notice penalties imposed under the Principal Regulations for similar offences (e.g. the infringement notice offence in table item 23 for a contravention of a plan of management) and is considered by the Authority to be at a level appropriate for environmental regulation.</w:t>
      </w:r>
    </w:p>
    <w:p w14:paraId="77415A83" w14:textId="33BB9D08" w:rsidR="00C77FC3" w:rsidRDefault="00C77FC3" w:rsidP="007A6A48">
      <w:pPr>
        <w:spacing w:line="23" w:lineRule="atLeast"/>
        <w:rPr>
          <w:b/>
          <w:sz w:val="24"/>
          <w:szCs w:val="24"/>
        </w:rPr>
      </w:pPr>
      <w:r w:rsidRPr="003800A6">
        <w:rPr>
          <w:b/>
          <w:sz w:val="24"/>
          <w:szCs w:val="24"/>
        </w:rPr>
        <w:t>Item [</w:t>
      </w:r>
      <w:r w:rsidR="00A64753" w:rsidRPr="003800A6">
        <w:rPr>
          <w:b/>
          <w:sz w:val="24"/>
          <w:szCs w:val="24"/>
        </w:rPr>
        <w:t>6</w:t>
      </w:r>
      <w:r w:rsidRPr="003800A6">
        <w:rPr>
          <w:b/>
          <w:sz w:val="24"/>
          <w:szCs w:val="24"/>
        </w:rPr>
        <w:t>] Schedule</w:t>
      </w:r>
      <w:r w:rsidRPr="007A6A48">
        <w:rPr>
          <w:b/>
          <w:sz w:val="24"/>
          <w:szCs w:val="24"/>
        </w:rPr>
        <w:t xml:space="preserve"> 3</w:t>
      </w:r>
    </w:p>
    <w:p w14:paraId="3F778041" w14:textId="18F5693B" w:rsidR="002D1CDB" w:rsidRPr="007A6A48" w:rsidRDefault="002D1CDB" w:rsidP="007A6A48">
      <w:pPr>
        <w:spacing w:line="23" w:lineRule="atLeast"/>
        <w:rPr>
          <w:sz w:val="24"/>
          <w:szCs w:val="24"/>
        </w:rPr>
      </w:pPr>
      <w:r>
        <w:rPr>
          <w:sz w:val="24"/>
          <w:szCs w:val="24"/>
        </w:rPr>
        <w:t>As explained above in relation to Item 1, it is no longer necessary to describe no-anchoring areas in Schedule 3 of the Principal Regulations, as the descriptions for these no-anchoring areas have all been consolidated with the descriptions for other no-anchoring areas in a single instrumen</w:t>
      </w:r>
      <w:r w:rsidR="00A64753">
        <w:rPr>
          <w:sz w:val="24"/>
          <w:szCs w:val="24"/>
        </w:rPr>
        <w:t xml:space="preserve">t (the 2021 </w:t>
      </w:r>
      <w:r w:rsidR="00A64753" w:rsidRPr="003800A6">
        <w:rPr>
          <w:sz w:val="24"/>
          <w:szCs w:val="24"/>
        </w:rPr>
        <w:t>Declaration). Item 6</w:t>
      </w:r>
      <w:r w:rsidRPr="003800A6">
        <w:rPr>
          <w:sz w:val="24"/>
          <w:szCs w:val="24"/>
        </w:rPr>
        <w:t xml:space="preserve"> therefore</w:t>
      </w:r>
      <w:r>
        <w:rPr>
          <w:sz w:val="24"/>
          <w:szCs w:val="24"/>
        </w:rPr>
        <w:t xml:space="preserve"> repeals Schedule 3 (and the definition of no-anchoring area has been updated </w:t>
      </w:r>
      <w:r w:rsidR="00264244">
        <w:rPr>
          <w:sz w:val="24"/>
          <w:szCs w:val="24"/>
        </w:rPr>
        <w:t xml:space="preserve">as a consequence, </w:t>
      </w:r>
      <w:r>
        <w:rPr>
          <w:sz w:val="24"/>
          <w:szCs w:val="24"/>
        </w:rPr>
        <w:t>to remove the reference to Schedule 3 (see explanation of I</w:t>
      </w:r>
      <w:r w:rsidR="00264244">
        <w:rPr>
          <w:sz w:val="24"/>
          <w:szCs w:val="24"/>
        </w:rPr>
        <w:t>tem 1 above</w:t>
      </w:r>
      <w:r>
        <w:rPr>
          <w:sz w:val="24"/>
          <w:szCs w:val="24"/>
        </w:rPr>
        <w:t xml:space="preserve">).  </w:t>
      </w:r>
    </w:p>
    <w:p w14:paraId="4FD0EC96" w14:textId="77777777" w:rsidR="002D1CDB" w:rsidRPr="00B61229" w:rsidRDefault="002D1CDB" w:rsidP="007A6A48">
      <w:pPr>
        <w:spacing w:line="23" w:lineRule="atLeast"/>
        <w:rPr>
          <w:b/>
          <w:sz w:val="24"/>
          <w:szCs w:val="24"/>
        </w:rPr>
        <w:sectPr w:rsidR="002D1CDB" w:rsidRPr="00B61229">
          <w:pgSz w:w="11906" w:h="16838"/>
          <w:pgMar w:top="1440" w:right="1440" w:bottom="1440" w:left="1440" w:header="708" w:footer="708" w:gutter="0"/>
          <w:cols w:space="708"/>
          <w:docGrid w:linePitch="360"/>
        </w:sectPr>
      </w:pPr>
    </w:p>
    <w:p w14:paraId="638528D9" w14:textId="77777777" w:rsidR="00166576" w:rsidRPr="00511B0A" w:rsidRDefault="00166576" w:rsidP="00166576">
      <w:pPr>
        <w:spacing w:line="23" w:lineRule="atLeast"/>
        <w:jc w:val="right"/>
        <w:rPr>
          <w:b/>
          <w:sz w:val="24"/>
          <w:szCs w:val="24"/>
        </w:rPr>
      </w:pPr>
      <w:r w:rsidRPr="00511B0A">
        <w:rPr>
          <w:b/>
          <w:sz w:val="24"/>
          <w:szCs w:val="24"/>
        </w:rPr>
        <w:lastRenderedPageBreak/>
        <w:t>ATTACHMENT B</w:t>
      </w:r>
    </w:p>
    <w:p w14:paraId="638528DA" w14:textId="77777777" w:rsidR="00166576" w:rsidRPr="00511B0A" w:rsidRDefault="00166576" w:rsidP="00166576">
      <w:pPr>
        <w:spacing w:line="23" w:lineRule="atLeast"/>
        <w:jc w:val="center"/>
        <w:rPr>
          <w:caps/>
          <w:color w:val="000000"/>
          <w:sz w:val="24"/>
          <w:szCs w:val="24"/>
        </w:rPr>
      </w:pPr>
      <w:r w:rsidRPr="00511B0A">
        <w:rPr>
          <w:b/>
          <w:bCs/>
          <w:caps/>
          <w:color w:val="000000"/>
          <w:sz w:val="24"/>
          <w:szCs w:val="24"/>
          <w:u w:val="single"/>
        </w:rPr>
        <w:t>Statement of Compatibility with Human Rights</w:t>
      </w:r>
    </w:p>
    <w:p w14:paraId="638528DB" w14:textId="77777777" w:rsidR="00166576" w:rsidRPr="00BB2557" w:rsidRDefault="00166576" w:rsidP="00166576">
      <w:pPr>
        <w:spacing w:line="23" w:lineRule="atLeast"/>
        <w:jc w:val="center"/>
        <w:rPr>
          <w:color w:val="000000"/>
          <w:sz w:val="24"/>
          <w:szCs w:val="24"/>
        </w:rPr>
      </w:pPr>
      <w:r w:rsidRPr="00BB2557">
        <w:rPr>
          <w:i/>
          <w:iCs/>
          <w:color w:val="000000"/>
          <w:sz w:val="24"/>
          <w:szCs w:val="24"/>
        </w:rPr>
        <w:t>Prepared in accordance with Part 3 of the Human Rights (Parliamentary Scrutiny) Act 2011</w:t>
      </w:r>
    </w:p>
    <w:p w14:paraId="638528DC" w14:textId="104CF41B" w:rsidR="00166576" w:rsidRPr="00BB2557" w:rsidRDefault="00166576" w:rsidP="00166576">
      <w:pPr>
        <w:spacing w:line="23" w:lineRule="atLeast"/>
        <w:jc w:val="center"/>
        <w:rPr>
          <w:color w:val="000000"/>
          <w:sz w:val="24"/>
          <w:szCs w:val="24"/>
        </w:rPr>
      </w:pPr>
      <w:r w:rsidRPr="00BB2557">
        <w:rPr>
          <w:b/>
          <w:bCs/>
          <w:i/>
          <w:iCs/>
          <w:color w:val="000000"/>
          <w:sz w:val="24"/>
          <w:szCs w:val="24"/>
        </w:rPr>
        <w:t>Great Barrier Reef Marine Park</w:t>
      </w:r>
      <w:r>
        <w:rPr>
          <w:b/>
          <w:bCs/>
          <w:i/>
          <w:iCs/>
          <w:color w:val="000000"/>
          <w:sz w:val="24"/>
          <w:szCs w:val="24"/>
        </w:rPr>
        <w:t xml:space="preserve"> Amendment</w:t>
      </w:r>
      <w:r w:rsidRPr="00BB2557">
        <w:rPr>
          <w:b/>
          <w:bCs/>
          <w:i/>
          <w:iCs/>
          <w:color w:val="000000"/>
          <w:sz w:val="24"/>
          <w:szCs w:val="24"/>
        </w:rPr>
        <w:t xml:space="preserve"> </w:t>
      </w:r>
      <w:r>
        <w:rPr>
          <w:b/>
          <w:bCs/>
          <w:i/>
          <w:iCs/>
          <w:color w:val="000000"/>
          <w:sz w:val="24"/>
          <w:szCs w:val="24"/>
        </w:rPr>
        <w:t>(</w:t>
      </w:r>
      <w:r w:rsidR="00F87B2F">
        <w:rPr>
          <w:b/>
          <w:bCs/>
          <w:i/>
          <w:iCs/>
          <w:color w:val="000000"/>
          <w:sz w:val="24"/>
          <w:szCs w:val="24"/>
        </w:rPr>
        <w:t>No-Anchoring Areas) Regulations 2021</w:t>
      </w:r>
    </w:p>
    <w:p w14:paraId="638528DD" w14:textId="77777777" w:rsidR="00166576" w:rsidRPr="00BB2557" w:rsidRDefault="00166576" w:rsidP="00166576">
      <w:pPr>
        <w:spacing w:line="23" w:lineRule="atLeast"/>
        <w:jc w:val="center"/>
        <w:rPr>
          <w:color w:val="000000"/>
          <w:sz w:val="24"/>
          <w:szCs w:val="24"/>
        </w:rPr>
      </w:pPr>
      <w:r w:rsidRPr="00BB2557">
        <w:rPr>
          <w:color w:val="000000"/>
          <w:sz w:val="24"/>
          <w:szCs w:val="24"/>
        </w:rPr>
        <w:t xml:space="preserve">This disallowable legislative instrument is compatible with the human rights and freedoms recognised or declared in the international instruments listed in section 3 of the </w:t>
      </w:r>
      <w:r w:rsidRPr="00BB2557">
        <w:rPr>
          <w:i/>
          <w:iCs/>
          <w:color w:val="000000"/>
          <w:sz w:val="24"/>
          <w:szCs w:val="24"/>
        </w:rPr>
        <w:t>Human Rights (Parliamentary Scrutiny) Act 2011</w:t>
      </w:r>
      <w:r w:rsidRPr="00BB2557">
        <w:rPr>
          <w:color w:val="000000"/>
          <w:sz w:val="24"/>
          <w:szCs w:val="24"/>
        </w:rPr>
        <w:t>.</w:t>
      </w:r>
    </w:p>
    <w:p w14:paraId="638528DE" w14:textId="77777777" w:rsidR="00166576" w:rsidRPr="00511B0A" w:rsidRDefault="00166576" w:rsidP="00166576">
      <w:pPr>
        <w:pStyle w:val="Heading2"/>
        <w:spacing w:before="0" w:after="200" w:line="23" w:lineRule="atLeast"/>
        <w:jc w:val="both"/>
        <w:rPr>
          <w:rFonts w:asciiTheme="minorHAnsi" w:eastAsiaTheme="minorHAnsi" w:hAnsiTheme="minorHAnsi"/>
          <w:color w:val="000000"/>
          <w:sz w:val="24"/>
          <w:szCs w:val="24"/>
        </w:rPr>
      </w:pPr>
      <w:r w:rsidRPr="00BB2557">
        <w:rPr>
          <w:rFonts w:asciiTheme="minorHAnsi" w:eastAsiaTheme="minorHAnsi" w:hAnsiTheme="minorHAnsi" w:cs="Times New Roman"/>
          <w:color w:val="000000"/>
          <w:sz w:val="24"/>
          <w:szCs w:val="24"/>
        </w:rPr>
        <w:t>Overview of the disallowable legislative instrument</w:t>
      </w:r>
    </w:p>
    <w:p w14:paraId="7EB86D97" w14:textId="61CAEBE5" w:rsidR="0019548A" w:rsidRPr="0019548A" w:rsidRDefault="0019548A" w:rsidP="0019548A">
      <w:pPr>
        <w:pStyle w:val="Default"/>
        <w:spacing w:after="200" w:line="23" w:lineRule="atLeast"/>
        <w:rPr>
          <w:rFonts w:asciiTheme="minorHAnsi" w:hAnsiTheme="minorHAnsi" w:cs="Times New Roman"/>
          <w:lang w:eastAsia="en-AU"/>
        </w:rPr>
      </w:pPr>
      <w:r>
        <w:rPr>
          <w:rFonts w:asciiTheme="minorHAnsi" w:hAnsiTheme="minorHAnsi" w:cs="Times New Roman"/>
          <w:lang w:eastAsia="en-AU"/>
        </w:rPr>
        <w:t xml:space="preserve">No-anchoring areas throughout the Marine Park are designed to protect sensitive habitats such as coral communities from anchor damage. Generally vessels may enter a no-anchoring area, but an anchor must not be dropped in the area. </w:t>
      </w:r>
    </w:p>
    <w:p w14:paraId="0D5E22A2" w14:textId="4872D9AB" w:rsidR="00F87B2F" w:rsidRPr="00F87B2F" w:rsidRDefault="00831307" w:rsidP="00F87B2F">
      <w:pPr>
        <w:spacing w:line="23" w:lineRule="atLeast"/>
        <w:ind w:right="91"/>
        <w:rPr>
          <w:sz w:val="24"/>
          <w:szCs w:val="24"/>
        </w:rPr>
      </w:pPr>
      <w:r w:rsidRPr="00831307">
        <w:rPr>
          <w:sz w:val="24"/>
          <w:szCs w:val="24"/>
        </w:rPr>
        <w:t xml:space="preserve">The primary objective of the </w:t>
      </w:r>
      <w:r w:rsidRPr="00831307">
        <w:rPr>
          <w:i/>
          <w:sz w:val="24"/>
          <w:szCs w:val="24"/>
        </w:rPr>
        <w:t>Great Barrier Reef Marin</w:t>
      </w:r>
      <w:r w:rsidR="00406674">
        <w:rPr>
          <w:i/>
          <w:sz w:val="24"/>
          <w:szCs w:val="24"/>
        </w:rPr>
        <w:t>e Park (</w:t>
      </w:r>
      <w:r w:rsidR="00F87B2F">
        <w:rPr>
          <w:i/>
          <w:sz w:val="24"/>
          <w:szCs w:val="24"/>
        </w:rPr>
        <w:t>No-Anchoring Areas) Regulations 2021</w:t>
      </w:r>
      <w:r w:rsidRPr="00831307">
        <w:rPr>
          <w:sz w:val="24"/>
          <w:szCs w:val="24"/>
        </w:rPr>
        <w:t xml:space="preserve"> (the Amendment Regulations) </w:t>
      </w:r>
      <w:r w:rsidR="00F87B2F" w:rsidRPr="00F87B2F">
        <w:rPr>
          <w:sz w:val="24"/>
          <w:szCs w:val="24"/>
        </w:rPr>
        <w:t xml:space="preserve">is to </w:t>
      </w:r>
      <w:r w:rsidR="00B61229">
        <w:rPr>
          <w:sz w:val="24"/>
          <w:szCs w:val="24"/>
        </w:rPr>
        <w:t>ensure</w:t>
      </w:r>
      <w:r w:rsidR="00256B64">
        <w:rPr>
          <w:rFonts w:cs="Times New Roman"/>
          <w:color w:val="000000"/>
          <w:sz w:val="24"/>
          <w:szCs w:val="24"/>
          <w:lang w:eastAsia="en-AU"/>
        </w:rPr>
        <w:t xml:space="preserve"> there are </w:t>
      </w:r>
      <w:r w:rsidR="00D3067C">
        <w:rPr>
          <w:rFonts w:cs="Times New Roman"/>
          <w:color w:val="000000"/>
          <w:sz w:val="24"/>
          <w:szCs w:val="24"/>
          <w:lang w:eastAsia="en-AU"/>
        </w:rPr>
        <w:t xml:space="preserve">enforceable </w:t>
      </w:r>
      <w:r w:rsidR="00256B64">
        <w:rPr>
          <w:rFonts w:cs="Times New Roman"/>
          <w:color w:val="000000"/>
          <w:sz w:val="24"/>
          <w:szCs w:val="24"/>
          <w:lang w:eastAsia="en-AU"/>
        </w:rPr>
        <w:t xml:space="preserve">rules capable of applying </w:t>
      </w:r>
      <w:r w:rsidR="00B61229">
        <w:rPr>
          <w:sz w:val="24"/>
          <w:szCs w:val="24"/>
        </w:rPr>
        <w:t>to</w:t>
      </w:r>
      <w:r w:rsidR="00F87B2F" w:rsidRPr="00F87B2F">
        <w:rPr>
          <w:sz w:val="24"/>
          <w:szCs w:val="24"/>
        </w:rPr>
        <w:t xml:space="preserve"> no-anchoring areas </w:t>
      </w:r>
      <w:r w:rsidR="00B61229">
        <w:rPr>
          <w:sz w:val="24"/>
          <w:szCs w:val="24"/>
        </w:rPr>
        <w:t xml:space="preserve">declared under paragraph 5(2)(b) of the </w:t>
      </w:r>
      <w:r w:rsidR="00B61229">
        <w:rPr>
          <w:i/>
          <w:sz w:val="24"/>
          <w:szCs w:val="24"/>
        </w:rPr>
        <w:t xml:space="preserve">Great Barrier Reef Marine Park Regulations 2019 </w:t>
      </w:r>
      <w:r w:rsidR="00B61229">
        <w:rPr>
          <w:sz w:val="24"/>
          <w:szCs w:val="24"/>
        </w:rPr>
        <w:t xml:space="preserve">(the </w:t>
      </w:r>
      <w:r w:rsidR="00B61229" w:rsidRPr="00F87B2F">
        <w:rPr>
          <w:sz w:val="24"/>
          <w:szCs w:val="24"/>
        </w:rPr>
        <w:t>Principal Regulations</w:t>
      </w:r>
      <w:r w:rsidR="00B61229">
        <w:rPr>
          <w:sz w:val="24"/>
          <w:szCs w:val="24"/>
        </w:rPr>
        <w:t>) in all areas of the Marine Park</w:t>
      </w:r>
      <w:r w:rsidR="00F87B2F" w:rsidRPr="00F87B2F">
        <w:rPr>
          <w:sz w:val="24"/>
          <w:szCs w:val="24"/>
        </w:rPr>
        <w:t>.</w:t>
      </w:r>
      <w:r w:rsidR="00256B64">
        <w:rPr>
          <w:sz w:val="24"/>
          <w:szCs w:val="24"/>
        </w:rPr>
        <w:t xml:space="preserve"> </w:t>
      </w:r>
    </w:p>
    <w:p w14:paraId="47CBEB60" w14:textId="52A9E28F" w:rsidR="00F87B2F" w:rsidRDefault="00F87B2F" w:rsidP="00F87B2F">
      <w:pPr>
        <w:spacing w:line="23" w:lineRule="atLeast"/>
        <w:ind w:right="91"/>
        <w:rPr>
          <w:sz w:val="24"/>
          <w:szCs w:val="24"/>
        </w:rPr>
      </w:pPr>
      <w:r w:rsidRPr="00F87B2F">
        <w:rPr>
          <w:sz w:val="24"/>
          <w:szCs w:val="24"/>
        </w:rPr>
        <w:t>The provisions of the Amendment Regulations achieve this objective by amending the Principal Regulations so th</w:t>
      </w:r>
      <w:r w:rsidR="007D2B3D">
        <w:rPr>
          <w:sz w:val="24"/>
          <w:szCs w:val="24"/>
        </w:rPr>
        <w:t>at new strict liability offence</w:t>
      </w:r>
      <w:r w:rsidRPr="00F87B2F">
        <w:rPr>
          <w:sz w:val="24"/>
          <w:szCs w:val="24"/>
        </w:rPr>
        <w:t xml:space="preserve"> </w:t>
      </w:r>
      <w:r w:rsidR="007D2B3D">
        <w:rPr>
          <w:sz w:val="24"/>
          <w:szCs w:val="24"/>
        </w:rPr>
        <w:t>and infringement notice offence</w:t>
      </w:r>
      <w:r w:rsidRPr="00F87B2F">
        <w:rPr>
          <w:sz w:val="24"/>
          <w:szCs w:val="24"/>
        </w:rPr>
        <w:t xml:space="preserve"> provisions are created for anchoring in a </w:t>
      </w:r>
      <w:r w:rsidR="007D2B3D">
        <w:rPr>
          <w:sz w:val="24"/>
          <w:szCs w:val="24"/>
        </w:rPr>
        <w:t xml:space="preserve">declared </w:t>
      </w:r>
      <w:r w:rsidRPr="00F87B2F">
        <w:rPr>
          <w:sz w:val="24"/>
          <w:szCs w:val="24"/>
        </w:rPr>
        <w:t>no-anchoring area.</w:t>
      </w:r>
    </w:p>
    <w:p w14:paraId="638528E6" w14:textId="324BCC7F" w:rsidR="00166576" w:rsidRDefault="00166576" w:rsidP="00F87B2F">
      <w:pPr>
        <w:spacing w:line="23" w:lineRule="atLeast"/>
        <w:ind w:right="91"/>
        <w:rPr>
          <w:b/>
          <w:sz w:val="24"/>
          <w:szCs w:val="24"/>
        </w:rPr>
      </w:pPr>
      <w:r>
        <w:rPr>
          <w:b/>
          <w:sz w:val="24"/>
          <w:szCs w:val="24"/>
        </w:rPr>
        <w:t>Human rights implications</w:t>
      </w:r>
    </w:p>
    <w:p w14:paraId="20F0F30A" w14:textId="654EA6AC" w:rsidR="00C31D9F" w:rsidRPr="00C31D9F" w:rsidRDefault="00C31D9F" w:rsidP="00F87B2F">
      <w:pPr>
        <w:spacing w:line="23" w:lineRule="atLeast"/>
        <w:ind w:right="91"/>
        <w:rPr>
          <w:sz w:val="24"/>
          <w:szCs w:val="24"/>
        </w:rPr>
      </w:pPr>
      <w:r w:rsidRPr="00C31D9F">
        <w:rPr>
          <w:sz w:val="24"/>
          <w:szCs w:val="24"/>
        </w:rPr>
        <w:t>The Amendment Regulations engage the following rights:</w:t>
      </w:r>
    </w:p>
    <w:p w14:paraId="155D051B" w14:textId="09F12989" w:rsidR="00C31D9F" w:rsidRPr="00B61229" w:rsidRDefault="00C31D9F" w:rsidP="00C31D9F">
      <w:pPr>
        <w:pStyle w:val="ListParagraph"/>
        <w:numPr>
          <w:ilvl w:val="0"/>
          <w:numId w:val="10"/>
        </w:numPr>
        <w:spacing w:line="23" w:lineRule="atLeast"/>
        <w:ind w:right="91"/>
        <w:rPr>
          <w:sz w:val="24"/>
          <w:szCs w:val="24"/>
        </w:rPr>
      </w:pPr>
      <w:r w:rsidRPr="00C31D9F">
        <w:rPr>
          <w:sz w:val="24"/>
          <w:szCs w:val="24"/>
        </w:rPr>
        <w:t xml:space="preserve">The </w:t>
      </w:r>
      <w:r>
        <w:rPr>
          <w:sz w:val="24"/>
          <w:szCs w:val="24"/>
        </w:rPr>
        <w:t>right to health (</w:t>
      </w:r>
      <w:r w:rsidRPr="00C31D9F">
        <w:rPr>
          <w:sz w:val="24"/>
          <w:szCs w:val="24"/>
          <w:lang w:val="en-AU"/>
        </w:rPr>
        <w:t xml:space="preserve">Article 12(1) of the </w:t>
      </w:r>
      <w:r w:rsidRPr="00C31D9F">
        <w:rPr>
          <w:i/>
          <w:sz w:val="24"/>
          <w:szCs w:val="24"/>
          <w:lang w:val="en-AU"/>
        </w:rPr>
        <w:t>International Covenant on Economic, Social and Cultural Rights</w:t>
      </w:r>
      <w:r>
        <w:rPr>
          <w:i/>
          <w:sz w:val="24"/>
          <w:szCs w:val="24"/>
          <w:lang w:val="en-AU"/>
        </w:rPr>
        <w:t xml:space="preserve"> </w:t>
      </w:r>
      <w:r>
        <w:rPr>
          <w:sz w:val="24"/>
          <w:szCs w:val="24"/>
          <w:lang w:val="en-AU"/>
        </w:rPr>
        <w:t>(ICESCR));</w:t>
      </w:r>
    </w:p>
    <w:p w14:paraId="11709EEA" w14:textId="4FB0A1DB" w:rsidR="00C31D9F" w:rsidRDefault="00C31D9F" w:rsidP="00C31D9F">
      <w:pPr>
        <w:pStyle w:val="ListParagraph"/>
        <w:numPr>
          <w:ilvl w:val="0"/>
          <w:numId w:val="10"/>
        </w:numPr>
        <w:spacing w:line="23" w:lineRule="atLeast"/>
        <w:ind w:right="91"/>
        <w:rPr>
          <w:sz w:val="24"/>
          <w:szCs w:val="24"/>
        </w:rPr>
      </w:pPr>
      <w:r>
        <w:rPr>
          <w:sz w:val="24"/>
          <w:szCs w:val="24"/>
        </w:rPr>
        <w:t>T</w:t>
      </w:r>
      <w:r w:rsidRPr="00C31D9F">
        <w:rPr>
          <w:sz w:val="24"/>
          <w:szCs w:val="24"/>
        </w:rPr>
        <w:t>he right to freedom of movement (</w:t>
      </w:r>
      <w:r>
        <w:rPr>
          <w:sz w:val="24"/>
          <w:szCs w:val="24"/>
        </w:rPr>
        <w:t>A</w:t>
      </w:r>
      <w:r w:rsidRPr="00C31D9F">
        <w:rPr>
          <w:sz w:val="24"/>
          <w:szCs w:val="24"/>
        </w:rPr>
        <w:t>rticle 12</w:t>
      </w:r>
      <w:r>
        <w:rPr>
          <w:sz w:val="24"/>
          <w:szCs w:val="24"/>
        </w:rPr>
        <w:t xml:space="preserve"> of the </w:t>
      </w:r>
      <w:r w:rsidRPr="00B61229">
        <w:rPr>
          <w:i/>
          <w:sz w:val="24"/>
          <w:szCs w:val="24"/>
        </w:rPr>
        <w:t>International Covenant on Civil and Political Rights</w:t>
      </w:r>
      <w:r>
        <w:rPr>
          <w:sz w:val="24"/>
          <w:szCs w:val="24"/>
        </w:rPr>
        <w:t xml:space="preserve"> (ICCPR)</w:t>
      </w:r>
      <w:r w:rsidRPr="00C31D9F">
        <w:rPr>
          <w:sz w:val="24"/>
          <w:szCs w:val="24"/>
        </w:rPr>
        <w:t>)</w:t>
      </w:r>
      <w:r>
        <w:rPr>
          <w:sz w:val="24"/>
          <w:szCs w:val="24"/>
        </w:rPr>
        <w:t>;</w:t>
      </w:r>
    </w:p>
    <w:p w14:paraId="463E2361" w14:textId="575C9C0D" w:rsidR="00C31D9F" w:rsidRDefault="00C31D9F" w:rsidP="00C31D9F">
      <w:pPr>
        <w:pStyle w:val="ListParagraph"/>
        <w:numPr>
          <w:ilvl w:val="0"/>
          <w:numId w:val="10"/>
        </w:numPr>
        <w:spacing w:line="23" w:lineRule="atLeast"/>
        <w:ind w:right="91"/>
        <w:rPr>
          <w:sz w:val="24"/>
          <w:szCs w:val="24"/>
        </w:rPr>
      </w:pPr>
      <w:r>
        <w:rPr>
          <w:sz w:val="24"/>
          <w:szCs w:val="24"/>
        </w:rPr>
        <w:t>The right to the presumption of innocence (</w:t>
      </w:r>
      <w:r w:rsidRPr="00061241">
        <w:rPr>
          <w:sz w:val="24"/>
          <w:szCs w:val="24"/>
        </w:rPr>
        <w:t>Article 14(2) of the ICCPR</w:t>
      </w:r>
      <w:r>
        <w:rPr>
          <w:sz w:val="24"/>
          <w:szCs w:val="24"/>
        </w:rPr>
        <w:t>); and</w:t>
      </w:r>
    </w:p>
    <w:p w14:paraId="702B3950" w14:textId="51781150" w:rsidR="00C31D9F" w:rsidRPr="00C31D9F" w:rsidRDefault="00C31D9F" w:rsidP="00C31D9F">
      <w:pPr>
        <w:pStyle w:val="ListParagraph"/>
        <w:numPr>
          <w:ilvl w:val="0"/>
          <w:numId w:val="10"/>
        </w:numPr>
        <w:spacing w:line="23" w:lineRule="atLeast"/>
        <w:ind w:right="91"/>
        <w:rPr>
          <w:sz w:val="24"/>
          <w:szCs w:val="24"/>
        </w:rPr>
      </w:pPr>
      <w:r>
        <w:rPr>
          <w:sz w:val="24"/>
          <w:szCs w:val="24"/>
        </w:rPr>
        <w:t>The right to a fair trial and fair hearing rights (</w:t>
      </w:r>
      <w:r w:rsidRPr="002179C6">
        <w:rPr>
          <w:sz w:val="24"/>
          <w:szCs w:val="24"/>
        </w:rPr>
        <w:t>Article 14(1) of the ICCPR</w:t>
      </w:r>
      <w:r>
        <w:rPr>
          <w:sz w:val="24"/>
          <w:szCs w:val="24"/>
        </w:rPr>
        <w:t>).</w:t>
      </w:r>
    </w:p>
    <w:p w14:paraId="72E03B87" w14:textId="414E9A70" w:rsidR="00E701AE" w:rsidRDefault="00E701AE" w:rsidP="00045913">
      <w:pPr>
        <w:spacing w:line="23" w:lineRule="atLeast"/>
        <w:ind w:right="91"/>
        <w:rPr>
          <w:i/>
          <w:sz w:val="24"/>
          <w:szCs w:val="24"/>
        </w:rPr>
      </w:pPr>
      <w:r>
        <w:rPr>
          <w:i/>
          <w:sz w:val="24"/>
          <w:szCs w:val="24"/>
        </w:rPr>
        <w:t>The right to health</w:t>
      </w:r>
    </w:p>
    <w:p w14:paraId="684C5195" w14:textId="70BD4704" w:rsidR="00E701AE" w:rsidRPr="00E701AE" w:rsidRDefault="00E701AE" w:rsidP="00E701AE">
      <w:pPr>
        <w:spacing w:line="23" w:lineRule="atLeast"/>
        <w:ind w:right="91"/>
        <w:rPr>
          <w:sz w:val="24"/>
          <w:szCs w:val="24"/>
        </w:rPr>
      </w:pPr>
      <w:r w:rsidRPr="00E701AE">
        <w:rPr>
          <w:sz w:val="24"/>
          <w:szCs w:val="24"/>
        </w:rPr>
        <w:t>Article 12(1) of the</w:t>
      </w:r>
      <w:r w:rsidR="00C31D9F">
        <w:rPr>
          <w:sz w:val="24"/>
          <w:szCs w:val="24"/>
        </w:rPr>
        <w:t xml:space="preserve"> ICESCR</w:t>
      </w:r>
      <w:r w:rsidRPr="00E701AE">
        <w:rPr>
          <w:sz w:val="24"/>
          <w:szCs w:val="24"/>
        </w:rPr>
        <w:t xml:space="preserve"> provides for the right to the enjoyment of the highest attainable standard of physical and mental health. The United Nations Committee on Economic, Social and Cultural Rights has stated in General Comment 14 that the right to health embraces a wide range of socio-economic factors that promote conditions in which people can lead a healthy life, including a healthy environment. </w:t>
      </w:r>
    </w:p>
    <w:p w14:paraId="52E2BAA9" w14:textId="28878B36" w:rsidR="00E701AE" w:rsidRPr="0019548A" w:rsidRDefault="00E701AE" w:rsidP="00E701AE">
      <w:pPr>
        <w:spacing w:line="23" w:lineRule="atLeast"/>
        <w:ind w:right="91"/>
        <w:rPr>
          <w:sz w:val="24"/>
          <w:szCs w:val="24"/>
        </w:rPr>
      </w:pPr>
      <w:r w:rsidRPr="0019548A">
        <w:rPr>
          <w:sz w:val="24"/>
          <w:szCs w:val="24"/>
        </w:rPr>
        <w:t xml:space="preserve">The </w:t>
      </w:r>
      <w:r w:rsidR="0019548A">
        <w:rPr>
          <w:sz w:val="24"/>
          <w:szCs w:val="24"/>
        </w:rPr>
        <w:t>Amendment Regulations promote</w:t>
      </w:r>
      <w:r w:rsidRPr="0019548A">
        <w:rPr>
          <w:sz w:val="24"/>
          <w:szCs w:val="24"/>
        </w:rPr>
        <w:t xml:space="preserve"> the right to a healthy environment by supporting the key objectives of</w:t>
      </w:r>
      <w:r w:rsidR="00467FA7">
        <w:rPr>
          <w:sz w:val="24"/>
          <w:szCs w:val="24"/>
        </w:rPr>
        <w:t xml:space="preserve"> the </w:t>
      </w:r>
      <w:r w:rsidR="00467FA7">
        <w:rPr>
          <w:i/>
          <w:sz w:val="24"/>
          <w:szCs w:val="24"/>
        </w:rPr>
        <w:t>Great Barrier Reef Marine Park Act 1975</w:t>
      </w:r>
      <w:r w:rsidRPr="0019548A">
        <w:rPr>
          <w:sz w:val="24"/>
          <w:szCs w:val="24"/>
        </w:rPr>
        <w:t xml:space="preserve"> </w:t>
      </w:r>
      <w:r w:rsidR="00467FA7">
        <w:rPr>
          <w:sz w:val="24"/>
          <w:szCs w:val="24"/>
        </w:rPr>
        <w:t>(</w:t>
      </w:r>
      <w:r w:rsidRPr="0019548A">
        <w:rPr>
          <w:sz w:val="24"/>
          <w:szCs w:val="24"/>
        </w:rPr>
        <w:t>the Act</w:t>
      </w:r>
      <w:r w:rsidR="00467FA7">
        <w:rPr>
          <w:sz w:val="24"/>
          <w:szCs w:val="24"/>
        </w:rPr>
        <w:t>)</w:t>
      </w:r>
      <w:r w:rsidRPr="0019548A">
        <w:rPr>
          <w:sz w:val="24"/>
          <w:szCs w:val="24"/>
        </w:rPr>
        <w:t xml:space="preserve">. </w:t>
      </w:r>
      <w:r w:rsidR="00AB3FC6">
        <w:rPr>
          <w:sz w:val="24"/>
          <w:szCs w:val="24"/>
        </w:rPr>
        <w:t>T</w:t>
      </w:r>
      <w:r w:rsidRPr="0019548A">
        <w:rPr>
          <w:sz w:val="24"/>
          <w:szCs w:val="24"/>
        </w:rPr>
        <w:t>he main object of the Ac</w:t>
      </w:r>
      <w:r w:rsidR="0019548A">
        <w:rPr>
          <w:sz w:val="24"/>
          <w:szCs w:val="24"/>
        </w:rPr>
        <w:t>t set out in subsection 2A(1)</w:t>
      </w:r>
      <w:r w:rsidRPr="0019548A">
        <w:rPr>
          <w:sz w:val="24"/>
          <w:szCs w:val="24"/>
        </w:rPr>
        <w:t xml:space="preserve"> “to provide for the long term protection and conservation of the environment, biodiversity and heritage values of the G</w:t>
      </w:r>
      <w:r w:rsidR="0019548A">
        <w:rPr>
          <w:sz w:val="24"/>
          <w:szCs w:val="24"/>
        </w:rPr>
        <w:t xml:space="preserve">reat Barrier </w:t>
      </w:r>
      <w:r w:rsidR="0019548A">
        <w:rPr>
          <w:sz w:val="24"/>
          <w:szCs w:val="24"/>
        </w:rPr>
        <w:lastRenderedPageBreak/>
        <w:t>Reef</w:t>
      </w:r>
      <w:r w:rsidRPr="0019548A">
        <w:rPr>
          <w:sz w:val="24"/>
          <w:szCs w:val="24"/>
        </w:rPr>
        <w:t>”</w:t>
      </w:r>
      <w:r w:rsidR="0019548A">
        <w:rPr>
          <w:sz w:val="24"/>
          <w:szCs w:val="24"/>
        </w:rPr>
        <w:t xml:space="preserve"> is promoted </w:t>
      </w:r>
      <w:r w:rsidR="00467FA7">
        <w:rPr>
          <w:sz w:val="24"/>
          <w:szCs w:val="24"/>
        </w:rPr>
        <w:t xml:space="preserve">by the Amendment Regulations </w:t>
      </w:r>
      <w:r w:rsidR="0019548A">
        <w:rPr>
          <w:sz w:val="24"/>
          <w:szCs w:val="24"/>
        </w:rPr>
        <w:t>through the protection of sensitive habitats from anchor damage.</w:t>
      </w:r>
      <w:r w:rsidR="00AB3FC6">
        <w:rPr>
          <w:sz w:val="24"/>
          <w:szCs w:val="24"/>
        </w:rPr>
        <w:t xml:space="preserve"> Additionally, the Amendment Regulations promote other objects of the Act, such as allowing ecologically sustainable use of the Great Barrier Reef Region for purposes including public enjoyment and appreciation; and recreational, economic and cultural activities (subparagraphs 2A(2)(a)(i) and (iii) of the Act). </w:t>
      </w:r>
      <w:r w:rsidRPr="0019548A">
        <w:rPr>
          <w:sz w:val="24"/>
          <w:szCs w:val="24"/>
        </w:rPr>
        <w:t xml:space="preserve"> </w:t>
      </w:r>
    </w:p>
    <w:p w14:paraId="0E010A79" w14:textId="44224C91" w:rsidR="00061241" w:rsidRDefault="00061241" w:rsidP="00045913">
      <w:pPr>
        <w:spacing w:line="23" w:lineRule="atLeast"/>
        <w:ind w:right="91"/>
        <w:rPr>
          <w:sz w:val="24"/>
          <w:szCs w:val="24"/>
        </w:rPr>
      </w:pPr>
      <w:r>
        <w:rPr>
          <w:i/>
          <w:sz w:val="24"/>
          <w:szCs w:val="24"/>
        </w:rPr>
        <w:t>The right to freedom of movement</w:t>
      </w:r>
    </w:p>
    <w:p w14:paraId="3E79E778" w14:textId="625F7F51" w:rsidR="00E701AE" w:rsidRPr="00E701AE" w:rsidRDefault="00E701AE" w:rsidP="00E701AE">
      <w:pPr>
        <w:spacing w:line="23" w:lineRule="atLeast"/>
        <w:rPr>
          <w:rFonts w:cs="Times New Roman"/>
          <w:b/>
          <w:i/>
          <w:color w:val="000000"/>
          <w:sz w:val="24"/>
          <w:szCs w:val="24"/>
          <w:lang w:eastAsia="en-AU"/>
        </w:rPr>
      </w:pPr>
      <w:r w:rsidRPr="00BB2557">
        <w:rPr>
          <w:rFonts w:cs="Times New Roman"/>
          <w:color w:val="000000"/>
          <w:sz w:val="24"/>
          <w:szCs w:val="24"/>
        </w:rPr>
        <w:t>Article 12(3) of the ICCPR provides that the right to freedom of movement can be restricted under domestic law on grounds of (among other things) protecting public health. Laws restricting access to areas of environmental significance may be necessary to protect public health by promoting a healthy environment. In order for such a restriction to be permissible it must be reasonable, necessary and proportionate to the protection and be the least intrusive means of producing the desired result.</w:t>
      </w:r>
    </w:p>
    <w:p w14:paraId="3F9E666F" w14:textId="77777777" w:rsidR="00061241" w:rsidRDefault="007D2B3D" w:rsidP="00045913">
      <w:pPr>
        <w:spacing w:line="23" w:lineRule="atLeast"/>
        <w:ind w:right="91"/>
        <w:rPr>
          <w:sz w:val="24"/>
          <w:szCs w:val="24"/>
        </w:rPr>
      </w:pPr>
      <w:r>
        <w:rPr>
          <w:sz w:val="24"/>
          <w:szCs w:val="24"/>
        </w:rPr>
        <w:t xml:space="preserve">The Amendment Regulations place a minor restriction on freedom of movement by restricting people from anchoring vessels, aircraft and other facilities in certain parts of the Marine Park that have been declared to be no-anchoring areas. These areas have been </w:t>
      </w:r>
      <w:r w:rsidR="00061241">
        <w:rPr>
          <w:sz w:val="24"/>
          <w:szCs w:val="24"/>
        </w:rPr>
        <w:t xml:space="preserve">declared only where it is considered necessary for the protection of sensitive habitats such as coral communities from anchor damage. </w:t>
      </w:r>
    </w:p>
    <w:p w14:paraId="71D2EBD3" w14:textId="0370C6A3" w:rsidR="007D2B3D" w:rsidRDefault="00061241" w:rsidP="00045913">
      <w:pPr>
        <w:spacing w:line="23" w:lineRule="atLeast"/>
        <w:ind w:right="91"/>
        <w:rPr>
          <w:sz w:val="24"/>
          <w:szCs w:val="24"/>
        </w:rPr>
      </w:pPr>
      <w:r>
        <w:rPr>
          <w:sz w:val="24"/>
          <w:szCs w:val="24"/>
        </w:rPr>
        <w:t xml:space="preserve">The restriction on freedom of movement is considered reasonable given the need to protect the environment. The restriction is necessary and proportionate as the least intrusive means of achieving protection because they still allow for persons to </w:t>
      </w:r>
      <w:r w:rsidR="00E7453F">
        <w:rPr>
          <w:sz w:val="24"/>
          <w:szCs w:val="24"/>
        </w:rPr>
        <w:t xml:space="preserve">access the area without deploying an anchor and to </w:t>
      </w:r>
      <w:r>
        <w:rPr>
          <w:sz w:val="24"/>
          <w:szCs w:val="24"/>
        </w:rPr>
        <w:t xml:space="preserve">anchor in </w:t>
      </w:r>
      <w:r w:rsidR="00D3067C">
        <w:rPr>
          <w:sz w:val="24"/>
          <w:szCs w:val="24"/>
        </w:rPr>
        <w:t xml:space="preserve">other </w:t>
      </w:r>
      <w:r>
        <w:rPr>
          <w:sz w:val="24"/>
          <w:szCs w:val="24"/>
        </w:rPr>
        <w:t xml:space="preserve">areas of the Marine Park outside of no-anchoring areas, subject to reasonable conditions to facilitate orderly and ecologically sustainable use of public resources. </w:t>
      </w:r>
    </w:p>
    <w:p w14:paraId="21E3B196" w14:textId="790D0CBC" w:rsidR="00061241" w:rsidRDefault="00061241" w:rsidP="00045913">
      <w:pPr>
        <w:spacing w:line="23" w:lineRule="atLeast"/>
        <w:ind w:right="91"/>
        <w:rPr>
          <w:i/>
          <w:sz w:val="24"/>
          <w:szCs w:val="24"/>
        </w:rPr>
      </w:pPr>
      <w:r>
        <w:rPr>
          <w:i/>
          <w:sz w:val="24"/>
          <w:szCs w:val="24"/>
        </w:rPr>
        <w:t xml:space="preserve">Right to the presumption of innocence </w:t>
      </w:r>
    </w:p>
    <w:p w14:paraId="04AE8761" w14:textId="14197334" w:rsidR="00061241" w:rsidRDefault="00061241" w:rsidP="00045913">
      <w:pPr>
        <w:spacing w:line="23" w:lineRule="atLeast"/>
        <w:ind w:right="91"/>
        <w:rPr>
          <w:sz w:val="24"/>
          <w:szCs w:val="24"/>
        </w:rPr>
      </w:pPr>
      <w:r w:rsidRPr="00061241">
        <w:rPr>
          <w:sz w:val="24"/>
          <w:szCs w:val="24"/>
        </w:rPr>
        <w:t>Article 14(2) of the ICCPR provides that “everyone charged with a criminal offence shall have the right to be presumed innocent until proved guilty according to law”. The presumption of innocence imposes on the prosecution the burden of proving the charge beyond reasonable doubt.</w:t>
      </w:r>
    </w:p>
    <w:p w14:paraId="28C85C06" w14:textId="764879C0" w:rsidR="00061241" w:rsidRPr="00061241" w:rsidRDefault="00061241" w:rsidP="00061241">
      <w:pPr>
        <w:spacing w:line="23" w:lineRule="atLeast"/>
        <w:ind w:right="91"/>
        <w:rPr>
          <w:sz w:val="24"/>
          <w:szCs w:val="24"/>
        </w:rPr>
      </w:pPr>
      <w:r w:rsidRPr="00061241">
        <w:rPr>
          <w:sz w:val="24"/>
          <w:szCs w:val="24"/>
        </w:rPr>
        <w:t xml:space="preserve">Strict liability offences engage and limit the presumption of innocence as they allow for the imposition of criminal liability without the need to prove fault. </w:t>
      </w:r>
    </w:p>
    <w:p w14:paraId="2692CA35" w14:textId="4218C15C" w:rsidR="00061241" w:rsidRPr="00061241" w:rsidRDefault="00061241" w:rsidP="00061241">
      <w:pPr>
        <w:spacing w:line="23" w:lineRule="atLeast"/>
        <w:ind w:right="91"/>
        <w:rPr>
          <w:sz w:val="24"/>
          <w:szCs w:val="24"/>
        </w:rPr>
      </w:pPr>
      <w:r w:rsidRPr="00061241">
        <w:rPr>
          <w:sz w:val="24"/>
          <w:szCs w:val="24"/>
        </w:rPr>
        <w:t xml:space="preserve">The </w:t>
      </w:r>
      <w:r w:rsidR="00EE2A4C">
        <w:rPr>
          <w:sz w:val="24"/>
          <w:szCs w:val="24"/>
        </w:rPr>
        <w:t>Amendment Regulations apply</w:t>
      </w:r>
      <w:r w:rsidRPr="00061241">
        <w:rPr>
          <w:sz w:val="24"/>
          <w:szCs w:val="24"/>
        </w:rPr>
        <w:t xml:space="preserve"> strict liability to the </w:t>
      </w:r>
      <w:r w:rsidR="00EE2A4C">
        <w:rPr>
          <w:sz w:val="24"/>
          <w:szCs w:val="24"/>
        </w:rPr>
        <w:t>new</w:t>
      </w:r>
      <w:r w:rsidR="002179C6">
        <w:rPr>
          <w:sz w:val="24"/>
          <w:szCs w:val="24"/>
        </w:rPr>
        <w:t xml:space="preserve"> offence provisions found in</w:t>
      </w:r>
      <w:r w:rsidRPr="00061241">
        <w:rPr>
          <w:sz w:val="24"/>
          <w:szCs w:val="24"/>
        </w:rPr>
        <w:t xml:space="preserve"> </w:t>
      </w:r>
      <w:r w:rsidR="00EE2A4C">
        <w:rPr>
          <w:sz w:val="24"/>
          <w:szCs w:val="24"/>
        </w:rPr>
        <w:t>section 171A</w:t>
      </w:r>
      <w:r w:rsidRPr="00061241">
        <w:rPr>
          <w:sz w:val="24"/>
          <w:szCs w:val="24"/>
        </w:rPr>
        <w:t>.</w:t>
      </w:r>
      <w:r w:rsidR="002179C6">
        <w:rPr>
          <w:sz w:val="24"/>
          <w:szCs w:val="24"/>
        </w:rPr>
        <w:t xml:space="preserve"> </w:t>
      </w:r>
      <w:r w:rsidRPr="00061241">
        <w:rPr>
          <w:sz w:val="24"/>
          <w:szCs w:val="24"/>
        </w:rPr>
        <w:t xml:space="preserve">Application of strict liability </w:t>
      </w:r>
      <w:r w:rsidR="006F63F1">
        <w:rPr>
          <w:sz w:val="24"/>
          <w:szCs w:val="24"/>
        </w:rPr>
        <w:t xml:space="preserve">to </w:t>
      </w:r>
      <w:r w:rsidR="002179C6">
        <w:rPr>
          <w:sz w:val="24"/>
          <w:szCs w:val="24"/>
        </w:rPr>
        <w:t>these</w:t>
      </w:r>
      <w:r w:rsidRPr="00061241">
        <w:rPr>
          <w:sz w:val="24"/>
          <w:szCs w:val="24"/>
        </w:rPr>
        <w:t xml:space="preserve"> offences has been set with consideration to the guidelines of the Attorney-General’s Department as set out in </w:t>
      </w:r>
      <w:r w:rsidRPr="002179C6">
        <w:rPr>
          <w:i/>
          <w:sz w:val="24"/>
          <w:szCs w:val="24"/>
        </w:rPr>
        <w:t>A Guide to Framing Commonwealth Offences, Civil Penalties and Enforcement Powers</w:t>
      </w:r>
      <w:r w:rsidRPr="00061241">
        <w:rPr>
          <w:sz w:val="24"/>
          <w:szCs w:val="24"/>
        </w:rPr>
        <w:t xml:space="preserve"> (the Guide). The penalties </w:t>
      </w:r>
      <w:r w:rsidR="006F63F1">
        <w:rPr>
          <w:sz w:val="24"/>
          <w:szCs w:val="24"/>
        </w:rPr>
        <w:t xml:space="preserve">for </w:t>
      </w:r>
      <w:r w:rsidR="002179C6">
        <w:rPr>
          <w:sz w:val="24"/>
          <w:szCs w:val="24"/>
        </w:rPr>
        <w:t>the offences</w:t>
      </w:r>
      <w:r w:rsidRPr="00061241">
        <w:rPr>
          <w:sz w:val="24"/>
          <w:szCs w:val="24"/>
        </w:rPr>
        <w:t xml:space="preserve"> do not include imprisonment, and do not exceed 50 penalty units</w:t>
      </w:r>
      <w:r w:rsidR="006F63F1">
        <w:rPr>
          <w:sz w:val="24"/>
          <w:szCs w:val="24"/>
        </w:rPr>
        <w:t>, which is</w:t>
      </w:r>
      <w:r w:rsidRPr="00061241">
        <w:rPr>
          <w:sz w:val="24"/>
          <w:szCs w:val="24"/>
        </w:rPr>
        <w:t xml:space="preserve"> consistent with the requirement in subsection 66(11) </w:t>
      </w:r>
      <w:r w:rsidR="006F63F1">
        <w:rPr>
          <w:sz w:val="24"/>
          <w:szCs w:val="24"/>
        </w:rPr>
        <w:t>of the Act</w:t>
      </w:r>
      <w:r w:rsidRPr="00061241">
        <w:rPr>
          <w:sz w:val="24"/>
          <w:szCs w:val="24"/>
        </w:rPr>
        <w:t xml:space="preserve">. Further, it is important for the offences to be strict liability offences so that it is appropriate to bring them within the infringement notice scheme </w:t>
      </w:r>
      <w:r w:rsidR="002179C6">
        <w:rPr>
          <w:sz w:val="24"/>
          <w:szCs w:val="24"/>
        </w:rPr>
        <w:t>contained in the Principal Regulations</w:t>
      </w:r>
      <w:r w:rsidRPr="00061241">
        <w:rPr>
          <w:sz w:val="24"/>
          <w:szCs w:val="24"/>
        </w:rPr>
        <w:t>.</w:t>
      </w:r>
    </w:p>
    <w:p w14:paraId="686414AA" w14:textId="77777777" w:rsidR="00061241" w:rsidRPr="00061241" w:rsidRDefault="00061241" w:rsidP="00061241">
      <w:pPr>
        <w:spacing w:line="23" w:lineRule="atLeast"/>
        <w:ind w:right="91"/>
        <w:rPr>
          <w:sz w:val="24"/>
          <w:szCs w:val="24"/>
        </w:rPr>
      </w:pPr>
      <w:r w:rsidRPr="00061241">
        <w:rPr>
          <w:sz w:val="24"/>
          <w:szCs w:val="24"/>
        </w:rPr>
        <w:t xml:space="preserve">Strict liability offences will not be inconsistent with the right to the presumption of innocence provided that they pursue a legitimate aim and are reasonable, necessary and proportionate to that aim. </w:t>
      </w:r>
    </w:p>
    <w:p w14:paraId="6279AD8D" w14:textId="6AFCA587" w:rsidR="00061241" w:rsidRPr="00061241" w:rsidRDefault="00467FA7" w:rsidP="00061241">
      <w:pPr>
        <w:spacing w:line="23" w:lineRule="atLeast"/>
        <w:ind w:right="91"/>
        <w:rPr>
          <w:sz w:val="24"/>
          <w:szCs w:val="24"/>
        </w:rPr>
      </w:pPr>
      <w:r>
        <w:rPr>
          <w:sz w:val="24"/>
          <w:szCs w:val="24"/>
        </w:rPr>
        <w:lastRenderedPageBreak/>
        <w:t>Strict liability offences are commonly used in regulatory legislation protecting the environment, such as the Principal Regulations</w:t>
      </w:r>
      <w:r w:rsidR="008175BF">
        <w:rPr>
          <w:sz w:val="24"/>
          <w:szCs w:val="24"/>
        </w:rPr>
        <w:t xml:space="preserve"> (for example, </w:t>
      </w:r>
      <w:r w:rsidR="004A42D3">
        <w:rPr>
          <w:sz w:val="24"/>
          <w:szCs w:val="24"/>
        </w:rPr>
        <w:t xml:space="preserve">the Principal Regulations apply strict liability to the majority of the office provisions in </w:t>
      </w:r>
      <w:r w:rsidR="004A42D3" w:rsidRPr="004A42D3">
        <w:rPr>
          <w:sz w:val="24"/>
          <w:szCs w:val="24"/>
        </w:rPr>
        <w:t>Division 2.5 (Additional purposes for use or entry), Division 2.6 (Fishing and related offences), Division 3.9 (Offence provisions for permissions), Part 5 (Discharge of sewage), Part 6 (Removal of property and various offences), Part 9 (Interacting with cetaceans), Part 11 (Bareboat operations), Division 4 of Part 13 (Record-keeping and returns etc.) and Part 14 (Plan of Man</w:t>
      </w:r>
      <w:r w:rsidR="004A42D3">
        <w:rPr>
          <w:sz w:val="24"/>
          <w:szCs w:val="24"/>
        </w:rPr>
        <w:t>agement enforcement provisions</w:t>
      </w:r>
      <w:r w:rsidR="008175BF">
        <w:rPr>
          <w:sz w:val="24"/>
          <w:szCs w:val="24"/>
        </w:rPr>
        <w:t>)</w:t>
      </w:r>
      <w:r>
        <w:rPr>
          <w:sz w:val="24"/>
          <w:szCs w:val="24"/>
        </w:rPr>
        <w:t xml:space="preserve">. </w:t>
      </w:r>
      <w:r w:rsidR="00061241" w:rsidRPr="00061241">
        <w:rPr>
          <w:sz w:val="24"/>
          <w:szCs w:val="24"/>
        </w:rPr>
        <w:t xml:space="preserve">The strict liability offences are for the legitimate objective of regulating conduct for the protection of the Marine Park environment. While the strict liability offences in the </w:t>
      </w:r>
      <w:r w:rsidR="002179C6">
        <w:rPr>
          <w:sz w:val="24"/>
          <w:szCs w:val="24"/>
        </w:rPr>
        <w:t>Amendment Regulations</w:t>
      </w:r>
      <w:r w:rsidR="00061241" w:rsidRPr="00061241">
        <w:rPr>
          <w:sz w:val="24"/>
          <w:szCs w:val="24"/>
        </w:rPr>
        <w:t xml:space="preserve"> relate to relatively minor offences within the context of the regulatory scheme, the existence of </w:t>
      </w:r>
      <w:r w:rsidR="006F63F1">
        <w:rPr>
          <w:sz w:val="24"/>
          <w:szCs w:val="24"/>
        </w:rPr>
        <w:t>these offences are</w:t>
      </w:r>
      <w:r w:rsidR="00061241" w:rsidRPr="00061241">
        <w:rPr>
          <w:sz w:val="24"/>
          <w:szCs w:val="24"/>
        </w:rPr>
        <w:t xml:space="preserve"> crucial as a deterrence against potentially environm</w:t>
      </w:r>
      <w:r w:rsidR="002179C6">
        <w:rPr>
          <w:sz w:val="24"/>
          <w:szCs w:val="24"/>
        </w:rPr>
        <w:t>entally harmful and damaging</w:t>
      </w:r>
      <w:r w:rsidR="00061241" w:rsidRPr="00061241">
        <w:rPr>
          <w:sz w:val="24"/>
          <w:szCs w:val="24"/>
        </w:rPr>
        <w:t xml:space="preserve"> conduct in the Marine Park. The strict liability offences also provide for more efficient and effective punitive measures and enforcement options compared to other offence provisions that may be available under the Act, especially considering that such offences attach to the </w:t>
      </w:r>
      <w:r>
        <w:rPr>
          <w:sz w:val="24"/>
          <w:szCs w:val="24"/>
        </w:rPr>
        <w:t>Principal Regulation</w:t>
      </w:r>
      <w:r w:rsidR="00061241" w:rsidRPr="00061241">
        <w:rPr>
          <w:sz w:val="24"/>
          <w:szCs w:val="24"/>
        </w:rPr>
        <w:t>’s infringement notice scheme. Further, the conduct that the strict liability offences apply to is such that fault – i.e. a person’s intention, knowledge, recklessness or negligence – would be difficult to prove (</w:t>
      </w:r>
      <w:r w:rsidR="002179C6">
        <w:rPr>
          <w:sz w:val="24"/>
          <w:szCs w:val="24"/>
        </w:rPr>
        <w:t>that is</w:t>
      </w:r>
      <w:r w:rsidR="00061241" w:rsidRPr="00061241">
        <w:rPr>
          <w:sz w:val="24"/>
          <w:szCs w:val="24"/>
        </w:rPr>
        <w:t xml:space="preserve">, it will be difficult to prove the person intended or knew, etc. that they were in a </w:t>
      </w:r>
      <w:r w:rsidR="002179C6">
        <w:rPr>
          <w:sz w:val="24"/>
          <w:szCs w:val="24"/>
        </w:rPr>
        <w:t>no-anchoring area</w:t>
      </w:r>
      <w:r w:rsidR="00061241" w:rsidRPr="00061241">
        <w:rPr>
          <w:sz w:val="24"/>
          <w:szCs w:val="24"/>
        </w:rPr>
        <w:t xml:space="preserve">). The strict liability offence provisions are rationally connected to the legitimate objective of the primary object of the Act being to provide for the long term protection and conservation of the environment, biodiversity and heritage values of the Great Barrier Reef. </w:t>
      </w:r>
    </w:p>
    <w:p w14:paraId="7103D45C" w14:textId="1F08471F" w:rsidR="00061241" w:rsidRPr="00061241" w:rsidRDefault="00061241" w:rsidP="00061241">
      <w:pPr>
        <w:spacing w:line="23" w:lineRule="atLeast"/>
        <w:ind w:right="91"/>
        <w:rPr>
          <w:sz w:val="24"/>
          <w:szCs w:val="24"/>
        </w:rPr>
      </w:pPr>
      <w:r w:rsidRPr="00061241">
        <w:rPr>
          <w:sz w:val="24"/>
          <w:szCs w:val="24"/>
        </w:rPr>
        <w:t xml:space="preserve">The use of strict liability is reasonable as </w:t>
      </w:r>
      <w:r w:rsidR="00467FA7">
        <w:rPr>
          <w:sz w:val="24"/>
          <w:szCs w:val="24"/>
        </w:rPr>
        <w:t>i</w:t>
      </w:r>
      <w:r w:rsidR="00467FA7" w:rsidRPr="00467FA7">
        <w:rPr>
          <w:sz w:val="24"/>
          <w:szCs w:val="24"/>
        </w:rPr>
        <w:t>t is justifiable to expect individuals who voluntarily participate in regulated activity in the Marine Park to be deemed to have accepted certain conditions and to demonstrate why they are not at fault for infringements.</w:t>
      </w:r>
      <w:r w:rsidR="00467FA7">
        <w:rPr>
          <w:sz w:val="24"/>
          <w:szCs w:val="24"/>
        </w:rPr>
        <w:t xml:space="preserve"> T</w:t>
      </w:r>
      <w:r w:rsidRPr="00061241">
        <w:rPr>
          <w:sz w:val="24"/>
          <w:szCs w:val="24"/>
        </w:rPr>
        <w:t xml:space="preserve">he regulated community </w:t>
      </w:r>
      <w:r w:rsidR="00C24676">
        <w:rPr>
          <w:sz w:val="24"/>
          <w:szCs w:val="24"/>
        </w:rPr>
        <w:t>include:</w:t>
      </w:r>
      <w:r w:rsidRPr="00061241">
        <w:rPr>
          <w:sz w:val="24"/>
          <w:szCs w:val="24"/>
        </w:rPr>
        <w:t xml:space="preserve"> tourist operators and commercial operators that are aware, or ought to be aware, of the obligations placed on them when entering or using the Marine Park</w:t>
      </w:r>
      <w:r w:rsidR="00C24676">
        <w:rPr>
          <w:sz w:val="24"/>
          <w:szCs w:val="24"/>
        </w:rPr>
        <w:t>; and members of the general public</w:t>
      </w:r>
      <w:r w:rsidRPr="00061241">
        <w:rPr>
          <w:sz w:val="24"/>
          <w:szCs w:val="24"/>
        </w:rPr>
        <w:t xml:space="preserve">. The Authority regularly provides factsheets, maps and other resources to educate those industries, and the wider public, on the regulatory context in which Marine Park users must operate and act. </w:t>
      </w:r>
    </w:p>
    <w:p w14:paraId="3AF6BAF8" w14:textId="4E033AFF" w:rsidR="00061241" w:rsidRPr="00061241" w:rsidRDefault="00467FA7" w:rsidP="00061241">
      <w:pPr>
        <w:spacing w:line="23" w:lineRule="atLeast"/>
        <w:ind w:right="91"/>
        <w:rPr>
          <w:sz w:val="24"/>
          <w:szCs w:val="24"/>
        </w:rPr>
      </w:pPr>
      <w:r w:rsidRPr="00467FA7">
        <w:rPr>
          <w:sz w:val="24"/>
          <w:szCs w:val="24"/>
        </w:rPr>
        <w:t xml:space="preserve">Despite the imposition of the strict liability offence provisions, the right of a defendant to a defence will be preserved. </w:t>
      </w:r>
      <w:r>
        <w:rPr>
          <w:sz w:val="24"/>
          <w:szCs w:val="24"/>
        </w:rPr>
        <w:t>T</w:t>
      </w:r>
      <w:r w:rsidRPr="00061241">
        <w:rPr>
          <w:sz w:val="24"/>
          <w:szCs w:val="24"/>
        </w:rPr>
        <w:t xml:space="preserve">he existence of strict liability does not make other defences under the </w:t>
      </w:r>
      <w:r w:rsidRPr="006F63F1">
        <w:rPr>
          <w:i/>
          <w:sz w:val="24"/>
          <w:szCs w:val="24"/>
        </w:rPr>
        <w:t>Criminal Code</w:t>
      </w:r>
      <w:r w:rsidR="006F63F1" w:rsidRPr="006F63F1">
        <w:rPr>
          <w:i/>
          <w:sz w:val="24"/>
          <w:szCs w:val="24"/>
        </w:rPr>
        <w:t xml:space="preserve"> Act 1995</w:t>
      </w:r>
      <w:r w:rsidR="006F63F1">
        <w:rPr>
          <w:sz w:val="24"/>
          <w:szCs w:val="24"/>
        </w:rPr>
        <w:t xml:space="preserve"> (the Criminal Code)</w:t>
      </w:r>
      <w:r>
        <w:rPr>
          <w:sz w:val="24"/>
          <w:szCs w:val="24"/>
        </w:rPr>
        <w:t xml:space="preserve"> unavailable to a</w:t>
      </w:r>
      <w:r w:rsidRPr="00061241">
        <w:rPr>
          <w:sz w:val="24"/>
          <w:szCs w:val="24"/>
        </w:rPr>
        <w:t xml:space="preserve"> defendant.</w:t>
      </w:r>
      <w:r>
        <w:rPr>
          <w:sz w:val="24"/>
          <w:szCs w:val="24"/>
        </w:rPr>
        <w:t xml:space="preserve"> </w:t>
      </w:r>
      <w:r w:rsidRPr="00467FA7">
        <w:rPr>
          <w:sz w:val="24"/>
          <w:szCs w:val="24"/>
        </w:rPr>
        <w:t xml:space="preserve">It will not be impossible or impracticable for the defendant to make out a valid defence based on facts within the defendant’s own knowledge or to which they have ready access. For example, if there was a genuine need </w:t>
      </w:r>
      <w:r>
        <w:rPr>
          <w:sz w:val="24"/>
          <w:szCs w:val="24"/>
        </w:rPr>
        <w:t>for a person to anchor a vessel in a no-anchoring area</w:t>
      </w:r>
      <w:r w:rsidRPr="00467FA7">
        <w:rPr>
          <w:sz w:val="24"/>
          <w:szCs w:val="24"/>
        </w:rPr>
        <w:t xml:space="preserve"> due to a sudden life threatening situation, a defendant would presumably be able to produce evidence of this to establish the defence of sudden or extraordinary emergency under section 10.3 of the </w:t>
      </w:r>
      <w:r w:rsidR="006F63F1">
        <w:rPr>
          <w:sz w:val="24"/>
          <w:szCs w:val="24"/>
        </w:rPr>
        <w:t xml:space="preserve">Criminal </w:t>
      </w:r>
      <w:r w:rsidRPr="00467FA7">
        <w:rPr>
          <w:sz w:val="24"/>
          <w:szCs w:val="24"/>
        </w:rPr>
        <w:t>Code.</w:t>
      </w:r>
      <w:r>
        <w:rPr>
          <w:sz w:val="24"/>
          <w:szCs w:val="24"/>
        </w:rPr>
        <w:t xml:space="preserve"> Moreover, i</w:t>
      </w:r>
      <w:r w:rsidR="00061241" w:rsidRPr="00061241">
        <w:rPr>
          <w:sz w:val="24"/>
          <w:szCs w:val="24"/>
        </w:rPr>
        <w:t>n the event there is a genuine misunderstanding, the defence of honest and reasonable mistake of fact is still available to a defend</w:t>
      </w:r>
      <w:r w:rsidR="006F63F1">
        <w:rPr>
          <w:sz w:val="24"/>
          <w:szCs w:val="24"/>
        </w:rPr>
        <w:t>ant under the Criminal Code</w:t>
      </w:r>
      <w:r w:rsidR="00061241" w:rsidRPr="00061241">
        <w:rPr>
          <w:sz w:val="24"/>
          <w:szCs w:val="24"/>
        </w:rPr>
        <w:t xml:space="preserve">. </w:t>
      </w:r>
    </w:p>
    <w:p w14:paraId="266F8527" w14:textId="766DB42A" w:rsidR="00061241" w:rsidRPr="00061241" w:rsidRDefault="00061241" w:rsidP="00061241">
      <w:pPr>
        <w:spacing w:line="23" w:lineRule="atLeast"/>
        <w:ind w:right="91"/>
        <w:rPr>
          <w:sz w:val="24"/>
          <w:szCs w:val="24"/>
        </w:rPr>
      </w:pPr>
      <w:r w:rsidRPr="00061241">
        <w:rPr>
          <w:sz w:val="24"/>
          <w:szCs w:val="24"/>
        </w:rPr>
        <w:t xml:space="preserve">The use of strict liability is proportionate to achieving the stated objective because the penalties are within reasonable limits and relatively small. Consequently, individuals will </w:t>
      </w:r>
      <w:r w:rsidRPr="00061241">
        <w:rPr>
          <w:sz w:val="24"/>
          <w:szCs w:val="24"/>
        </w:rPr>
        <w:lastRenderedPageBreak/>
        <w:t xml:space="preserve">not be subject to unreasonable or unduly harsh penalties taking into account the objectives of the </w:t>
      </w:r>
      <w:r w:rsidR="002179C6">
        <w:rPr>
          <w:sz w:val="24"/>
          <w:szCs w:val="24"/>
        </w:rPr>
        <w:t>Act</w:t>
      </w:r>
      <w:r w:rsidRPr="00061241">
        <w:rPr>
          <w:sz w:val="24"/>
          <w:szCs w:val="24"/>
        </w:rPr>
        <w:t xml:space="preserve">. </w:t>
      </w:r>
    </w:p>
    <w:p w14:paraId="2F6551F5" w14:textId="250AAFDE" w:rsidR="00061241" w:rsidRDefault="002179C6" w:rsidP="00061241">
      <w:pPr>
        <w:spacing w:line="23" w:lineRule="atLeast"/>
        <w:ind w:right="91"/>
        <w:rPr>
          <w:sz w:val="24"/>
          <w:szCs w:val="24"/>
        </w:rPr>
      </w:pPr>
      <w:r>
        <w:rPr>
          <w:sz w:val="24"/>
          <w:szCs w:val="24"/>
        </w:rPr>
        <w:t>The</w:t>
      </w:r>
      <w:r w:rsidR="00061241" w:rsidRPr="00061241">
        <w:rPr>
          <w:sz w:val="24"/>
          <w:szCs w:val="24"/>
        </w:rPr>
        <w:t xml:space="preserve"> strict liability offences are therefore reasonable, necessary and proportionate to the aim of the Authority to protect t</w:t>
      </w:r>
      <w:r>
        <w:rPr>
          <w:sz w:val="24"/>
          <w:szCs w:val="24"/>
        </w:rPr>
        <w:t>he Marine Park, and are therefore</w:t>
      </w:r>
      <w:r w:rsidR="00061241" w:rsidRPr="00061241">
        <w:rPr>
          <w:sz w:val="24"/>
          <w:szCs w:val="24"/>
        </w:rPr>
        <w:t xml:space="preserve"> compatible with the right to the presumption of innocence in Article 14(2) of the ICCPR.</w:t>
      </w:r>
    </w:p>
    <w:p w14:paraId="2609A7D3" w14:textId="1C705273" w:rsidR="002179C6" w:rsidRDefault="002179C6" w:rsidP="00061241">
      <w:pPr>
        <w:spacing w:line="23" w:lineRule="atLeast"/>
        <w:ind w:right="91"/>
        <w:rPr>
          <w:i/>
          <w:sz w:val="24"/>
          <w:szCs w:val="24"/>
        </w:rPr>
      </w:pPr>
      <w:r>
        <w:rPr>
          <w:i/>
          <w:sz w:val="24"/>
          <w:szCs w:val="24"/>
        </w:rPr>
        <w:t>Right to a fair trial and fair hearing rights</w:t>
      </w:r>
    </w:p>
    <w:p w14:paraId="1C17C2B2" w14:textId="70AED4F3" w:rsidR="002179C6" w:rsidRDefault="002179C6" w:rsidP="00061241">
      <w:pPr>
        <w:spacing w:line="23" w:lineRule="atLeast"/>
        <w:ind w:right="91"/>
        <w:rPr>
          <w:sz w:val="24"/>
          <w:szCs w:val="24"/>
        </w:rPr>
      </w:pPr>
      <w:r w:rsidRPr="002179C6">
        <w:rPr>
          <w:sz w:val="24"/>
          <w:szCs w:val="24"/>
        </w:rPr>
        <w:t>Article 14(1) of the ICCPR relevantly provides that “in determination of …[a person’s] rights and obligations in a suit at law, everyone shall be entitled to a fair and public hearing by a competent, independent and impartial tribunal established by law…”.</w:t>
      </w:r>
    </w:p>
    <w:p w14:paraId="17DE7542" w14:textId="59711075" w:rsidR="002179C6" w:rsidRPr="00BA0732" w:rsidRDefault="002179C6" w:rsidP="002179C6">
      <w:pPr>
        <w:spacing w:line="23" w:lineRule="atLeast"/>
        <w:ind w:right="91"/>
        <w:rPr>
          <w:sz w:val="24"/>
          <w:szCs w:val="24"/>
        </w:rPr>
      </w:pPr>
      <w:r w:rsidRPr="00BA0732">
        <w:rPr>
          <w:sz w:val="24"/>
          <w:szCs w:val="24"/>
        </w:rPr>
        <w:t xml:space="preserve">The </w:t>
      </w:r>
      <w:r w:rsidR="006F63F1" w:rsidRPr="00BA0732">
        <w:rPr>
          <w:sz w:val="24"/>
          <w:szCs w:val="24"/>
        </w:rPr>
        <w:t>Principal Regulations establish</w:t>
      </w:r>
      <w:r w:rsidRPr="00BA0732">
        <w:rPr>
          <w:sz w:val="24"/>
          <w:szCs w:val="24"/>
        </w:rPr>
        <w:t xml:space="preserve"> an infringement notice scheme whereby an infringement notice may be issued by an inspector, either in person or through the post, setting out the particulars of an alleged contravention of an offence. The infringement notice gives the person to whom the notice is issued the option to pay the fine specified in the notice in full, as an alternative to having the offence heard by a court. An infringement notice is a notice of pecuniary penalty imp</w:t>
      </w:r>
      <w:r w:rsidR="006F63F1" w:rsidRPr="00BA0732">
        <w:rPr>
          <w:sz w:val="24"/>
          <w:szCs w:val="24"/>
        </w:rPr>
        <w:t>osed on a person. The Principal Regulations take</w:t>
      </w:r>
      <w:r w:rsidRPr="00BA0732">
        <w:rPr>
          <w:sz w:val="24"/>
          <w:szCs w:val="24"/>
        </w:rPr>
        <w:t xml:space="preserve"> a graduated approach to compliance and enforcement by using infringement notices to administer a proportional approach to protecting and regulating the Marine Park. </w:t>
      </w:r>
    </w:p>
    <w:p w14:paraId="4C45117C" w14:textId="2A00AAF6" w:rsidR="002179C6" w:rsidRPr="00BA0732" w:rsidRDefault="002179C6" w:rsidP="002179C6">
      <w:pPr>
        <w:spacing w:line="23" w:lineRule="atLeast"/>
        <w:ind w:right="91"/>
        <w:rPr>
          <w:sz w:val="24"/>
          <w:szCs w:val="24"/>
        </w:rPr>
      </w:pPr>
      <w:r w:rsidRPr="00BA0732">
        <w:rPr>
          <w:sz w:val="24"/>
          <w:szCs w:val="24"/>
        </w:rPr>
        <w:t xml:space="preserve">The infringement notice scheme provides that an inspector may give a person an infringement notice if they believe on reasonable grounds that the person has committed an “infringement notice offence” (Division 3 of Part 16). The majority of offences under the </w:t>
      </w:r>
      <w:r w:rsidR="00BA0732" w:rsidRPr="00BA0732">
        <w:rPr>
          <w:sz w:val="24"/>
          <w:szCs w:val="24"/>
        </w:rPr>
        <w:t>Principal Regulations</w:t>
      </w:r>
      <w:r w:rsidRPr="00BA0732">
        <w:rPr>
          <w:sz w:val="24"/>
          <w:szCs w:val="24"/>
        </w:rPr>
        <w:t xml:space="preserve"> are deemed to be an “infringement notice offence” under the </w:t>
      </w:r>
      <w:r w:rsidR="00BA0732" w:rsidRPr="00BA0732">
        <w:rPr>
          <w:sz w:val="24"/>
          <w:szCs w:val="24"/>
        </w:rPr>
        <w:t>Principal Regulations</w:t>
      </w:r>
      <w:r w:rsidRPr="00BA0732">
        <w:rPr>
          <w:sz w:val="24"/>
          <w:szCs w:val="24"/>
        </w:rPr>
        <w:t xml:space="preserve">. </w:t>
      </w:r>
    </w:p>
    <w:p w14:paraId="10BC97D8" w14:textId="4224FAE8" w:rsidR="002179C6" w:rsidRPr="00BA0732" w:rsidRDefault="002179C6" w:rsidP="002179C6">
      <w:pPr>
        <w:spacing w:line="23" w:lineRule="atLeast"/>
        <w:ind w:right="91"/>
        <w:rPr>
          <w:sz w:val="24"/>
          <w:szCs w:val="24"/>
        </w:rPr>
      </w:pPr>
      <w:r w:rsidRPr="00BA0732">
        <w:rPr>
          <w:sz w:val="24"/>
          <w:szCs w:val="24"/>
        </w:rPr>
        <w:t xml:space="preserve">The infringement notice must be given within 12 months after the day the contravention is alleged to have taken place. The person to whom an infringement notice has been given may apply in writing to the Authority requesting a period longer than the required 28 days for the payment of the penalty. The Authority has the power to withdraw infringement notices under the </w:t>
      </w:r>
      <w:r w:rsidR="00BA0732" w:rsidRPr="00BA0732">
        <w:rPr>
          <w:sz w:val="24"/>
          <w:szCs w:val="24"/>
        </w:rPr>
        <w:t>Principal Regulations</w:t>
      </w:r>
      <w:r w:rsidRPr="00BA0732">
        <w:rPr>
          <w:sz w:val="24"/>
          <w:szCs w:val="24"/>
        </w:rPr>
        <w:t>, and the person may also make written representations to the Authority seeking the withdrawal of a notice. An infringement notice gives the person to whom the notice is issued the option of paying the penalty set out in the notice, or electing to have the matter dealt by a court. If the person does not pay the amount in the notice, they may be prosecuted if the notice relates to an offence provision. Further, the affected person is given the opportunity to dispute an infringement notice.</w:t>
      </w:r>
    </w:p>
    <w:p w14:paraId="6115A2C9" w14:textId="3CED19EC" w:rsidR="00BA0732" w:rsidRPr="00BA0732" w:rsidRDefault="00BA0732" w:rsidP="002179C6">
      <w:pPr>
        <w:spacing w:line="23" w:lineRule="atLeast"/>
        <w:ind w:right="91"/>
        <w:rPr>
          <w:sz w:val="24"/>
          <w:szCs w:val="24"/>
        </w:rPr>
      </w:pPr>
      <w:r w:rsidRPr="00BA0732">
        <w:rPr>
          <w:sz w:val="24"/>
          <w:szCs w:val="24"/>
        </w:rPr>
        <w:t xml:space="preserve">The Amendment Regulations widen the scope of the existing infringement notice regime under the Principal Regulations by adding two new infringement notice offences to that regime, for anchoring in a declared no-anchoring area. The Amendment Regulations do not otherwise change the manner in which the existing infringement notice regime operates under the Principal Regulations. </w:t>
      </w:r>
    </w:p>
    <w:p w14:paraId="2E19EC1F" w14:textId="6225A859" w:rsidR="002179C6" w:rsidRPr="00BA0732" w:rsidRDefault="002179C6" w:rsidP="002179C6">
      <w:pPr>
        <w:spacing w:line="23" w:lineRule="atLeast"/>
        <w:ind w:right="91"/>
        <w:rPr>
          <w:sz w:val="24"/>
          <w:szCs w:val="24"/>
        </w:rPr>
      </w:pPr>
      <w:r w:rsidRPr="00BA0732">
        <w:rPr>
          <w:sz w:val="24"/>
          <w:szCs w:val="24"/>
        </w:rPr>
        <w:t xml:space="preserve">The </w:t>
      </w:r>
      <w:r w:rsidR="00BA0732" w:rsidRPr="00BA0732">
        <w:rPr>
          <w:sz w:val="24"/>
          <w:szCs w:val="24"/>
        </w:rPr>
        <w:t>Principal Regulations</w:t>
      </w:r>
      <w:r w:rsidRPr="00BA0732">
        <w:rPr>
          <w:sz w:val="24"/>
          <w:szCs w:val="24"/>
        </w:rPr>
        <w:t xml:space="preserve"> prom</w:t>
      </w:r>
      <w:r w:rsidR="00BA0732" w:rsidRPr="00BA0732">
        <w:rPr>
          <w:sz w:val="24"/>
          <w:szCs w:val="24"/>
        </w:rPr>
        <w:t>ote</w:t>
      </w:r>
      <w:r w:rsidRPr="00BA0732">
        <w:rPr>
          <w:sz w:val="24"/>
          <w:szCs w:val="24"/>
        </w:rPr>
        <w:t xml:space="preserve"> fair trial and fair hearing rights, to the extent that aspects of the criminal trial procedure are regulated for infringement notice offences. The </w:t>
      </w:r>
      <w:r w:rsidR="00BA0732" w:rsidRPr="00BA0732">
        <w:rPr>
          <w:sz w:val="24"/>
          <w:szCs w:val="24"/>
        </w:rPr>
        <w:t>Principal Regulations do</w:t>
      </w:r>
      <w:r w:rsidRPr="00BA0732">
        <w:rPr>
          <w:sz w:val="24"/>
          <w:szCs w:val="24"/>
        </w:rPr>
        <w:t xml:space="preserve"> this by providing that: </w:t>
      </w:r>
    </w:p>
    <w:p w14:paraId="33843302" w14:textId="0C665DBE" w:rsidR="002179C6" w:rsidRPr="00BA0732" w:rsidRDefault="00BA0732" w:rsidP="002179C6">
      <w:pPr>
        <w:numPr>
          <w:ilvl w:val="0"/>
          <w:numId w:val="9"/>
        </w:numPr>
        <w:spacing w:line="23" w:lineRule="atLeast"/>
        <w:ind w:right="91"/>
        <w:rPr>
          <w:sz w:val="24"/>
          <w:szCs w:val="24"/>
        </w:rPr>
      </w:pPr>
      <w:r w:rsidRPr="00BA0732">
        <w:rPr>
          <w:sz w:val="24"/>
          <w:szCs w:val="24"/>
        </w:rPr>
        <w:lastRenderedPageBreak/>
        <w:t>W</w:t>
      </w:r>
      <w:r w:rsidR="002179C6" w:rsidRPr="00BA0732">
        <w:rPr>
          <w:sz w:val="24"/>
          <w:szCs w:val="24"/>
        </w:rPr>
        <w:t>ithin 28 days of an infringement notice being serviced on a person, the person may make submissions to the Authority about any facts or matters the person believes ought to be taken into account in relation to the alleged offence, and the Authority must take any such submissions into account</w:t>
      </w:r>
      <w:r w:rsidRPr="00BA0732">
        <w:rPr>
          <w:sz w:val="24"/>
          <w:szCs w:val="24"/>
        </w:rPr>
        <w:t>;</w:t>
      </w:r>
      <w:r w:rsidR="002179C6" w:rsidRPr="00BA0732">
        <w:rPr>
          <w:sz w:val="24"/>
          <w:szCs w:val="24"/>
        </w:rPr>
        <w:t xml:space="preserve"> </w:t>
      </w:r>
    </w:p>
    <w:p w14:paraId="71A5B415" w14:textId="7EA6EC3D" w:rsidR="002179C6" w:rsidRPr="00BA0732" w:rsidRDefault="00BA0732" w:rsidP="002179C6">
      <w:pPr>
        <w:numPr>
          <w:ilvl w:val="0"/>
          <w:numId w:val="9"/>
        </w:numPr>
        <w:spacing w:line="23" w:lineRule="atLeast"/>
        <w:ind w:right="91"/>
        <w:rPr>
          <w:sz w:val="24"/>
          <w:szCs w:val="24"/>
        </w:rPr>
      </w:pPr>
      <w:r w:rsidRPr="00BA0732">
        <w:rPr>
          <w:sz w:val="24"/>
          <w:szCs w:val="24"/>
        </w:rPr>
        <w:t>E</w:t>
      </w:r>
      <w:r w:rsidR="002179C6" w:rsidRPr="00BA0732">
        <w:rPr>
          <w:sz w:val="24"/>
          <w:szCs w:val="24"/>
        </w:rPr>
        <w:t>vidence of an admission made by a person in such a submission is inadmissible in a proceeding against the person for the alleged offence</w:t>
      </w:r>
      <w:r w:rsidRPr="00BA0732">
        <w:rPr>
          <w:sz w:val="24"/>
          <w:szCs w:val="24"/>
        </w:rPr>
        <w:t>; and</w:t>
      </w:r>
    </w:p>
    <w:p w14:paraId="302ADD49" w14:textId="35824F3D" w:rsidR="002179C6" w:rsidRPr="00BA0732" w:rsidRDefault="00BA0732" w:rsidP="002179C6">
      <w:pPr>
        <w:numPr>
          <w:ilvl w:val="0"/>
          <w:numId w:val="9"/>
        </w:numPr>
        <w:spacing w:line="23" w:lineRule="atLeast"/>
        <w:ind w:right="91"/>
        <w:rPr>
          <w:sz w:val="24"/>
          <w:szCs w:val="24"/>
        </w:rPr>
      </w:pPr>
      <w:r w:rsidRPr="00BA0732">
        <w:rPr>
          <w:sz w:val="24"/>
          <w:szCs w:val="24"/>
        </w:rPr>
        <w:t>I</w:t>
      </w:r>
      <w:r w:rsidR="002179C6" w:rsidRPr="00BA0732">
        <w:rPr>
          <w:sz w:val="24"/>
          <w:szCs w:val="24"/>
        </w:rPr>
        <w:t>f a person who is served with an infringement notice chooses not to pay the infringement notice penalty and is convicted of the offence, the court must not take into account the fact that the person chose not to pay the infringement notice penalty in determining the penalty to be imposed.</w:t>
      </w:r>
    </w:p>
    <w:p w14:paraId="7E2C5A8C" w14:textId="5860F752" w:rsidR="002179C6" w:rsidRPr="00045913" w:rsidRDefault="002179C6" w:rsidP="00061241">
      <w:pPr>
        <w:spacing w:line="23" w:lineRule="atLeast"/>
        <w:ind w:right="91"/>
        <w:rPr>
          <w:sz w:val="24"/>
          <w:szCs w:val="24"/>
        </w:rPr>
      </w:pPr>
      <w:r w:rsidRPr="00BA0732">
        <w:rPr>
          <w:sz w:val="24"/>
          <w:szCs w:val="24"/>
        </w:rPr>
        <w:t>As a result, the rights to a fair and public hearing under Article 14(1) of the ICCPR in criminal matters are not limited by the infring</w:t>
      </w:r>
      <w:r w:rsidR="00BA0732" w:rsidRPr="00BA0732">
        <w:rPr>
          <w:sz w:val="24"/>
          <w:szCs w:val="24"/>
        </w:rPr>
        <w:t xml:space="preserve">ement notice scheme created by the Principal Regulations. To the extent that the Amendment Regulations widen the scope of the existing infringement notice scheme, the rights to a fair trial and a public hearing remain unaffected. </w:t>
      </w:r>
    </w:p>
    <w:p w14:paraId="63852904" w14:textId="77777777" w:rsidR="00166576" w:rsidRPr="00AF1397" w:rsidRDefault="00166576" w:rsidP="00166576">
      <w:pPr>
        <w:spacing w:line="23" w:lineRule="atLeast"/>
        <w:ind w:right="91"/>
        <w:rPr>
          <w:sz w:val="24"/>
          <w:szCs w:val="24"/>
        </w:rPr>
      </w:pPr>
      <w:r>
        <w:rPr>
          <w:b/>
          <w:sz w:val="24"/>
          <w:szCs w:val="24"/>
        </w:rPr>
        <w:t>Conclusion</w:t>
      </w:r>
    </w:p>
    <w:p w14:paraId="63852905" w14:textId="2421774D" w:rsidR="00657B49" w:rsidRDefault="00045913" w:rsidP="00166576">
      <w:pPr>
        <w:spacing w:line="23" w:lineRule="atLeast"/>
        <w:ind w:right="91"/>
      </w:pPr>
      <w:r>
        <w:rPr>
          <w:sz w:val="24"/>
          <w:szCs w:val="24"/>
        </w:rPr>
        <w:t>The Amendment Regulations are</w:t>
      </w:r>
      <w:r w:rsidR="00166576">
        <w:rPr>
          <w:sz w:val="24"/>
          <w:szCs w:val="24"/>
        </w:rPr>
        <w:t xml:space="preserve"> co</w:t>
      </w:r>
      <w:r>
        <w:rPr>
          <w:sz w:val="24"/>
          <w:szCs w:val="24"/>
        </w:rPr>
        <w:t>mpatible with human rights</w:t>
      </w:r>
      <w:r w:rsidR="00BA0732">
        <w:rPr>
          <w:sz w:val="24"/>
          <w:szCs w:val="24"/>
        </w:rPr>
        <w:t>.</w:t>
      </w:r>
      <w:r>
        <w:rPr>
          <w:sz w:val="24"/>
          <w:szCs w:val="24"/>
        </w:rPr>
        <w:t xml:space="preserve"> </w:t>
      </w:r>
      <w:r w:rsidR="00BA0732">
        <w:rPr>
          <w:sz w:val="24"/>
          <w:szCs w:val="24"/>
        </w:rPr>
        <w:t>T</w:t>
      </w:r>
      <w:r w:rsidR="007E22E3">
        <w:rPr>
          <w:sz w:val="24"/>
          <w:szCs w:val="24"/>
        </w:rPr>
        <w:t>o the extent that human rights are limited by the Amendment Regulations, this is done so in a way that is</w:t>
      </w:r>
      <w:r w:rsidRPr="00045913">
        <w:rPr>
          <w:sz w:val="24"/>
          <w:szCs w:val="24"/>
        </w:rPr>
        <w:t xml:space="preserve"> necessary, reasonable and proportionate.</w:t>
      </w:r>
    </w:p>
    <w:sectPr w:rsidR="00657B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60852" w14:textId="77777777" w:rsidR="00973BD1" w:rsidRDefault="00973BD1" w:rsidP="00166576">
      <w:pPr>
        <w:spacing w:after="0" w:line="240" w:lineRule="auto"/>
      </w:pPr>
      <w:r>
        <w:separator/>
      </w:r>
    </w:p>
  </w:endnote>
  <w:endnote w:type="continuationSeparator" w:id="0">
    <w:p w14:paraId="66AE009F" w14:textId="77777777" w:rsidR="00973BD1" w:rsidRDefault="00973BD1" w:rsidP="00166576">
      <w:pPr>
        <w:spacing w:after="0" w:line="240" w:lineRule="auto"/>
      </w:pPr>
      <w:r>
        <w:continuationSeparator/>
      </w:r>
    </w:p>
  </w:endnote>
  <w:endnote w:type="continuationNotice" w:id="1">
    <w:p w14:paraId="00214355" w14:textId="77777777" w:rsidR="00973BD1" w:rsidRDefault="00973B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9119" w14:textId="77777777" w:rsidR="00973BD1" w:rsidRDefault="00973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245223"/>
      <w:docPartObj>
        <w:docPartGallery w:val="Page Numbers (Bottom of Page)"/>
        <w:docPartUnique/>
      </w:docPartObj>
    </w:sdtPr>
    <w:sdtEndPr>
      <w:rPr>
        <w:noProof/>
      </w:rPr>
    </w:sdtEndPr>
    <w:sdtContent>
      <w:p w14:paraId="6385290D" w14:textId="745E4F5A" w:rsidR="00973BD1" w:rsidRDefault="00973BD1">
        <w:pPr>
          <w:pStyle w:val="Footer"/>
          <w:jc w:val="center"/>
        </w:pPr>
        <w:r>
          <w:fldChar w:fldCharType="begin"/>
        </w:r>
        <w:r>
          <w:instrText xml:space="preserve"> PAGE   \* MERGEFORMAT </w:instrText>
        </w:r>
        <w:r>
          <w:fldChar w:fldCharType="separate"/>
        </w:r>
        <w:r w:rsidR="001B7C05">
          <w:rPr>
            <w:noProof/>
          </w:rPr>
          <w:t>2</w:t>
        </w:r>
        <w:r>
          <w:rPr>
            <w:noProof/>
          </w:rPr>
          <w:fldChar w:fldCharType="end"/>
        </w:r>
      </w:p>
    </w:sdtContent>
  </w:sdt>
  <w:p w14:paraId="6385290E" w14:textId="77777777" w:rsidR="00973BD1" w:rsidRDefault="00973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301F7" w14:textId="77777777" w:rsidR="00973BD1" w:rsidRDefault="00973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DC841" w14:textId="77777777" w:rsidR="00973BD1" w:rsidRDefault="00973BD1" w:rsidP="00166576">
      <w:pPr>
        <w:spacing w:after="0" w:line="240" w:lineRule="auto"/>
      </w:pPr>
      <w:r>
        <w:separator/>
      </w:r>
    </w:p>
  </w:footnote>
  <w:footnote w:type="continuationSeparator" w:id="0">
    <w:p w14:paraId="00F11CE9" w14:textId="77777777" w:rsidR="00973BD1" w:rsidRDefault="00973BD1" w:rsidP="00166576">
      <w:pPr>
        <w:spacing w:after="0" w:line="240" w:lineRule="auto"/>
      </w:pPr>
      <w:r>
        <w:continuationSeparator/>
      </w:r>
    </w:p>
  </w:footnote>
  <w:footnote w:type="continuationNotice" w:id="1">
    <w:p w14:paraId="31034AF8" w14:textId="77777777" w:rsidR="00973BD1" w:rsidRDefault="00973B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3CCE" w14:textId="77777777" w:rsidR="00973BD1" w:rsidRDefault="00973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AD88" w14:textId="77777777" w:rsidR="00973BD1" w:rsidRDefault="00973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6F6AA" w14:textId="77777777" w:rsidR="00973BD1" w:rsidRDefault="00973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38B0"/>
    <w:multiLevelType w:val="hybridMultilevel"/>
    <w:tmpl w:val="88A6D422"/>
    <w:lvl w:ilvl="0" w:tplc="A0C2C5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CC0DA0"/>
    <w:multiLevelType w:val="hybridMultilevel"/>
    <w:tmpl w:val="C34A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EE16B3"/>
    <w:multiLevelType w:val="hybridMultilevel"/>
    <w:tmpl w:val="1D58FD30"/>
    <w:lvl w:ilvl="0" w:tplc="11765324">
      <w:start w:val="1"/>
      <w:numFmt w:val="bullet"/>
      <w:lvlText w:val="-"/>
      <w:lvlJc w:val="left"/>
      <w:pPr>
        <w:ind w:left="360" w:hanging="360"/>
      </w:pPr>
      <w:rPr>
        <w:rFonts w:ascii="Calibri" w:eastAsiaTheme="minorHAnsi" w:hAnsi="Calibri" w:cstheme="minorBidi" w:hint="default"/>
        <w: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A323068"/>
    <w:multiLevelType w:val="hybridMultilevel"/>
    <w:tmpl w:val="85626D44"/>
    <w:lvl w:ilvl="0" w:tplc="A0C2C5E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35" w:hanging="360"/>
      </w:pPr>
      <w:rPr>
        <w:rFonts w:ascii="Courier New" w:hAnsi="Courier New" w:cs="Courier New" w:hint="default"/>
      </w:rPr>
    </w:lvl>
    <w:lvl w:ilvl="2" w:tplc="0C090005" w:tentative="1">
      <w:start w:val="1"/>
      <w:numFmt w:val="bullet"/>
      <w:lvlText w:val=""/>
      <w:lvlJc w:val="left"/>
      <w:pPr>
        <w:ind w:left="1755" w:hanging="360"/>
      </w:pPr>
      <w:rPr>
        <w:rFonts w:ascii="Wingdings" w:hAnsi="Wingdings" w:hint="default"/>
      </w:rPr>
    </w:lvl>
    <w:lvl w:ilvl="3" w:tplc="0C090001" w:tentative="1">
      <w:start w:val="1"/>
      <w:numFmt w:val="bullet"/>
      <w:lvlText w:val=""/>
      <w:lvlJc w:val="left"/>
      <w:pPr>
        <w:ind w:left="2475" w:hanging="360"/>
      </w:pPr>
      <w:rPr>
        <w:rFonts w:ascii="Symbol" w:hAnsi="Symbol" w:hint="default"/>
      </w:rPr>
    </w:lvl>
    <w:lvl w:ilvl="4" w:tplc="0C090003" w:tentative="1">
      <w:start w:val="1"/>
      <w:numFmt w:val="bullet"/>
      <w:lvlText w:val="o"/>
      <w:lvlJc w:val="left"/>
      <w:pPr>
        <w:ind w:left="3195" w:hanging="360"/>
      </w:pPr>
      <w:rPr>
        <w:rFonts w:ascii="Courier New" w:hAnsi="Courier New" w:cs="Courier New" w:hint="default"/>
      </w:rPr>
    </w:lvl>
    <w:lvl w:ilvl="5" w:tplc="0C090005" w:tentative="1">
      <w:start w:val="1"/>
      <w:numFmt w:val="bullet"/>
      <w:lvlText w:val=""/>
      <w:lvlJc w:val="left"/>
      <w:pPr>
        <w:ind w:left="3915" w:hanging="360"/>
      </w:pPr>
      <w:rPr>
        <w:rFonts w:ascii="Wingdings" w:hAnsi="Wingdings" w:hint="default"/>
      </w:rPr>
    </w:lvl>
    <w:lvl w:ilvl="6" w:tplc="0C090001" w:tentative="1">
      <w:start w:val="1"/>
      <w:numFmt w:val="bullet"/>
      <w:lvlText w:val=""/>
      <w:lvlJc w:val="left"/>
      <w:pPr>
        <w:ind w:left="4635" w:hanging="360"/>
      </w:pPr>
      <w:rPr>
        <w:rFonts w:ascii="Symbol" w:hAnsi="Symbol" w:hint="default"/>
      </w:rPr>
    </w:lvl>
    <w:lvl w:ilvl="7" w:tplc="0C090003" w:tentative="1">
      <w:start w:val="1"/>
      <w:numFmt w:val="bullet"/>
      <w:lvlText w:val="o"/>
      <w:lvlJc w:val="left"/>
      <w:pPr>
        <w:ind w:left="5355" w:hanging="360"/>
      </w:pPr>
      <w:rPr>
        <w:rFonts w:ascii="Courier New" w:hAnsi="Courier New" w:cs="Courier New" w:hint="default"/>
      </w:rPr>
    </w:lvl>
    <w:lvl w:ilvl="8" w:tplc="0C090005" w:tentative="1">
      <w:start w:val="1"/>
      <w:numFmt w:val="bullet"/>
      <w:lvlText w:val=""/>
      <w:lvlJc w:val="left"/>
      <w:pPr>
        <w:ind w:left="6075" w:hanging="360"/>
      </w:pPr>
      <w:rPr>
        <w:rFonts w:ascii="Wingdings" w:hAnsi="Wingdings" w:hint="default"/>
      </w:rPr>
    </w:lvl>
  </w:abstractNum>
  <w:abstractNum w:abstractNumId="4" w15:restartNumberingAfterBreak="0">
    <w:nsid w:val="5BDD7ADE"/>
    <w:multiLevelType w:val="hybridMultilevel"/>
    <w:tmpl w:val="6EAE6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347FF1"/>
    <w:multiLevelType w:val="hybridMultilevel"/>
    <w:tmpl w:val="CD5E455A"/>
    <w:lvl w:ilvl="0" w:tplc="09CC234E">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43641D9"/>
    <w:multiLevelType w:val="hybridMultilevel"/>
    <w:tmpl w:val="126CFD08"/>
    <w:lvl w:ilvl="0" w:tplc="DEE0D8CE">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47C3559"/>
    <w:multiLevelType w:val="hybridMultilevel"/>
    <w:tmpl w:val="43F0D81E"/>
    <w:lvl w:ilvl="0" w:tplc="A0C2C5E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4857EA4"/>
    <w:multiLevelType w:val="hybridMultilevel"/>
    <w:tmpl w:val="60CA8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B250AE"/>
    <w:multiLevelType w:val="hybridMultilevel"/>
    <w:tmpl w:val="CF14E0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9"/>
  </w:num>
  <w:num w:numId="3">
    <w:abstractNumId w:val="3"/>
  </w:num>
  <w:num w:numId="4">
    <w:abstractNumId w:val="7"/>
  </w:num>
  <w:num w:numId="5">
    <w:abstractNumId w:val="6"/>
  </w:num>
  <w:num w:numId="6">
    <w:abstractNumId w:val="0"/>
  </w:num>
  <w:num w:numId="7">
    <w:abstractNumId w:val="5"/>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76"/>
    <w:rsid w:val="00000BA6"/>
    <w:rsid w:val="0000248E"/>
    <w:rsid w:val="00003F69"/>
    <w:rsid w:val="00004F5D"/>
    <w:rsid w:val="00015F17"/>
    <w:rsid w:val="0002455B"/>
    <w:rsid w:val="00032222"/>
    <w:rsid w:val="00045913"/>
    <w:rsid w:val="00053CB9"/>
    <w:rsid w:val="000578BB"/>
    <w:rsid w:val="00061241"/>
    <w:rsid w:val="000802B0"/>
    <w:rsid w:val="0008796A"/>
    <w:rsid w:val="00091EF3"/>
    <w:rsid w:val="00092FDC"/>
    <w:rsid w:val="000A0438"/>
    <w:rsid w:val="000A494E"/>
    <w:rsid w:val="000B25C5"/>
    <w:rsid w:val="000F6994"/>
    <w:rsid w:val="00102E30"/>
    <w:rsid w:val="00131D0B"/>
    <w:rsid w:val="00136B2B"/>
    <w:rsid w:val="00136F2B"/>
    <w:rsid w:val="001439A7"/>
    <w:rsid w:val="00154C4D"/>
    <w:rsid w:val="00155316"/>
    <w:rsid w:val="00161206"/>
    <w:rsid w:val="00166576"/>
    <w:rsid w:val="001757FE"/>
    <w:rsid w:val="001774F4"/>
    <w:rsid w:val="00180F5A"/>
    <w:rsid w:val="001861F4"/>
    <w:rsid w:val="0019548A"/>
    <w:rsid w:val="001A11B0"/>
    <w:rsid w:val="001A1F4A"/>
    <w:rsid w:val="001A5E30"/>
    <w:rsid w:val="001B1E42"/>
    <w:rsid w:val="001B2C1D"/>
    <w:rsid w:val="001B7C05"/>
    <w:rsid w:val="001C24BE"/>
    <w:rsid w:val="001C3088"/>
    <w:rsid w:val="001D4548"/>
    <w:rsid w:val="001D761C"/>
    <w:rsid w:val="001E38B8"/>
    <w:rsid w:val="00205887"/>
    <w:rsid w:val="00205F34"/>
    <w:rsid w:val="002179C6"/>
    <w:rsid w:val="002512AD"/>
    <w:rsid w:val="00254B1C"/>
    <w:rsid w:val="00256B64"/>
    <w:rsid w:val="00261E7B"/>
    <w:rsid w:val="00264244"/>
    <w:rsid w:val="002722A4"/>
    <w:rsid w:val="00274DDC"/>
    <w:rsid w:val="002A1A98"/>
    <w:rsid w:val="002B6735"/>
    <w:rsid w:val="002D1CDB"/>
    <w:rsid w:val="002D427F"/>
    <w:rsid w:val="002F5009"/>
    <w:rsid w:val="00321634"/>
    <w:rsid w:val="00331EF2"/>
    <w:rsid w:val="00355BD4"/>
    <w:rsid w:val="00360637"/>
    <w:rsid w:val="00366237"/>
    <w:rsid w:val="00366DFF"/>
    <w:rsid w:val="003800A6"/>
    <w:rsid w:val="003817A4"/>
    <w:rsid w:val="00391CD0"/>
    <w:rsid w:val="003A5939"/>
    <w:rsid w:val="003A6E82"/>
    <w:rsid w:val="003B2D67"/>
    <w:rsid w:val="003E560F"/>
    <w:rsid w:val="00406674"/>
    <w:rsid w:val="00424A05"/>
    <w:rsid w:val="00431330"/>
    <w:rsid w:val="00442EF2"/>
    <w:rsid w:val="00451FDE"/>
    <w:rsid w:val="0045377C"/>
    <w:rsid w:val="00463458"/>
    <w:rsid w:val="00467FA7"/>
    <w:rsid w:val="004848AB"/>
    <w:rsid w:val="0049343E"/>
    <w:rsid w:val="004A42D3"/>
    <w:rsid w:val="004B2A63"/>
    <w:rsid w:val="004B71A0"/>
    <w:rsid w:val="004E3E45"/>
    <w:rsid w:val="00524CFC"/>
    <w:rsid w:val="00533B44"/>
    <w:rsid w:val="00537AB7"/>
    <w:rsid w:val="005572D2"/>
    <w:rsid w:val="00564B97"/>
    <w:rsid w:val="005761FD"/>
    <w:rsid w:val="0057708A"/>
    <w:rsid w:val="00596196"/>
    <w:rsid w:val="005A0D7D"/>
    <w:rsid w:val="005A3F05"/>
    <w:rsid w:val="005C3F01"/>
    <w:rsid w:val="005D10D5"/>
    <w:rsid w:val="005F4602"/>
    <w:rsid w:val="005F4848"/>
    <w:rsid w:val="00615AA3"/>
    <w:rsid w:val="006320B5"/>
    <w:rsid w:val="00633548"/>
    <w:rsid w:val="00645D60"/>
    <w:rsid w:val="0064691E"/>
    <w:rsid w:val="00657B49"/>
    <w:rsid w:val="006763F6"/>
    <w:rsid w:val="00682C61"/>
    <w:rsid w:val="00691B9C"/>
    <w:rsid w:val="00695BE8"/>
    <w:rsid w:val="006A7103"/>
    <w:rsid w:val="006A7901"/>
    <w:rsid w:val="006B48CC"/>
    <w:rsid w:val="006C3727"/>
    <w:rsid w:val="006D5B23"/>
    <w:rsid w:val="006E3458"/>
    <w:rsid w:val="006F63F1"/>
    <w:rsid w:val="00701AA5"/>
    <w:rsid w:val="00707D82"/>
    <w:rsid w:val="00711E3B"/>
    <w:rsid w:val="00732DA9"/>
    <w:rsid w:val="0074324F"/>
    <w:rsid w:val="00747D8A"/>
    <w:rsid w:val="0076106C"/>
    <w:rsid w:val="00764D75"/>
    <w:rsid w:val="00796073"/>
    <w:rsid w:val="007A33B3"/>
    <w:rsid w:val="007A6A48"/>
    <w:rsid w:val="007B15C7"/>
    <w:rsid w:val="007B64CE"/>
    <w:rsid w:val="007C0611"/>
    <w:rsid w:val="007D2B3D"/>
    <w:rsid w:val="007E22E3"/>
    <w:rsid w:val="00801687"/>
    <w:rsid w:val="00815079"/>
    <w:rsid w:val="008153FB"/>
    <w:rsid w:val="008175BF"/>
    <w:rsid w:val="00831307"/>
    <w:rsid w:val="00831B30"/>
    <w:rsid w:val="008418AB"/>
    <w:rsid w:val="008419E2"/>
    <w:rsid w:val="00875FB1"/>
    <w:rsid w:val="00876520"/>
    <w:rsid w:val="0088017F"/>
    <w:rsid w:val="00881A56"/>
    <w:rsid w:val="00885F3F"/>
    <w:rsid w:val="008A7033"/>
    <w:rsid w:val="008B1B87"/>
    <w:rsid w:val="008C5745"/>
    <w:rsid w:val="008C621C"/>
    <w:rsid w:val="008D6FC5"/>
    <w:rsid w:val="008F3A4C"/>
    <w:rsid w:val="0091149C"/>
    <w:rsid w:val="0091604F"/>
    <w:rsid w:val="0091607B"/>
    <w:rsid w:val="00921984"/>
    <w:rsid w:val="00941624"/>
    <w:rsid w:val="00945D11"/>
    <w:rsid w:val="00952F88"/>
    <w:rsid w:val="0095557C"/>
    <w:rsid w:val="00955D67"/>
    <w:rsid w:val="0096760E"/>
    <w:rsid w:val="009736AD"/>
    <w:rsid w:val="00973BD1"/>
    <w:rsid w:val="009943B6"/>
    <w:rsid w:val="009D0B46"/>
    <w:rsid w:val="009D4828"/>
    <w:rsid w:val="009E162E"/>
    <w:rsid w:val="009E27A9"/>
    <w:rsid w:val="009E55EC"/>
    <w:rsid w:val="009E6343"/>
    <w:rsid w:val="009E75D2"/>
    <w:rsid w:val="009F26FE"/>
    <w:rsid w:val="00A00D18"/>
    <w:rsid w:val="00A02F5E"/>
    <w:rsid w:val="00A15FEE"/>
    <w:rsid w:val="00A25FDD"/>
    <w:rsid w:val="00A3086F"/>
    <w:rsid w:val="00A4626F"/>
    <w:rsid w:val="00A52636"/>
    <w:rsid w:val="00A609ED"/>
    <w:rsid w:val="00A64753"/>
    <w:rsid w:val="00A842FF"/>
    <w:rsid w:val="00AA3B2D"/>
    <w:rsid w:val="00AB3FC6"/>
    <w:rsid w:val="00AB67E5"/>
    <w:rsid w:val="00AD099A"/>
    <w:rsid w:val="00AF5ECA"/>
    <w:rsid w:val="00AF6311"/>
    <w:rsid w:val="00B0323C"/>
    <w:rsid w:val="00B12398"/>
    <w:rsid w:val="00B30380"/>
    <w:rsid w:val="00B6036F"/>
    <w:rsid w:val="00B61229"/>
    <w:rsid w:val="00B71222"/>
    <w:rsid w:val="00B83F60"/>
    <w:rsid w:val="00B873A9"/>
    <w:rsid w:val="00B9057D"/>
    <w:rsid w:val="00B90D04"/>
    <w:rsid w:val="00BA0732"/>
    <w:rsid w:val="00BC6E2F"/>
    <w:rsid w:val="00BD377A"/>
    <w:rsid w:val="00BF5184"/>
    <w:rsid w:val="00C20957"/>
    <w:rsid w:val="00C24676"/>
    <w:rsid w:val="00C31D9F"/>
    <w:rsid w:val="00C42E39"/>
    <w:rsid w:val="00C443FD"/>
    <w:rsid w:val="00C615ED"/>
    <w:rsid w:val="00C77E59"/>
    <w:rsid w:val="00C77FC3"/>
    <w:rsid w:val="00C95B01"/>
    <w:rsid w:val="00C96B46"/>
    <w:rsid w:val="00CA0957"/>
    <w:rsid w:val="00CA3743"/>
    <w:rsid w:val="00CA4192"/>
    <w:rsid w:val="00CB42D8"/>
    <w:rsid w:val="00CC6C7A"/>
    <w:rsid w:val="00CD09DF"/>
    <w:rsid w:val="00CE0E8D"/>
    <w:rsid w:val="00CE1561"/>
    <w:rsid w:val="00CE38F5"/>
    <w:rsid w:val="00D04CF9"/>
    <w:rsid w:val="00D069C0"/>
    <w:rsid w:val="00D10749"/>
    <w:rsid w:val="00D3067C"/>
    <w:rsid w:val="00D327AD"/>
    <w:rsid w:val="00D52D3D"/>
    <w:rsid w:val="00D63BF2"/>
    <w:rsid w:val="00D655D3"/>
    <w:rsid w:val="00D73F9F"/>
    <w:rsid w:val="00D825BF"/>
    <w:rsid w:val="00D95EA6"/>
    <w:rsid w:val="00DB31A9"/>
    <w:rsid w:val="00DB7BEA"/>
    <w:rsid w:val="00DC2514"/>
    <w:rsid w:val="00DE0BAD"/>
    <w:rsid w:val="00E07050"/>
    <w:rsid w:val="00E07D61"/>
    <w:rsid w:val="00E223C9"/>
    <w:rsid w:val="00E26DD3"/>
    <w:rsid w:val="00E27865"/>
    <w:rsid w:val="00E33EB3"/>
    <w:rsid w:val="00E3771A"/>
    <w:rsid w:val="00E701AE"/>
    <w:rsid w:val="00E73215"/>
    <w:rsid w:val="00E7453F"/>
    <w:rsid w:val="00E83098"/>
    <w:rsid w:val="00E94251"/>
    <w:rsid w:val="00E9746A"/>
    <w:rsid w:val="00EB09A6"/>
    <w:rsid w:val="00EB4D4F"/>
    <w:rsid w:val="00EB64CB"/>
    <w:rsid w:val="00EE2A4C"/>
    <w:rsid w:val="00EE4D81"/>
    <w:rsid w:val="00EF4CF8"/>
    <w:rsid w:val="00F0433B"/>
    <w:rsid w:val="00F231DB"/>
    <w:rsid w:val="00F237A6"/>
    <w:rsid w:val="00F24B0D"/>
    <w:rsid w:val="00F250EF"/>
    <w:rsid w:val="00F40F7F"/>
    <w:rsid w:val="00F51B71"/>
    <w:rsid w:val="00F62FC9"/>
    <w:rsid w:val="00F74474"/>
    <w:rsid w:val="00F76875"/>
    <w:rsid w:val="00F87B2F"/>
    <w:rsid w:val="00F95827"/>
    <w:rsid w:val="00FA0228"/>
    <w:rsid w:val="00FA165D"/>
    <w:rsid w:val="00FA4A2B"/>
    <w:rsid w:val="00FD646A"/>
    <w:rsid w:val="00FE4B16"/>
    <w:rsid w:val="00FF514A"/>
    <w:rsid w:val="00FF78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3852879"/>
  <w15:chartTrackingRefBased/>
  <w15:docId w15:val="{F53794CA-2F36-40E0-94D8-18893772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576"/>
    <w:pPr>
      <w:spacing w:after="200" w:line="276" w:lineRule="auto"/>
    </w:pPr>
  </w:style>
  <w:style w:type="paragraph" w:styleId="Heading2">
    <w:name w:val="heading 2"/>
    <w:basedOn w:val="Normal"/>
    <w:next w:val="Normal"/>
    <w:link w:val="Heading2Char"/>
    <w:uiPriority w:val="9"/>
    <w:unhideWhenUsed/>
    <w:qFormat/>
    <w:rsid w:val="00166576"/>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576"/>
  </w:style>
  <w:style w:type="paragraph" w:styleId="Footer">
    <w:name w:val="footer"/>
    <w:basedOn w:val="Normal"/>
    <w:link w:val="FooterChar"/>
    <w:uiPriority w:val="99"/>
    <w:unhideWhenUsed/>
    <w:rsid w:val="00166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576"/>
  </w:style>
  <w:style w:type="paragraph" w:styleId="ListParagraph">
    <w:name w:val="List Paragraph"/>
    <w:basedOn w:val="Normal"/>
    <w:uiPriority w:val="34"/>
    <w:qFormat/>
    <w:rsid w:val="00166576"/>
    <w:pPr>
      <w:ind w:left="720"/>
      <w:contextualSpacing/>
    </w:pPr>
    <w:rPr>
      <w:rFonts w:eastAsiaTheme="minorEastAsia"/>
      <w:lang w:val="en-US" w:eastAsia="zh-CN"/>
    </w:rPr>
  </w:style>
  <w:style w:type="paragraph" w:customStyle="1" w:styleId="Default">
    <w:name w:val="Default"/>
    <w:rsid w:val="00166576"/>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166576"/>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B12398"/>
    <w:rPr>
      <w:color w:val="0563C1" w:themeColor="hyperlink"/>
      <w:u w:val="single"/>
    </w:rPr>
  </w:style>
  <w:style w:type="character" w:styleId="CommentReference">
    <w:name w:val="annotation reference"/>
    <w:basedOn w:val="DefaultParagraphFont"/>
    <w:uiPriority w:val="99"/>
    <w:semiHidden/>
    <w:unhideWhenUsed/>
    <w:rsid w:val="001D4548"/>
    <w:rPr>
      <w:sz w:val="16"/>
      <w:szCs w:val="16"/>
    </w:rPr>
  </w:style>
  <w:style w:type="paragraph" w:styleId="CommentText">
    <w:name w:val="annotation text"/>
    <w:basedOn w:val="Normal"/>
    <w:link w:val="CommentTextChar"/>
    <w:uiPriority w:val="99"/>
    <w:unhideWhenUsed/>
    <w:rsid w:val="001D4548"/>
    <w:pPr>
      <w:spacing w:line="240" w:lineRule="auto"/>
    </w:pPr>
    <w:rPr>
      <w:sz w:val="20"/>
      <w:szCs w:val="20"/>
    </w:rPr>
  </w:style>
  <w:style w:type="character" w:customStyle="1" w:styleId="CommentTextChar">
    <w:name w:val="Comment Text Char"/>
    <w:basedOn w:val="DefaultParagraphFont"/>
    <w:link w:val="CommentText"/>
    <w:uiPriority w:val="99"/>
    <w:rsid w:val="001D4548"/>
    <w:rPr>
      <w:sz w:val="20"/>
      <w:szCs w:val="20"/>
    </w:rPr>
  </w:style>
  <w:style w:type="paragraph" w:styleId="CommentSubject">
    <w:name w:val="annotation subject"/>
    <w:basedOn w:val="CommentText"/>
    <w:next w:val="CommentText"/>
    <w:link w:val="CommentSubjectChar"/>
    <w:uiPriority w:val="99"/>
    <w:semiHidden/>
    <w:unhideWhenUsed/>
    <w:rsid w:val="001D4548"/>
    <w:rPr>
      <w:b/>
      <w:bCs/>
    </w:rPr>
  </w:style>
  <w:style w:type="character" w:customStyle="1" w:styleId="CommentSubjectChar">
    <w:name w:val="Comment Subject Char"/>
    <w:basedOn w:val="CommentTextChar"/>
    <w:link w:val="CommentSubject"/>
    <w:uiPriority w:val="99"/>
    <w:semiHidden/>
    <w:rsid w:val="001D4548"/>
    <w:rPr>
      <w:b/>
      <w:bCs/>
      <w:sz w:val="20"/>
      <w:szCs w:val="20"/>
    </w:rPr>
  </w:style>
  <w:style w:type="paragraph" w:styleId="BalloonText">
    <w:name w:val="Balloon Text"/>
    <w:basedOn w:val="Normal"/>
    <w:link w:val="BalloonTextChar"/>
    <w:uiPriority w:val="99"/>
    <w:semiHidden/>
    <w:unhideWhenUsed/>
    <w:rsid w:val="001D4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5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BRMPA Document" ma:contentTypeID="0x010100A2FC004FBC144CA69D351D7740440BA200D7A86C71177A8E45A3461B0F9A41C6F9" ma:contentTypeVersion="20" ma:contentTypeDescription="" ma:contentTypeScope="" ma:versionID="8c2dab9266b77b32eedbc6fc1946d1a5">
  <xsd:schema xmlns:xsd="http://www.w3.org/2001/XMLSchema" xmlns:xs="http://www.w3.org/2001/XMLSchema" xmlns:p="http://schemas.microsoft.com/office/2006/metadata/properties" xmlns:ns2="7044cef8-ecae-4275-b6a6-1e10cddc7af7" xmlns:ns4="http://schemas.microsoft.com/sharepoint/v4" targetNamespace="http://schemas.microsoft.com/office/2006/metadata/properties" ma:root="true" ma:fieldsID="f8fe57868a6acc9ad84cdd0e8960cfbe" ns2:_="" ns4:_="">
    <xsd:import namespace="7044cef8-ecae-4275-b6a6-1e10cddc7af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MINSUBID" minOccurs="0"/>
                <xsd:element ref="ns4:IconOverlay" minOccurs="0"/>
                <xsd:element ref="ns2:j0bd50b33b974a6f818ea404853a9cca" minOccurs="0"/>
                <xsd:element ref="ns2:TaxCatchAll" minOccurs="0"/>
                <xsd:element ref="ns2:TaxCatchAllLabel" minOccurs="0"/>
                <xsd:element ref="ns2:dc461180f63d4a3988c6311fa38a9b27"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4cef8-ecae-4275-b6a6-1e10cddc7a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INSUBID" ma:index="13" nillable="true" ma:displayName="MINSUB ID" ma:internalName="MINSUBID" ma:readOnly="false">
      <xsd:simpleType>
        <xsd:restriction base="dms:Text">
          <xsd:maxLength value="255"/>
        </xsd:restriction>
      </xsd:simpleType>
    </xsd:element>
    <xsd:element name="j0bd50b33b974a6f818ea404853a9cca" ma:index="15" nillable="true" ma:taxonomy="true" ma:internalName="j0bd50b33b974a6f818ea404853a9cca" ma:taxonomyFieldName="BusinessArea" ma:displayName="Business Area" ma:fieldId="{30bd50b3-3b97-4a6f-818e-a404853a9cca}" ma:sspId="61e09954-7ca0-41ec-b279-33dba56ed054" ma:termSetId="25cf8bce-70dd-40d5-8a45-d7f89984b524"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f9f11252-5e43-46a0-ba9e-f9eab30d152d}" ma:internalName="TaxCatchAll" ma:showField="CatchAllData" ma:web="7044cef8-ecae-4275-b6a6-1e10cddc7af7">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f9f11252-5e43-46a0-ba9e-f9eab30d152d}" ma:internalName="TaxCatchAllLabel" ma:readOnly="true" ma:showField="CatchAllDataLabel" ma:web="7044cef8-ecae-4275-b6a6-1e10cddc7af7">
      <xsd:complexType>
        <xsd:complexContent>
          <xsd:extension base="dms:MultiChoiceLookup">
            <xsd:sequence>
              <xsd:element name="Value" type="dms:Lookup" maxOccurs="unbounded" minOccurs="0" nillable="true"/>
            </xsd:sequence>
          </xsd:extension>
        </xsd:complexContent>
      </xsd:complexType>
    </xsd:element>
    <xsd:element name="dc461180f63d4a3988c6311fa38a9b27" ma:index="19" nillable="true" ma:taxonomy="true" ma:internalName="dc461180f63d4a3988c6311fa38a9b27" ma:taxonomyFieldName="FinYr" ma:displayName="FinYr" ma:default="" ma:fieldId="{dc461180-f63d-4a39-88c6-311fa38a9b27}" ma:sspId="61e09954-7ca0-41ec-b279-33dba56ed054" ma:termSetId="402ecc91-e01b-4927-af77-c9c2fbd9ab4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044cef8-ecae-4275-b6a6-1e10cddc7af7">PARL-1376497691-713</_dlc_DocId>
    <_dlc_DocIdUrl xmlns="7044cef8-ecae-4275-b6a6-1e10cddc7af7">
      <Url>http://thedock.gbrmpa.gov.au/sites/Parliamentary/Submissions/_layouts/15/DocIdRedir.aspx?ID=PARL-1376497691-713</Url>
      <Description>PARL-1376497691-713</Description>
    </_dlc_DocIdUrl>
    <MINSUBID xmlns="7044cef8-ecae-4275-b6a6-1e10cddc7af7">MS21-000513</MINSUBID>
    <IconOverlay xmlns="http://schemas.microsoft.com/sharepoint/v4" xsi:nil="true"/>
    <dc461180f63d4a3988c6311fa38a9b27 xmlns="7044cef8-ecae-4275-b6a6-1e10cddc7af7">
      <Terms xmlns="http://schemas.microsoft.com/office/infopath/2007/PartnerControls"/>
    </dc461180f63d4a3988c6311fa38a9b27>
    <TaxCatchAll xmlns="7044cef8-ecae-4275-b6a6-1e10cddc7af7"/>
    <j0bd50b33b974a6f818ea404853a9cca xmlns="7044cef8-ecae-4275-b6a6-1e10cddc7af7">
      <Terms xmlns="http://schemas.microsoft.com/office/infopath/2007/PartnerControls"/>
    </j0bd50b33b974a6f818ea404853a9cc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0AF76-0D22-4127-BE8F-F7544460EBA0}">
  <ds:schemaRefs>
    <ds:schemaRef ds:uri="http://schemas.microsoft.com/sharepoint/events"/>
  </ds:schemaRefs>
</ds:datastoreItem>
</file>

<file path=customXml/itemProps2.xml><?xml version="1.0" encoding="utf-8"?>
<ds:datastoreItem xmlns:ds="http://schemas.openxmlformats.org/officeDocument/2006/customXml" ds:itemID="{5D813A6C-3051-410F-BBA4-3D1B8C98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4cef8-ecae-4275-b6a6-1e10cddc7af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97B8C-951A-4957-925B-93C18D565AB4}">
  <ds:schemaRefs>
    <ds:schemaRef ds:uri="http://purl.org/dc/dcmitype/"/>
    <ds:schemaRef ds:uri="http://purl.org/dc/elements/1.1/"/>
    <ds:schemaRef ds:uri="http://purl.org/dc/terms/"/>
    <ds:schemaRef ds:uri="http://schemas.microsoft.com/sharepoint/v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044cef8-ecae-4275-b6a6-1e10cddc7af7"/>
    <ds:schemaRef ds:uri="http://www.w3.org/XML/1998/namespace"/>
  </ds:schemaRefs>
</ds:datastoreItem>
</file>

<file path=customXml/itemProps4.xml><?xml version="1.0" encoding="utf-8"?>
<ds:datastoreItem xmlns:ds="http://schemas.openxmlformats.org/officeDocument/2006/customXml" ds:itemID="{C24471D7-6CB5-4C76-BA37-5EDA91543298}">
  <ds:schemaRefs>
    <ds:schemaRef ds:uri="http://schemas.microsoft.com/sharepoint/v3/contenttype/forms"/>
  </ds:schemaRefs>
</ds:datastoreItem>
</file>

<file path=customXml/itemProps5.xml><?xml version="1.0" encoding="utf-8"?>
<ds:datastoreItem xmlns:ds="http://schemas.openxmlformats.org/officeDocument/2006/customXml" ds:itemID="{4897F2E4-1343-4668-8D75-D1E3193C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11</Pages>
  <Words>4457</Words>
  <Characters>25409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Attachment-B-Explanatory Statement-FINAL</vt:lpstr>
    </vt:vector>
  </TitlesOfParts>
  <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Attachment-B-Explanatory Statement-FINAL</dc:title>
  <dc:subject/>
  <dc:creator>Belinda Jago</dc:creator>
  <cp:keywords>OFFICIAL</cp:keywords>
  <dc:description/>
  <cp:lastModifiedBy>Tanya Renton</cp:lastModifiedBy>
  <cp:revision>61</cp:revision>
  <dcterms:created xsi:type="dcterms:W3CDTF">2021-03-25T06:08:00Z</dcterms:created>
  <dcterms:modified xsi:type="dcterms:W3CDTF">2021-05-24T03:28:00Z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65bcc021-2b45-41e3-98a0-312f71c52d3a</vt:lpwstr>
  </property>
  <property fmtid="{D5CDD505-2E9C-101B-9397-08002B2CF9AE}" pid="3" name="ContentTypeId">
    <vt:lpwstr>0x010100A2FC004FBC144CA69D351D7740440BA200D7A86C71177A8E45A3461B0F9A41C6F9</vt:lpwstr>
  </property>
  <property fmtid="{D5CDD505-2E9C-101B-9397-08002B2CF9AE}" pid="4" name="_dlc_DocIdItemGuid">
    <vt:lpwstr>48c39bae-9d12-449e-803b-04a59120f3f2</vt:lpwstr>
  </property>
  <property fmtid="{D5CDD505-2E9C-101B-9397-08002B2CF9AE}" pid="5" name="BusinessArea">
    <vt:lpwstr/>
  </property>
  <property fmtid="{D5CDD505-2E9C-101B-9397-08002B2CF9AE}" pid="6" name="FinYr">
    <vt:lpwstr/>
  </property>
  <property fmtid="{D5CDD505-2E9C-101B-9397-08002B2CF9AE}" pid="7" name="DLM">
    <vt:lpwstr>SensitiveLegal</vt:lpwstr>
  </property>
  <property fmtid="{D5CDD505-2E9C-101B-9397-08002B2CF9AE}" pid="8" name="RecordPoint_ActiveItemSiteId">
    <vt:lpwstr>{505255bd-e422-49e8-bc7d-1dd3c40c50e5}</vt:lpwstr>
  </property>
  <property fmtid="{D5CDD505-2E9C-101B-9397-08002B2CF9AE}" pid="9" name="RecordPoint_ActiveItemListId">
    <vt:lpwstr>{df853892-2e7a-4212-a008-20c28bd89a06}</vt:lpwstr>
  </property>
  <property fmtid="{D5CDD505-2E9C-101B-9397-08002B2CF9AE}" pid="10" name="RecordPoint_ActiveItemWebId">
    <vt:lpwstr>{315bdbe7-6d3c-4829-a462-c10170eadc17}</vt:lpwstr>
  </property>
  <property fmtid="{D5CDD505-2E9C-101B-9397-08002B2CF9AE}" pid="11" name="TaxCatchAll">
    <vt:lpwstr>57;#Not yet submitted to Legal|7c466a47-1e60-41d3-aff2-b6cebc7ebc91</vt:lpwstr>
  </property>
  <property fmtid="{D5CDD505-2E9C-101B-9397-08002B2CF9AE}" pid="12" name="j6dbca7af8584cfe8eae8a22c4e19e58">
    <vt:lpwstr>Not yet submitted to Legal|7c466a47-1e60-41d3-aff2-b6cebc7ebc91</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LegalRequestStatus">
    <vt:lpwstr>57;#Not yet submitted to Legal|7c466a47-1e60-41d3-aff2-b6cebc7ebc91</vt:lpwstr>
  </property>
  <property fmtid="{D5CDD505-2E9C-101B-9397-08002B2CF9AE}" pid="17" name="_docset_NoMedatataSyncRequired">
    <vt:lpwstr>False</vt:lpwstr>
  </property>
  <property fmtid="{D5CDD505-2E9C-101B-9397-08002B2CF9AE}" pid="18" name="RecordPoint_WorkflowType">
    <vt:lpwstr>ActiveSubmitStub</vt:lpwstr>
  </property>
  <property fmtid="{D5CDD505-2E9C-101B-9397-08002B2CF9AE}" pid="19" name="RecordPoint_ActiveItemUniqueId">
    <vt:lpwstr>{48c39bae-9d12-449e-803b-04a59120f3f2}</vt:lpwstr>
  </property>
  <property fmtid="{D5CDD505-2E9C-101B-9397-08002B2CF9AE}" pid="20" name="RecordPoint_RecordNumberSubmitted">
    <vt:lpwstr>R0000916771</vt:lpwstr>
  </property>
  <property fmtid="{D5CDD505-2E9C-101B-9397-08002B2CF9AE}" pid="21" name="RecordPoint_SubmissionCompleted">
    <vt:lpwstr>2021-05-21T17:07:22.8600873+10:00</vt:lpwstr>
  </property>
  <property fmtid="{D5CDD505-2E9C-101B-9397-08002B2CF9AE}" pid="22" name="SEC">
    <vt:lpwstr>OFFICIAL</vt:lpwstr>
  </property>
</Properties>
</file>