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325825" w:rsidRDefault="00FA6784" w:rsidP="00FA6784">
      <w:pPr>
        <w:pStyle w:val="H3"/>
        <w:jc w:val="center"/>
        <w:rPr>
          <w:sz w:val="24"/>
          <w:szCs w:val="24"/>
        </w:rPr>
      </w:pPr>
      <w:r w:rsidRPr="00325825">
        <w:rPr>
          <w:sz w:val="24"/>
          <w:szCs w:val="24"/>
        </w:rPr>
        <w:t>EXPLANATORY STATEMENT</w:t>
      </w:r>
    </w:p>
    <w:p w14:paraId="2412D120" w14:textId="77777777" w:rsidR="00FA6784" w:rsidRPr="00325825" w:rsidRDefault="00FA6784" w:rsidP="00FA6784">
      <w:pPr>
        <w:jc w:val="center"/>
        <w:rPr>
          <w:sz w:val="22"/>
          <w:szCs w:val="22"/>
        </w:rPr>
      </w:pPr>
    </w:p>
    <w:p w14:paraId="2412D121" w14:textId="23CE6D82" w:rsidR="00FA6784" w:rsidRPr="00325825" w:rsidRDefault="00FA6784" w:rsidP="00FA6784">
      <w:pPr>
        <w:jc w:val="center"/>
      </w:pPr>
      <w:r w:rsidRPr="00325825">
        <w:t>Issued by the</w:t>
      </w:r>
      <w:r w:rsidR="0089375C" w:rsidRPr="00325825">
        <w:t xml:space="preserve"> </w:t>
      </w:r>
      <w:r w:rsidR="00711428" w:rsidRPr="00325825">
        <w:t>Minister for</w:t>
      </w:r>
      <w:r w:rsidRPr="00325825">
        <w:t xml:space="preserve"> Health</w:t>
      </w:r>
      <w:r w:rsidR="00476510" w:rsidRPr="00325825">
        <w:t xml:space="preserve"> and Aged Care</w:t>
      </w:r>
    </w:p>
    <w:p w14:paraId="2412D122" w14:textId="77777777" w:rsidR="00FA6784" w:rsidRPr="00325825" w:rsidRDefault="00FA6784" w:rsidP="00FA6784">
      <w:pPr>
        <w:jc w:val="center"/>
        <w:rPr>
          <w:i/>
          <w:iCs/>
          <w:sz w:val="20"/>
        </w:rPr>
      </w:pPr>
    </w:p>
    <w:p w14:paraId="2412D123" w14:textId="77777777" w:rsidR="00FA6784" w:rsidRPr="00325825" w:rsidRDefault="00FA6784" w:rsidP="00FA6784">
      <w:pPr>
        <w:jc w:val="center"/>
        <w:rPr>
          <w:i/>
          <w:iCs/>
        </w:rPr>
      </w:pPr>
      <w:r w:rsidRPr="00325825">
        <w:rPr>
          <w:i/>
          <w:iCs/>
        </w:rPr>
        <w:t>Health Insurance Act 1973</w:t>
      </w:r>
    </w:p>
    <w:p w14:paraId="2412D124" w14:textId="77777777" w:rsidR="00A1739A" w:rsidRPr="00325825" w:rsidRDefault="00A1739A" w:rsidP="00A1739A">
      <w:pPr>
        <w:rPr>
          <w:szCs w:val="24"/>
          <w:u w:val="single"/>
        </w:rPr>
      </w:pPr>
    </w:p>
    <w:p w14:paraId="052E97C1" w14:textId="4EA77E77" w:rsidR="00164A69" w:rsidRPr="00325825" w:rsidRDefault="00BF51E9" w:rsidP="00BF51E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r w:rsidRPr="00325825">
        <w:rPr>
          <w:i/>
          <w:szCs w:val="24"/>
        </w:rPr>
        <w:t xml:space="preserve">Health Insurance (Section 3C General Medical Services – General Practice Attendance for Assessing Patient Suitability for a COVID-19 Vaccine) Amendment </w:t>
      </w:r>
      <w:r w:rsidR="000D4BDA" w:rsidRPr="00325825">
        <w:rPr>
          <w:i/>
          <w:szCs w:val="24"/>
        </w:rPr>
        <w:t>(No.</w:t>
      </w:r>
      <w:r w:rsidR="00730A82" w:rsidRPr="00325825">
        <w:rPr>
          <w:i/>
          <w:szCs w:val="24"/>
        </w:rPr>
        <w:t xml:space="preserve"> </w:t>
      </w:r>
      <w:r w:rsidR="000D4BDA" w:rsidRPr="00325825">
        <w:rPr>
          <w:i/>
          <w:szCs w:val="24"/>
        </w:rPr>
        <w:t xml:space="preserve">2) </w:t>
      </w:r>
      <w:r w:rsidRPr="00325825">
        <w:rPr>
          <w:i/>
          <w:szCs w:val="24"/>
        </w:rPr>
        <w:t>Determination 2021</w:t>
      </w:r>
    </w:p>
    <w:p w14:paraId="3171799C" w14:textId="77777777" w:rsidR="00BF51E9" w:rsidRPr="00325825" w:rsidRDefault="00BF51E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36608F98" w:rsidR="00164A69" w:rsidRPr="00325825"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325825">
        <w:rPr>
          <w:color w:val="000000"/>
          <w:shd w:val="clear" w:color="auto" w:fill="FFFFFF"/>
        </w:rPr>
        <w:t xml:space="preserve">Subsection 3C(1) of the </w:t>
      </w:r>
      <w:r w:rsidRPr="00325825">
        <w:rPr>
          <w:i/>
          <w:color w:val="000000"/>
          <w:shd w:val="clear" w:color="auto" w:fill="FFFFFF"/>
        </w:rPr>
        <w:t>Health Insurance Act 1973</w:t>
      </w:r>
      <w:r w:rsidRPr="00325825">
        <w:rPr>
          <w:color w:val="000000"/>
          <w:shd w:val="clear" w:color="auto" w:fill="FFFFFF"/>
        </w:rPr>
        <w:t xml:space="preserve"> (the Act) </w:t>
      </w:r>
      <w:r w:rsidR="00477C74" w:rsidRPr="00325825">
        <w:rPr>
          <w:color w:val="000000"/>
          <w:shd w:val="clear" w:color="auto" w:fill="FFFFFF"/>
        </w:rPr>
        <w:t>provide</w:t>
      </w:r>
      <w:r w:rsidR="002E5708" w:rsidRPr="00325825">
        <w:rPr>
          <w:color w:val="000000"/>
          <w:shd w:val="clear" w:color="auto" w:fill="FFFFFF"/>
        </w:rPr>
        <w:t>s</w:t>
      </w:r>
      <w:r w:rsidR="00477C74" w:rsidRPr="00325825">
        <w:rPr>
          <w:color w:val="000000"/>
          <w:shd w:val="clear" w:color="auto" w:fill="FFFFFF"/>
        </w:rPr>
        <w:t xml:space="preserve"> that</w:t>
      </w:r>
      <w:r w:rsidRPr="00325825">
        <w:rPr>
          <w:color w:val="000000"/>
          <w:shd w:val="clear" w:color="auto" w:fill="FFFFFF"/>
        </w:rPr>
        <w:t xml:space="preserve"> the Minister </w:t>
      </w:r>
      <w:r w:rsidR="00477C74" w:rsidRPr="00325825">
        <w:rPr>
          <w:color w:val="000000"/>
          <w:shd w:val="clear" w:color="auto" w:fill="FFFFFF"/>
        </w:rPr>
        <w:t>may</w:t>
      </w:r>
      <w:r w:rsidRPr="00325825">
        <w:rPr>
          <w:color w:val="000000"/>
          <w:shd w:val="clear" w:color="auto" w:fill="FFFFFF"/>
        </w:rPr>
        <w:t xml:space="preserve">, by legislative instrument, determine that a health service not specified in an item in the </w:t>
      </w:r>
      <w:r w:rsidR="003A592E" w:rsidRPr="00325825">
        <w:rPr>
          <w:color w:val="000000"/>
          <w:shd w:val="clear" w:color="auto" w:fill="FFFFFF"/>
        </w:rPr>
        <w:t>general medical services table</w:t>
      </w:r>
      <w:r w:rsidRPr="00325825">
        <w:rPr>
          <w:color w:val="000000"/>
          <w:shd w:val="clear" w:color="auto" w:fill="FFFFFF"/>
        </w:rPr>
        <w:t xml:space="preserve"> </w:t>
      </w:r>
      <w:r w:rsidR="00D01D5A" w:rsidRPr="00325825">
        <w:rPr>
          <w:color w:val="000000"/>
          <w:shd w:val="clear" w:color="auto" w:fill="FFFFFF"/>
        </w:rPr>
        <w:t xml:space="preserve">(the Table) </w:t>
      </w:r>
      <w:r w:rsidRPr="00325825">
        <w:rPr>
          <w:color w:val="000000"/>
          <w:shd w:val="clear" w:color="auto" w:fill="FFFFFF"/>
        </w:rPr>
        <w:t xml:space="preserve">shall, in specified circumstances and for specified statutory provisions, be treated as if it were specified in the </w:t>
      </w:r>
      <w:r w:rsidR="00D01D5A" w:rsidRPr="00325825">
        <w:rPr>
          <w:color w:val="000000"/>
          <w:shd w:val="clear" w:color="auto" w:fill="FFFFFF"/>
        </w:rPr>
        <w:t>Table.</w:t>
      </w:r>
      <w:r w:rsidR="006226B2" w:rsidRPr="00325825">
        <w:rPr>
          <w:color w:val="000000"/>
          <w:shd w:val="clear" w:color="auto" w:fill="FFFFFF"/>
        </w:rPr>
        <w:t xml:space="preserve"> </w:t>
      </w:r>
      <w:r w:rsidR="00D01D5A" w:rsidRPr="00325825">
        <w:rPr>
          <w:color w:val="000000"/>
          <w:shd w:val="clear" w:color="auto" w:fill="FFFFFF"/>
        </w:rPr>
        <w:t xml:space="preserve"> </w:t>
      </w:r>
      <w:r w:rsidRPr="00325825">
        <w:rPr>
          <w:color w:val="FF0000"/>
          <w:shd w:val="clear" w:color="auto" w:fill="FFFFFF"/>
        </w:rPr>
        <w:t xml:space="preserve">  </w:t>
      </w:r>
    </w:p>
    <w:p w14:paraId="7DB18649" w14:textId="77777777" w:rsidR="00841EDA" w:rsidRPr="00325825"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A457EA6" w14:textId="27A7CEFC" w:rsidR="008363E3" w:rsidRPr="00325825" w:rsidRDefault="00050623" w:rsidP="008363E3">
      <w:pPr>
        <w:rPr>
          <w:szCs w:val="24"/>
        </w:rPr>
      </w:pPr>
      <w:r w:rsidRPr="00325825">
        <w:t xml:space="preserve">The </w:t>
      </w:r>
      <w:r w:rsidR="00D01D5A" w:rsidRPr="00325825">
        <w:t>Table</w:t>
      </w:r>
      <w:r w:rsidRPr="00325825">
        <w:t xml:space="preserve"> is set out in the regulations made under subsection 4</w:t>
      </w:r>
      <w:r w:rsidR="003A592E" w:rsidRPr="00325825">
        <w:t>(1)</w:t>
      </w:r>
      <w:r w:rsidRPr="00325825">
        <w:t xml:space="preserve"> of the Act.  The most recent version of the regulations i</w:t>
      </w:r>
      <w:r w:rsidRPr="00325825">
        <w:rPr>
          <w:color w:val="000000" w:themeColor="text1"/>
        </w:rPr>
        <w:t xml:space="preserve">s the </w:t>
      </w:r>
      <w:r w:rsidR="00711428" w:rsidRPr="00325825">
        <w:rPr>
          <w:i/>
          <w:color w:val="000000" w:themeColor="text1"/>
        </w:rPr>
        <w:t>Health Insurance (General Medical Services Table) Regulations (No. 2) 2020</w:t>
      </w:r>
      <w:r w:rsidR="00D01D5A" w:rsidRPr="00325825">
        <w:rPr>
          <w:color w:val="000000" w:themeColor="text1"/>
        </w:rPr>
        <w:t>.</w:t>
      </w:r>
      <w:r w:rsidRPr="00325825">
        <w:rPr>
          <w:color w:val="000000" w:themeColor="text1"/>
        </w:rPr>
        <w:t xml:space="preserve"> </w:t>
      </w:r>
    </w:p>
    <w:p w14:paraId="2E6FE463" w14:textId="77777777" w:rsidR="00050623" w:rsidRPr="00325825"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325825"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25825">
        <w:t xml:space="preserve">This instrument relies on subsection 33(3) of the </w:t>
      </w:r>
      <w:r w:rsidRPr="00325825">
        <w:rPr>
          <w:i/>
        </w:rPr>
        <w:t>Acts Interpretation Act 1901</w:t>
      </w:r>
      <w:r w:rsidRPr="00325825">
        <w:t xml:space="preserve"> (AIA).  Subsection 33(3) of the AIA</w:t>
      </w:r>
      <w:r w:rsidRPr="00325825">
        <w:rPr>
          <w:i/>
        </w:rPr>
        <w:t xml:space="preserve"> </w:t>
      </w:r>
      <w:r w:rsidRPr="00325825">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325825" w:rsidRDefault="008C5F1C" w:rsidP="00D33180">
      <w:pPr>
        <w:autoSpaceDE w:val="0"/>
        <w:autoSpaceDN w:val="0"/>
        <w:adjustRightInd w:val="0"/>
        <w:ind w:right="-483"/>
        <w:rPr>
          <w:szCs w:val="24"/>
        </w:rPr>
      </w:pPr>
    </w:p>
    <w:p w14:paraId="2412D12A" w14:textId="77777777" w:rsidR="00BB00BA" w:rsidRPr="00325825" w:rsidRDefault="00A1739A" w:rsidP="00BB00BA">
      <w:pPr>
        <w:rPr>
          <w:b/>
          <w:szCs w:val="24"/>
          <w:lang w:val="en-US" w:eastAsia="en-US"/>
        </w:rPr>
      </w:pPr>
      <w:r w:rsidRPr="00325825">
        <w:rPr>
          <w:b/>
          <w:szCs w:val="24"/>
          <w:lang w:val="en-US" w:eastAsia="en-US"/>
        </w:rPr>
        <w:t>Purpose</w:t>
      </w:r>
    </w:p>
    <w:p w14:paraId="496DD4EB" w14:textId="7311101A" w:rsidR="00BF51E9" w:rsidRPr="00325825" w:rsidRDefault="00BF51E9" w:rsidP="008363E3">
      <w:pPr>
        <w:ind w:right="-483"/>
        <w:rPr>
          <w:color w:val="000000"/>
          <w:shd w:val="clear" w:color="auto" w:fill="FFFFFF"/>
        </w:rPr>
      </w:pPr>
      <w:r w:rsidRPr="00325825">
        <w:rPr>
          <w:color w:val="000000"/>
          <w:shd w:val="clear" w:color="auto" w:fill="FFFFFF"/>
        </w:rPr>
        <w:t>The Australian Government is committed to offering every person in Australia access to safe and effective COVID-19 vaccines at no cost.</w:t>
      </w:r>
    </w:p>
    <w:p w14:paraId="70A3BBF0" w14:textId="50E2B928" w:rsidR="00BF51E9" w:rsidRPr="00325825" w:rsidRDefault="00BF51E9" w:rsidP="008363E3">
      <w:pPr>
        <w:ind w:right="-483"/>
        <w:rPr>
          <w:color w:val="000000"/>
          <w:shd w:val="clear" w:color="auto" w:fill="FFFFFF"/>
        </w:rPr>
      </w:pPr>
    </w:p>
    <w:p w14:paraId="24E61889" w14:textId="2B30DD05" w:rsidR="00BF51E9" w:rsidRPr="00325825" w:rsidRDefault="00BF51E9" w:rsidP="008363E3">
      <w:pPr>
        <w:ind w:right="-483"/>
        <w:rPr>
          <w:color w:val="000000" w:themeColor="text1"/>
          <w:szCs w:val="24"/>
        </w:rPr>
      </w:pPr>
      <w:r w:rsidRPr="00325825">
        <w:rPr>
          <w:color w:val="000000" w:themeColor="text1"/>
          <w:szCs w:val="24"/>
        </w:rPr>
        <w:t xml:space="preserve">On 25 February 2021, the </w:t>
      </w:r>
      <w:r w:rsidRPr="00325825">
        <w:rPr>
          <w:i/>
          <w:color w:val="000000" w:themeColor="text1"/>
          <w:szCs w:val="24"/>
        </w:rPr>
        <w:t xml:space="preserve">Health Insurance (Section 3C General Medical Services – General Practice Attendance for Assessing Patient Suitability for a COVID-19 Vaccine) Determination 2021 </w:t>
      </w:r>
      <w:r w:rsidRPr="00325825">
        <w:rPr>
          <w:color w:val="000000" w:themeColor="text1"/>
          <w:szCs w:val="24"/>
        </w:rPr>
        <w:t>(the Principal Determination) listed 16 new Medicare Benefits Schedule (MBS) items to support general practices to administer the COVID-19 vaccine.</w:t>
      </w:r>
    </w:p>
    <w:p w14:paraId="04A59ADE" w14:textId="77777777" w:rsidR="00BF51E9" w:rsidRPr="00325825" w:rsidRDefault="00BF51E9" w:rsidP="008363E3">
      <w:pPr>
        <w:ind w:right="-483"/>
        <w:rPr>
          <w:color w:val="000000" w:themeColor="text1"/>
          <w:szCs w:val="24"/>
        </w:rPr>
      </w:pPr>
    </w:p>
    <w:p w14:paraId="622491D0" w14:textId="035E8642" w:rsidR="00BF51E9" w:rsidRPr="00325825" w:rsidRDefault="00BF51E9" w:rsidP="00BF51E9">
      <w:pPr>
        <w:ind w:right="-483"/>
        <w:rPr>
          <w:color w:val="000000" w:themeColor="text1"/>
          <w:szCs w:val="24"/>
        </w:rPr>
      </w:pPr>
      <w:r w:rsidRPr="00325825">
        <w:rPr>
          <w:color w:val="000000" w:themeColor="text1"/>
          <w:szCs w:val="24"/>
        </w:rPr>
        <w:t>General practices supplied with the COVID-19 vaccine are able to provide a service to assess if a person who is at least 18 years of age is suitable to rec</w:t>
      </w:r>
      <w:r w:rsidR="00BB0260" w:rsidRPr="00325825">
        <w:rPr>
          <w:color w:val="000000" w:themeColor="text1"/>
          <w:szCs w:val="24"/>
        </w:rPr>
        <w:t>eive the COVID-19 vaccine. The 16 MBS patient suitability assessment s</w:t>
      </w:r>
      <w:r w:rsidRPr="00325825">
        <w:rPr>
          <w:color w:val="000000" w:themeColor="text1"/>
          <w:szCs w:val="24"/>
        </w:rPr>
        <w:t>ervice</w:t>
      </w:r>
      <w:r w:rsidR="00BB0260" w:rsidRPr="00325825">
        <w:rPr>
          <w:color w:val="000000" w:themeColor="text1"/>
          <w:szCs w:val="24"/>
        </w:rPr>
        <w:t>s,</w:t>
      </w:r>
      <w:r w:rsidRPr="00325825">
        <w:rPr>
          <w:color w:val="000000" w:themeColor="text1"/>
          <w:szCs w:val="24"/>
        </w:rPr>
        <w:t xml:space="preserve"> can be rendered by </w:t>
      </w:r>
      <w:r w:rsidRPr="00325825">
        <w:rPr>
          <w:color w:val="000000"/>
          <w:shd w:val="clear" w:color="auto" w:fill="FFFFFF"/>
        </w:rPr>
        <w:t>general practitioners (GPs) and other medical practitioners (OMPs), or by a person on behalf of the medical practitioners (such as a registered nurse or other health professional registered under the Health Practitioner Regulation National Law) if it is provided in accordance with acceptable clinical practice and under supervision of the medical practitioner. </w:t>
      </w:r>
    </w:p>
    <w:p w14:paraId="7962995C" w14:textId="77777777" w:rsidR="00BF51E9" w:rsidRPr="00325825" w:rsidRDefault="00BF51E9" w:rsidP="00BF51E9">
      <w:pPr>
        <w:ind w:right="-483"/>
        <w:rPr>
          <w:color w:val="000000" w:themeColor="text1"/>
          <w:szCs w:val="24"/>
        </w:rPr>
      </w:pPr>
    </w:p>
    <w:p w14:paraId="3BB88110" w14:textId="5C07FF0C" w:rsidR="00BF51E9" w:rsidRPr="00325825" w:rsidRDefault="00BB0260" w:rsidP="00BF51E9">
      <w:pPr>
        <w:ind w:right="-483"/>
        <w:rPr>
          <w:color w:val="000000" w:themeColor="text1"/>
          <w:szCs w:val="24"/>
        </w:rPr>
      </w:pPr>
      <w:r w:rsidRPr="00325825">
        <w:rPr>
          <w:color w:val="000000" w:themeColor="text1"/>
          <w:szCs w:val="24"/>
        </w:rPr>
        <w:t>For the 16 MBS suitability assessment services m</w:t>
      </w:r>
      <w:r w:rsidR="00BF51E9" w:rsidRPr="00325825">
        <w:rPr>
          <w:color w:val="000000" w:themeColor="text1"/>
          <w:szCs w:val="24"/>
        </w:rPr>
        <w:t>edical practitioners do not have to personally attend the service but they must be on-site, and must supervise the service in accordance with clinical standards and accept full responsibility for the service.</w:t>
      </w:r>
    </w:p>
    <w:p w14:paraId="303C1576" w14:textId="58B77969" w:rsidR="00BF51E9" w:rsidRPr="00325825" w:rsidRDefault="00BF51E9" w:rsidP="00BF51E9">
      <w:pPr>
        <w:ind w:right="-483"/>
        <w:rPr>
          <w:color w:val="000000" w:themeColor="text1"/>
          <w:szCs w:val="24"/>
        </w:rPr>
      </w:pPr>
    </w:p>
    <w:p w14:paraId="54009007" w14:textId="5753B9AE" w:rsidR="00E33F81" w:rsidRPr="00325825" w:rsidRDefault="00BF51E9" w:rsidP="00730A82">
      <w:pPr>
        <w:keepNext/>
        <w:keepLines/>
        <w:ind w:right="-482"/>
        <w:rPr>
          <w:color w:val="000000" w:themeColor="text1"/>
          <w:szCs w:val="24"/>
        </w:rPr>
      </w:pPr>
      <w:r w:rsidRPr="00325825">
        <w:rPr>
          <w:color w:val="000000" w:themeColor="text1"/>
          <w:szCs w:val="24"/>
        </w:rPr>
        <w:lastRenderedPageBreak/>
        <w:t xml:space="preserve">The purpose of the </w:t>
      </w:r>
      <w:r w:rsidRPr="00325825">
        <w:rPr>
          <w:i/>
          <w:color w:val="000000" w:themeColor="text1"/>
          <w:szCs w:val="24"/>
        </w:rPr>
        <w:t xml:space="preserve">Health Insurance (Section 3C General Medical Services – General Practice Attendance for Assessing Patient Suitability for a COVID-19 Vaccine) Amendment </w:t>
      </w:r>
      <w:r w:rsidR="000D4BDA" w:rsidRPr="00325825">
        <w:rPr>
          <w:i/>
          <w:color w:val="000000" w:themeColor="text1"/>
          <w:szCs w:val="24"/>
        </w:rPr>
        <w:t>(No.</w:t>
      </w:r>
      <w:r w:rsidR="00730A82" w:rsidRPr="00325825">
        <w:rPr>
          <w:i/>
          <w:color w:val="000000" w:themeColor="text1"/>
          <w:szCs w:val="24"/>
        </w:rPr>
        <w:t xml:space="preserve"> </w:t>
      </w:r>
      <w:r w:rsidR="000D4BDA" w:rsidRPr="00325825">
        <w:rPr>
          <w:i/>
          <w:color w:val="000000" w:themeColor="text1"/>
          <w:szCs w:val="24"/>
        </w:rPr>
        <w:t>2</w:t>
      </w:r>
      <w:r w:rsidR="00372836" w:rsidRPr="00325825">
        <w:rPr>
          <w:i/>
          <w:color w:val="000000" w:themeColor="text1"/>
          <w:szCs w:val="24"/>
        </w:rPr>
        <w:t xml:space="preserve">) </w:t>
      </w:r>
      <w:r w:rsidRPr="00325825">
        <w:rPr>
          <w:i/>
          <w:color w:val="000000" w:themeColor="text1"/>
          <w:szCs w:val="24"/>
        </w:rPr>
        <w:t xml:space="preserve">Determination 2021 </w:t>
      </w:r>
      <w:r w:rsidRPr="00325825">
        <w:rPr>
          <w:color w:val="000000" w:themeColor="text1"/>
          <w:szCs w:val="24"/>
        </w:rPr>
        <w:t xml:space="preserve">(the Amendment Determination) </w:t>
      </w:r>
      <w:r w:rsidR="00372836" w:rsidRPr="00325825">
        <w:rPr>
          <w:color w:val="000000" w:themeColor="text1"/>
          <w:szCs w:val="24"/>
        </w:rPr>
        <w:t xml:space="preserve">is </w:t>
      </w:r>
      <w:r w:rsidR="00EC4CF7" w:rsidRPr="00325825">
        <w:rPr>
          <w:color w:val="000000" w:themeColor="text1"/>
          <w:szCs w:val="24"/>
        </w:rPr>
        <w:t xml:space="preserve">to </w:t>
      </w:r>
      <w:r w:rsidR="00372836" w:rsidRPr="00325825">
        <w:rPr>
          <w:color w:val="000000" w:themeColor="text1"/>
          <w:szCs w:val="24"/>
        </w:rPr>
        <w:t xml:space="preserve">list two additional Medicare Benefit </w:t>
      </w:r>
      <w:r w:rsidR="00E33F81" w:rsidRPr="00325825">
        <w:rPr>
          <w:color w:val="000000" w:themeColor="text1"/>
          <w:szCs w:val="24"/>
        </w:rPr>
        <w:t xml:space="preserve">Schedule (MBS) </w:t>
      </w:r>
      <w:r w:rsidR="00372836" w:rsidRPr="00325825">
        <w:rPr>
          <w:color w:val="000000" w:themeColor="text1"/>
          <w:szCs w:val="24"/>
        </w:rPr>
        <w:t xml:space="preserve">items to support </w:t>
      </w:r>
      <w:r w:rsidR="00E33F81" w:rsidRPr="00325825">
        <w:rPr>
          <w:color w:val="000000" w:themeColor="text1"/>
          <w:szCs w:val="24"/>
        </w:rPr>
        <w:t xml:space="preserve">general practices to </w:t>
      </w:r>
      <w:r w:rsidR="00EC4CF7" w:rsidRPr="00325825">
        <w:rPr>
          <w:color w:val="000000" w:themeColor="text1"/>
          <w:szCs w:val="24"/>
        </w:rPr>
        <w:t>provi</w:t>
      </w:r>
      <w:r w:rsidR="00372836" w:rsidRPr="00325825">
        <w:rPr>
          <w:color w:val="000000" w:themeColor="text1"/>
          <w:szCs w:val="24"/>
        </w:rPr>
        <w:t>de</w:t>
      </w:r>
      <w:r w:rsidR="00EC4CF7" w:rsidRPr="00325825">
        <w:rPr>
          <w:color w:val="000000" w:themeColor="text1"/>
          <w:szCs w:val="24"/>
        </w:rPr>
        <w:t xml:space="preserve"> </w:t>
      </w:r>
      <w:r w:rsidR="002D1E9A" w:rsidRPr="00325825">
        <w:rPr>
          <w:color w:val="000000" w:themeColor="text1"/>
          <w:szCs w:val="24"/>
        </w:rPr>
        <w:t>in-depth</w:t>
      </w:r>
      <w:r w:rsidR="00372836" w:rsidRPr="00325825">
        <w:rPr>
          <w:color w:val="000000" w:themeColor="text1"/>
          <w:szCs w:val="24"/>
        </w:rPr>
        <w:t xml:space="preserve"> patient assessment</w:t>
      </w:r>
      <w:r w:rsidR="00E33F81" w:rsidRPr="00325825">
        <w:rPr>
          <w:color w:val="000000" w:themeColor="text1"/>
          <w:szCs w:val="24"/>
        </w:rPr>
        <w:t xml:space="preserve">s for </w:t>
      </w:r>
      <w:r w:rsidR="00372836" w:rsidRPr="00325825">
        <w:rPr>
          <w:color w:val="000000" w:themeColor="text1"/>
          <w:szCs w:val="24"/>
        </w:rPr>
        <w:t>patient</w:t>
      </w:r>
      <w:r w:rsidR="00E33F81" w:rsidRPr="00325825">
        <w:rPr>
          <w:color w:val="000000" w:themeColor="text1"/>
          <w:szCs w:val="24"/>
        </w:rPr>
        <w:t>s</w:t>
      </w:r>
      <w:r w:rsidR="00372836" w:rsidRPr="00325825">
        <w:rPr>
          <w:color w:val="000000" w:themeColor="text1"/>
          <w:szCs w:val="24"/>
        </w:rPr>
        <w:t xml:space="preserve"> </w:t>
      </w:r>
      <w:r w:rsidR="00E33F81" w:rsidRPr="00325825">
        <w:rPr>
          <w:color w:val="000000" w:themeColor="text1"/>
          <w:szCs w:val="24"/>
        </w:rPr>
        <w:t xml:space="preserve">who </w:t>
      </w:r>
      <w:r w:rsidR="00032469" w:rsidRPr="00325825">
        <w:rPr>
          <w:color w:val="000000" w:themeColor="text1"/>
          <w:szCs w:val="24"/>
        </w:rPr>
        <w:t xml:space="preserve">are </w:t>
      </w:r>
      <w:r w:rsidR="00372836" w:rsidRPr="00325825">
        <w:rPr>
          <w:color w:val="000000" w:themeColor="text1"/>
          <w:szCs w:val="24"/>
        </w:rPr>
        <w:t xml:space="preserve">at least 50 years </w:t>
      </w:r>
      <w:r w:rsidR="0005243A" w:rsidRPr="00325825">
        <w:rPr>
          <w:color w:val="000000" w:themeColor="text1"/>
          <w:szCs w:val="24"/>
        </w:rPr>
        <w:t>of age</w:t>
      </w:r>
      <w:r w:rsidR="00D77510" w:rsidRPr="00325825">
        <w:rPr>
          <w:color w:val="000000" w:themeColor="text1"/>
          <w:szCs w:val="24"/>
        </w:rPr>
        <w:t xml:space="preserve">. </w:t>
      </w:r>
    </w:p>
    <w:p w14:paraId="12C53271" w14:textId="3640E1CF" w:rsidR="00730A82" w:rsidRPr="00325825" w:rsidRDefault="00730A82" w:rsidP="00730A82">
      <w:pPr>
        <w:keepNext/>
        <w:keepLines/>
        <w:ind w:right="-482"/>
        <w:rPr>
          <w:color w:val="000000" w:themeColor="text1"/>
          <w:szCs w:val="24"/>
        </w:rPr>
      </w:pPr>
    </w:p>
    <w:p w14:paraId="5C9D9D5A" w14:textId="452B6329" w:rsidR="00671D50" w:rsidRPr="00325825" w:rsidRDefault="00E33F81" w:rsidP="00372836">
      <w:pPr>
        <w:ind w:right="-483"/>
        <w:rPr>
          <w:color w:val="000000" w:themeColor="text1"/>
          <w:szCs w:val="24"/>
        </w:rPr>
      </w:pPr>
      <w:r w:rsidRPr="00325825">
        <w:rPr>
          <w:color w:val="000000" w:themeColor="text1"/>
          <w:szCs w:val="24"/>
        </w:rPr>
        <w:t xml:space="preserve">The two new MBS services are available </w:t>
      </w:r>
      <w:r w:rsidR="00730A82" w:rsidRPr="00325825">
        <w:rPr>
          <w:color w:val="000000" w:themeColor="text1"/>
          <w:szCs w:val="24"/>
        </w:rPr>
        <w:t>if</w:t>
      </w:r>
      <w:r w:rsidRPr="00325825">
        <w:rPr>
          <w:color w:val="000000" w:themeColor="text1"/>
          <w:szCs w:val="24"/>
        </w:rPr>
        <w:t xml:space="preserve"> the GPs </w:t>
      </w:r>
      <w:r w:rsidR="00730A82" w:rsidRPr="00325825">
        <w:rPr>
          <w:color w:val="000000" w:themeColor="text1"/>
          <w:szCs w:val="24"/>
        </w:rPr>
        <w:t xml:space="preserve">or </w:t>
      </w:r>
      <w:r w:rsidRPr="00325825">
        <w:rPr>
          <w:color w:val="000000" w:themeColor="text1"/>
          <w:szCs w:val="24"/>
        </w:rPr>
        <w:t xml:space="preserve">OMPs personally attend to the patient for more than 10 minutes, to provide </w:t>
      </w:r>
      <w:r w:rsidR="002D1E9A" w:rsidRPr="00325825">
        <w:rPr>
          <w:color w:val="000000" w:themeColor="text1"/>
          <w:szCs w:val="24"/>
        </w:rPr>
        <w:t xml:space="preserve">in-depth </w:t>
      </w:r>
      <w:r w:rsidRPr="00325825">
        <w:rPr>
          <w:color w:val="000000" w:themeColor="text1"/>
          <w:szCs w:val="24"/>
        </w:rPr>
        <w:t>clinical advice on the individual risks and benefits associated with receiving a</w:t>
      </w:r>
      <w:r w:rsidR="00730A82" w:rsidRPr="00325825">
        <w:rPr>
          <w:color w:val="000000" w:themeColor="text1"/>
          <w:szCs w:val="24"/>
        </w:rPr>
        <w:t xml:space="preserve"> dose of the </w:t>
      </w:r>
      <w:r w:rsidRPr="00325825">
        <w:rPr>
          <w:color w:val="000000" w:themeColor="text1"/>
          <w:szCs w:val="24"/>
        </w:rPr>
        <w:t xml:space="preserve">COVID-19 vaccine. </w:t>
      </w:r>
      <w:r w:rsidR="00454B86" w:rsidRPr="00325825">
        <w:rPr>
          <w:color w:val="000000" w:themeColor="text1"/>
          <w:szCs w:val="24"/>
        </w:rPr>
        <w:t>The fees for these items are equivalent to the fees for a level B consultation undertaken by a GP or Other Medical Practitioner.</w:t>
      </w:r>
    </w:p>
    <w:p w14:paraId="02B12A48" w14:textId="77777777" w:rsidR="00671D50" w:rsidRPr="00325825" w:rsidRDefault="00671D50" w:rsidP="00372836">
      <w:pPr>
        <w:ind w:right="-483"/>
        <w:rPr>
          <w:color w:val="000000" w:themeColor="text1"/>
          <w:szCs w:val="24"/>
        </w:rPr>
      </w:pPr>
    </w:p>
    <w:p w14:paraId="3F49676C" w14:textId="6B52BC22" w:rsidR="00E33F81" w:rsidRPr="00325825" w:rsidRDefault="00E33F81" w:rsidP="00372836">
      <w:pPr>
        <w:ind w:right="-483"/>
        <w:rPr>
          <w:szCs w:val="22"/>
          <w:lang w:eastAsia="en-US"/>
        </w:rPr>
      </w:pPr>
      <w:r w:rsidRPr="00325825">
        <w:rPr>
          <w:color w:val="000000" w:themeColor="text1"/>
          <w:szCs w:val="24"/>
        </w:rPr>
        <w:t xml:space="preserve">These services </w:t>
      </w:r>
      <w:r w:rsidR="00671D50" w:rsidRPr="00325825">
        <w:rPr>
          <w:color w:val="000000" w:themeColor="text1"/>
          <w:szCs w:val="24"/>
        </w:rPr>
        <w:t xml:space="preserve">are provided in conjunction with a </w:t>
      </w:r>
      <w:r w:rsidR="00730A82" w:rsidRPr="00325825">
        <w:rPr>
          <w:color w:val="000000" w:themeColor="text1"/>
          <w:szCs w:val="24"/>
        </w:rPr>
        <w:t>MBS assessment item in relation to the assessment for a COVID-19 vaccine (items</w:t>
      </w:r>
      <w:r w:rsidR="00032469" w:rsidRPr="00325825">
        <w:rPr>
          <w:color w:val="000000" w:themeColor="text1"/>
          <w:szCs w:val="24"/>
        </w:rPr>
        <w:t xml:space="preserve"> </w:t>
      </w:r>
      <w:r w:rsidR="00032469" w:rsidRPr="00325825">
        <w:rPr>
          <w:szCs w:val="22"/>
          <w:lang w:eastAsia="en-US"/>
        </w:rPr>
        <w:t>93624, 93625, 93626, 93627, 93634, 93635,</w:t>
      </w:r>
      <w:r w:rsidR="00730A82" w:rsidRPr="00325825">
        <w:rPr>
          <w:color w:val="000000" w:themeColor="text1"/>
          <w:szCs w:val="24"/>
        </w:rPr>
        <w:t xml:space="preserve"> </w:t>
      </w:r>
      <w:r w:rsidR="00032469" w:rsidRPr="00325825">
        <w:rPr>
          <w:szCs w:val="22"/>
          <w:lang w:eastAsia="en-US"/>
        </w:rPr>
        <w:t xml:space="preserve">93636, 93637, </w:t>
      </w:r>
      <w:r w:rsidR="00671D50" w:rsidRPr="00325825">
        <w:rPr>
          <w:szCs w:val="22"/>
          <w:lang w:eastAsia="en-US"/>
        </w:rPr>
        <w:t>93644,</w:t>
      </w:r>
      <w:r w:rsidR="00032469" w:rsidRPr="00325825">
        <w:rPr>
          <w:szCs w:val="22"/>
          <w:lang w:eastAsia="en-US"/>
        </w:rPr>
        <w:t xml:space="preserve"> </w:t>
      </w:r>
      <w:r w:rsidR="00671D50" w:rsidRPr="00325825">
        <w:rPr>
          <w:szCs w:val="22"/>
          <w:lang w:eastAsia="en-US"/>
        </w:rPr>
        <w:t>93645, 93646, 93647, 93653, 93654, 93655 and 93656</w:t>
      </w:r>
      <w:r w:rsidR="00730A82" w:rsidRPr="00325825">
        <w:rPr>
          <w:szCs w:val="22"/>
          <w:lang w:eastAsia="en-US"/>
        </w:rPr>
        <w:t>)</w:t>
      </w:r>
      <w:r w:rsidR="00671D50" w:rsidRPr="00325825">
        <w:rPr>
          <w:szCs w:val="22"/>
          <w:lang w:eastAsia="en-US"/>
        </w:rPr>
        <w:t xml:space="preserve">. </w:t>
      </w:r>
    </w:p>
    <w:p w14:paraId="2412D131" w14:textId="3A6F4C0B" w:rsidR="001865F8" w:rsidRPr="00325825" w:rsidRDefault="00886E79" w:rsidP="00D46EB9">
      <w:pPr>
        <w:shd w:val="clear" w:color="auto" w:fill="FFFFFF"/>
        <w:spacing w:before="100" w:beforeAutospacing="1"/>
        <w:rPr>
          <w:rFonts w:ascii="Helvetica Neue" w:hAnsi="Helvetica Neue"/>
          <w:color w:val="000000" w:themeColor="text1"/>
          <w:szCs w:val="24"/>
          <w:lang w:val="en-US"/>
        </w:rPr>
      </w:pPr>
      <w:r w:rsidRPr="00325825">
        <w:rPr>
          <w:b/>
          <w:color w:val="000000" w:themeColor="text1"/>
        </w:rPr>
        <w:t>C</w:t>
      </w:r>
      <w:r w:rsidR="00A1739A" w:rsidRPr="00325825">
        <w:rPr>
          <w:b/>
          <w:color w:val="000000" w:themeColor="text1"/>
        </w:rPr>
        <w:t>onsultation</w:t>
      </w:r>
    </w:p>
    <w:p w14:paraId="4689726E" w14:textId="74E92CB2" w:rsidR="009B7332" w:rsidRPr="00325825" w:rsidRDefault="009B7332" w:rsidP="002806A1">
      <w:pPr>
        <w:shd w:val="clear" w:color="auto" w:fill="FFFFFF"/>
        <w:rPr>
          <w:color w:val="000000"/>
          <w:shd w:val="clear" w:color="auto" w:fill="FFFFFF"/>
        </w:rPr>
      </w:pPr>
      <w:r w:rsidRPr="00325825">
        <w:rPr>
          <w:color w:val="000000"/>
          <w:shd w:val="clear" w:color="auto" w:fill="FFFFFF"/>
        </w:rPr>
        <w:t>As part of its health care package to protect all Australians from COVID-19, the Australian Government is consulting broadly with the medical sector.</w:t>
      </w:r>
    </w:p>
    <w:p w14:paraId="30648FC4" w14:textId="1CE308B7" w:rsidR="009B7332" w:rsidRPr="00325825" w:rsidRDefault="009B7332" w:rsidP="002806A1">
      <w:pPr>
        <w:shd w:val="clear" w:color="auto" w:fill="FFFFFF"/>
        <w:rPr>
          <w:color w:val="000000"/>
          <w:shd w:val="clear" w:color="auto" w:fill="FFFFFF"/>
        </w:rPr>
      </w:pPr>
    </w:p>
    <w:p w14:paraId="1A80D9B7" w14:textId="04E82C9D" w:rsidR="003856A7" w:rsidRPr="00325825" w:rsidRDefault="003856A7" w:rsidP="002806A1">
      <w:pPr>
        <w:shd w:val="clear" w:color="auto" w:fill="FFFFFF"/>
        <w:rPr>
          <w:color w:val="000000" w:themeColor="text1"/>
          <w:szCs w:val="24"/>
        </w:rPr>
      </w:pPr>
      <w:r w:rsidRPr="00325825">
        <w:rPr>
          <w:color w:val="000000"/>
          <w:shd w:val="clear" w:color="auto" w:fill="FFFFFF"/>
        </w:rPr>
        <w:t>This</w:t>
      </w:r>
      <w:r w:rsidR="009B7332" w:rsidRPr="00325825">
        <w:rPr>
          <w:color w:val="000000"/>
          <w:shd w:val="clear" w:color="auto" w:fill="FFFFFF"/>
        </w:rPr>
        <w:t xml:space="preserve"> legislative instrument is intended to minimise disruptions to patients’ access to essential health care services by </w:t>
      </w:r>
      <w:r w:rsidR="004D648F" w:rsidRPr="00325825">
        <w:rPr>
          <w:color w:val="000000" w:themeColor="text1"/>
          <w:szCs w:val="24"/>
        </w:rPr>
        <w:t xml:space="preserve">supporting general practices to provide </w:t>
      </w:r>
      <w:r w:rsidR="002D1E9A" w:rsidRPr="00325825">
        <w:rPr>
          <w:color w:val="000000" w:themeColor="text1"/>
          <w:szCs w:val="24"/>
        </w:rPr>
        <w:t>in-depth</w:t>
      </w:r>
      <w:r w:rsidR="004D648F" w:rsidRPr="00325825">
        <w:rPr>
          <w:color w:val="000000" w:themeColor="text1"/>
          <w:szCs w:val="24"/>
        </w:rPr>
        <w:t xml:space="preserve"> patient assessments for patients who </w:t>
      </w:r>
      <w:r w:rsidR="00032469" w:rsidRPr="00325825">
        <w:rPr>
          <w:color w:val="000000" w:themeColor="text1"/>
          <w:szCs w:val="24"/>
        </w:rPr>
        <w:t xml:space="preserve">are </w:t>
      </w:r>
      <w:r w:rsidR="004D648F" w:rsidRPr="00325825">
        <w:rPr>
          <w:color w:val="000000" w:themeColor="text1"/>
          <w:szCs w:val="24"/>
        </w:rPr>
        <w:t xml:space="preserve">at least 50 years </w:t>
      </w:r>
      <w:r w:rsidR="0005243A" w:rsidRPr="00325825">
        <w:rPr>
          <w:color w:val="000000" w:themeColor="text1"/>
          <w:szCs w:val="24"/>
        </w:rPr>
        <w:t>of age</w:t>
      </w:r>
      <w:r w:rsidR="004D648F" w:rsidRPr="00325825">
        <w:rPr>
          <w:color w:val="000000" w:themeColor="text1"/>
          <w:szCs w:val="24"/>
        </w:rPr>
        <w:t xml:space="preserve"> </w:t>
      </w:r>
      <w:r w:rsidRPr="00325825">
        <w:rPr>
          <w:color w:val="000000" w:themeColor="text1"/>
          <w:szCs w:val="24"/>
        </w:rPr>
        <w:t>and have concerns with receiving</w:t>
      </w:r>
      <w:r w:rsidR="00032469" w:rsidRPr="00325825">
        <w:rPr>
          <w:color w:val="000000" w:themeColor="text1"/>
          <w:szCs w:val="24"/>
        </w:rPr>
        <w:t xml:space="preserve"> a</w:t>
      </w:r>
      <w:r w:rsidRPr="00325825">
        <w:rPr>
          <w:color w:val="000000" w:themeColor="text1"/>
          <w:szCs w:val="24"/>
        </w:rPr>
        <w:t xml:space="preserve"> dose of the COVID-19 vaccine</w:t>
      </w:r>
      <w:r w:rsidR="00D77510" w:rsidRPr="00325825">
        <w:rPr>
          <w:color w:val="000000" w:themeColor="text1"/>
          <w:szCs w:val="24"/>
        </w:rPr>
        <w:t xml:space="preserve">. </w:t>
      </w:r>
    </w:p>
    <w:p w14:paraId="7BA2B16C" w14:textId="77777777" w:rsidR="003856A7" w:rsidRPr="00325825" w:rsidRDefault="003856A7" w:rsidP="002806A1">
      <w:pPr>
        <w:shd w:val="clear" w:color="auto" w:fill="FFFFFF"/>
        <w:rPr>
          <w:color w:val="000000"/>
          <w:shd w:val="clear" w:color="auto" w:fill="FFFFFF"/>
        </w:rPr>
      </w:pPr>
    </w:p>
    <w:p w14:paraId="4CD21A63" w14:textId="3FF02AB1" w:rsidR="009B7332" w:rsidRPr="00325825" w:rsidRDefault="009B7332" w:rsidP="002806A1">
      <w:pPr>
        <w:shd w:val="clear" w:color="auto" w:fill="FFFFFF"/>
        <w:rPr>
          <w:color w:val="000000"/>
          <w:shd w:val="clear" w:color="auto" w:fill="FFFFFF"/>
        </w:rPr>
      </w:pPr>
      <w:r w:rsidRPr="00325825">
        <w:rPr>
          <w:color w:val="000000"/>
          <w:shd w:val="clear" w:color="auto" w:fill="FFFFFF"/>
        </w:rPr>
        <w:t xml:space="preserve">Considering the nature of the </w:t>
      </w:r>
      <w:r w:rsidR="004D648F" w:rsidRPr="00325825">
        <w:rPr>
          <w:color w:val="000000"/>
          <w:shd w:val="clear" w:color="auto" w:fill="FFFFFF"/>
        </w:rPr>
        <w:t xml:space="preserve">instrument </w:t>
      </w:r>
      <w:r w:rsidR="003856A7" w:rsidRPr="00325825">
        <w:rPr>
          <w:color w:val="000000"/>
          <w:shd w:val="clear" w:color="auto" w:fill="FFFFFF"/>
        </w:rPr>
        <w:t xml:space="preserve">and due to the short timeframe in drafting this legislative instrument </w:t>
      </w:r>
      <w:r w:rsidRPr="00325825">
        <w:rPr>
          <w:color w:val="000000"/>
          <w:shd w:val="clear" w:color="auto" w:fill="FFFFFF"/>
        </w:rPr>
        <w:t>it was not reasonably practicable to undertake consultation with representatives of persons affected by the instrument.</w:t>
      </w:r>
    </w:p>
    <w:p w14:paraId="6880B2C1" w14:textId="62C2B9DA" w:rsidR="00886E79" w:rsidRPr="00325825" w:rsidRDefault="00886E79" w:rsidP="002806A1">
      <w:pPr>
        <w:shd w:val="clear" w:color="auto" w:fill="FFFFFF"/>
        <w:rPr>
          <w:color w:val="000000"/>
          <w:shd w:val="clear" w:color="auto" w:fill="FFFFFF"/>
        </w:rPr>
      </w:pPr>
    </w:p>
    <w:p w14:paraId="2412D134" w14:textId="6C463758" w:rsidR="00967E51" w:rsidRPr="00325825" w:rsidRDefault="00A1739A" w:rsidP="000337CB">
      <w:pPr>
        <w:rPr>
          <w:szCs w:val="24"/>
        </w:rPr>
      </w:pPr>
      <w:r w:rsidRPr="00325825">
        <w:rPr>
          <w:szCs w:val="24"/>
        </w:rPr>
        <w:t xml:space="preserve">Details of the </w:t>
      </w:r>
      <w:r w:rsidR="009305DF" w:rsidRPr="00325825">
        <w:rPr>
          <w:szCs w:val="24"/>
        </w:rPr>
        <w:t xml:space="preserve">Amendment </w:t>
      </w:r>
      <w:r w:rsidR="00574E71" w:rsidRPr="00325825">
        <w:rPr>
          <w:szCs w:val="24"/>
        </w:rPr>
        <w:t>Determination</w:t>
      </w:r>
      <w:r w:rsidRPr="00325825">
        <w:rPr>
          <w:szCs w:val="24"/>
        </w:rPr>
        <w:t xml:space="preserve"> are set out in the </w:t>
      </w:r>
      <w:r w:rsidRPr="00325825">
        <w:rPr>
          <w:szCs w:val="24"/>
          <w:u w:val="single"/>
        </w:rPr>
        <w:t>Attachment</w:t>
      </w:r>
      <w:r w:rsidRPr="00325825">
        <w:rPr>
          <w:szCs w:val="24"/>
        </w:rPr>
        <w:t>.</w:t>
      </w:r>
    </w:p>
    <w:p w14:paraId="2412D135" w14:textId="47CD806E" w:rsidR="006C138D" w:rsidRPr="00325825" w:rsidRDefault="00297AD0" w:rsidP="006C138D">
      <w:pPr>
        <w:tabs>
          <w:tab w:val="left" w:pos="567"/>
        </w:tabs>
        <w:spacing w:before="240"/>
        <w:rPr>
          <w:color w:val="FF0000"/>
          <w:szCs w:val="24"/>
        </w:rPr>
      </w:pPr>
      <w:r w:rsidRPr="00325825">
        <w:rPr>
          <w:szCs w:val="24"/>
        </w:rPr>
        <w:t xml:space="preserve">The </w:t>
      </w:r>
      <w:r w:rsidR="009305DF" w:rsidRPr="00325825">
        <w:rPr>
          <w:szCs w:val="24"/>
        </w:rPr>
        <w:t xml:space="preserve">Amendment </w:t>
      </w:r>
      <w:r w:rsidR="00967E51" w:rsidRPr="00325825">
        <w:rPr>
          <w:szCs w:val="24"/>
        </w:rPr>
        <w:t>Determination</w:t>
      </w:r>
      <w:r w:rsidRPr="00325825">
        <w:rPr>
          <w:szCs w:val="24"/>
        </w:rPr>
        <w:t xml:space="preserve"> </w:t>
      </w:r>
      <w:r w:rsidR="007524B0" w:rsidRPr="00325825">
        <w:rPr>
          <w:szCs w:val="24"/>
        </w:rPr>
        <w:t xml:space="preserve">commences </w:t>
      </w:r>
      <w:r w:rsidR="00F03A4E" w:rsidRPr="00325825">
        <w:rPr>
          <w:szCs w:val="24"/>
        </w:rPr>
        <w:t>on 18</w:t>
      </w:r>
      <w:r w:rsidR="00671D50" w:rsidRPr="00325825">
        <w:rPr>
          <w:szCs w:val="24"/>
        </w:rPr>
        <w:t xml:space="preserve"> June 2021</w:t>
      </w:r>
      <w:r w:rsidR="00AF585C" w:rsidRPr="00325825">
        <w:rPr>
          <w:color w:val="000000" w:themeColor="text1"/>
          <w:szCs w:val="24"/>
        </w:rPr>
        <w:t>.</w:t>
      </w:r>
      <w:r w:rsidR="007708B3" w:rsidRPr="00325825">
        <w:rPr>
          <w:color w:val="FF0000"/>
          <w:szCs w:val="24"/>
        </w:rPr>
        <w:t xml:space="preserve"> </w:t>
      </w:r>
    </w:p>
    <w:p w14:paraId="2412D136" w14:textId="77777777" w:rsidR="00236DF2" w:rsidRPr="00325825" w:rsidRDefault="00236DF2" w:rsidP="00574E71">
      <w:pPr>
        <w:rPr>
          <w:szCs w:val="24"/>
        </w:rPr>
      </w:pPr>
    </w:p>
    <w:p w14:paraId="2412D138" w14:textId="2CAC9A64" w:rsidR="00574E71" w:rsidRPr="00325825" w:rsidRDefault="0002728B" w:rsidP="00DE07E4">
      <w:pPr>
        <w:spacing w:after="200" w:line="276" w:lineRule="auto"/>
        <w:rPr>
          <w:szCs w:val="24"/>
        </w:rPr>
      </w:pPr>
      <w:r w:rsidRPr="00325825">
        <w:rPr>
          <w:szCs w:val="24"/>
        </w:rPr>
        <w:t>T</w:t>
      </w:r>
      <w:r w:rsidR="00574E71" w:rsidRPr="00325825">
        <w:rPr>
          <w:szCs w:val="24"/>
        </w:rPr>
        <w:t xml:space="preserve">he </w:t>
      </w:r>
      <w:r w:rsidR="009305DF" w:rsidRPr="00325825">
        <w:rPr>
          <w:szCs w:val="24"/>
        </w:rPr>
        <w:t xml:space="preserve">Amendment </w:t>
      </w:r>
      <w:r w:rsidR="00574E71" w:rsidRPr="00325825">
        <w:rPr>
          <w:szCs w:val="24"/>
        </w:rPr>
        <w:t xml:space="preserve">Determination is </w:t>
      </w:r>
      <w:r w:rsidR="004417A2" w:rsidRPr="00325825">
        <w:rPr>
          <w:szCs w:val="24"/>
        </w:rPr>
        <w:t xml:space="preserve">a </w:t>
      </w:r>
      <w:r w:rsidR="00574E71" w:rsidRPr="00325825">
        <w:rPr>
          <w:szCs w:val="24"/>
        </w:rPr>
        <w:t xml:space="preserve">legislative instrument for the purposes of the </w:t>
      </w:r>
      <w:r w:rsidR="00574E71" w:rsidRPr="00325825">
        <w:rPr>
          <w:i/>
        </w:rPr>
        <w:t>Legislation Act 2003</w:t>
      </w:r>
      <w:r w:rsidR="00574E71" w:rsidRPr="00325825">
        <w:rPr>
          <w:szCs w:val="24"/>
        </w:rPr>
        <w:t>.</w:t>
      </w:r>
    </w:p>
    <w:p w14:paraId="2412D139" w14:textId="77777777" w:rsidR="00A1739A" w:rsidRPr="00325825" w:rsidRDefault="00A1739A" w:rsidP="000337CB">
      <w:pPr>
        <w:ind w:left="6663" w:hanging="3119"/>
        <w:rPr>
          <w:szCs w:val="24"/>
        </w:rPr>
      </w:pPr>
      <w:r w:rsidRPr="00325825">
        <w:rPr>
          <w:szCs w:val="24"/>
        </w:rPr>
        <w:t xml:space="preserve">           </w:t>
      </w:r>
    </w:p>
    <w:p w14:paraId="2412D13A" w14:textId="77777777" w:rsidR="00A1739A" w:rsidRPr="00325825" w:rsidRDefault="00A1739A" w:rsidP="000337CB">
      <w:pPr>
        <w:ind w:left="6663" w:hanging="3119"/>
        <w:rPr>
          <w:szCs w:val="24"/>
        </w:rPr>
      </w:pPr>
      <w:r w:rsidRPr="00325825">
        <w:rPr>
          <w:szCs w:val="24"/>
          <w:u w:val="single"/>
        </w:rPr>
        <w:t>Authority</w:t>
      </w:r>
      <w:r w:rsidR="00967E51" w:rsidRPr="00325825">
        <w:rPr>
          <w:szCs w:val="24"/>
        </w:rPr>
        <w:t xml:space="preserve">:     Subsection </w:t>
      </w:r>
      <w:r w:rsidRPr="00325825">
        <w:rPr>
          <w:szCs w:val="24"/>
        </w:rPr>
        <w:t>3</w:t>
      </w:r>
      <w:r w:rsidR="00967E51" w:rsidRPr="00325825">
        <w:rPr>
          <w:szCs w:val="24"/>
        </w:rPr>
        <w:t>C</w:t>
      </w:r>
      <w:r w:rsidRPr="00325825">
        <w:rPr>
          <w:szCs w:val="24"/>
        </w:rPr>
        <w:t xml:space="preserve">(1) of the </w:t>
      </w:r>
    </w:p>
    <w:p w14:paraId="2412D13B" w14:textId="0596CD30" w:rsidR="00A1739A" w:rsidRPr="00325825" w:rsidRDefault="00A1739A" w:rsidP="000337CB">
      <w:pPr>
        <w:tabs>
          <w:tab w:val="left" w:pos="4820"/>
        </w:tabs>
        <w:rPr>
          <w:szCs w:val="24"/>
        </w:rPr>
        <w:sectPr w:rsidR="00A1739A" w:rsidRPr="00325825" w:rsidSect="00235B6C">
          <w:headerReference w:type="default" r:id="rId11"/>
          <w:pgSz w:w="11906" w:h="16838"/>
          <w:pgMar w:top="1440" w:right="1800" w:bottom="1135" w:left="1800" w:header="708" w:footer="708" w:gutter="0"/>
          <w:pgNumType w:start="1"/>
          <w:cols w:space="708"/>
          <w:docGrid w:linePitch="360"/>
        </w:sectPr>
      </w:pPr>
      <w:r w:rsidRPr="00325825">
        <w:rPr>
          <w:i/>
          <w:szCs w:val="24"/>
        </w:rPr>
        <w:tab/>
        <w:t>Health Insurance Act 1973</w:t>
      </w:r>
    </w:p>
    <w:p w14:paraId="2412D13D" w14:textId="77777777" w:rsidR="006D5816" w:rsidRPr="00325825" w:rsidRDefault="006D5816" w:rsidP="000337CB">
      <w:pPr>
        <w:pStyle w:val="BodyText"/>
        <w:jc w:val="right"/>
        <w:rPr>
          <w:szCs w:val="24"/>
        </w:rPr>
      </w:pPr>
      <w:r w:rsidRPr="00325825">
        <w:rPr>
          <w:szCs w:val="24"/>
        </w:rPr>
        <w:lastRenderedPageBreak/>
        <w:t>ATTACHMENT</w:t>
      </w:r>
    </w:p>
    <w:p w14:paraId="2412D13E" w14:textId="77777777" w:rsidR="006D5816" w:rsidRPr="00325825" w:rsidRDefault="006D5816" w:rsidP="000337CB">
      <w:pPr>
        <w:pStyle w:val="BodyText"/>
        <w:rPr>
          <w:szCs w:val="24"/>
          <w:u w:val="single"/>
        </w:rPr>
      </w:pPr>
    </w:p>
    <w:p w14:paraId="5B0C808A" w14:textId="184FBAFA" w:rsidR="00215191" w:rsidRPr="00325825" w:rsidRDefault="00A41364" w:rsidP="00186752">
      <w:pPr>
        <w:pStyle w:val="BodyText"/>
        <w:rPr>
          <w:i/>
          <w:iCs/>
          <w:color w:val="FF0000"/>
        </w:rPr>
      </w:pPr>
      <w:r w:rsidRPr="00325825">
        <w:rPr>
          <w:szCs w:val="24"/>
        </w:rPr>
        <w:t>Details of the</w:t>
      </w:r>
      <w:r w:rsidR="000A7DC9" w:rsidRPr="00325825">
        <w:rPr>
          <w:szCs w:val="24"/>
        </w:rPr>
        <w:t xml:space="preserve"> </w:t>
      </w:r>
      <w:r w:rsidR="003F632B" w:rsidRPr="00325825">
        <w:rPr>
          <w:i/>
          <w:color w:val="000000" w:themeColor="text1"/>
          <w:szCs w:val="24"/>
        </w:rPr>
        <w:t xml:space="preserve">Health Insurance (Section 3C General Medical Services – General Practice Attendance for Assessing Patient Suitability for a COVID-19 Vaccine) Amendment </w:t>
      </w:r>
      <w:r w:rsidR="000D4BDA" w:rsidRPr="00325825">
        <w:rPr>
          <w:i/>
          <w:color w:val="000000" w:themeColor="text1"/>
          <w:szCs w:val="24"/>
        </w:rPr>
        <w:t>(No.</w:t>
      </w:r>
      <w:r w:rsidR="00730A82" w:rsidRPr="00325825">
        <w:rPr>
          <w:i/>
          <w:color w:val="000000" w:themeColor="text1"/>
          <w:szCs w:val="24"/>
        </w:rPr>
        <w:t xml:space="preserve"> </w:t>
      </w:r>
      <w:r w:rsidR="000D4BDA" w:rsidRPr="00325825">
        <w:rPr>
          <w:i/>
          <w:color w:val="000000" w:themeColor="text1"/>
          <w:szCs w:val="24"/>
        </w:rPr>
        <w:t xml:space="preserve">2) </w:t>
      </w:r>
      <w:r w:rsidR="003F632B" w:rsidRPr="00325825">
        <w:rPr>
          <w:i/>
          <w:color w:val="000000" w:themeColor="text1"/>
          <w:szCs w:val="24"/>
        </w:rPr>
        <w:t>Determination 2021</w:t>
      </w:r>
    </w:p>
    <w:p w14:paraId="7BBEB147" w14:textId="720F9678" w:rsidR="00E70355" w:rsidRPr="00325825" w:rsidRDefault="00E70355" w:rsidP="000337CB">
      <w:pPr>
        <w:pStyle w:val="BodyText"/>
        <w:rPr>
          <w:b w:val="0"/>
          <w:i/>
          <w:szCs w:val="24"/>
        </w:rPr>
      </w:pPr>
    </w:p>
    <w:p w14:paraId="2412D141" w14:textId="7C34D5F4" w:rsidR="00FE02C2" w:rsidRPr="00325825" w:rsidRDefault="001B0111" w:rsidP="000337CB">
      <w:pPr>
        <w:pStyle w:val="BodyText"/>
        <w:rPr>
          <w:b w:val="0"/>
          <w:szCs w:val="24"/>
          <w:u w:val="single"/>
        </w:rPr>
      </w:pPr>
      <w:r w:rsidRPr="00325825">
        <w:rPr>
          <w:b w:val="0"/>
          <w:szCs w:val="24"/>
          <w:u w:val="single"/>
        </w:rPr>
        <w:t>Section 1 – Name</w:t>
      </w:r>
    </w:p>
    <w:p w14:paraId="2412D142" w14:textId="77777777" w:rsidR="00FE02C2" w:rsidRPr="00325825" w:rsidRDefault="00FE02C2" w:rsidP="000337CB">
      <w:pPr>
        <w:pStyle w:val="BodyText"/>
        <w:rPr>
          <w:b w:val="0"/>
          <w:szCs w:val="24"/>
          <w:u w:val="single"/>
        </w:rPr>
      </w:pPr>
    </w:p>
    <w:p w14:paraId="2412D144" w14:textId="6D6F30F0" w:rsidR="00F83B6F" w:rsidRPr="00325825" w:rsidRDefault="00BC7397" w:rsidP="00C67BC7">
      <w:pPr>
        <w:pStyle w:val="BodyText"/>
        <w:rPr>
          <w:b w:val="0"/>
          <w:i/>
          <w:iCs/>
          <w:color w:val="FF0000"/>
        </w:rPr>
      </w:pPr>
      <w:r w:rsidRPr="00325825">
        <w:rPr>
          <w:b w:val="0"/>
          <w:szCs w:val="24"/>
        </w:rPr>
        <w:t>S</w:t>
      </w:r>
      <w:r w:rsidR="00FE02C2" w:rsidRPr="00325825">
        <w:rPr>
          <w:b w:val="0"/>
          <w:szCs w:val="24"/>
        </w:rPr>
        <w:t xml:space="preserve">ection </w:t>
      </w:r>
      <w:r w:rsidRPr="00325825">
        <w:rPr>
          <w:b w:val="0"/>
          <w:szCs w:val="24"/>
        </w:rPr>
        <w:t xml:space="preserve">1 </w:t>
      </w:r>
      <w:r w:rsidR="00FE02C2" w:rsidRPr="00325825">
        <w:rPr>
          <w:b w:val="0"/>
          <w:szCs w:val="24"/>
        </w:rPr>
        <w:t>provides</w:t>
      </w:r>
      <w:r w:rsidR="008B683E" w:rsidRPr="00325825">
        <w:rPr>
          <w:b w:val="0"/>
          <w:szCs w:val="24"/>
        </w:rPr>
        <w:t xml:space="preserve"> for the </w:t>
      </w:r>
      <w:r w:rsidR="008B2094" w:rsidRPr="00325825">
        <w:rPr>
          <w:b w:val="0"/>
          <w:szCs w:val="24"/>
        </w:rPr>
        <w:t>Determination</w:t>
      </w:r>
      <w:r w:rsidR="00FE02C2" w:rsidRPr="00325825">
        <w:rPr>
          <w:b w:val="0"/>
          <w:szCs w:val="24"/>
        </w:rPr>
        <w:t xml:space="preserve"> to be referred to as the</w:t>
      </w:r>
      <w:r w:rsidR="000A7DC9" w:rsidRPr="00325825">
        <w:rPr>
          <w:b w:val="0"/>
          <w:szCs w:val="24"/>
        </w:rPr>
        <w:t xml:space="preserve"> </w:t>
      </w:r>
      <w:r w:rsidR="003F632B" w:rsidRPr="00325825">
        <w:rPr>
          <w:b w:val="0"/>
          <w:i/>
          <w:color w:val="000000" w:themeColor="text1"/>
          <w:szCs w:val="24"/>
        </w:rPr>
        <w:t xml:space="preserve">Health Insurance (Section 3C General Medical Services – General Practice Attendance for Assessing Patient Suitability for a COVID-19 Vaccine) Amendment </w:t>
      </w:r>
      <w:r w:rsidR="000D4BDA" w:rsidRPr="00325825">
        <w:rPr>
          <w:b w:val="0"/>
          <w:i/>
          <w:color w:val="000000" w:themeColor="text1"/>
          <w:szCs w:val="24"/>
        </w:rPr>
        <w:t>(No.</w:t>
      </w:r>
      <w:r w:rsidR="00730A82" w:rsidRPr="00325825">
        <w:rPr>
          <w:b w:val="0"/>
          <w:i/>
          <w:color w:val="000000" w:themeColor="text1"/>
          <w:szCs w:val="24"/>
        </w:rPr>
        <w:t xml:space="preserve"> </w:t>
      </w:r>
      <w:r w:rsidR="000D4BDA" w:rsidRPr="00325825">
        <w:rPr>
          <w:b w:val="0"/>
          <w:i/>
          <w:color w:val="000000" w:themeColor="text1"/>
          <w:szCs w:val="24"/>
        </w:rPr>
        <w:t xml:space="preserve">2) </w:t>
      </w:r>
      <w:r w:rsidR="003F632B" w:rsidRPr="00325825">
        <w:rPr>
          <w:b w:val="0"/>
          <w:i/>
          <w:color w:val="000000" w:themeColor="text1"/>
          <w:szCs w:val="24"/>
        </w:rPr>
        <w:t>Determination 2021</w:t>
      </w:r>
      <w:r w:rsidR="000A7DC9" w:rsidRPr="00325825">
        <w:rPr>
          <w:b w:val="0"/>
          <w:i/>
          <w:szCs w:val="24"/>
        </w:rPr>
        <w:t xml:space="preserve">. </w:t>
      </w:r>
    </w:p>
    <w:p w14:paraId="68DAA207" w14:textId="77777777" w:rsidR="00FD602D" w:rsidRPr="00325825" w:rsidRDefault="00FD602D" w:rsidP="00FD602D"/>
    <w:p w14:paraId="49D1E050" w14:textId="77777777" w:rsidR="007A4089" w:rsidRPr="00325825" w:rsidRDefault="00FE02C2" w:rsidP="000337CB">
      <w:pPr>
        <w:pStyle w:val="BodyText"/>
        <w:rPr>
          <w:b w:val="0"/>
          <w:szCs w:val="24"/>
          <w:u w:val="single"/>
        </w:rPr>
      </w:pPr>
      <w:r w:rsidRPr="00325825">
        <w:rPr>
          <w:b w:val="0"/>
          <w:szCs w:val="24"/>
          <w:u w:val="single"/>
        </w:rPr>
        <w:t xml:space="preserve">Section 2 – Commencement </w:t>
      </w:r>
    </w:p>
    <w:p w14:paraId="2DCE2ED0" w14:textId="77777777" w:rsidR="007A4089" w:rsidRPr="00325825" w:rsidRDefault="007A4089" w:rsidP="000337CB">
      <w:pPr>
        <w:pStyle w:val="BodyText"/>
        <w:rPr>
          <w:b w:val="0"/>
          <w:szCs w:val="24"/>
          <w:u w:val="single"/>
        </w:rPr>
      </w:pPr>
    </w:p>
    <w:p w14:paraId="2412D148" w14:textId="7D8B7825" w:rsidR="00510A4F" w:rsidRPr="00325825" w:rsidRDefault="00510A4F" w:rsidP="000337CB">
      <w:pPr>
        <w:pStyle w:val="BodyText"/>
        <w:rPr>
          <w:b w:val="0"/>
          <w:color w:val="FF0000"/>
          <w:szCs w:val="24"/>
        </w:rPr>
      </w:pPr>
      <w:r w:rsidRPr="00325825">
        <w:rPr>
          <w:b w:val="0"/>
          <w:szCs w:val="24"/>
        </w:rPr>
        <w:t xml:space="preserve">Section 2 </w:t>
      </w:r>
      <w:r w:rsidR="00404F11" w:rsidRPr="00325825">
        <w:rPr>
          <w:b w:val="0"/>
          <w:szCs w:val="24"/>
        </w:rPr>
        <w:t xml:space="preserve">provides that the </w:t>
      </w:r>
      <w:r w:rsidR="008B2094" w:rsidRPr="00325825">
        <w:rPr>
          <w:b w:val="0"/>
          <w:szCs w:val="24"/>
        </w:rPr>
        <w:t xml:space="preserve">Determination </w:t>
      </w:r>
      <w:r w:rsidR="00404F11" w:rsidRPr="00325825">
        <w:rPr>
          <w:b w:val="0"/>
          <w:szCs w:val="24"/>
        </w:rPr>
        <w:t>commenc</w:t>
      </w:r>
      <w:r w:rsidR="00404F11" w:rsidRPr="00325825">
        <w:rPr>
          <w:b w:val="0"/>
          <w:color w:val="000000" w:themeColor="text1"/>
          <w:szCs w:val="24"/>
        </w:rPr>
        <w:t xml:space="preserve">es </w:t>
      </w:r>
      <w:r w:rsidR="00BB0260" w:rsidRPr="00325825">
        <w:rPr>
          <w:b w:val="0"/>
          <w:color w:val="000000" w:themeColor="text1"/>
          <w:szCs w:val="24"/>
        </w:rPr>
        <w:t>on 18</w:t>
      </w:r>
      <w:r w:rsidR="00E84435" w:rsidRPr="00325825">
        <w:rPr>
          <w:b w:val="0"/>
          <w:color w:val="000000" w:themeColor="text1"/>
          <w:szCs w:val="24"/>
        </w:rPr>
        <w:t xml:space="preserve"> June 2021</w:t>
      </w:r>
      <w:r w:rsidR="000A7DC9" w:rsidRPr="00325825">
        <w:rPr>
          <w:b w:val="0"/>
          <w:color w:val="000000" w:themeColor="text1"/>
          <w:szCs w:val="24"/>
        </w:rPr>
        <w:t>.</w:t>
      </w:r>
      <w:r w:rsidR="00C63FDC" w:rsidRPr="00325825">
        <w:rPr>
          <w:b w:val="0"/>
          <w:color w:val="000000" w:themeColor="text1"/>
          <w:szCs w:val="24"/>
        </w:rPr>
        <w:t xml:space="preserve"> </w:t>
      </w:r>
    </w:p>
    <w:p w14:paraId="16C03200" w14:textId="77777777" w:rsidR="007E0017" w:rsidRPr="00325825" w:rsidRDefault="007E0017" w:rsidP="000337CB">
      <w:pPr>
        <w:pStyle w:val="BodyText"/>
        <w:rPr>
          <w:b w:val="0"/>
          <w:szCs w:val="24"/>
        </w:rPr>
      </w:pPr>
    </w:p>
    <w:p w14:paraId="005D5660" w14:textId="77777777" w:rsidR="007A4089" w:rsidRPr="00325825" w:rsidRDefault="00FE02C2" w:rsidP="000337CB">
      <w:pPr>
        <w:pStyle w:val="BodyText"/>
        <w:rPr>
          <w:b w:val="0"/>
          <w:szCs w:val="24"/>
          <w:u w:val="single"/>
        </w:rPr>
      </w:pPr>
      <w:r w:rsidRPr="00325825">
        <w:rPr>
          <w:b w:val="0"/>
          <w:szCs w:val="24"/>
          <w:u w:val="single"/>
        </w:rPr>
        <w:t xml:space="preserve">Section 3 – </w:t>
      </w:r>
      <w:r w:rsidR="00E5798A" w:rsidRPr="00325825">
        <w:rPr>
          <w:b w:val="0"/>
          <w:szCs w:val="24"/>
          <w:u w:val="single"/>
        </w:rPr>
        <w:t>Authority</w:t>
      </w:r>
    </w:p>
    <w:p w14:paraId="53BFA098" w14:textId="77777777" w:rsidR="007A4089" w:rsidRPr="00325825" w:rsidRDefault="007A4089" w:rsidP="000337CB">
      <w:pPr>
        <w:pStyle w:val="BodyText"/>
        <w:rPr>
          <w:b w:val="0"/>
          <w:szCs w:val="24"/>
          <w:u w:val="single"/>
        </w:rPr>
      </w:pPr>
    </w:p>
    <w:p w14:paraId="2412D14B" w14:textId="60EB4E9C" w:rsidR="00FE02C2" w:rsidRPr="00325825" w:rsidRDefault="00F83B6F" w:rsidP="000337CB">
      <w:pPr>
        <w:pStyle w:val="BodyText"/>
        <w:rPr>
          <w:b w:val="0"/>
        </w:rPr>
      </w:pPr>
      <w:r w:rsidRPr="00325825">
        <w:rPr>
          <w:b w:val="0"/>
        </w:rPr>
        <w:t xml:space="preserve">Section 3 provides that the </w:t>
      </w:r>
      <w:r w:rsidR="008B2094" w:rsidRPr="00325825">
        <w:rPr>
          <w:b w:val="0"/>
          <w:szCs w:val="24"/>
        </w:rPr>
        <w:t xml:space="preserve">Determination </w:t>
      </w:r>
      <w:r w:rsidR="00E5798A" w:rsidRPr="00325825">
        <w:rPr>
          <w:b w:val="0"/>
        </w:rPr>
        <w:t xml:space="preserve">is made under </w:t>
      </w:r>
      <w:r w:rsidR="00367440" w:rsidRPr="00325825">
        <w:rPr>
          <w:b w:val="0"/>
        </w:rPr>
        <w:t xml:space="preserve">subsection </w:t>
      </w:r>
      <w:r w:rsidR="00E5798A" w:rsidRPr="00325825">
        <w:rPr>
          <w:b w:val="0"/>
        </w:rPr>
        <w:t xml:space="preserve">3C(1) of the </w:t>
      </w:r>
      <w:r w:rsidR="00E5798A" w:rsidRPr="00325825">
        <w:rPr>
          <w:b w:val="0"/>
          <w:i/>
        </w:rPr>
        <w:t>Health Insurance Act 1973</w:t>
      </w:r>
      <w:r w:rsidR="00E5798A" w:rsidRPr="00325825">
        <w:rPr>
          <w:b w:val="0"/>
        </w:rPr>
        <w:t>.</w:t>
      </w:r>
    </w:p>
    <w:p w14:paraId="0DBF1241" w14:textId="77777777" w:rsidR="00E70355" w:rsidRPr="00325825" w:rsidRDefault="00E70355" w:rsidP="000337CB">
      <w:pPr>
        <w:pStyle w:val="BodyText"/>
        <w:rPr>
          <w:b w:val="0"/>
        </w:rPr>
      </w:pPr>
    </w:p>
    <w:p w14:paraId="20CBF84A" w14:textId="77777777" w:rsidR="00C63FDC" w:rsidRPr="00325825" w:rsidRDefault="00C63FDC" w:rsidP="00C63FDC">
      <w:pPr>
        <w:pStyle w:val="BodyText"/>
        <w:rPr>
          <w:b w:val="0"/>
          <w:szCs w:val="24"/>
          <w:u w:val="single"/>
        </w:rPr>
      </w:pPr>
      <w:r w:rsidRPr="00325825">
        <w:rPr>
          <w:b w:val="0"/>
          <w:szCs w:val="24"/>
          <w:u w:val="single"/>
        </w:rPr>
        <w:t>Section 4 – Schedules</w:t>
      </w:r>
    </w:p>
    <w:p w14:paraId="4C010161" w14:textId="77777777" w:rsidR="00C63FDC" w:rsidRPr="00325825" w:rsidRDefault="00C63FDC" w:rsidP="00C63FDC">
      <w:pPr>
        <w:pStyle w:val="BodyText"/>
        <w:rPr>
          <w:b w:val="0"/>
          <w:szCs w:val="24"/>
          <w:u w:val="single"/>
        </w:rPr>
      </w:pPr>
    </w:p>
    <w:p w14:paraId="5D9EBF8D" w14:textId="77777777" w:rsidR="00C63FDC" w:rsidRPr="00325825" w:rsidRDefault="00C63FDC" w:rsidP="00C63FDC">
      <w:pPr>
        <w:pStyle w:val="BodyText"/>
        <w:rPr>
          <w:b w:val="0"/>
          <w:szCs w:val="24"/>
        </w:rPr>
      </w:pPr>
      <w:r w:rsidRPr="00325825">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325825" w:rsidRDefault="007E0017" w:rsidP="00404F11">
      <w:pPr>
        <w:pStyle w:val="BodyText"/>
        <w:rPr>
          <w:b w:val="0"/>
          <w:szCs w:val="24"/>
        </w:rPr>
      </w:pPr>
    </w:p>
    <w:p w14:paraId="768D340E" w14:textId="77777777" w:rsidR="00C63FDC" w:rsidRPr="00325825" w:rsidRDefault="00C63FDC" w:rsidP="00C63FDC">
      <w:pPr>
        <w:pStyle w:val="Header"/>
        <w:tabs>
          <w:tab w:val="num" w:pos="1080"/>
        </w:tabs>
        <w:rPr>
          <w:szCs w:val="24"/>
          <w:u w:val="single"/>
        </w:rPr>
      </w:pPr>
      <w:r w:rsidRPr="00325825">
        <w:rPr>
          <w:szCs w:val="24"/>
          <w:u w:val="single"/>
        </w:rPr>
        <w:t>Schedule 1 – Amendments</w:t>
      </w:r>
    </w:p>
    <w:p w14:paraId="49F9BAC1" w14:textId="3ADB4D03" w:rsidR="00C63FDC" w:rsidRPr="00325825" w:rsidRDefault="00F45447" w:rsidP="00F45447">
      <w:pPr>
        <w:pStyle w:val="ItemHead"/>
        <w:ind w:left="0" w:firstLine="0"/>
        <w:rPr>
          <w:rFonts w:ascii="Times New Roman" w:hAnsi="Times New Roman"/>
          <w:b w:val="0"/>
          <w:iCs/>
          <w:color w:val="000000" w:themeColor="text1"/>
        </w:rPr>
      </w:pPr>
      <w:r w:rsidRPr="00325825">
        <w:rPr>
          <w:rFonts w:ascii="Times New Roman" w:hAnsi="Times New Roman"/>
          <w:b w:val="0"/>
          <w:i/>
          <w:color w:val="000000" w:themeColor="text1"/>
          <w:lang w:eastAsia="en-US"/>
        </w:rPr>
        <w:t xml:space="preserve">Health Insurance (Section 3C General Medical Services – General Practice Attendance for Assessing Patient Suitability for a COVID-19 Vaccine) Determination 2021 </w:t>
      </w:r>
      <w:r w:rsidR="000D596C" w:rsidRPr="00325825">
        <w:rPr>
          <w:rFonts w:ascii="Times New Roman" w:hAnsi="Times New Roman"/>
          <w:b w:val="0"/>
          <w:iCs/>
          <w:color w:val="000000" w:themeColor="text1"/>
        </w:rPr>
        <w:t>(the Principal Determination)</w:t>
      </w:r>
    </w:p>
    <w:p w14:paraId="468CD998" w14:textId="40F58843" w:rsidR="000A7DC9" w:rsidRPr="00325825" w:rsidRDefault="000A7DC9" w:rsidP="00505F9A">
      <w:pPr>
        <w:pStyle w:val="Header"/>
        <w:tabs>
          <w:tab w:val="num" w:pos="1080"/>
        </w:tabs>
        <w:rPr>
          <w:i/>
          <w:iCs/>
          <w:color w:val="000000" w:themeColor="text1"/>
        </w:rPr>
      </w:pPr>
    </w:p>
    <w:p w14:paraId="589CD8D4" w14:textId="79EB9824" w:rsidR="00786260" w:rsidRPr="00325825" w:rsidRDefault="000D4BDA" w:rsidP="00505F9A">
      <w:pPr>
        <w:pStyle w:val="Header"/>
        <w:tabs>
          <w:tab w:val="num" w:pos="1080"/>
        </w:tabs>
        <w:rPr>
          <w:b/>
          <w:color w:val="000000" w:themeColor="text1"/>
          <w:szCs w:val="24"/>
        </w:rPr>
      </w:pPr>
      <w:r w:rsidRPr="00325825">
        <w:rPr>
          <w:b/>
          <w:color w:val="000000" w:themeColor="text1"/>
          <w:szCs w:val="24"/>
        </w:rPr>
        <w:t>Item 1</w:t>
      </w:r>
      <w:r w:rsidR="00786260" w:rsidRPr="00325825">
        <w:rPr>
          <w:b/>
          <w:color w:val="000000" w:themeColor="text1"/>
          <w:szCs w:val="24"/>
        </w:rPr>
        <w:t xml:space="preserve"> – Section 7 (below the heading)</w:t>
      </w:r>
    </w:p>
    <w:p w14:paraId="213E1E06" w14:textId="65C4573E" w:rsidR="00786260" w:rsidRPr="00325825" w:rsidRDefault="00E84435" w:rsidP="00505F9A">
      <w:pPr>
        <w:pStyle w:val="Header"/>
        <w:tabs>
          <w:tab w:val="num" w:pos="1080"/>
        </w:tabs>
        <w:rPr>
          <w:color w:val="000000" w:themeColor="text1"/>
          <w:szCs w:val="24"/>
        </w:rPr>
      </w:pPr>
      <w:r w:rsidRPr="00325825">
        <w:rPr>
          <w:color w:val="000000" w:themeColor="text1"/>
          <w:szCs w:val="24"/>
        </w:rPr>
        <w:t>Item 1</w:t>
      </w:r>
      <w:r w:rsidR="00786260" w:rsidRPr="00325825">
        <w:rPr>
          <w:color w:val="000000" w:themeColor="text1"/>
          <w:szCs w:val="24"/>
        </w:rPr>
        <w:t xml:space="preserve"> repeals and replaces section 7 of the Principal Determination to exclude new items 10660 and 10661</w:t>
      </w:r>
      <w:r w:rsidR="004B6D9A" w:rsidRPr="00325825">
        <w:rPr>
          <w:color w:val="000000" w:themeColor="text1"/>
          <w:szCs w:val="24"/>
        </w:rPr>
        <w:t xml:space="preserve"> </w:t>
      </w:r>
      <w:r w:rsidR="00786260" w:rsidRPr="00325825">
        <w:rPr>
          <w:color w:val="000000" w:themeColor="text1"/>
          <w:szCs w:val="24"/>
        </w:rPr>
        <w:t xml:space="preserve">from the section. Section 7 provides that the service can be rendered by a medical practitioner, or by the relevant health professional on behalf of a medical practitioner. </w:t>
      </w:r>
      <w:r w:rsidR="004B6D9A" w:rsidRPr="00325825">
        <w:rPr>
          <w:color w:val="000000" w:themeColor="text1"/>
          <w:szCs w:val="24"/>
        </w:rPr>
        <w:t xml:space="preserve">A service under item 10660 and 10661 can only be provided if the GP or OMP personally attend to the patient. </w:t>
      </w:r>
    </w:p>
    <w:p w14:paraId="65A741CE" w14:textId="6DFA70BC" w:rsidR="004B6D9A" w:rsidRPr="00325825" w:rsidRDefault="004B6D9A" w:rsidP="00505F9A">
      <w:pPr>
        <w:pStyle w:val="Header"/>
        <w:tabs>
          <w:tab w:val="num" w:pos="1080"/>
        </w:tabs>
        <w:rPr>
          <w:color w:val="000000" w:themeColor="text1"/>
          <w:szCs w:val="24"/>
        </w:rPr>
      </w:pPr>
    </w:p>
    <w:p w14:paraId="3BC3CF9D" w14:textId="1415D30E" w:rsidR="004B6D9A" w:rsidRPr="00325825" w:rsidRDefault="000D4BDA" w:rsidP="00505F9A">
      <w:pPr>
        <w:pStyle w:val="Header"/>
        <w:tabs>
          <w:tab w:val="num" w:pos="1080"/>
        </w:tabs>
        <w:rPr>
          <w:b/>
          <w:color w:val="000000" w:themeColor="text1"/>
          <w:szCs w:val="24"/>
        </w:rPr>
      </w:pPr>
      <w:r w:rsidRPr="00325825">
        <w:rPr>
          <w:b/>
          <w:color w:val="000000" w:themeColor="text1"/>
          <w:szCs w:val="24"/>
        </w:rPr>
        <w:t>Item 2</w:t>
      </w:r>
      <w:r w:rsidR="004B6D9A" w:rsidRPr="00325825">
        <w:rPr>
          <w:b/>
          <w:color w:val="000000" w:themeColor="text1"/>
          <w:szCs w:val="24"/>
        </w:rPr>
        <w:t xml:space="preserve"> – </w:t>
      </w:r>
      <w:r w:rsidR="00E84435" w:rsidRPr="00325825">
        <w:rPr>
          <w:b/>
          <w:color w:val="000000" w:themeColor="text1"/>
          <w:szCs w:val="24"/>
        </w:rPr>
        <w:t xml:space="preserve">schedule </w:t>
      </w:r>
    </w:p>
    <w:p w14:paraId="01364B65" w14:textId="641554BA" w:rsidR="00E84435" w:rsidRPr="00325825" w:rsidRDefault="004B6D9A" w:rsidP="000D4BDA">
      <w:pPr>
        <w:pStyle w:val="Header"/>
        <w:tabs>
          <w:tab w:val="num" w:pos="1080"/>
        </w:tabs>
        <w:rPr>
          <w:color w:val="000000" w:themeColor="text1"/>
          <w:szCs w:val="24"/>
        </w:rPr>
      </w:pPr>
      <w:r w:rsidRPr="00325825">
        <w:rPr>
          <w:color w:val="000000" w:themeColor="text1"/>
          <w:szCs w:val="24"/>
        </w:rPr>
        <w:t>Ite</w:t>
      </w:r>
      <w:r w:rsidR="000D4BDA" w:rsidRPr="00325825">
        <w:rPr>
          <w:color w:val="000000" w:themeColor="text1"/>
          <w:szCs w:val="24"/>
        </w:rPr>
        <w:t xml:space="preserve">m 2 inserts two new items (10660 and 10661) </w:t>
      </w:r>
      <w:r w:rsidR="00E84435" w:rsidRPr="00325825">
        <w:rPr>
          <w:color w:val="000000" w:themeColor="text1"/>
          <w:szCs w:val="24"/>
        </w:rPr>
        <w:t>after item 93656</w:t>
      </w:r>
      <w:r w:rsidR="00D77510" w:rsidRPr="00325825">
        <w:rPr>
          <w:color w:val="000000" w:themeColor="text1"/>
          <w:szCs w:val="24"/>
        </w:rPr>
        <w:t>,</w:t>
      </w:r>
      <w:r w:rsidR="00E84435" w:rsidRPr="00325825">
        <w:rPr>
          <w:color w:val="000000" w:themeColor="text1"/>
          <w:szCs w:val="24"/>
        </w:rPr>
        <w:t xml:space="preserve"> </w:t>
      </w:r>
      <w:r w:rsidR="000D4BDA" w:rsidRPr="00325825">
        <w:rPr>
          <w:color w:val="000000" w:themeColor="text1"/>
          <w:szCs w:val="24"/>
        </w:rPr>
        <w:t>which provides for a</w:t>
      </w:r>
      <w:r w:rsidR="002D1E9A" w:rsidRPr="00325825">
        <w:rPr>
          <w:color w:val="000000" w:themeColor="text1"/>
          <w:szCs w:val="24"/>
        </w:rPr>
        <w:t xml:space="preserve">n </w:t>
      </w:r>
      <w:r w:rsidR="0005243A" w:rsidRPr="00325825">
        <w:rPr>
          <w:color w:val="000000" w:themeColor="text1"/>
          <w:szCs w:val="24"/>
        </w:rPr>
        <w:br/>
      </w:r>
      <w:r w:rsidR="002D1E9A" w:rsidRPr="00325825">
        <w:rPr>
          <w:color w:val="000000" w:themeColor="text1"/>
          <w:szCs w:val="24"/>
        </w:rPr>
        <w:t xml:space="preserve">in-depth </w:t>
      </w:r>
      <w:r w:rsidR="0005243A" w:rsidRPr="00325825">
        <w:rPr>
          <w:color w:val="000000" w:themeColor="text1"/>
          <w:szCs w:val="24"/>
        </w:rPr>
        <w:t xml:space="preserve">patient assessment, </w:t>
      </w:r>
      <w:r w:rsidR="000D4BDA" w:rsidRPr="00325825">
        <w:rPr>
          <w:color w:val="000000" w:themeColor="text1"/>
          <w:szCs w:val="24"/>
        </w:rPr>
        <w:t>for a patient who has received a vaccine suitability assessment</w:t>
      </w:r>
      <w:r w:rsidR="00CF7EA6" w:rsidRPr="00325825">
        <w:rPr>
          <w:color w:val="000000" w:themeColor="text1"/>
          <w:szCs w:val="24"/>
        </w:rPr>
        <w:t xml:space="preserve"> service in relation to </w:t>
      </w:r>
      <w:r w:rsidR="00032469" w:rsidRPr="00325825">
        <w:rPr>
          <w:color w:val="000000" w:themeColor="text1"/>
          <w:szCs w:val="24"/>
        </w:rPr>
        <w:t>a</w:t>
      </w:r>
      <w:r w:rsidR="00CF7EA6" w:rsidRPr="00325825">
        <w:rPr>
          <w:color w:val="000000" w:themeColor="text1"/>
          <w:szCs w:val="24"/>
        </w:rPr>
        <w:t xml:space="preserve"> dose of the COVID-19 vaccine</w:t>
      </w:r>
      <w:r w:rsidR="000D4BDA" w:rsidRPr="00325825">
        <w:rPr>
          <w:color w:val="000000" w:themeColor="text1"/>
          <w:szCs w:val="24"/>
        </w:rPr>
        <w:t xml:space="preserve">. </w:t>
      </w:r>
    </w:p>
    <w:p w14:paraId="7ADF46DD" w14:textId="77777777" w:rsidR="00E84435" w:rsidRPr="00325825" w:rsidRDefault="00E84435" w:rsidP="000D4BDA">
      <w:pPr>
        <w:pStyle w:val="Header"/>
        <w:tabs>
          <w:tab w:val="num" w:pos="1080"/>
        </w:tabs>
        <w:rPr>
          <w:color w:val="000000" w:themeColor="text1"/>
          <w:szCs w:val="24"/>
        </w:rPr>
      </w:pPr>
    </w:p>
    <w:p w14:paraId="366BAE33" w14:textId="08509145" w:rsidR="00786260" w:rsidRPr="00325825" w:rsidRDefault="00E84435" w:rsidP="000D4BDA">
      <w:pPr>
        <w:pStyle w:val="Header"/>
        <w:tabs>
          <w:tab w:val="num" w:pos="1080"/>
        </w:tabs>
        <w:rPr>
          <w:color w:val="000000" w:themeColor="text1"/>
          <w:szCs w:val="24"/>
        </w:rPr>
      </w:pPr>
      <w:r w:rsidRPr="00325825">
        <w:rPr>
          <w:color w:val="000000" w:themeColor="text1"/>
          <w:szCs w:val="24"/>
        </w:rPr>
        <w:t xml:space="preserve">Item 10660 </w:t>
      </w:r>
      <w:r w:rsidR="000D4BDA" w:rsidRPr="00325825">
        <w:rPr>
          <w:color w:val="000000" w:themeColor="text1"/>
          <w:szCs w:val="24"/>
        </w:rPr>
        <w:t xml:space="preserve">must be performed </w:t>
      </w:r>
      <w:r w:rsidRPr="00325825">
        <w:rPr>
          <w:color w:val="000000" w:themeColor="text1"/>
          <w:szCs w:val="24"/>
        </w:rPr>
        <w:t xml:space="preserve">by a general practitioner and </w:t>
      </w:r>
      <w:r w:rsidR="000D4BDA" w:rsidRPr="00325825">
        <w:rPr>
          <w:color w:val="000000" w:themeColor="text1"/>
          <w:szCs w:val="24"/>
        </w:rPr>
        <w:t xml:space="preserve">in conjunction with a patient </w:t>
      </w:r>
      <w:r w:rsidRPr="00325825">
        <w:rPr>
          <w:color w:val="000000" w:themeColor="text1"/>
          <w:szCs w:val="24"/>
        </w:rPr>
        <w:t xml:space="preserve">COVID-19 </w:t>
      </w:r>
      <w:r w:rsidR="000D4BDA" w:rsidRPr="00325825">
        <w:rPr>
          <w:color w:val="000000" w:themeColor="text1"/>
          <w:szCs w:val="24"/>
        </w:rPr>
        <w:t xml:space="preserve">suitability assessment </w:t>
      </w:r>
      <w:r w:rsidRPr="00325825">
        <w:rPr>
          <w:color w:val="000000" w:themeColor="text1"/>
          <w:szCs w:val="24"/>
        </w:rPr>
        <w:t xml:space="preserve">item </w:t>
      </w:r>
      <w:r w:rsidR="00032469" w:rsidRPr="00325825">
        <w:rPr>
          <w:szCs w:val="22"/>
          <w:lang w:eastAsia="en-US"/>
        </w:rPr>
        <w:t>93624, 93625, 93634, 93635, 93644, 93645, 93653 or 93654</w:t>
      </w:r>
      <w:r w:rsidR="00730A82" w:rsidRPr="00325825">
        <w:rPr>
          <w:color w:val="000000" w:themeColor="text1"/>
          <w:szCs w:val="24"/>
        </w:rPr>
        <w:t>. This item</w:t>
      </w:r>
      <w:r w:rsidRPr="00325825">
        <w:rPr>
          <w:color w:val="000000" w:themeColor="text1"/>
          <w:szCs w:val="24"/>
        </w:rPr>
        <w:t xml:space="preserve"> will also only be available for </w:t>
      </w:r>
      <w:r w:rsidR="003856A7" w:rsidRPr="00325825">
        <w:rPr>
          <w:color w:val="000000" w:themeColor="text1"/>
          <w:szCs w:val="24"/>
        </w:rPr>
        <w:t>a patient</w:t>
      </w:r>
      <w:r w:rsidRPr="00325825">
        <w:rPr>
          <w:color w:val="000000" w:themeColor="text1"/>
          <w:szCs w:val="24"/>
        </w:rPr>
        <w:t xml:space="preserve"> who </w:t>
      </w:r>
      <w:r w:rsidR="00032469" w:rsidRPr="00325825">
        <w:rPr>
          <w:color w:val="000000" w:themeColor="text1"/>
          <w:szCs w:val="24"/>
        </w:rPr>
        <w:t xml:space="preserve">is </w:t>
      </w:r>
      <w:r w:rsidR="0005243A" w:rsidRPr="00325825">
        <w:rPr>
          <w:color w:val="000000" w:themeColor="text1"/>
          <w:szCs w:val="24"/>
        </w:rPr>
        <w:t>at least 50 years of age</w:t>
      </w:r>
      <w:r w:rsidR="003856A7" w:rsidRPr="00325825">
        <w:rPr>
          <w:color w:val="000000" w:themeColor="text1"/>
          <w:szCs w:val="24"/>
        </w:rPr>
        <w:t xml:space="preserve">. This item </w:t>
      </w:r>
      <w:r w:rsidR="00CF7EA6" w:rsidRPr="00325825">
        <w:rPr>
          <w:color w:val="000000" w:themeColor="text1"/>
          <w:szCs w:val="24"/>
        </w:rPr>
        <w:t>must be bulk-billed</w:t>
      </w:r>
      <w:r w:rsidRPr="00325825">
        <w:rPr>
          <w:color w:val="000000" w:themeColor="text1"/>
          <w:szCs w:val="24"/>
        </w:rPr>
        <w:t xml:space="preserve">. </w:t>
      </w:r>
    </w:p>
    <w:p w14:paraId="1544C631" w14:textId="120C652F" w:rsidR="00E84435" w:rsidRPr="00325825" w:rsidRDefault="00E84435" w:rsidP="000D4BDA">
      <w:pPr>
        <w:pStyle w:val="Header"/>
        <w:tabs>
          <w:tab w:val="num" w:pos="1080"/>
        </w:tabs>
        <w:rPr>
          <w:color w:val="000000" w:themeColor="text1"/>
          <w:szCs w:val="24"/>
        </w:rPr>
      </w:pPr>
    </w:p>
    <w:p w14:paraId="79249798" w14:textId="013A4879" w:rsidR="00E84435" w:rsidRPr="00325825" w:rsidRDefault="00E84435" w:rsidP="002D1E9A">
      <w:pPr>
        <w:pStyle w:val="Header"/>
        <w:keepNext/>
        <w:keepLines/>
        <w:tabs>
          <w:tab w:val="num" w:pos="1080"/>
        </w:tabs>
        <w:rPr>
          <w:color w:val="000000" w:themeColor="text1"/>
          <w:szCs w:val="24"/>
        </w:rPr>
      </w:pPr>
      <w:r w:rsidRPr="00325825">
        <w:rPr>
          <w:color w:val="000000" w:themeColor="text1"/>
          <w:szCs w:val="24"/>
        </w:rPr>
        <w:lastRenderedPageBreak/>
        <w:t xml:space="preserve">Item 10661 must be performed by a </w:t>
      </w:r>
      <w:r w:rsidR="00CF7EA6" w:rsidRPr="00325825">
        <w:rPr>
          <w:color w:val="000000" w:themeColor="text1"/>
          <w:szCs w:val="24"/>
        </w:rPr>
        <w:t xml:space="preserve">medical </w:t>
      </w:r>
      <w:r w:rsidRPr="00325825">
        <w:rPr>
          <w:color w:val="000000" w:themeColor="text1"/>
          <w:szCs w:val="24"/>
        </w:rPr>
        <w:t xml:space="preserve">practitioner </w:t>
      </w:r>
      <w:r w:rsidR="00CF7EA6" w:rsidRPr="00325825">
        <w:rPr>
          <w:color w:val="000000" w:themeColor="text1"/>
          <w:szCs w:val="24"/>
        </w:rPr>
        <w:t xml:space="preserve">(other than a general practitioner) </w:t>
      </w:r>
      <w:r w:rsidRPr="00325825">
        <w:rPr>
          <w:color w:val="000000" w:themeColor="text1"/>
          <w:szCs w:val="24"/>
        </w:rPr>
        <w:t xml:space="preserve">and in conjunction with a patient COVID-19 suitability assessment item </w:t>
      </w:r>
      <w:r w:rsidR="00032469" w:rsidRPr="00325825">
        <w:rPr>
          <w:szCs w:val="22"/>
          <w:lang w:eastAsia="en-US"/>
        </w:rPr>
        <w:t>93626, 93627, 93636, 93637, 93646, 93647, 93655 or 93656</w:t>
      </w:r>
      <w:r w:rsidR="003856A7" w:rsidRPr="00325825">
        <w:rPr>
          <w:color w:val="000000" w:themeColor="text1"/>
          <w:szCs w:val="24"/>
        </w:rPr>
        <w:t xml:space="preserve">. This item will also only be available for a patient who </w:t>
      </w:r>
      <w:r w:rsidR="00032469" w:rsidRPr="00325825">
        <w:rPr>
          <w:color w:val="000000" w:themeColor="text1"/>
          <w:szCs w:val="24"/>
        </w:rPr>
        <w:t>is</w:t>
      </w:r>
      <w:r w:rsidR="0005243A" w:rsidRPr="00325825">
        <w:rPr>
          <w:color w:val="000000" w:themeColor="text1"/>
          <w:szCs w:val="24"/>
        </w:rPr>
        <w:t xml:space="preserve"> at least 50 years of age</w:t>
      </w:r>
      <w:r w:rsidR="00032469" w:rsidRPr="00325825">
        <w:rPr>
          <w:color w:val="000000" w:themeColor="text1"/>
          <w:szCs w:val="24"/>
        </w:rPr>
        <w:t xml:space="preserve">. </w:t>
      </w:r>
      <w:r w:rsidR="003856A7" w:rsidRPr="00325825">
        <w:rPr>
          <w:color w:val="000000" w:themeColor="text1"/>
          <w:szCs w:val="24"/>
        </w:rPr>
        <w:t xml:space="preserve">This item must be bulk-billed. </w:t>
      </w:r>
      <w:r w:rsidRPr="00325825">
        <w:rPr>
          <w:color w:val="000000" w:themeColor="text1"/>
          <w:szCs w:val="24"/>
        </w:rPr>
        <w:t xml:space="preserve"> </w:t>
      </w:r>
    </w:p>
    <w:p w14:paraId="00926417" w14:textId="77777777" w:rsidR="00E84435" w:rsidRPr="00325825" w:rsidRDefault="00E84435" w:rsidP="002D1E9A">
      <w:pPr>
        <w:pStyle w:val="Header"/>
        <w:keepNext/>
        <w:keepLines/>
        <w:tabs>
          <w:tab w:val="num" w:pos="1080"/>
        </w:tabs>
        <w:rPr>
          <w:color w:val="000000" w:themeColor="text1"/>
          <w:szCs w:val="24"/>
        </w:rPr>
      </w:pPr>
    </w:p>
    <w:p w14:paraId="21DF9DDC" w14:textId="4ED0D4D6" w:rsidR="00331752" w:rsidRPr="00325825" w:rsidRDefault="00331752">
      <w:pPr>
        <w:spacing w:after="200" w:line="276" w:lineRule="auto"/>
        <w:rPr>
          <w:szCs w:val="24"/>
          <w:u w:val="single"/>
        </w:rPr>
      </w:pPr>
    </w:p>
    <w:p w14:paraId="09B4EFF0" w14:textId="115EDA7B" w:rsidR="00140230" w:rsidRPr="00325825" w:rsidRDefault="00140230">
      <w:pPr>
        <w:spacing w:after="200" w:line="276" w:lineRule="auto"/>
        <w:rPr>
          <w:b/>
          <w:sz w:val="28"/>
          <w:szCs w:val="28"/>
        </w:rPr>
      </w:pPr>
      <w:r w:rsidRPr="00325825">
        <w:rPr>
          <w:b/>
          <w:sz w:val="28"/>
          <w:szCs w:val="28"/>
        </w:rPr>
        <w:br w:type="page"/>
      </w:r>
    </w:p>
    <w:p w14:paraId="2412D14E" w14:textId="11AF35F0" w:rsidR="00A17F2C" w:rsidRPr="00325825" w:rsidRDefault="00A17F2C" w:rsidP="008D136F">
      <w:pPr>
        <w:pStyle w:val="Header"/>
        <w:tabs>
          <w:tab w:val="num" w:pos="1080"/>
        </w:tabs>
        <w:jc w:val="center"/>
        <w:rPr>
          <w:b/>
          <w:sz w:val="28"/>
          <w:szCs w:val="28"/>
        </w:rPr>
      </w:pPr>
      <w:r w:rsidRPr="00325825">
        <w:rPr>
          <w:b/>
          <w:sz w:val="28"/>
          <w:szCs w:val="28"/>
        </w:rPr>
        <w:lastRenderedPageBreak/>
        <w:t>Statement of Compatibility with Human Rights</w:t>
      </w:r>
    </w:p>
    <w:p w14:paraId="2412D14F" w14:textId="77777777" w:rsidR="00A17F2C" w:rsidRPr="00325825" w:rsidRDefault="00A17F2C" w:rsidP="000337CB">
      <w:pPr>
        <w:spacing w:before="120" w:after="120"/>
        <w:jc w:val="center"/>
        <w:rPr>
          <w:szCs w:val="24"/>
        </w:rPr>
      </w:pPr>
      <w:r w:rsidRPr="00325825">
        <w:rPr>
          <w:i/>
          <w:szCs w:val="24"/>
        </w:rPr>
        <w:t>Prepared in accordance with Part 3 of the Human Rights (Parliamentary Scrutiny) Act 2011</w:t>
      </w:r>
    </w:p>
    <w:p w14:paraId="751DE726" w14:textId="77777777" w:rsidR="002A6C77" w:rsidRPr="00325825" w:rsidRDefault="002A6C77" w:rsidP="000337CB">
      <w:pPr>
        <w:tabs>
          <w:tab w:val="left" w:pos="1418"/>
        </w:tabs>
        <w:ind w:left="851"/>
        <w:jc w:val="center"/>
        <w:rPr>
          <w:b/>
          <w:i/>
          <w:iCs/>
        </w:rPr>
      </w:pPr>
    </w:p>
    <w:p w14:paraId="1BF56C38" w14:textId="6895FDED" w:rsidR="007708B3" w:rsidRPr="00325825" w:rsidRDefault="00223A02" w:rsidP="000337CB">
      <w:pPr>
        <w:tabs>
          <w:tab w:val="left" w:pos="1418"/>
        </w:tabs>
        <w:ind w:left="851"/>
        <w:jc w:val="center"/>
        <w:rPr>
          <w:b/>
          <w:i/>
          <w:szCs w:val="24"/>
        </w:rPr>
      </w:pPr>
      <w:r w:rsidRPr="00325825">
        <w:rPr>
          <w:b/>
          <w:i/>
          <w:color w:val="000000" w:themeColor="text1"/>
          <w:szCs w:val="24"/>
        </w:rPr>
        <w:t xml:space="preserve">Health Insurance (Section 3C General Medical Services – General Practice Attendance for Assessing Patient Suitability for a COVID-19 Vaccine) Amendment </w:t>
      </w:r>
      <w:r w:rsidR="00FB08E1" w:rsidRPr="00325825">
        <w:rPr>
          <w:b/>
          <w:i/>
          <w:color w:val="000000" w:themeColor="text1"/>
          <w:szCs w:val="24"/>
        </w:rPr>
        <w:t>(No.</w:t>
      </w:r>
      <w:r w:rsidR="003856A7" w:rsidRPr="00325825">
        <w:rPr>
          <w:b/>
          <w:i/>
          <w:color w:val="000000" w:themeColor="text1"/>
          <w:szCs w:val="24"/>
        </w:rPr>
        <w:t xml:space="preserve"> </w:t>
      </w:r>
      <w:r w:rsidR="00FB08E1" w:rsidRPr="00325825">
        <w:rPr>
          <w:b/>
          <w:i/>
          <w:color w:val="000000" w:themeColor="text1"/>
          <w:szCs w:val="24"/>
        </w:rPr>
        <w:t xml:space="preserve">2) </w:t>
      </w:r>
      <w:r w:rsidRPr="00325825">
        <w:rPr>
          <w:b/>
          <w:i/>
          <w:color w:val="000000" w:themeColor="text1"/>
          <w:szCs w:val="24"/>
        </w:rPr>
        <w:t>Determination 2021</w:t>
      </w:r>
    </w:p>
    <w:p w14:paraId="2412D153" w14:textId="7AFD921D" w:rsidR="00A17F2C" w:rsidRPr="00325825" w:rsidRDefault="00A17F2C" w:rsidP="000337CB">
      <w:pPr>
        <w:jc w:val="center"/>
        <w:rPr>
          <w:szCs w:val="24"/>
        </w:rPr>
      </w:pPr>
      <w:r w:rsidRPr="00325825">
        <w:rPr>
          <w:szCs w:val="24"/>
        </w:rPr>
        <w:t xml:space="preserve">This </w:t>
      </w:r>
      <w:r w:rsidR="0046022A" w:rsidRPr="00325825">
        <w:rPr>
          <w:szCs w:val="24"/>
        </w:rPr>
        <w:t>instrument</w:t>
      </w:r>
      <w:r w:rsidRPr="00325825">
        <w:rPr>
          <w:szCs w:val="24"/>
        </w:rPr>
        <w:t xml:space="preserve"> is compatible with the human rights and freedoms recognised or declared in the international instruments listed in section 3 of the </w:t>
      </w:r>
      <w:r w:rsidRPr="00325825">
        <w:rPr>
          <w:i/>
          <w:szCs w:val="24"/>
        </w:rPr>
        <w:t>Human Rights (Parliamentary Scrutiny) Act 2011</w:t>
      </w:r>
      <w:r w:rsidRPr="00325825">
        <w:rPr>
          <w:szCs w:val="24"/>
        </w:rPr>
        <w:t>.</w:t>
      </w:r>
    </w:p>
    <w:p w14:paraId="7EDA9098" w14:textId="306A78E1" w:rsidR="006E6BBF" w:rsidRPr="00325825" w:rsidRDefault="006E6BBF" w:rsidP="008734F5">
      <w:pPr>
        <w:spacing w:before="120" w:after="120"/>
        <w:rPr>
          <w:b/>
          <w:szCs w:val="24"/>
        </w:rPr>
      </w:pPr>
      <w:r w:rsidRPr="00325825">
        <w:rPr>
          <w:b/>
          <w:szCs w:val="24"/>
        </w:rPr>
        <w:t xml:space="preserve">Overview of the </w:t>
      </w:r>
      <w:r w:rsidR="00B86A9F" w:rsidRPr="00325825">
        <w:rPr>
          <w:b/>
          <w:szCs w:val="24"/>
        </w:rPr>
        <w:t>Determination</w:t>
      </w:r>
    </w:p>
    <w:p w14:paraId="0048BF99" w14:textId="77777777" w:rsidR="003856A7" w:rsidRPr="00325825" w:rsidRDefault="003856A7" w:rsidP="003856A7">
      <w:pPr>
        <w:ind w:right="-483"/>
        <w:rPr>
          <w:color w:val="000000"/>
          <w:shd w:val="clear" w:color="auto" w:fill="FFFFFF"/>
        </w:rPr>
      </w:pPr>
      <w:r w:rsidRPr="00325825">
        <w:rPr>
          <w:color w:val="000000"/>
          <w:shd w:val="clear" w:color="auto" w:fill="FFFFFF"/>
        </w:rPr>
        <w:t>The Australian Government is committed to offering every person in Australia access to safe and effective COVID-19 vaccines at no cost.</w:t>
      </w:r>
    </w:p>
    <w:p w14:paraId="01EB075C" w14:textId="77777777" w:rsidR="003856A7" w:rsidRPr="00325825" w:rsidRDefault="003856A7" w:rsidP="003856A7">
      <w:pPr>
        <w:ind w:right="-483"/>
        <w:rPr>
          <w:color w:val="000000"/>
          <w:shd w:val="clear" w:color="auto" w:fill="FFFFFF"/>
        </w:rPr>
      </w:pPr>
    </w:p>
    <w:p w14:paraId="3085FF6F" w14:textId="77777777" w:rsidR="003856A7" w:rsidRPr="00325825" w:rsidRDefault="003856A7" w:rsidP="003856A7">
      <w:pPr>
        <w:ind w:right="-483"/>
        <w:rPr>
          <w:color w:val="000000" w:themeColor="text1"/>
          <w:szCs w:val="24"/>
        </w:rPr>
      </w:pPr>
      <w:r w:rsidRPr="00325825">
        <w:rPr>
          <w:color w:val="000000" w:themeColor="text1"/>
          <w:szCs w:val="24"/>
        </w:rPr>
        <w:t xml:space="preserve">On 25 February 2021, the </w:t>
      </w:r>
      <w:r w:rsidRPr="00325825">
        <w:rPr>
          <w:i/>
          <w:color w:val="000000" w:themeColor="text1"/>
          <w:szCs w:val="24"/>
        </w:rPr>
        <w:t xml:space="preserve">Health Insurance (Section 3C General Medical Services – General Practice Attendance for Assessing Patient Suitability for a COVID-19 Vaccine) Determination 2021 </w:t>
      </w:r>
      <w:r w:rsidRPr="00325825">
        <w:rPr>
          <w:color w:val="000000" w:themeColor="text1"/>
          <w:szCs w:val="24"/>
        </w:rPr>
        <w:t>(the Principal Determination) listed 16 new Medicare Benefits Schedule (MBS) items to support general practices to administer the COVID-19 vaccine.</w:t>
      </w:r>
    </w:p>
    <w:p w14:paraId="1FA51138" w14:textId="77777777" w:rsidR="003856A7" w:rsidRPr="00325825" w:rsidRDefault="003856A7" w:rsidP="003856A7">
      <w:pPr>
        <w:ind w:right="-483"/>
        <w:rPr>
          <w:color w:val="000000" w:themeColor="text1"/>
          <w:szCs w:val="24"/>
        </w:rPr>
      </w:pPr>
    </w:p>
    <w:p w14:paraId="1A924502" w14:textId="77777777" w:rsidR="003856A7" w:rsidRPr="00325825" w:rsidRDefault="003856A7" w:rsidP="003856A7">
      <w:pPr>
        <w:ind w:right="-483"/>
        <w:rPr>
          <w:color w:val="000000" w:themeColor="text1"/>
          <w:szCs w:val="24"/>
        </w:rPr>
      </w:pPr>
      <w:r w:rsidRPr="00325825">
        <w:rPr>
          <w:color w:val="000000" w:themeColor="text1"/>
          <w:szCs w:val="24"/>
        </w:rPr>
        <w:t xml:space="preserve">General practices supplied with the COVID-19 vaccine are able to provide a service to assess if a person who is at least 18 years of age is suitable to receive the COVID-19 vaccine. The service can be rendered by </w:t>
      </w:r>
      <w:r w:rsidRPr="00325825">
        <w:rPr>
          <w:color w:val="000000"/>
          <w:shd w:val="clear" w:color="auto" w:fill="FFFFFF"/>
        </w:rPr>
        <w:t>general practitioners (GPs) and other medical practitioners (OMPs), or by a person on behalf of the medical practitioners (such as a registered nurse or other health professional registered under the Health Practitioner Regulation National Law) if it is provided in accordance with acceptable clinical practice and under supervision of the medical practitioner. </w:t>
      </w:r>
    </w:p>
    <w:p w14:paraId="786E2DA2" w14:textId="77777777" w:rsidR="003856A7" w:rsidRPr="00325825" w:rsidRDefault="003856A7" w:rsidP="003856A7">
      <w:pPr>
        <w:ind w:right="-483"/>
        <w:rPr>
          <w:color w:val="000000" w:themeColor="text1"/>
          <w:szCs w:val="24"/>
        </w:rPr>
      </w:pPr>
    </w:p>
    <w:p w14:paraId="35D9A87C" w14:textId="77777777" w:rsidR="003856A7" w:rsidRPr="00325825" w:rsidRDefault="003856A7" w:rsidP="003856A7">
      <w:pPr>
        <w:ind w:right="-483"/>
        <w:rPr>
          <w:color w:val="000000" w:themeColor="text1"/>
          <w:szCs w:val="24"/>
        </w:rPr>
      </w:pPr>
      <w:r w:rsidRPr="00325825">
        <w:rPr>
          <w:color w:val="000000" w:themeColor="text1"/>
          <w:szCs w:val="24"/>
        </w:rPr>
        <w:t>Medical practitioners do not have to personally attend the service but they must be on-site, and must supervise the service in accordance with clinical standards and accept full responsibility for the service.</w:t>
      </w:r>
    </w:p>
    <w:p w14:paraId="7A216C3E" w14:textId="77777777" w:rsidR="003856A7" w:rsidRPr="00325825" w:rsidRDefault="003856A7" w:rsidP="003856A7">
      <w:pPr>
        <w:ind w:right="-483"/>
        <w:rPr>
          <w:color w:val="000000" w:themeColor="text1"/>
          <w:szCs w:val="24"/>
        </w:rPr>
      </w:pPr>
    </w:p>
    <w:p w14:paraId="6F428680" w14:textId="1B1E1F83" w:rsidR="003856A7" w:rsidRPr="00325825" w:rsidRDefault="003856A7" w:rsidP="003856A7">
      <w:pPr>
        <w:keepNext/>
        <w:keepLines/>
        <w:ind w:right="-482"/>
        <w:rPr>
          <w:color w:val="000000" w:themeColor="text1"/>
          <w:szCs w:val="24"/>
        </w:rPr>
      </w:pPr>
      <w:r w:rsidRPr="00325825">
        <w:rPr>
          <w:color w:val="000000" w:themeColor="text1"/>
          <w:szCs w:val="24"/>
        </w:rPr>
        <w:t xml:space="preserve">The purpose of the </w:t>
      </w:r>
      <w:r w:rsidRPr="00325825">
        <w:rPr>
          <w:i/>
          <w:color w:val="000000" w:themeColor="text1"/>
          <w:szCs w:val="24"/>
        </w:rPr>
        <w:t xml:space="preserve">Health Insurance (Section 3C General Medical Services – General Practice Attendance for Assessing Patient Suitability for a COVID-19 Vaccine) Amendment (No. 2) Determination 2021 </w:t>
      </w:r>
      <w:r w:rsidRPr="00325825">
        <w:rPr>
          <w:color w:val="000000" w:themeColor="text1"/>
          <w:szCs w:val="24"/>
        </w:rPr>
        <w:t xml:space="preserve">(the Amendment Determination) is to list two additional Medicare Benefit Schedule (MBS) items to support general practices to provide </w:t>
      </w:r>
      <w:r w:rsidR="002D1E9A" w:rsidRPr="00325825">
        <w:rPr>
          <w:color w:val="000000" w:themeColor="text1"/>
          <w:szCs w:val="24"/>
        </w:rPr>
        <w:t>in-depth</w:t>
      </w:r>
      <w:r w:rsidRPr="00325825">
        <w:rPr>
          <w:color w:val="000000" w:themeColor="text1"/>
          <w:szCs w:val="24"/>
        </w:rPr>
        <w:t xml:space="preserve"> patient assessments for patients </w:t>
      </w:r>
      <w:r w:rsidR="00032469" w:rsidRPr="00325825">
        <w:rPr>
          <w:color w:val="000000" w:themeColor="text1"/>
          <w:szCs w:val="24"/>
        </w:rPr>
        <w:t>who is</w:t>
      </w:r>
      <w:r w:rsidR="0005243A" w:rsidRPr="00325825">
        <w:rPr>
          <w:color w:val="000000" w:themeColor="text1"/>
          <w:szCs w:val="24"/>
        </w:rPr>
        <w:t xml:space="preserve"> at least 50 years of age</w:t>
      </w:r>
      <w:r w:rsidR="00032469" w:rsidRPr="00325825">
        <w:rPr>
          <w:color w:val="000000" w:themeColor="text1"/>
          <w:szCs w:val="24"/>
        </w:rPr>
        <w:t xml:space="preserve">. </w:t>
      </w:r>
    </w:p>
    <w:p w14:paraId="662EBFA1" w14:textId="77777777" w:rsidR="003856A7" w:rsidRPr="00325825" w:rsidRDefault="003856A7" w:rsidP="003856A7">
      <w:pPr>
        <w:keepNext/>
        <w:keepLines/>
        <w:ind w:right="-482"/>
        <w:rPr>
          <w:color w:val="000000" w:themeColor="text1"/>
          <w:szCs w:val="24"/>
        </w:rPr>
      </w:pPr>
    </w:p>
    <w:p w14:paraId="7AB94ED3" w14:textId="24A3BEAB" w:rsidR="00454B86" w:rsidRPr="00325825" w:rsidRDefault="00454B86" w:rsidP="00454B86">
      <w:pPr>
        <w:ind w:right="-483"/>
        <w:rPr>
          <w:color w:val="000000" w:themeColor="text1"/>
          <w:szCs w:val="24"/>
        </w:rPr>
      </w:pPr>
      <w:r w:rsidRPr="00325825">
        <w:rPr>
          <w:color w:val="000000" w:themeColor="text1"/>
          <w:szCs w:val="24"/>
        </w:rPr>
        <w:t>The two new MBS services are available if the GPs or OMPs personally attend to the patient for more than 10 minutes, to provide in-depth clinical advice on the individual risks and benefits associated with receiving a dose of the COVID-19 vaccine. The fees for these items are equivalent to the fees for a level B consultation undertaken by a GP or Other Medical Practitioner.</w:t>
      </w:r>
    </w:p>
    <w:p w14:paraId="2A7A6951" w14:textId="4A6780B8" w:rsidR="003856A7" w:rsidRPr="00325825" w:rsidRDefault="003856A7" w:rsidP="003856A7">
      <w:pPr>
        <w:ind w:right="-483"/>
        <w:rPr>
          <w:color w:val="000000" w:themeColor="text1"/>
          <w:szCs w:val="24"/>
        </w:rPr>
      </w:pPr>
    </w:p>
    <w:p w14:paraId="387D0655" w14:textId="1D12F119" w:rsidR="003856A7" w:rsidRPr="00325825" w:rsidRDefault="003856A7" w:rsidP="003856A7">
      <w:pPr>
        <w:ind w:right="-483"/>
        <w:rPr>
          <w:color w:val="000000" w:themeColor="text1"/>
          <w:szCs w:val="24"/>
        </w:rPr>
      </w:pPr>
      <w:r w:rsidRPr="00325825">
        <w:rPr>
          <w:color w:val="000000" w:themeColor="text1"/>
          <w:szCs w:val="24"/>
        </w:rPr>
        <w:t xml:space="preserve">These services are provided in conjunction with a MBS </w:t>
      </w:r>
      <w:r w:rsidR="00032469" w:rsidRPr="00325825">
        <w:rPr>
          <w:color w:val="000000" w:themeColor="text1"/>
          <w:szCs w:val="24"/>
        </w:rPr>
        <w:t xml:space="preserve">suitability </w:t>
      </w:r>
      <w:r w:rsidRPr="00325825">
        <w:rPr>
          <w:color w:val="000000" w:themeColor="text1"/>
          <w:szCs w:val="24"/>
        </w:rPr>
        <w:t xml:space="preserve">assessment item in relation to a COVID-19 vaccine (items </w:t>
      </w:r>
      <w:r w:rsidR="00032469" w:rsidRPr="00325825">
        <w:rPr>
          <w:szCs w:val="22"/>
          <w:lang w:eastAsia="en-US"/>
        </w:rPr>
        <w:t>93624, 93625, 93626, 93627, 93634, 93635,</w:t>
      </w:r>
      <w:r w:rsidR="00032469" w:rsidRPr="00325825">
        <w:rPr>
          <w:color w:val="000000" w:themeColor="text1"/>
          <w:szCs w:val="24"/>
        </w:rPr>
        <w:t xml:space="preserve"> </w:t>
      </w:r>
      <w:r w:rsidR="00032469" w:rsidRPr="00325825">
        <w:rPr>
          <w:szCs w:val="22"/>
          <w:lang w:eastAsia="en-US"/>
        </w:rPr>
        <w:t>93636, 93637, 93644, 93645, 93646, 93647, 93653, 93654, 93655 and 93656).</w:t>
      </w:r>
    </w:p>
    <w:p w14:paraId="31515278" w14:textId="28FBF7FC" w:rsidR="007708B3" w:rsidRPr="00325825" w:rsidRDefault="007708B3" w:rsidP="002A6C77">
      <w:pPr>
        <w:ind w:right="-482"/>
        <w:rPr>
          <w:iCs/>
        </w:rPr>
      </w:pPr>
    </w:p>
    <w:p w14:paraId="2412D15C" w14:textId="50D38E8B" w:rsidR="00A17F2C" w:rsidRPr="00325825" w:rsidRDefault="00A17F2C" w:rsidP="002A6C77">
      <w:pPr>
        <w:ind w:right="-482"/>
        <w:rPr>
          <w:b/>
          <w:szCs w:val="24"/>
        </w:rPr>
      </w:pPr>
      <w:r w:rsidRPr="00325825">
        <w:rPr>
          <w:b/>
          <w:szCs w:val="24"/>
        </w:rPr>
        <w:t>Human rights implications</w:t>
      </w:r>
    </w:p>
    <w:p w14:paraId="449665F0" w14:textId="2ED3F54B" w:rsidR="00806020" w:rsidRPr="00325825" w:rsidRDefault="00806020" w:rsidP="00806020">
      <w:pPr>
        <w:spacing w:before="120" w:after="120"/>
        <w:rPr>
          <w:szCs w:val="24"/>
        </w:rPr>
      </w:pPr>
      <w:r w:rsidRPr="00325825">
        <w:rPr>
          <w:szCs w:val="24"/>
        </w:rPr>
        <w:t xml:space="preserve">This instrument engages Articles 9 and 12 of the International Covenant on Economic Social and Cultural Rights (ICESCR), specifically the rights to health and social security. </w:t>
      </w:r>
    </w:p>
    <w:p w14:paraId="21DC17FC" w14:textId="77777777" w:rsidR="00F03A4E" w:rsidRPr="00325825" w:rsidRDefault="00F03A4E" w:rsidP="00806020">
      <w:pPr>
        <w:spacing w:before="120" w:after="120"/>
        <w:rPr>
          <w:i/>
          <w:szCs w:val="24"/>
        </w:rPr>
      </w:pPr>
    </w:p>
    <w:p w14:paraId="2412D15E" w14:textId="6BF49A9B" w:rsidR="00A17F2C" w:rsidRPr="00325825" w:rsidRDefault="00A17F2C" w:rsidP="00806020">
      <w:pPr>
        <w:spacing w:before="120" w:after="120"/>
        <w:rPr>
          <w:i/>
          <w:szCs w:val="24"/>
        </w:rPr>
      </w:pPr>
      <w:r w:rsidRPr="00325825">
        <w:rPr>
          <w:i/>
          <w:szCs w:val="24"/>
        </w:rPr>
        <w:lastRenderedPageBreak/>
        <w:t>The Right to Health</w:t>
      </w:r>
    </w:p>
    <w:p w14:paraId="2412D15F" w14:textId="77777777" w:rsidR="00A17F2C" w:rsidRPr="00325825" w:rsidRDefault="00A17F2C" w:rsidP="000337CB">
      <w:pPr>
        <w:spacing w:before="120" w:after="120"/>
        <w:rPr>
          <w:szCs w:val="24"/>
        </w:rPr>
      </w:pPr>
      <w:r w:rsidRPr="00325825">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325825" w:rsidRDefault="00A17F2C" w:rsidP="000337CB">
      <w:pPr>
        <w:spacing w:before="120" w:after="120"/>
        <w:rPr>
          <w:szCs w:val="24"/>
        </w:rPr>
      </w:pPr>
      <w:r w:rsidRPr="00325825">
        <w:rPr>
          <w:szCs w:val="24"/>
        </w:rPr>
        <w:t xml:space="preserve">The Committee reports that the </w:t>
      </w:r>
      <w:r w:rsidRPr="00325825">
        <w:rPr>
          <w:i/>
          <w:szCs w:val="24"/>
        </w:rPr>
        <w:t>‘highest attainable standard of health’</w:t>
      </w:r>
      <w:r w:rsidRPr="00325825">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325825" w:rsidRDefault="00A17F2C" w:rsidP="000337CB">
      <w:pPr>
        <w:spacing w:before="120" w:after="120"/>
        <w:rPr>
          <w:i/>
          <w:szCs w:val="24"/>
        </w:rPr>
      </w:pPr>
      <w:r w:rsidRPr="00325825">
        <w:rPr>
          <w:i/>
          <w:szCs w:val="24"/>
        </w:rPr>
        <w:t xml:space="preserve">The Right to Social Security </w:t>
      </w:r>
    </w:p>
    <w:p w14:paraId="2412D162" w14:textId="77777777" w:rsidR="00A17F2C" w:rsidRPr="00325825" w:rsidRDefault="00A17F2C" w:rsidP="000337CB">
      <w:pPr>
        <w:spacing w:before="120" w:after="120"/>
        <w:rPr>
          <w:szCs w:val="24"/>
        </w:rPr>
      </w:pPr>
      <w:r w:rsidRPr="00325825">
        <w:rPr>
          <w:szCs w:val="24"/>
        </w:rPr>
        <w:t>The right to social security is contained in Article 9 of the ICESCR. It requires that a country must, within its maximum available resources, ensure access to a social security scheme that</w:t>
      </w:r>
      <w:r w:rsidR="00BA69CB" w:rsidRPr="00325825">
        <w:rPr>
          <w:szCs w:val="24"/>
        </w:rPr>
        <w:t xml:space="preserve"> </w:t>
      </w:r>
      <w:r w:rsidRPr="00325825">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4143197C" w:rsidR="00735CCC" w:rsidRPr="00325825" w:rsidRDefault="00A17F2C" w:rsidP="000337CB">
      <w:pPr>
        <w:spacing w:before="120" w:after="120"/>
        <w:rPr>
          <w:szCs w:val="24"/>
        </w:rPr>
      </w:pPr>
      <w:r w:rsidRPr="00325825">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33FABC4" w14:textId="77777777" w:rsidR="00140230" w:rsidRPr="00325825" w:rsidRDefault="00140230" w:rsidP="00140230">
      <w:pPr>
        <w:spacing w:before="120" w:after="120"/>
        <w:rPr>
          <w:szCs w:val="24"/>
        </w:rPr>
      </w:pPr>
      <w:r w:rsidRPr="00325825">
        <w:rPr>
          <w:i/>
          <w:szCs w:val="24"/>
        </w:rPr>
        <w:t xml:space="preserve">The right of equality and non-discrimination </w:t>
      </w:r>
    </w:p>
    <w:p w14:paraId="638205B4" w14:textId="77777777" w:rsidR="00140230" w:rsidRPr="00325825" w:rsidRDefault="00140230" w:rsidP="00140230">
      <w:pPr>
        <w:spacing w:before="120" w:after="120"/>
        <w:rPr>
          <w:szCs w:val="24"/>
        </w:rPr>
      </w:pPr>
      <w:r w:rsidRPr="00325825">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0E21AE0C" w14:textId="77777777" w:rsidR="00140230" w:rsidRPr="00325825" w:rsidRDefault="00140230" w:rsidP="00140230">
      <w:pPr>
        <w:spacing w:before="120" w:after="120"/>
        <w:rPr>
          <w:szCs w:val="24"/>
          <w:u w:val="single"/>
        </w:rPr>
      </w:pPr>
      <w:r w:rsidRPr="00325825">
        <w:rPr>
          <w:szCs w:val="24"/>
          <w:u w:val="single"/>
        </w:rPr>
        <w:t xml:space="preserve">Analysis </w:t>
      </w:r>
    </w:p>
    <w:p w14:paraId="3D1ECC2A" w14:textId="2EB01D0E" w:rsidR="00140230" w:rsidRPr="00325825" w:rsidRDefault="00140230" w:rsidP="00140230">
      <w:pPr>
        <w:rPr>
          <w:color w:val="000000" w:themeColor="text1"/>
          <w:szCs w:val="24"/>
        </w:rPr>
      </w:pPr>
      <w:r w:rsidRPr="00325825">
        <w:rPr>
          <w:color w:val="000000" w:themeColor="text1"/>
          <w:szCs w:val="24"/>
        </w:rPr>
        <w:t>This instrume</w:t>
      </w:r>
      <w:r w:rsidR="0005243A" w:rsidRPr="00325825">
        <w:rPr>
          <w:color w:val="000000" w:themeColor="text1"/>
          <w:szCs w:val="24"/>
        </w:rPr>
        <w:t>nt advances the right to health,</w:t>
      </w:r>
      <w:r w:rsidRPr="00325825">
        <w:rPr>
          <w:color w:val="000000" w:themeColor="text1"/>
          <w:szCs w:val="24"/>
        </w:rPr>
        <w:t xml:space="preserve"> right to social security and right of equality and non-discrimination by providing additional MBS </w:t>
      </w:r>
      <w:r w:rsidR="00017FA2" w:rsidRPr="00325825">
        <w:rPr>
          <w:color w:val="000000" w:themeColor="text1"/>
          <w:szCs w:val="24"/>
        </w:rPr>
        <w:t>services</w:t>
      </w:r>
      <w:r w:rsidRPr="00325825">
        <w:rPr>
          <w:color w:val="000000" w:themeColor="text1"/>
          <w:szCs w:val="24"/>
        </w:rPr>
        <w:t xml:space="preserve"> to improve access to the COVID-19 vaccine </w:t>
      </w:r>
      <w:r w:rsidR="0005243A" w:rsidRPr="00325825">
        <w:rPr>
          <w:color w:val="000000" w:themeColor="text1"/>
          <w:szCs w:val="24"/>
        </w:rPr>
        <w:t xml:space="preserve">suitability assessment </w:t>
      </w:r>
      <w:r w:rsidRPr="00325825">
        <w:rPr>
          <w:color w:val="000000" w:themeColor="text1"/>
          <w:szCs w:val="24"/>
        </w:rPr>
        <w:t xml:space="preserve">for patients who </w:t>
      </w:r>
      <w:r w:rsidR="00032469" w:rsidRPr="00325825">
        <w:rPr>
          <w:color w:val="000000" w:themeColor="text1"/>
          <w:szCs w:val="24"/>
        </w:rPr>
        <w:t xml:space="preserve">are </w:t>
      </w:r>
      <w:r w:rsidR="004029F0" w:rsidRPr="00325825">
        <w:rPr>
          <w:color w:val="000000" w:themeColor="text1"/>
          <w:szCs w:val="24"/>
        </w:rPr>
        <w:t xml:space="preserve">at </w:t>
      </w:r>
      <w:r w:rsidR="0005243A" w:rsidRPr="00325825">
        <w:rPr>
          <w:color w:val="000000" w:themeColor="text1"/>
          <w:szCs w:val="24"/>
        </w:rPr>
        <w:t>least 50 years of age</w:t>
      </w:r>
      <w:r w:rsidRPr="00325825">
        <w:rPr>
          <w:color w:val="000000" w:themeColor="text1"/>
          <w:szCs w:val="24"/>
        </w:rPr>
        <w:t xml:space="preserve">.    </w:t>
      </w:r>
    </w:p>
    <w:p w14:paraId="618B3DE0" w14:textId="77777777" w:rsidR="00140230" w:rsidRPr="00325825" w:rsidRDefault="00140230" w:rsidP="00140230">
      <w:pPr>
        <w:rPr>
          <w:color w:val="FF0000"/>
          <w:szCs w:val="24"/>
        </w:rPr>
      </w:pPr>
    </w:p>
    <w:p w14:paraId="35D19351" w14:textId="77777777" w:rsidR="00140230" w:rsidRPr="00325825" w:rsidRDefault="00140230" w:rsidP="00140230">
      <w:pPr>
        <w:rPr>
          <w:rFonts w:eastAsia="Calibri"/>
          <w:b/>
          <w:szCs w:val="24"/>
          <w:lang w:eastAsia="en-US"/>
        </w:rPr>
      </w:pPr>
      <w:r w:rsidRPr="00325825">
        <w:rPr>
          <w:rFonts w:eastAsia="Calibri"/>
          <w:b/>
          <w:szCs w:val="24"/>
          <w:lang w:eastAsia="en-US"/>
        </w:rPr>
        <w:t xml:space="preserve">Conclusion </w:t>
      </w:r>
    </w:p>
    <w:p w14:paraId="440D5534" w14:textId="77777777" w:rsidR="00140230" w:rsidRPr="00325825" w:rsidRDefault="00140230" w:rsidP="00140230">
      <w:pPr>
        <w:rPr>
          <w:color w:val="FF0000"/>
          <w:szCs w:val="24"/>
        </w:rPr>
      </w:pPr>
      <w:r w:rsidRPr="00325825">
        <w:rPr>
          <w:szCs w:val="24"/>
        </w:rPr>
        <w:t xml:space="preserve">This instrument is compatible with human rights as it advances the right to health; the right to social security and the right to equality and non-discrimination. </w:t>
      </w:r>
    </w:p>
    <w:p w14:paraId="7864771A" w14:textId="77777777" w:rsidR="00223A02" w:rsidRPr="00325825" w:rsidRDefault="00223A02" w:rsidP="00302F5C">
      <w:pPr>
        <w:rPr>
          <w:color w:val="000000" w:themeColor="text1"/>
          <w:szCs w:val="24"/>
        </w:rPr>
      </w:pPr>
    </w:p>
    <w:p w14:paraId="2412D16E" w14:textId="634BE69F" w:rsidR="00636C51" w:rsidRPr="00325825" w:rsidRDefault="00BB0260" w:rsidP="001B6095">
      <w:pPr>
        <w:jc w:val="center"/>
        <w:rPr>
          <w:b/>
          <w:color w:val="000000" w:themeColor="text1"/>
          <w:szCs w:val="22"/>
        </w:rPr>
      </w:pPr>
      <w:r w:rsidRPr="00325825">
        <w:rPr>
          <w:b/>
          <w:color w:val="000000" w:themeColor="text1"/>
          <w:szCs w:val="22"/>
        </w:rPr>
        <w:t xml:space="preserve">Greg Hunt </w:t>
      </w:r>
    </w:p>
    <w:p w14:paraId="71DB3C46" w14:textId="14530F3D" w:rsidR="00BB0260" w:rsidRPr="0020245D" w:rsidRDefault="00BB0260" w:rsidP="001B6095">
      <w:pPr>
        <w:jc w:val="center"/>
        <w:rPr>
          <w:rFonts w:eastAsia="Calibri"/>
          <w:szCs w:val="24"/>
          <w:lang w:eastAsia="en-US"/>
        </w:rPr>
      </w:pPr>
      <w:r w:rsidRPr="00325825">
        <w:rPr>
          <w:b/>
          <w:color w:val="000000" w:themeColor="text1"/>
          <w:szCs w:val="22"/>
        </w:rPr>
        <w:t>Minister for Health and Aged Care</w:t>
      </w:r>
      <w:bookmarkStart w:id="0" w:name="_GoBack"/>
      <w:bookmarkEnd w:id="0"/>
      <w:r>
        <w:rPr>
          <w:b/>
          <w:color w:val="000000" w:themeColor="text1"/>
          <w:szCs w:val="22"/>
        </w:rPr>
        <w:t xml:space="preserve"> </w:t>
      </w:r>
    </w:p>
    <w:sectPr w:rsidR="00BB0260" w:rsidRPr="0020245D" w:rsidSect="00CF7EA6">
      <w:headerReference w:type="even" r:id="rId12"/>
      <w:headerReference w:type="default" r:id="rId13"/>
      <w:headerReference w:type="first" r:id="rId14"/>
      <w:pgSz w:w="11906" w:h="16838"/>
      <w:pgMar w:top="1440" w:right="1133" w:bottom="993"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2438C90" w:rsidR="00A1739A" w:rsidRDefault="00A1739A" w:rsidP="00BD6F5F">
    <w:pPr>
      <w:pStyle w:val="Header"/>
      <w:jc w:val="center"/>
    </w:pPr>
    <w:r>
      <w:fldChar w:fldCharType="begin"/>
    </w:r>
    <w:r>
      <w:instrText xml:space="preserve"> PAGE  \* Arabic  \* MERGEFORMAT </w:instrText>
    </w:r>
    <w:r>
      <w:fldChar w:fldCharType="separate"/>
    </w:r>
    <w:r w:rsidR="00325825">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2809E857" w:rsidR="00E23B6B" w:rsidRDefault="00E23B6B">
        <w:pPr>
          <w:pStyle w:val="Header"/>
          <w:jc w:val="center"/>
        </w:pPr>
        <w:r>
          <w:fldChar w:fldCharType="begin"/>
        </w:r>
        <w:r>
          <w:instrText xml:space="preserve"> PAGE   \* MERGEFORMAT </w:instrText>
        </w:r>
        <w:r>
          <w:fldChar w:fldCharType="separate"/>
        </w:r>
        <w:r w:rsidR="00325825">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40ECB7AA" w:rsidR="00E23B6B" w:rsidRDefault="00E23B6B">
        <w:pPr>
          <w:pStyle w:val="Header"/>
          <w:jc w:val="center"/>
        </w:pPr>
        <w:r>
          <w:fldChar w:fldCharType="begin"/>
        </w:r>
        <w:r>
          <w:instrText xml:space="preserve"> PAGE   \* MERGEFORMAT </w:instrText>
        </w:r>
        <w:r>
          <w:fldChar w:fldCharType="separate"/>
        </w:r>
        <w:r w:rsidR="0032582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17FA2"/>
    <w:rsid w:val="000203B4"/>
    <w:rsid w:val="00021B2C"/>
    <w:rsid w:val="00021EFA"/>
    <w:rsid w:val="00024158"/>
    <w:rsid w:val="00024A1D"/>
    <w:rsid w:val="00025F64"/>
    <w:rsid w:val="0002704E"/>
    <w:rsid w:val="0002728B"/>
    <w:rsid w:val="00027830"/>
    <w:rsid w:val="000319EF"/>
    <w:rsid w:val="00032469"/>
    <w:rsid w:val="00033034"/>
    <w:rsid w:val="000337CB"/>
    <w:rsid w:val="0003591F"/>
    <w:rsid w:val="00041849"/>
    <w:rsid w:val="0004426E"/>
    <w:rsid w:val="00044A2A"/>
    <w:rsid w:val="00050623"/>
    <w:rsid w:val="000509BA"/>
    <w:rsid w:val="0005224B"/>
    <w:rsid w:val="00052395"/>
    <w:rsid w:val="0005243A"/>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A7DC9"/>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BDA"/>
    <w:rsid w:val="000D596C"/>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0230"/>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4C4A"/>
    <w:rsid w:val="00200145"/>
    <w:rsid w:val="002003CA"/>
    <w:rsid w:val="002003F7"/>
    <w:rsid w:val="0020095D"/>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3A02"/>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1BA1"/>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33C1"/>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1E9A"/>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2542C"/>
    <w:rsid w:val="00325825"/>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2836"/>
    <w:rsid w:val="003732DC"/>
    <w:rsid w:val="00375E39"/>
    <w:rsid w:val="00376051"/>
    <w:rsid w:val="003760ED"/>
    <w:rsid w:val="003764AE"/>
    <w:rsid w:val="003775D7"/>
    <w:rsid w:val="00380CBA"/>
    <w:rsid w:val="00381278"/>
    <w:rsid w:val="0038127E"/>
    <w:rsid w:val="00384080"/>
    <w:rsid w:val="003856A7"/>
    <w:rsid w:val="00386C22"/>
    <w:rsid w:val="003876E6"/>
    <w:rsid w:val="0039170C"/>
    <w:rsid w:val="00391AFA"/>
    <w:rsid w:val="003937EF"/>
    <w:rsid w:val="00393E9B"/>
    <w:rsid w:val="00397A97"/>
    <w:rsid w:val="003A280D"/>
    <w:rsid w:val="003A592E"/>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D449F"/>
    <w:rsid w:val="003E005B"/>
    <w:rsid w:val="003E04DA"/>
    <w:rsid w:val="003E1249"/>
    <w:rsid w:val="003E3544"/>
    <w:rsid w:val="003E35A8"/>
    <w:rsid w:val="003E4F2D"/>
    <w:rsid w:val="003E57BE"/>
    <w:rsid w:val="003E77CB"/>
    <w:rsid w:val="003F47FD"/>
    <w:rsid w:val="003F4B52"/>
    <w:rsid w:val="003F632B"/>
    <w:rsid w:val="003F73BA"/>
    <w:rsid w:val="003F73F0"/>
    <w:rsid w:val="00401423"/>
    <w:rsid w:val="004029F0"/>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4B86"/>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6D9A"/>
    <w:rsid w:val="004B7CB9"/>
    <w:rsid w:val="004C10BA"/>
    <w:rsid w:val="004C27EB"/>
    <w:rsid w:val="004C33D9"/>
    <w:rsid w:val="004C357A"/>
    <w:rsid w:val="004C405B"/>
    <w:rsid w:val="004C5B35"/>
    <w:rsid w:val="004C68D1"/>
    <w:rsid w:val="004C6AE7"/>
    <w:rsid w:val="004C72E8"/>
    <w:rsid w:val="004D04DF"/>
    <w:rsid w:val="004D1BF4"/>
    <w:rsid w:val="004D480B"/>
    <w:rsid w:val="004D648F"/>
    <w:rsid w:val="004D7821"/>
    <w:rsid w:val="004E10C5"/>
    <w:rsid w:val="004E22A7"/>
    <w:rsid w:val="004E39E6"/>
    <w:rsid w:val="004E4CF9"/>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5929"/>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77294"/>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19E"/>
    <w:rsid w:val="005E7398"/>
    <w:rsid w:val="005F04DC"/>
    <w:rsid w:val="005F0F6C"/>
    <w:rsid w:val="005F1A7F"/>
    <w:rsid w:val="00601165"/>
    <w:rsid w:val="00607971"/>
    <w:rsid w:val="00611A4E"/>
    <w:rsid w:val="006122C0"/>
    <w:rsid w:val="0061281D"/>
    <w:rsid w:val="00613C46"/>
    <w:rsid w:val="00614085"/>
    <w:rsid w:val="00616889"/>
    <w:rsid w:val="00617F77"/>
    <w:rsid w:val="006226B2"/>
    <w:rsid w:val="00623004"/>
    <w:rsid w:val="006237CC"/>
    <w:rsid w:val="00627C91"/>
    <w:rsid w:val="006332BA"/>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1D50"/>
    <w:rsid w:val="00672050"/>
    <w:rsid w:val="00673872"/>
    <w:rsid w:val="00674A34"/>
    <w:rsid w:val="00685515"/>
    <w:rsid w:val="0068642A"/>
    <w:rsid w:val="00693708"/>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4C76"/>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428"/>
    <w:rsid w:val="0071184F"/>
    <w:rsid w:val="00712189"/>
    <w:rsid w:val="007134A2"/>
    <w:rsid w:val="00713FB2"/>
    <w:rsid w:val="00717B45"/>
    <w:rsid w:val="007202C4"/>
    <w:rsid w:val="0072331C"/>
    <w:rsid w:val="00726CFA"/>
    <w:rsid w:val="0072758A"/>
    <w:rsid w:val="007304D5"/>
    <w:rsid w:val="00730965"/>
    <w:rsid w:val="00730A82"/>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86260"/>
    <w:rsid w:val="00791384"/>
    <w:rsid w:val="0079191B"/>
    <w:rsid w:val="00791C27"/>
    <w:rsid w:val="0079239C"/>
    <w:rsid w:val="007934F3"/>
    <w:rsid w:val="00795A80"/>
    <w:rsid w:val="00796464"/>
    <w:rsid w:val="00796F15"/>
    <w:rsid w:val="007A0403"/>
    <w:rsid w:val="007A12F5"/>
    <w:rsid w:val="007A329D"/>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5E9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63E3"/>
    <w:rsid w:val="008370E6"/>
    <w:rsid w:val="00837412"/>
    <w:rsid w:val="00840877"/>
    <w:rsid w:val="0084180A"/>
    <w:rsid w:val="0084197A"/>
    <w:rsid w:val="00841EDA"/>
    <w:rsid w:val="00843425"/>
    <w:rsid w:val="00845708"/>
    <w:rsid w:val="00846239"/>
    <w:rsid w:val="00846484"/>
    <w:rsid w:val="008478EE"/>
    <w:rsid w:val="00847F7D"/>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6E79"/>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05DF"/>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332"/>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5798"/>
    <w:rsid w:val="00AB7A9F"/>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85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6EE"/>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0260"/>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623"/>
    <w:rsid w:val="00BE283F"/>
    <w:rsid w:val="00BE2ECA"/>
    <w:rsid w:val="00BE2EFA"/>
    <w:rsid w:val="00BE597C"/>
    <w:rsid w:val="00BE6870"/>
    <w:rsid w:val="00BE71FD"/>
    <w:rsid w:val="00BE7B19"/>
    <w:rsid w:val="00BF23A6"/>
    <w:rsid w:val="00BF3B3D"/>
    <w:rsid w:val="00BF51E9"/>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23BB4"/>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2C01"/>
    <w:rsid w:val="00CA62C0"/>
    <w:rsid w:val="00CA73CB"/>
    <w:rsid w:val="00CA79BB"/>
    <w:rsid w:val="00CB19F4"/>
    <w:rsid w:val="00CB4161"/>
    <w:rsid w:val="00CB43A2"/>
    <w:rsid w:val="00CB6DE1"/>
    <w:rsid w:val="00CB7730"/>
    <w:rsid w:val="00CC12A0"/>
    <w:rsid w:val="00CC26A8"/>
    <w:rsid w:val="00CC4CED"/>
    <w:rsid w:val="00CC6EBB"/>
    <w:rsid w:val="00CC7B5B"/>
    <w:rsid w:val="00CD4A21"/>
    <w:rsid w:val="00CE0AEB"/>
    <w:rsid w:val="00CE3A6F"/>
    <w:rsid w:val="00CE63F9"/>
    <w:rsid w:val="00CF0A31"/>
    <w:rsid w:val="00CF1E87"/>
    <w:rsid w:val="00CF240F"/>
    <w:rsid w:val="00CF34FA"/>
    <w:rsid w:val="00CF4B5F"/>
    <w:rsid w:val="00CF4FAD"/>
    <w:rsid w:val="00CF5C15"/>
    <w:rsid w:val="00CF6201"/>
    <w:rsid w:val="00CF6B2F"/>
    <w:rsid w:val="00CF7EA6"/>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549C"/>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510"/>
    <w:rsid w:val="00D85008"/>
    <w:rsid w:val="00D87426"/>
    <w:rsid w:val="00D8754D"/>
    <w:rsid w:val="00D91789"/>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48A5"/>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3F81"/>
    <w:rsid w:val="00E34BF8"/>
    <w:rsid w:val="00E35672"/>
    <w:rsid w:val="00E35B1E"/>
    <w:rsid w:val="00E4250F"/>
    <w:rsid w:val="00E44A7E"/>
    <w:rsid w:val="00E46517"/>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35"/>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B7C96"/>
    <w:rsid w:val="00EC0273"/>
    <w:rsid w:val="00EC25BA"/>
    <w:rsid w:val="00EC4CF7"/>
    <w:rsid w:val="00ED0AD5"/>
    <w:rsid w:val="00ED1DE2"/>
    <w:rsid w:val="00ED1F31"/>
    <w:rsid w:val="00ED3630"/>
    <w:rsid w:val="00ED6D9E"/>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3A4E"/>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086A"/>
    <w:rsid w:val="00F317CA"/>
    <w:rsid w:val="00F319F3"/>
    <w:rsid w:val="00F31BFB"/>
    <w:rsid w:val="00F323E7"/>
    <w:rsid w:val="00F324D2"/>
    <w:rsid w:val="00F32A56"/>
    <w:rsid w:val="00F335E4"/>
    <w:rsid w:val="00F35509"/>
    <w:rsid w:val="00F358C3"/>
    <w:rsid w:val="00F413D8"/>
    <w:rsid w:val="00F42100"/>
    <w:rsid w:val="00F42A9B"/>
    <w:rsid w:val="00F45447"/>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95A8D"/>
    <w:rsid w:val="00FA2611"/>
    <w:rsid w:val="00FA29C9"/>
    <w:rsid w:val="00FA2D81"/>
    <w:rsid w:val="00FA3F17"/>
    <w:rsid w:val="00FA49C5"/>
    <w:rsid w:val="00FA5BD2"/>
    <w:rsid w:val="00FA6175"/>
    <w:rsid w:val="00FA6784"/>
    <w:rsid w:val="00FA7E00"/>
    <w:rsid w:val="00FB08E1"/>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24871929">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4806A48D-2E63-4F7D-9480-98A26920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16</cp:revision>
  <cp:lastPrinted>2021-06-18T01:19:00Z</cp:lastPrinted>
  <dcterms:created xsi:type="dcterms:W3CDTF">2021-06-17T00:11:00Z</dcterms:created>
  <dcterms:modified xsi:type="dcterms:W3CDTF">2021-06-18T03:21:00Z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