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D72B2" w14:textId="77777777" w:rsidR="00031F4B" w:rsidRPr="000D42AE" w:rsidRDefault="00031F4B" w:rsidP="00031F4B">
      <w:pPr>
        <w:ind w:left="284"/>
        <w:jc w:val="center"/>
        <w:rPr>
          <w:b/>
          <w:szCs w:val="24"/>
          <w:u w:val="single"/>
        </w:rPr>
      </w:pPr>
      <w:r w:rsidRPr="000D42AE">
        <w:rPr>
          <w:b/>
          <w:szCs w:val="24"/>
          <w:u w:val="single"/>
        </w:rPr>
        <w:t>EXPLANATORY STATEMENT</w:t>
      </w:r>
    </w:p>
    <w:p w14:paraId="76562579" w14:textId="77777777" w:rsidR="00031F4B" w:rsidRPr="000D42AE" w:rsidRDefault="00031F4B" w:rsidP="00031F4B">
      <w:pPr>
        <w:jc w:val="center"/>
        <w:rPr>
          <w:b/>
        </w:rPr>
      </w:pPr>
    </w:p>
    <w:p w14:paraId="61E89B40" w14:textId="77777777" w:rsidR="00031F4B" w:rsidRPr="000D42AE" w:rsidRDefault="00031F4B" w:rsidP="00031F4B">
      <w:pPr>
        <w:spacing w:after="120"/>
        <w:rPr>
          <w:i/>
        </w:rPr>
      </w:pPr>
    </w:p>
    <w:p w14:paraId="3398CFAD" w14:textId="77777777" w:rsidR="00031F4B" w:rsidRPr="000D42AE" w:rsidRDefault="00B57A04" w:rsidP="00031F4B">
      <w:pPr>
        <w:spacing w:after="120"/>
        <w:jc w:val="center"/>
        <w:rPr>
          <w:i/>
        </w:rPr>
      </w:pPr>
      <w:r w:rsidRPr="000D42AE">
        <w:rPr>
          <w:i/>
        </w:rPr>
        <w:t>National Health Security Act 2007</w:t>
      </w:r>
    </w:p>
    <w:p w14:paraId="0863E922" w14:textId="77777777" w:rsidR="00031F4B" w:rsidRPr="000D42AE" w:rsidRDefault="00031F4B" w:rsidP="00031F4B">
      <w:pPr>
        <w:pStyle w:val="ShortT"/>
        <w:jc w:val="center"/>
        <w:rPr>
          <w:b w:val="0"/>
          <w:i/>
          <w:sz w:val="24"/>
          <w:szCs w:val="24"/>
        </w:rPr>
      </w:pPr>
    </w:p>
    <w:p w14:paraId="7BF36330" w14:textId="4FE986D8" w:rsidR="00B57A04" w:rsidRPr="000D42AE" w:rsidRDefault="00B57A04" w:rsidP="00B57A04">
      <w:pPr>
        <w:spacing w:after="120"/>
        <w:jc w:val="center"/>
        <w:rPr>
          <w:i/>
        </w:rPr>
      </w:pPr>
      <w:r w:rsidRPr="000D42AE">
        <w:rPr>
          <w:i/>
        </w:rPr>
        <w:t>National Health Security (National Notifiable Diseas</w:t>
      </w:r>
      <w:r w:rsidR="00807DE0" w:rsidRPr="000D42AE">
        <w:rPr>
          <w:i/>
        </w:rPr>
        <w:t>e List) Amendment</w:t>
      </w:r>
      <w:r w:rsidR="004323C6" w:rsidRPr="000D42AE">
        <w:rPr>
          <w:i/>
        </w:rPr>
        <w:t xml:space="preserve"> (No. 1)</w:t>
      </w:r>
      <w:r w:rsidR="00807DE0" w:rsidRPr="000D42AE">
        <w:rPr>
          <w:i/>
        </w:rPr>
        <w:t xml:space="preserve"> Instrument 2021</w:t>
      </w:r>
    </w:p>
    <w:p w14:paraId="43311E3A" w14:textId="77777777" w:rsidR="006B70D4" w:rsidRPr="000D42AE" w:rsidRDefault="006B70D4" w:rsidP="002F31CC">
      <w:pPr>
        <w:spacing w:before="100" w:beforeAutospacing="1" w:after="100" w:afterAutospacing="1"/>
        <w:rPr>
          <w:b/>
          <w:szCs w:val="24"/>
        </w:rPr>
      </w:pPr>
      <w:r w:rsidRPr="000D42AE">
        <w:rPr>
          <w:b/>
          <w:szCs w:val="24"/>
        </w:rPr>
        <w:t>Authority</w:t>
      </w:r>
    </w:p>
    <w:p w14:paraId="4E615F3A" w14:textId="77777777" w:rsidR="005D4A65" w:rsidRPr="000D42AE" w:rsidRDefault="005D4A65" w:rsidP="00155A04">
      <w:pPr>
        <w:tabs>
          <w:tab w:val="right" w:pos="8080"/>
        </w:tabs>
        <w:rPr>
          <w:color w:val="000000"/>
          <w:shd w:val="clear" w:color="auto" w:fill="FFFFFF"/>
        </w:rPr>
      </w:pPr>
      <w:r w:rsidRPr="000D42AE">
        <w:rPr>
          <w:color w:val="000000"/>
          <w:shd w:val="clear" w:color="auto" w:fill="FFFFFF"/>
        </w:rPr>
        <w:t>The </w:t>
      </w:r>
      <w:r w:rsidRPr="000D42AE">
        <w:rPr>
          <w:i/>
          <w:iCs/>
          <w:color w:val="000000"/>
          <w:shd w:val="clear" w:color="auto" w:fill="FFFFFF"/>
        </w:rPr>
        <w:t>National Health Security Act 2007</w:t>
      </w:r>
      <w:r w:rsidRPr="000D42AE">
        <w:rPr>
          <w:color w:val="000000"/>
          <w:shd w:val="clear" w:color="auto" w:fill="FFFFFF"/>
        </w:rPr>
        <w:t> (the Act) provides for a national system of public health surveillance.</w:t>
      </w:r>
    </w:p>
    <w:p w14:paraId="088F0AD7" w14:textId="77777777" w:rsidR="005D4A65" w:rsidRPr="000D42AE" w:rsidRDefault="005D4A65" w:rsidP="00155A04">
      <w:pPr>
        <w:tabs>
          <w:tab w:val="right" w:pos="8080"/>
        </w:tabs>
      </w:pPr>
    </w:p>
    <w:p w14:paraId="729F9A9E" w14:textId="77777777" w:rsidR="005D4A65" w:rsidRPr="000D42AE" w:rsidRDefault="00745173" w:rsidP="00155A04">
      <w:pPr>
        <w:tabs>
          <w:tab w:val="right" w:pos="8080"/>
        </w:tabs>
        <w:rPr>
          <w:szCs w:val="24"/>
        </w:rPr>
      </w:pPr>
      <w:r w:rsidRPr="000D42AE">
        <w:t>Subs</w:t>
      </w:r>
      <w:r w:rsidR="000540E6" w:rsidRPr="000D42AE">
        <w:t>ection 11</w:t>
      </w:r>
      <w:r w:rsidR="006064CE" w:rsidRPr="000D42AE">
        <w:t xml:space="preserve">(1) </w:t>
      </w:r>
      <w:r w:rsidR="000540E6" w:rsidRPr="000D42AE">
        <w:t xml:space="preserve">of the </w:t>
      </w:r>
      <w:r w:rsidR="005D4A65" w:rsidRPr="000D42AE">
        <w:t>Act</w:t>
      </w:r>
      <w:r w:rsidR="00475955" w:rsidRPr="000D42AE">
        <w:t xml:space="preserve"> </w:t>
      </w:r>
      <w:r w:rsidR="006064CE" w:rsidRPr="000D42AE">
        <w:t>provides that the Minister must, by legislative instrument,</w:t>
      </w:r>
      <w:r w:rsidR="00623049" w:rsidRPr="000D42AE">
        <w:t xml:space="preserve"> establish </w:t>
      </w:r>
      <w:r w:rsidR="006064CE" w:rsidRPr="000D42AE">
        <w:t>a list of diseases</w:t>
      </w:r>
      <w:r w:rsidR="00466C7E" w:rsidRPr="000D42AE">
        <w:t>, to be called t</w:t>
      </w:r>
      <w:r w:rsidR="00466C7E" w:rsidRPr="000D42AE">
        <w:rPr>
          <w:szCs w:val="24"/>
        </w:rPr>
        <w:t>he National Notifiable Disease List (NNDL</w:t>
      </w:r>
      <w:r w:rsidR="005D4A65" w:rsidRPr="000D42AE">
        <w:rPr>
          <w:szCs w:val="24"/>
        </w:rPr>
        <w:t>).</w:t>
      </w:r>
    </w:p>
    <w:p w14:paraId="6FFB884C" w14:textId="77777777" w:rsidR="005D4A65" w:rsidRPr="000D42AE" w:rsidRDefault="005D4A65" w:rsidP="00155A04">
      <w:pPr>
        <w:tabs>
          <w:tab w:val="right" w:pos="8080"/>
        </w:tabs>
        <w:rPr>
          <w:szCs w:val="24"/>
        </w:rPr>
      </w:pPr>
    </w:p>
    <w:p w14:paraId="1FA8B0D7" w14:textId="77777777" w:rsidR="002F31CC" w:rsidRPr="000D42AE" w:rsidRDefault="00466C7E" w:rsidP="00155A04">
      <w:pPr>
        <w:tabs>
          <w:tab w:val="right" w:pos="8080"/>
        </w:tabs>
        <w:rPr>
          <w:szCs w:val="24"/>
        </w:rPr>
      </w:pPr>
      <w:r w:rsidRPr="000D42AE">
        <w:rPr>
          <w:szCs w:val="24"/>
        </w:rPr>
        <w:t>S</w:t>
      </w:r>
      <w:r w:rsidR="00745173" w:rsidRPr="000D42AE">
        <w:rPr>
          <w:szCs w:val="24"/>
        </w:rPr>
        <w:t>ubs</w:t>
      </w:r>
      <w:r w:rsidRPr="000D42AE">
        <w:rPr>
          <w:szCs w:val="24"/>
        </w:rPr>
        <w:t xml:space="preserve">ection 11(3) provides that the Minister may vary the </w:t>
      </w:r>
      <w:r w:rsidR="002F31CC" w:rsidRPr="000D42AE">
        <w:rPr>
          <w:szCs w:val="24"/>
        </w:rPr>
        <w:t xml:space="preserve">NNDL by adding </w:t>
      </w:r>
      <w:r w:rsidR="00EA5B9F" w:rsidRPr="000D42AE">
        <w:rPr>
          <w:szCs w:val="24"/>
        </w:rPr>
        <w:t>or removing a disease in certain circumstances</w:t>
      </w:r>
      <w:r w:rsidR="002F31CC" w:rsidRPr="000D42AE">
        <w:rPr>
          <w:szCs w:val="24"/>
        </w:rPr>
        <w:t xml:space="preserve">. </w:t>
      </w:r>
    </w:p>
    <w:p w14:paraId="2594EADE" w14:textId="77777777" w:rsidR="00FB2F55" w:rsidRPr="000D42AE" w:rsidRDefault="00FB2F55" w:rsidP="00FB2F55">
      <w:pPr>
        <w:spacing w:before="100" w:beforeAutospacing="1" w:after="100" w:afterAutospacing="1"/>
        <w:rPr>
          <w:szCs w:val="24"/>
          <w:u w:val="single"/>
        </w:rPr>
      </w:pPr>
      <w:r w:rsidRPr="000D42AE">
        <w:rPr>
          <w:b/>
          <w:szCs w:val="24"/>
        </w:rPr>
        <w:t>Purpose</w:t>
      </w:r>
    </w:p>
    <w:p w14:paraId="5D031A6B" w14:textId="0DEB4280" w:rsidR="00FB2F55" w:rsidRPr="000D42AE" w:rsidRDefault="00FB2F55" w:rsidP="00FB2F55">
      <w:pPr>
        <w:spacing w:line="260" w:lineRule="exact"/>
        <w:rPr>
          <w:szCs w:val="24"/>
        </w:rPr>
      </w:pPr>
      <w:r w:rsidRPr="000D42AE">
        <w:rPr>
          <w:szCs w:val="24"/>
        </w:rPr>
        <w:t>Th</w:t>
      </w:r>
      <w:r w:rsidR="002015A6" w:rsidRPr="000D42AE">
        <w:rPr>
          <w:szCs w:val="24"/>
        </w:rPr>
        <w:t xml:space="preserve">e </w:t>
      </w:r>
      <w:r w:rsidR="002015A6" w:rsidRPr="000D42AE">
        <w:rPr>
          <w:i/>
          <w:szCs w:val="24"/>
        </w:rPr>
        <w:t>National Health Security (National Notifiable Disease</w:t>
      </w:r>
      <w:r w:rsidR="00D904C9" w:rsidRPr="000D42AE">
        <w:rPr>
          <w:i/>
          <w:szCs w:val="24"/>
        </w:rPr>
        <w:t xml:space="preserve"> List) Amendment </w:t>
      </w:r>
      <w:r w:rsidR="004323C6" w:rsidRPr="000D42AE">
        <w:rPr>
          <w:i/>
          <w:szCs w:val="24"/>
        </w:rPr>
        <w:t xml:space="preserve">(No. 1) </w:t>
      </w:r>
      <w:r w:rsidR="00D904C9" w:rsidRPr="000D42AE">
        <w:rPr>
          <w:i/>
          <w:szCs w:val="24"/>
        </w:rPr>
        <w:t>Instrument 2021</w:t>
      </w:r>
      <w:r w:rsidR="005D4A65" w:rsidRPr="000D42AE">
        <w:rPr>
          <w:i/>
          <w:szCs w:val="24"/>
        </w:rPr>
        <w:t xml:space="preserve"> </w:t>
      </w:r>
      <w:r w:rsidR="006F5470" w:rsidRPr="000D42AE">
        <w:rPr>
          <w:szCs w:val="24"/>
        </w:rPr>
        <w:t>makes</w:t>
      </w:r>
      <w:r w:rsidRPr="000D42AE">
        <w:rPr>
          <w:szCs w:val="24"/>
        </w:rPr>
        <w:t xml:space="preserve"> two variations to the NNDL:</w:t>
      </w:r>
    </w:p>
    <w:p w14:paraId="5B19578E" w14:textId="77777777" w:rsidR="00FB2F55" w:rsidRPr="000D42AE" w:rsidRDefault="00FB2F55" w:rsidP="00FB2F55">
      <w:pPr>
        <w:spacing w:line="260" w:lineRule="exact"/>
        <w:rPr>
          <w:szCs w:val="24"/>
        </w:rPr>
      </w:pPr>
    </w:p>
    <w:p w14:paraId="7640D6DF" w14:textId="77777777" w:rsidR="00FB2F55" w:rsidRPr="000D42AE" w:rsidRDefault="00FB2F55" w:rsidP="00FB2F55">
      <w:pPr>
        <w:pStyle w:val="ListParagraph"/>
        <w:numPr>
          <w:ilvl w:val="0"/>
          <w:numId w:val="3"/>
        </w:numPr>
        <w:spacing w:line="260" w:lineRule="exact"/>
        <w:ind w:left="709" w:hanging="709"/>
        <w:rPr>
          <w:u w:val="single"/>
        </w:rPr>
      </w:pPr>
      <w:r w:rsidRPr="000D42AE">
        <w:rPr>
          <w:u w:val="single"/>
        </w:rPr>
        <w:t xml:space="preserve">Adding </w:t>
      </w:r>
      <w:r w:rsidR="00807DE0" w:rsidRPr="000D42AE">
        <w:rPr>
          <w:u w:val="single"/>
        </w:rPr>
        <w:t>invasive group A s</w:t>
      </w:r>
      <w:r w:rsidR="00906BBC" w:rsidRPr="000D42AE">
        <w:rPr>
          <w:u w:val="single"/>
        </w:rPr>
        <w:t>treptococcal</w:t>
      </w:r>
      <w:r w:rsidR="005D4A65" w:rsidRPr="000D42AE">
        <w:rPr>
          <w:u w:val="single"/>
        </w:rPr>
        <w:t xml:space="preserve"> disease</w:t>
      </w:r>
    </w:p>
    <w:p w14:paraId="3080259E" w14:textId="77777777" w:rsidR="00BC771F" w:rsidRPr="000D42AE" w:rsidRDefault="00F2120F" w:rsidP="00623049">
      <w:pPr>
        <w:spacing w:before="100" w:beforeAutospacing="1" w:after="100" w:afterAutospacing="1"/>
        <w:rPr>
          <w:rFonts w:eastAsia="Arial" w:cs="Arial"/>
        </w:rPr>
      </w:pPr>
      <w:r w:rsidRPr="000D42AE">
        <w:rPr>
          <w:rFonts w:eastAsia="Arial" w:cs="Arial"/>
        </w:rPr>
        <w:t>Invasive group A streptococcal d</w:t>
      </w:r>
      <w:r w:rsidR="0006569F" w:rsidRPr="000D42AE">
        <w:rPr>
          <w:rFonts w:eastAsia="Arial" w:cs="Arial"/>
        </w:rPr>
        <w:t>isease</w:t>
      </w:r>
      <w:r w:rsidR="00906BBC" w:rsidRPr="000D42AE">
        <w:rPr>
          <w:rFonts w:eastAsia="Arial" w:cs="Arial"/>
        </w:rPr>
        <w:t xml:space="preserve"> (iGAS)</w:t>
      </w:r>
      <w:r w:rsidRPr="000D42AE">
        <w:rPr>
          <w:rFonts w:eastAsia="Arial" w:cs="Arial"/>
        </w:rPr>
        <w:t xml:space="preserve"> is a serious </w:t>
      </w:r>
      <w:r w:rsidR="00807DE0" w:rsidRPr="000D42AE">
        <w:rPr>
          <w:rFonts w:eastAsia="Arial" w:cs="Arial"/>
        </w:rPr>
        <w:t xml:space="preserve">bacterial </w:t>
      </w:r>
      <w:r w:rsidRPr="000D42AE">
        <w:rPr>
          <w:rFonts w:eastAsia="Arial" w:cs="Arial"/>
        </w:rPr>
        <w:t>infection</w:t>
      </w:r>
      <w:r w:rsidRPr="000D42AE">
        <w:rPr>
          <w:rFonts w:eastAsia="Arial" w:cs="Arial"/>
          <w:i/>
        </w:rPr>
        <w:t xml:space="preserve">. </w:t>
      </w:r>
      <w:r w:rsidR="00980875" w:rsidRPr="000D42AE">
        <w:rPr>
          <w:rFonts w:eastAsia="Arial" w:cs="Arial"/>
        </w:rPr>
        <w:t>It can cause a range of syndromes including</w:t>
      </w:r>
      <w:r w:rsidRPr="000D42AE">
        <w:rPr>
          <w:rFonts w:eastAsia="Arial" w:cs="Arial"/>
        </w:rPr>
        <w:t xml:space="preserve"> streptococcal toxic-shock syndrome</w:t>
      </w:r>
      <w:r w:rsidR="0006569F" w:rsidRPr="000D42AE">
        <w:rPr>
          <w:rFonts w:eastAsia="Arial" w:cs="Arial"/>
        </w:rPr>
        <w:t>,</w:t>
      </w:r>
      <w:r w:rsidRPr="000D42AE">
        <w:rPr>
          <w:rFonts w:eastAsia="Arial" w:cs="Arial"/>
        </w:rPr>
        <w:t xml:space="preserve"> </w:t>
      </w:r>
      <w:r w:rsidR="00807DE0" w:rsidRPr="000D42AE">
        <w:rPr>
          <w:rFonts w:eastAsia="Arial" w:cs="Arial"/>
        </w:rPr>
        <w:t>necrotising fasciitis</w:t>
      </w:r>
      <w:r w:rsidRPr="000D42AE">
        <w:rPr>
          <w:rFonts w:eastAsia="Arial" w:cs="Arial"/>
        </w:rPr>
        <w:t>, pneumonia, retropharyngeal abscess, septic arthritis, and meningitis</w:t>
      </w:r>
      <w:r w:rsidR="00807DE0" w:rsidRPr="000D42AE">
        <w:rPr>
          <w:rFonts w:eastAsia="Arial" w:cs="Arial"/>
        </w:rPr>
        <w:t>,</w:t>
      </w:r>
      <w:r w:rsidR="00C67888" w:rsidRPr="000D42AE">
        <w:rPr>
          <w:rFonts w:eastAsia="Arial" w:cs="Arial"/>
        </w:rPr>
        <w:t xml:space="preserve"> and has a high morbidity and mortality.</w:t>
      </w:r>
      <w:r w:rsidRPr="000D42AE">
        <w:rPr>
          <w:rFonts w:eastAsia="Arial" w:cs="Arial"/>
          <w:vertAlign w:val="superscript"/>
        </w:rPr>
        <w:t xml:space="preserve"> </w:t>
      </w:r>
      <w:r w:rsidR="00980875" w:rsidRPr="000D42AE">
        <w:rPr>
          <w:rFonts w:eastAsia="Arial" w:cs="Arial"/>
        </w:rPr>
        <w:t>There are a number of groups in the community at increased risk of infect</w:t>
      </w:r>
      <w:r w:rsidR="0006569F" w:rsidRPr="000D42AE">
        <w:rPr>
          <w:rFonts w:eastAsia="Arial" w:cs="Arial"/>
        </w:rPr>
        <w:t>ion, including</w:t>
      </w:r>
      <w:r w:rsidR="00980875" w:rsidRPr="000D42AE">
        <w:rPr>
          <w:rFonts w:eastAsia="Arial" w:cs="Arial"/>
        </w:rPr>
        <w:t xml:space="preserve"> the elderly, young children, pregnant and-post-partum women, </w:t>
      </w:r>
      <w:r w:rsidR="00D904C9" w:rsidRPr="000D42AE">
        <w:rPr>
          <w:rFonts w:eastAsia="Arial" w:cs="Arial"/>
        </w:rPr>
        <w:t>and Aboriginal</w:t>
      </w:r>
      <w:r w:rsidR="00980875" w:rsidRPr="000D42AE">
        <w:rPr>
          <w:rFonts w:eastAsia="Arial" w:cs="Arial"/>
        </w:rPr>
        <w:t xml:space="preserve"> and Torres Strait Islander </w:t>
      </w:r>
      <w:r w:rsidR="00A65C7B" w:rsidRPr="000D42AE">
        <w:rPr>
          <w:rFonts w:eastAsia="Arial" w:cs="Arial"/>
        </w:rPr>
        <w:t>peoples</w:t>
      </w:r>
      <w:r w:rsidR="00980875" w:rsidRPr="000D42AE">
        <w:rPr>
          <w:rFonts w:eastAsia="Arial" w:cs="Arial"/>
        </w:rPr>
        <w:t>.</w:t>
      </w:r>
      <w:r w:rsidR="00BC771F" w:rsidRPr="000D42AE">
        <w:rPr>
          <w:rFonts w:eastAsia="Arial" w:cs="Arial"/>
        </w:rPr>
        <w:t xml:space="preserve"> </w:t>
      </w:r>
    </w:p>
    <w:p w14:paraId="3F2FFAEF" w14:textId="77777777" w:rsidR="00F2120F" w:rsidRPr="000D42AE" w:rsidRDefault="00BC771F" w:rsidP="00623049">
      <w:pPr>
        <w:spacing w:before="100" w:beforeAutospacing="1" w:after="100" w:afterAutospacing="1"/>
        <w:rPr>
          <w:rFonts w:eastAsia="Arial" w:cs="Arial"/>
        </w:rPr>
      </w:pPr>
      <w:r w:rsidRPr="000D42AE">
        <w:rPr>
          <w:rFonts w:cs="Tahoma"/>
          <w:bCs/>
        </w:rPr>
        <w:t xml:space="preserve">Notification of cases to public health authorities would </w:t>
      </w:r>
      <w:r w:rsidR="00C67888" w:rsidRPr="000D42AE">
        <w:rPr>
          <w:rFonts w:cs="Tahoma"/>
          <w:bCs/>
        </w:rPr>
        <w:t xml:space="preserve">enable surveillance </w:t>
      </w:r>
      <w:r w:rsidR="00807DE0" w:rsidRPr="000D42AE">
        <w:rPr>
          <w:rFonts w:cs="Tahoma"/>
          <w:bCs/>
        </w:rPr>
        <w:t xml:space="preserve">of iGAS </w:t>
      </w:r>
      <w:r w:rsidR="00C67888" w:rsidRPr="000D42AE">
        <w:rPr>
          <w:rFonts w:cs="Tahoma"/>
          <w:bCs/>
        </w:rPr>
        <w:t xml:space="preserve">with the aim of </w:t>
      </w:r>
      <w:r w:rsidR="00D904C9" w:rsidRPr="000D42AE">
        <w:rPr>
          <w:rFonts w:cs="Tahoma"/>
          <w:bCs/>
        </w:rPr>
        <w:t xml:space="preserve">better </w:t>
      </w:r>
      <w:r w:rsidR="00C67888" w:rsidRPr="000D42AE">
        <w:rPr>
          <w:rFonts w:cs="Tahoma"/>
          <w:bCs/>
        </w:rPr>
        <w:t>identifying, responding to and managing the publi</w:t>
      </w:r>
      <w:r w:rsidR="00807DE0" w:rsidRPr="000D42AE">
        <w:rPr>
          <w:rFonts w:cs="Tahoma"/>
          <w:bCs/>
        </w:rPr>
        <w:t>c health risks associated with</w:t>
      </w:r>
      <w:r w:rsidR="00C67888" w:rsidRPr="000D42AE">
        <w:rPr>
          <w:rFonts w:cs="Tahoma"/>
          <w:bCs/>
        </w:rPr>
        <w:t xml:space="preserve"> outbreaks and clusters.</w:t>
      </w:r>
    </w:p>
    <w:p w14:paraId="2EBA892D" w14:textId="77777777" w:rsidR="000577B1" w:rsidRPr="000D42AE" w:rsidRDefault="000577B1" w:rsidP="000577B1">
      <w:pPr>
        <w:jc w:val="both"/>
        <w:rPr>
          <w:szCs w:val="24"/>
        </w:rPr>
      </w:pPr>
    </w:p>
    <w:p w14:paraId="452D61D5" w14:textId="77777777" w:rsidR="00FB2F55" w:rsidRPr="000D42AE" w:rsidRDefault="004D7C4F" w:rsidP="00FB2F55">
      <w:pPr>
        <w:pStyle w:val="ListParagraph"/>
        <w:numPr>
          <w:ilvl w:val="0"/>
          <w:numId w:val="3"/>
        </w:numPr>
        <w:spacing w:line="260" w:lineRule="exact"/>
        <w:ind w:left="709" w:hanging="709"/>
        <w:rPr>
          <w:rFonts w:cs="Times New Roman"/>
          <w:szCs w:val="24"/>
          <w:u w:val="single"/>
        </w:rPr>
      </w:pPr>
      <w:r w:rsidRPr="000D42AE">
        <w:rPr>
          <w:rFonts w:cs="Times New Roman"/>
          <w:szCs w:val="24"/>
          <w:u w:val="single"/>
        </w:rPr>
        <w:t>Adding</w:t>
      </w:r>
      <w:r w:rsidR="00807DE0" w:rsidRPr="000D42AE">
        <w:rPr>
          <w:rFonts w:cs="Times New Roman"/>
          <w:szCs w:val="24"/>
          <w:u w:val="single"/>
        </w:rPr>
        <w:t xml:space="preserve"> respiratory syncytial v</w:t>
      </w:r>
      <w:r w:rsidR="009F55CB" w:rsidRPr="000D42AE">
        <w:rPr>
          <w:rFonts w:cs="Times New Roman"/>
          <w:szCs w:val="24"/>
          <w:u w:val="single"/>
        </w:rPr>
        <w:t>irus</w:t>
      </w:r>
      <w:r w:rsidRPr="000D42AE">
        <w:rPr>
          <w:rFonts w:cs="Times New Roman"/>
          <w:szCs w:val="24"/>
          <w:u w:val="single"/>
        </w:rPr>
        <w:t xml:space="preserve"> infection</w:t>
      </w:r>
    </w:p>
    <w:p w14:paraId="790F0417" w14:textId="77777777" w:rsidR="0006569F" w:rsidRPr="000D42AE" w:rsidRDefault="0006569F" w:rsidP="00FB2F55">
      <w:pPr>
        <w:spacing w:line="260" w:lineRule="exact"/>
        <w:jc w:val="both"/>
        <w:rPr>
          <w:szCs w:val="24"/>
        </w:rPr>
      </w:pPr>
    </w:p>
    <w:p w14:paraId="501CCCC8" w14:textId="77777777" w:rsidR="00C95BC8" w:rsidRPr="000D42AE" w:rsidRDefault="004D7C4F" w:rsidP="00D904C9">
      <w:pPr>
        <w:spacing w:line="260" w:lineRule="exact"/>
        <w:jc w:val="both"/>
        <w:rPr>
          <w:szCs w:val="24"/>
        </w:rPr>
      </w:pPr>
      <w:r w:rsidRPr="000D42AE">
        <w:rPr>
          <w:rFonts w:cs="Tahoma"/>
          <w:bCs/>
        </w:rPr>
        <w:t>Respiratory syncytial v</w:t>
      </w:r>
      <w:r w:rsidR="0006569F" w:rsidRPr="000D42AE">
        <w:rPr>
          <w:rFonts w:cs="Tahoma"/>
          <w:bCs/>
        </w:rPr>
        <w:t>irus</w:t>
      </w:r>
      <w:r w:rsidR="00906BBC" w:rsidRPr="000D42AE">
        <w:rPr>
          <w:rFonts w:cs="Tahoma"/>
          <w:bCs/>
        </w:rPr>
        <w:t xml:space="preserve"> (RSV)</w:t>
      </w:r>
      <w:r w:rsidR="00A65C7B" w:rsidRPr="000D42AE">
        <w:rPr>
          <w:rFonts w:cs="Tahoma"/>
          <w:bCs/>
        </w:rPr>
        <w:t xml:space="preserve"> </w:t>
      </w:r>
      <w:r w:rsidR="0006569F" w:rsidRPr="000D42AE">
        <w:rPr>
          <w:rFonts w:cs="Tahoma"/>
          <w:bCs/>
        </w:rPr>
        <w:t>causes infections</w:t>
      </w:r>
      <w:r w:rsidR="00906BBC" w:rsidRPr="000D42AE">
        <w:rPr>
          <w:rFonts w:cs="Tahoma"/>
          <w:bCs/>
        </w:rPr>
        <w:t xml:space="preserve"> of </w:t>
      </w:r>
      <w:r w:rsidR="00BF0231" w:rsidRPr="000D42AE">
        <w:rPr>
          <w:rFonts w:cs="Tahoma"/>
          <w:bCs/>
        </w:rPr>
        <w:t>the lungs and respiratory tract</w:t>
      </w:r>
      <w:r w:rsidR="00906BBC" w:rsidRPr="000D42AE">
        <w:rPr>
          <w:rFonts w:cs="Tahoma"/>
          <w:bCs/>
        </w:rPr>
        <w:t xml:space="preserve"> that are usually mild, but can cause </w:t>
      </w:r>
      <w:r w:rsidR="00A65C7B" w:rsidRPr="000D42AE">
        <w:rPr>
          <w:rFonts w:cs="Tahoma"/>
          <w:bCs/>
        </w:rPr>
        <w:t>more severe infections such as bronchiolitis and pneumonia.</w:t>
      </w:r>
      <w:r w:rsidR="0006569F" w:rsidRPr="000D42AE">
        <w:rPr>
          <w:rFonts w:cs="Tahoma"/>
          <w:bCs/>
        </w:rPr>
        <w:t xml:space="preserve"> It is a highly communicable disease with a significant disease burden, especially amongst young infants and older people, and higher infection</w:t>
      </w:r>
      <w:r w:rsidR="00A65C7B" w:rsidRPr="000D42AE">
        <w:rPr>
          <w:rFonts w:cs="Tahoma"/>
          <w:bCs/>
        </w:rPr>
        <w:t xml:space="preserve"> rates occur in Aboriginal and Torres Strait Islander</w:t>
      </w:r>
      <w:r w:rsidR="0006569F" w:rsidRPr="000D42AE">
        <w:rPr>
          <w:rFonts w:cs="Tahoma"/>
          <w:bCs/>
        </w:rPr>
        <w:t xml:space="preserve"> people</w:t>
      </w:r>
      <w:r w:rsidR="00A65C7B" w:rsidRPr="000D42AE">
        <w:rPr>
          <w:rFonts w:cs="Tahoma"/>
          <w:bCs/>
        </w:rPr>
        <w:t>s</w:t>
      </w:r>
      <w:r w:rsidR="0006569F" w:rsidRPr="000D42AE">
        <w:rPr>
          <w:rFonts w:cs="Tahoma"/>
          <w:bCs/>
        </w:rPr>
        <w:t>.</w:t>
      </w:r>
      <w:r w:rsidR="006B288B" w:rsidRPr="000D42AE">
        <w:rPr>
          <w:rFonts w:cs="Tahoma"/>
          <w:bCs/>
        </w:rPr>
        <w:t xml:space="preserve"> </w:t>
      </w:r>
    </w:p>
    <w:p w14:paraId="7BE8FA2E" w14:textId="77777777" w:rsidR="00906BBC" w:rsidRPr="000D42AE" w:rsidRDefault="00BF0231" w:rsidP="00906BBC">
      <w:pPr>
        <w:spacing w:before="100" w:beforeAutospacing="1" w:after="100" w:afterAutospacing="1"/>
        <w:rPr>
          <w:rFonts w:eastAsia="Arial" w:cs="Arial"/>
        </w:rPr>
      </w:pPr>
      <w:r w:rsidRPr="000D42AE">
        <w:rPr>
          <w:rFonts w:cs="Tahoma"/>
          <w:bCs/>
        </w:rPr>
        <w:t xml:space="preserve">Notification of cases to public health authorities would enable </w:t>
      </w:r>
      <w:r w:rsidR="00C67888" w:rsidRPr="000D42AE">
        <w:rPr>
          <w:rFonts w:cs="Tahoma"/>
          <w:bCs/>
        </w:rPr>
        <w:t>better understand</w:t>
      </w:r>
      <w:r w:rsidRPr="000D42AE">
        <w:rPr>
          <w:rFonts w:cs="Tahoma"/>
          <w:bCs/>
        </w:rPr>
        <w:t>ing of</w:t>
      </w:r>
      <w:r w:rsidR="00C67888" w:rsidRPr="000D42AE">
        <w:rPr>
          <w:rFonts w:cs="Tahoma"/>
          <w:bCs/>
        </w:rPr>
        <w:t xml:space="preserve"> the epidemiology </w:t>
      </w:r>
      <w:r w:rsidRPr="000D42AE">
        <w:rPr>
          <w:rFonts w:cs="Tahoma"/>
          <w:bCs/>
        </w:rPr>
        <w:t xml:space="preserve">and burden </w:t>
      </w:r>
      <w:r w:rsidR="00C67888" w:rsidRPr="000D42AE">
        <w:rPr>
          <w:rFonts w:cs="Tahoma"/>
          <w:bCs/>
        </w:rPr>
        <w:t xml:space="preserve">of RSV </w:t>
      </w:r>
      <w:r w:rsidRPr="000D42AE">
        <w:rPr>
          <w:rFonts w:cs="Tahoma"/>
          <w:bCs/>
        </w:rPr>
        <w:t>and</w:t>
      </w:r>
      <w:r w:rsidR="00C67888" w:rsidRPr="000D42AE">
        <w:rPr>
          <w:rFonts w:cs="Tahoma"/>
          <w:bCs/>
        </w:rPr>
        <w:t xml:space="preserve"> inform public health response and control measures.</w:t>
      </w:r>
      <w:r w:rsidR="00906BBC" w:rsidRPr="000D42AE">
        <w:rPr>
          <w:rFonts w:cs="Tahoma"/>
          <w:bCs/>
        </w:rPr>
        <w:t xml:space="preserve"> </w:t>
      </w:r>
    </w:p>
    <w:p w14:paraId="33D2BBA3" w14:textId="77777777" w:rsidR="00906BBC" w:rsidRPr="000D42AE" w:rsidRDefault="00906BBC" w:rsidP="00031F4B">
      <w:pPr>
        <w:autoSpaceDE w:val="0"/>
        <w:autoSpaceDN w:val="0"/>
        <w:adjustRightInd w:val="0"/>
        <w:rPr>
          <w:color w:val="000000"/>
          <w:szCs w:val="24"/>
          <w:u w:val="single"/>
        </w:rPr>
      </w:pPr>
    </w:p>
    <w:p w14:paraId="367518AF" w14:textId="77777777" w:rsidR="00B87748" w:rsidRPr="000D42AE" w:rsidRDefault="00031F4B" w:rsidP="00B87748">
      <w:pPr>
        <w:autoSpaceDE w:val="0"/>
        <w:autoSpaceDN w:val="0"/>
        <w:adjustRightInd w:val="0"/>
        <w:rPr>
          <w:b/>
          <w:color w:val="000000"/>
          <w:szCs w:val="24"/>
        </w:rPr>
      </w:pPr>
      <w:r w:rsidRPr="000D42AE">
        <w:rPr>
          <w:b/>
          <w:color w:val="000000"/>
          <w:szCs w:val="24"/>
        </w:rPr>
        <w:t xml:space="preserve">Consultation </w:t>
      </w:r>
    </w:p>
    <w:p w14:paraId="4540BB74" w14:textId="77777777" w:rsidR="00B87748" w:rsidRPr="000D42AE" w:rsidRDefault="00B87748" w:rsidP="00B87748">
      <w:pPr>
        <w:autoSpaceDE w:val="0"/>
        <w:autoSpaceDN w:val="0"/>
        <w:adjustRightInd w:val="0"/>
        <w:rPr>
          <w:color w:val="000000"/>
          <w:szCs w:val="24"/>
          <w:u w:val="single"/>
        </w:rPr>
      </w:pPr>
    </w:p>
    <w:p w14:paraId="5F642EB9" w14:textId="77777777" w:rsidR="00EC6536" w:rsidRPr="000D42AE" w:rsidRDefault="00EC6536" w:rsidP="00B87748">
      <w:pPr>
        <w:autoSpaceDE w:val="0"/>
        <w:autoSpaceDN w:val="0"/>
        <w:adjustRightInd w:val="0"/>
        <w:rPr>
          <w:szCs w:val="24"/>
        </w:rPr>
      </w:pPr>
      <w:r w:rsidRPr="000D42AE">
        <w:rPr>
          <w:szCs w:val="24"/>
        </w:rPr>
        <w:t xml:space="preserve">Subsection 11(5) of the </w:t>
      </w:r>
      <w:r w:rsidR="00F74D69" w:rsidRPr="000D42AE">
        <w:rPr>
          <w:szCs w:val="24"/>
        </w:rPr>
        <w:t>Act</w:t>
      </w:r>
      <w:r w:rsidRPr="000D42AE">
        <w:rPr>
          <w:szCs w:val="24"/>
        </w:rPr>
        <w:t xml:space="preserve"> </w:t>
      </w:r>
      <w:r w:rsidR="00B87748" w:rsidRPr="000D42AE">
        <w:rPr>
          <w:szCs w:val="24"/>
        </w:rPr>
        <w:t xml:space="preserve">provides that </w:t>
      </w:r>
      <w:r w:rsidRPr="000D42AE">
        <w:rPr>
          <w:szCs w:val="24"/>
        </w:rPr>
        <w:t xml:space="preserve">the Minister </w:t>
      </w:r>
      <w:r w:rsidR="00B87748" w:rsidRPr="000D42AE">
        <w:rPr>
          <w:szCs w:val="24"/>
        </w:rPr>
        <w:t>must</w:t>
      </w:r>
      <w:r w:rsidRPr="000D42AE">
        <w:rPr>
          <w:szCs w:val="24"/>
        </w:rPr>
        <w:t xml:space="preserve"> consult with the Commonwealth Chief Medical Officer and each </w:t>
      </w:r>
      <w:r w:rsidR="00B87748" w:rsidRPr="000D42AE">
        <w:rPr>
          <w:szCs w:val="24"/>
        </w:rPr>
        <w:t>S</w:t>
      </w:r>
      <w:r w:rsidRPr="000D42AE">
        <w:rPr>
          <w:szCs w:val="24"/>
        </w:rPr>
        <w:t xml:space="preserve">tate </w:t>
      </w:r>
      <w:r w:rsidR="00B87748" w:rsidRPr="000D42AE">
        <w:rPr>
          <w:szCs w:val="24"/>
        </w:rPr>
        <w:t>or</w:t>
      </w:r>
      <w:r w:rsidRPr="000D42AE">
        <w:rPr>
          <w:szCs w:val="24"/>
        </w:rPr>
        <w:t xml:space="preserve"> </w:t>
      </w:r>
      <w:r w:rsidR="00B87748" w:rsidRPr="000D42AE">
        <w:rPr>
          <w:szCs w:val="24"/>
        </w:rPr>
        <w:t>T</w:t>
      </w:r>
      <w:r w:rsidRPr="000D42AE">
        <w:rPr>
          <w:szCs w:val="24"/>
        </w:rPr>
        <w:t>erritory Health Minister in making or varying the NNDL.  Those consultations have been undertaken.</w:t>
      </w:r>
    </w:p>
    <w:p w14:paraId="21616A64" w14:textId="77777777" w:rsidR="0077085B" w:rsidRPr="000D42AE" w:rsidRDefault="0077085B" w:rsidP="00B87748">
      <w:pPr>
        <w:autoSpaceDE w:val="0"/>
        <w:autoSpaceDN w:val="0"/>
        <w:adjustRightInd w:val="0"/>
        <w:rPr>
          <w:szCs w:val="24"/>
        </w:rPr>
      </w:pPr>
    </w:p>
    <w:p w14:paraId="313B497C" w14:textId="77777777" w:rsidR="0077085B" w:rsidRPr="000D42AE" w:rsidRDefault="00C40F6C" w:rsidP="0077085B">
      <w:pPr>
        <w:shd w:val="clear" w:color="auto" w:fill="FFFFFF"/>
        <w:rPr>
          <w:color w:val="000000"/>
          <w:szCs w:val="24"/>
        </w:rPr>
      </w:pPr>
      <w:r w:rsidRPr="000D42AE">
        <w:rPr>
          <w:color w:val="000000"/>
          <w:szCs w:val="24"/>
        </w:rPr>
        <w:t>T</w:t>
      </w:r>
      <w:r w:rsidR="0077085B" w:rsidRPr="000D42AE">
        <w:rPr>
          <w:color w:val="000000"/>
          <w:szCs w:val="24"/>
        </w:rPr>
        <w:t>he proposed addition</w:t>
      </w:r>
      <w:r w:rsidRPr="000D42AE">
        <w:rPr>
          <w:color w:val="000000"/>
          <w:szCs w:val="24"/>
        </w:rPr>
        <w:t>s</w:t>
      </w:r>
      <w:r w:rsidR="0077085B" w:rsidRPr="000D42AE">
        <w:rPr>
          <w:color w:val="000000"/>
          <w:szCs w:val="24"/>
        </w:rPr>
        <w:t xml:space="preserve"> ha</w:t>
      </w:r>
      <w:r w:rsidRPr="000D42AE">
        <w:rPr>
          <w:color w:val="000000"/>
          <w:szCs w:val="24"/>
        </w:rPr>
        <w:t>ve</w:t>
      </w:r>
      <w:r w:rsidR="0077085B" w:rsidRPr="000D42AE">
        <w:rPr>
          <w:color w:val="000000"/>
          <w:szCs w:val="24"/>
        </w:rPr>
        <w:t xml:space="preserve"> been endorsed by the Communicable Diseases Network Australia, the Australian Health Protection Principal Committee and Health Chief Executive Officers</w:t>
      </w:r>
      <w:r w:rsidRPr="000D42AE">
        <w:rPr>
          <w:color w:val="000000"/>
          <w:szCs w:val="24"/>
        </w:rPr>
        <w:t xml:space="preserve"> in each State and Territory</w:t>
      </w:r>
      <w:r w:rsidR="0077085B" w:rsidRPr="000D42AE">
        <w:rPr>
          <w:color w:val="000000"/>
          <w:szCs w:val="24"/>
        </w:rPr>
        <w:t>.</w:t>
      </w:r>
    </w:p>
    <w:p w14:paraId="4A7ED4A4" w14:textId="77777777" w:rsidR="0077085B" w:rsidRPr="000D42AE" w:rsidRDefault="0077085B" w:rsidP="0077085B">
      <w:pPr>
        <w:shd w:val="clear" w:color="auto" w:fill="FFFFFF"/>
        <w:rPr>
          <w:color w:val="000000"/>
          <w:szCs w:val="24"/>
        </w:rPr>
      </w:pPr>
    </w:p>
    <w:p w14:paraId="7EB07310" w14:textId="1A54AD5D" w:rsidR="0077085B" w:rsidRPr="000D42AE" w:rsidRDefault="0077085B" w:rsidP="0077085B">
      <w:pPr>
        <w:shd w:val="clear" w:color="auto" w:fill="FFFFFF"/>
        <w:rPr>
          <w:color w:val="000000"/>
          <w:szCs w:val="24"/>
        </w:rPr>
      </w:pPr>
      <w:r w:rsidRPr="000D42AE">
        <w:rPr>
          <w:color w:val="000000"/>
          <w:szCs w:val="24"/>
        </w:rPr>
        <w:t xml:space="preserve">This Amending Instrument commences </w:t>
      </w:r>
      <w:r w:rsidR="00A5304D" w:rsidRPr="000D42AE">
        <w:rPr>
          <w:color w:val="000000"/>
          <w:szCs w:val="24"/>
        </w:rPr>
        <w:t>on 1 July 2021.</w:t>
      </w:r>
    </w:p>
    <w:p w14:paraId="523B24B2" w14:textId="77777777" w:rsidR="0077085B" w:rsidRPr="000D42AE" w:rsidRDefault="0077085B" w:rsidP="0077085B">
      <w:pPr>
        <w:shd w:val="clear" w:color="auto" w:fill="FFFFFF"/>
        <w:rPr>
          <w:color w:val="000000"/>
          <w:szCs w:val="24"/>
        </w:rPr>
      </w:pPr>
    </w:p>
    <w:p w14:paraId="41FBB27B" w14:textId="33D477F0" w:rsidR="0077085B" w:rsidRPr="000D42AE" w:rsidRDefault="0077085B" w:rsidP="0077085B">
      <w:pPr>
        <w:shd w:val="clear" w:color="auto" w:fill="FFFFFF"/>
        <w:rPr>
          <w:color w:val="000000"/>
          <w:szCs w:val="24"/>
        </w:rPr>
      </w:pPr>
      <w:r w:rsidRPr="000D42AE">
        <w:rPr>
          <w:color w:val="000000"/>
          <w:szCs w:val="24"/>
        </w:rPr>
        <w:t>This Amending Instrument is a legislative instrument for the purposes of the </w:t>
      </w:r>
      <w:r w:rsidRPr="000D42AE">
        <w:rPr>
          <w:i/>
          <w:iCs/>
          <w:color w:val="000000"/>
          <w:szCs w:val="24"/>
        </w:rPr>
        <w:t>Legislation Act 2003</w:t>
      </w:r>
      <w:r w:rsidR="007906D6" w:rsidRPr="000D42AE">
        <w:rPr>
          <w:i/>
          <w:iCs/>
          <w:color w:val="000000"/>
          <w:szCs w:val="24"/>
        </w:rPr>
        <w:t>.</w:t>
      </w:r>
    </w:p>
    <w:p w14:paraId="6FFAEF26" w14:textId="77777777" w:rsidR="0077085B" w:rsidRPr="000D42AE" w:rsidRDefault="0077085B" w:rsidP="0077085B">
      <w:pPr>
        <w:tabs>
          <w:tab w:val="right" w:pos="8080"/>
        </w:tabs>
        <w:rPr>
          <w:szCs w:val="24"/>
        </w:rPr>
      </w:pPr>
    </w:p>
    <w:p w14:paraId="08B5762D" w14:textId="77777777" w:rsidR="001353A1" w:rsidRPr="000D42AE" w:rsidRDefault="001353A1" w:rsidP="0077085B">
      <w:pPr>
        <w:tabs>
          <w:tab w:val="right" w:pos="8080"/>
        </w:tabs>
      </w:pPr>
      <w:r w:rsidRPr="000D42AE">
        <w:tab/>
      </w:r>
    </w:p>
    <w:p w14:paraId="34834915" w14:textId="77777777" w:rsidR="00BA3CEA" w:rsidRPr="000D42AE" w:rsidRDefault="001353A1" w:rsidP="00076A2D">
      <w:pPr>
        <w:tabs>
          <w:tab w:val="right" w:pos="8080"/>
        </w:tabs>
        <w:jc w:val="center"/>
        <w:rPr>
          <w:i/>
        </w:rPr>
      </w:pPr>
      <w:r w:rsidRPr="000D42AE">
        <w:tab/>
      </w:r>
    </w:p>
    <w:p w14:paraId="2B976EF7" w14:textId="77777777" w:rsidR="00031F4B" w:rsidRPr="000D42AE" w:rsidRDefault="00031F4B" w:rsidP="00031F4B">
      <w:pPr>
        <w:jc w:val="right"/>
        <w:rPr>
          <w:b/>
          <w:u w:val="single"/>
        </w:rPr>
      </w:pPr>
      <w:r w:rsidRPr="000D42AE">
        <w:rPr>
          <w:b/>
          <w:u w:val="single"/>
        </w:rPr>
        <w:br w:type="page"/>
      </w:r>
      <w:r w:rsidRPr="000D42AE">
        <w:rPr>
          <w:b/>
          <w:u w:val="single"/>
        </w:rPr>
        <w:lastRenderedPageBreak/>
        <w:t>ATTACHMENT</w:t>
      </w:r>
    </w:p>
    <w:p w14:paraId="6B88C661" w14:textId="77777777" w:rsidR="00031F4B" w:rsidRPr="000D42AE" w:rsidRDefault="00031F4B" w:rsidP="00031F4B">
      <w:pPr>
        <w:rPr>
          <w:b/>
        </w:rPr>
      </w:pPr>
    </w:p>
    <w:p w14:paraId="792F7078" w14:textId="77777777" w:rsidR="005D4E3A" w:rsidRPr="000D42AE" w:rsidRDefault="005D4E3A" w:rsidP="005D4E3A">
      <w:pPr>
        <w:spacing w:before="100" w:beforeAutospacing="1" w:after="100" w:afterAutospacing="1"/>
        <w:rPr>
          <w:szCs w:val="24"/>
        </w:rPr>
      </w:pPr>
      <w:r w:rsidRPr="000D42AE">
        <w:rPr>
          <w:b/>
          <w:bCs/>
          <w:sz w:val="28"/>
          <w:szCs w:val="28"/>
        </w:rPr>
        <w:t>De</w:t>
      </w:r>
      <w:r w:rsidR="00A570E6" w:rsidRPr="000D42AE">
        <w:rPr>
          <w:b/>
          <w:bCs/>
          <w:sz w:val="28"/>
          <w:szCs w:val="28"/>
        </w:rPr>
        <w:t xml:space="preserve">tails </w:t>
      </w:r>
      <w:r w:rsidRPr="000D42AE">
        <w:rPr>
          <w:b/>
          <w:bCs/>
          <w:sz w:val="28"/>
          <w:szCs w:val="28"/>
        </w:rPr>
        <w:t>of the Instrument</w:t>
      </w:r>
    </w:p>
    <w:p w14:paraId="2BFAA7E7" w14:textId="77777777" w:rsidR="005D4E3A" w:rsidRPr="000D42AE" w:rsidRDefault="005D4E3A" w:rsidP="005D4E3A">
      <w:pPr>
        <w:spacing w:before="100" w:beforeAutospacing="1" w:after="100" w:afterAutospacing="1"/>
        <w:rPr>
          <w:szCs w:val="24"/>
        </w:rPr>
      </w:pPr>
      <w:r w:rsidRPr="000D42AE">
        <w:rPr>
          <w:szCs w:val="24"/>
        </w:rPr>
        <w:t> </w:t>
      </w:r>
      <w:r w:rsidRPr="000D42AE">
        <w:rPr>
          <w:b/>
          <w:bCs/>
          <w:szCs w:val="24"/>
        </w:rPr>
        <w:t>1    Name of Instrument</w:t>
      </w:r>
    </w:p>
    <w:p w14:paraId="4A080995" w14:textId="2FE717B0" w:rsidR="005D4E3A" w:rsidRPr="000D42AE" w:rsidRDefault="005D4A65" w:rsidP="005D4E3A">
      <w:pPr>
        <w:spacing w:before="100" w:beforeAutospacing="1" w:after="100" w:afterAutospacing="1"/>
        <w:rPr>
          <w:szCs w:val="24"/>
        </w:rPr>
      </w:pPr>
      <w:r w:rsidRPr="000D42AE">
        <w:rPr>
          <w:szCs w:val="24"/>
        </w:rPr>
        <w:t>S</w:t>
      </w:r>
      <w:r w:rsidR="004304C2" w:rsidRPr="000D42AE">
        <w:rPr>
          <w:szCs w:val="24"/>
        </w:rPr>
        <w:t>ection</w:t>
      </w:r>
      <w:r w:rsidRPr="000D42AE">
        <w:rPr>
          <w:szCs w:val="24"/>
        </w:rPr>
        <w:t xml:space="preserve"> 1</w:t>
      </w:r>
      <w:r w:rsidR="004304C2" w:rsidRPr="000D42AE">
        <w:rPr>
          <w:szCs w:val="24"/>
        </w:rPr>
        <w:t xml:space="preserve"> </w:t>
      </w:r>
      <w:r w:rsidR="00853FA9" w:rsidRPr="000D42AE">
        <w:rPr>
          <w:szCs w:val="24"/>
        </w:rPr>
        <w:t>s</w:t>
      </w:r>
      <w:r w:rsidR="007906D6" w:rsidRPr="000D42AE">
        <w:rPr>
          <w:szCs w:val="24"/>
        </w:rPr>
        <w:t>tates that the name of the Amending I</w:t>
      </w:r>
      <w:r w:rsidR="004304C2" w:rsidRPr="000D42AE">
        <w:rPr>
          <w:szCs w:val="24"/>
        </w:rPr>
        <w:t xml:space="preserve">nstrument is the </w:t>
      </w:r>
      <w:r w:rsidR="005D4E3A" w:rsidRPr="000D42AE">
        <w:rPr>
          <w:i/>
          <w:szCs w:val="24"/>
        </w:rPr>
        <w:t>National Health Security</w:t>
      </w:r>
      <w:r w:rsidR="00F22745" w:rsidRPr="000D42AE">
        <w:rPr>
          <w:i/>
          <w:szCs w:val="24"/>
        </w:rPr>
        <w:t xml:space="preserve"> </w:t>
      </w:r>
      <w:r w:rsidR="005D4E3A" w:rsidRPr="000D42AE">
        <w:rPr>
          <w:i/>
          <w:szCs w:val="24"/>
        </w:rPr>
        <w:t>(National Notifiable Diseas</w:t>
      </w:r>
      <w:r w:rsidR="00D904C9" w:rsidRPr="000D42AE">
        <w:rPr>
          <w:i/>
          <w:szCs w:val="24"/>
        </w:rPr>
        <w:t>e List) Amendment</w:t>
      </w:r>
      <w:r w:rsidR="004323C6" w:rsidRPr="000D42AE">
        <w:rPr>
          <w:i/>
          <w:szCs w:val="24"/>
        </w:rPr>
        <w:t xml:space="preserve"> (No. 1)</w:t>
      </w:r>
      <w:r w:rsidR="00D904C9" w:rsidRPr="000D42AE">
        <w:rPr>
          <w:i/>
          <w:szCs w:val="24"/>
        </w:rPr>
        <w:t xml:space="preserve"> Instrument 2021</w:t>
      </w:r>
      <w:r w:rsidRPr="000D42AE">
        <w:rPr>
          <w:i/>
          <w:szCs w:val="24"/>
        </w:rPr>
        <w:t>.</w:t>
      </w:r>
    </w:p>
    <w:p w14:paraId="3164699A" w14:textId="77777777" w:rsidR="005D4E3A" w:rsidRPr="000D42AE" w:rsidRDefault="005D4E3A" w:rsidP="005D4E3A">
      <w:pPr>
        <w:spacing w:before="100" w:beforeAutospacing="1" w:after="100" w:afterAutospacing="1"/>
        <w:rPr>
          <w:szCs w:val="24"/>
        </w:rPr>
      </w:pPr>
      <w:r w:rsidRPr="000D42AE">
        <w:rPr>
          <w:szCs w:val="24"/>
        </w:rPr>
        <w:t> </w:t>
      </w:r>
      <w:r w:rsidRPr="000D42AE">
        <w:rPr>
          <w:b/>
          <w:bCs/>
          <w:szCs w:val="24"/>
        </w:rPr>
        <w:t>2    Commencement</w:t>
      </w:r>
    </w:p>
    <w:p w14:paraId="743415EE" w14:textId="586702EE" w:rsidR="005D4E3A" w:rsidRPr="000D42AE" w:rsidRDefault="005D4A65" w:rsidP="005D4E3A">
      <w:pPr>
        <w:spacing w:before="100" w:beforeAutospacing="1" w:after="100" w:afterAutospacing="1"/>
        <w:rPr>
          <w:szCs w:val="24"/>
        </w:rPr>
      </w:pPr>
      <w:r w:rsidRPr="000D42AE">
        <w:rPr>
          <w:szCs w:val="24"/>
        </w:rPr>
        <w:t>Section 2</w:t>
      </w:r>
      <w:r w:rsidR="004304C2" w:rsidRPr="000D42AE">
        <w:rPr>
          <w:szCs w:val="24"/>
        </w:rPr>
        <w:t xml:space="preserve"> </w:t>
      </w:r>
      <w:r w:rsidRPr="000D42AE">
        <w:rPr>
          <w:szCs w:val="24"/>
        </w:rPr>
        <w:t xml:space="preserve">provides for the Amending Instrument to commence </w:t>
      </w:r>
      <w:r w:rsidR="004323C6" w:rsidRPr="000D42AE">
        <w:rPr>
          <w:szCs w:val="24"/>
        </w:rPr>
        <w:t>on 1 July 2021</w:t>
      </w:r>
      <w:r w:rsidRPr="000D42AE">
        <w:rPr>
          <w:szCs w:val="24"/>
        </w:rPr>
        <w:t xml:space="preserve">. </w:t>
      </w:r>
    </w:p>
    <w:p w14:paraId="0D3A3543" w14:textId="77777777" w:rsidR="005D4E3A" w:rsidRPr="000D42AE" w:rsidRDefault="005D4E3A" w:rsidP="00B54413">
      <w:pPr>
        <w:spacing w:before="100" w:beforeAutospacing="1" w:after="100" w:afterAutospacing="1"/>
        <w:rPr>
          <w:b/>
          <w:bCs/>
          <w:szCs w:val="24"/>
        </w:rPr>
      </w:pPr>
      <w:r w:rsidRPr="000D42AE">
        <w:rPr>
          <w:szCs w:val="24"/>
        </w:rPr>
        <w:t> </w:t>
      </w:r>
      <w:r w:rsidRPr="000D42AE">
        <w:rPr>
          <w:b/>
          <w:bCs/>
          <w:szCs w:val="24"/>
        </w:rPr>
        <w:t>3</w:t>
      </w:r>
      <w:r w:rsidR="00B54413" w:rsidRPr="000D42AE">
        <w:rPr>
          <w:b/>
          <w:bCs/>
          <w:szCs w:val="24"/>
        </w:rPr>
        <w:t xml:space="preserve">    </w:t>
      </w:r>
      <w:r w:rsidRPr="000D42AE">
        <w:rPr>
          <w:b/>
          <w:bCs/>
          <w:szCs w:val="24"/>
        </w:rPr>
        <w:t>Authority</w:t>
      </w:r>
    </w:p>
    <w:p w14:paraId="0D1A111A" w14:textId="77777777" w:rsidR="005D4E3A" w:rsidRPr="000D42AE" w:rsidRDefault="005D4A65" w:rsidP="005D4E3A">
      <w:pPr>
        <w:spacing w:before="100" w:beforeAutospacing="1" w:after="100" w:afterAutospacing="1"/>
        <w:rPr>
          <w:szCs w:val="24"/>
        </w:rPr>
      </w:pPr>
      <w:r w:rsidRPr="000D42AE">
        <w:rPr>
          <w:szCs w:val="24"/>
        </w:rPr>
        <w:t>S</w:t>
      </w:r>
      <w:r w:rsidR="006F5470" w:rsidRPr="000D42AE">
        <w:rPr>
          <w:szCs w:val="24"/>
        </w:rPr>
        <w:t xml:space="preserve">ection </w:t>
      </w:r>
      <w:r w:rsidRPr="000D42AE">
        <w:rPr>
          <w:szCs w:val="24"/>
        </w:rPr>
        <w:t xml:space="preserve">3 provides that subsection 11(3) of the </w:t>
      </w:r>
      <w:r w:rsidRPr="000D42AE">
        <w:rPr>
          <w:i/>
          <w:szCs w:val="24"/>
        </w:rPr>
        <w:t xml:space="preserve">National Health Security Act 2007 </w:t>
      </w:r>
      <w:r w:rsidRPr="000D42AE">
        <w:rPr>
          <w:szCs w:val="24"/>
        </w:rPr>
        <w:t>provides authority for the making of this Instrument</w:t>
      </w:r>
      <w:r w:rsidRPr="000D42AE">
        <w:rPr>
          <w:i/>
          <w:szCs w:val="24"/>
        </w:rPr>
        <w:t xml:space="preserve">. </w:t>
      </w:r>
    </w:p>
    <w:p w14:paraId="3C0ECA0B" w14:textId="77777777" w:rsidR="005D4E3A" w:rsidRPr="000D42AE" w:rsidRDefault="005D4E3A" w:rsidP="0069662B">
      <w:pPr>
        <w:spacing w:before="100" w:beforeAutospacing="1" w:after="100" w:afterAutospacing="1"/>
        <w:rPr>
          <w:szCs w:val="24"/>
        </w:rPr>
      </w:pPr>
      <w:r w:rsidRPr="000D42AE">
        <w:rPr>
          <w:szCs w:val="24"/>
        </w:rPr>
        <w:t> </w:t>
      </w:r>
      <w:r w:rsidRPr="000D42AE">
        <w:rPr>
          <w:b/>
          <w:bCs/>
          <w:szCs w:val="24"/>
        </w:rPr>
        <w:t>4</w:t>
      </w:r>
      <w:r w:rsidR="00B54413" w:rsidRPr="000D42AE">
        <w:rPr>
          <w:b/>
          <w:bCs/>
          <w:szCs w:val="24"/>
        </w:rPr>
        <w:t>   </w:t>
      </w:r>
      <w:r w:rsidRPr="000D42AE">
        <w:rPr>
          <w:b/>
          <w:bCs/>
          <w:szCs w:val="24"/>
        </w:rPr>
        <w:t>Schedule</w:t>
      </w:r>
    </w:p>
    <w:p w14:paraId="1E69D94C" w14:textId="77777777" w:rsidR="00F60505" w:rsidRPr="000D42AE" w:rsidRDefault="005D4A65" w:rsidP="00F60505">
      <w:pPr>
        <w:spacing w:before="100" w:beforeAutospacing="1" w:after="100" w:afterAutospacing="1"/>
        <w:rPr>
          <w:szCs w:val="24"/>
        </w:rPr>
      </w:pPr>
      <w:r w:rsidRPr="000D42AE">
        <w:rPr>
          <w:szCs w:val="24"/>
        </w:rPr>
        <w:t>S</w:t>
      </w:r>
      <w:r w:rsidR="005D4E3A" w:rsidRPr="000D42AE">
        <w:rPr>
          <w:szCs w:val="24"/>
        </w:rPr>
        <w:t>ection</w:t>
      </w:r>
      <w:r w:rsidRPr="000D42AE">
        <w:rPr>
          <w:szCs w:val="24"/>
        </w:rPr>
        <w:t xml:space="preserve"> 4</w:t>
      </w:r>
      <w:r w:rsidR="005D4E3A" w:rsidRPr="000D42AE">
        <w:rPr>
          <w:szCs w:val="24"/>
        </w:rPr>
        <w:t xml:space="preserve"> </w:t>
      </w:r>
      <w:r w:rsidR="00F60505" w:rsidRPr="000D42AE">
        <w:rPr>
          <w:szCs w:val="24"/>
        </w:rPr>
        <w:t xml:space="preserve">provides for the amendment of the instrument as set out in Schedule 1. </w:t>
      </w:r>
    </w:p>
    <w:p w14:paraId="5DC1EF28" w14:textId="77777777" w:rsidR="005D4E3A" w:rsidRPr="000D42AE" w:rsidRDefault="005D4E3A" w:rsidP="005D4E3A">
      <w:pPr>
        <w:spacing w:before="100" w:beforeAutospacing="1" w:after="100" w:afterAutospacing="1"/>
        <w:rPr>
          <w:b/>
          <w:bCs/>
          <w:szCs w:val="24"/>
        </w:rPr>
      </w:pPr>
      <w:r w:rsidRPr="000D42AE">
        <w:rPr>
          <w:b/>
          <w:bCs/>
          <w:szCs w:val="24"/>
        </w:rPr>
        <w:t>SCHEDULE 1 - AMENDMENTS</w:t>
      </w:r>
    </w:p>
    <w:p w14:paraId="7400B45C" w14:textId="77777777" w:rsidR="00FA5216" w:rsidRPr="000D42AE" w:rsidRDefault="005D4E3A" w:rsidP="005D4E3A">
      <w:pPr>
        <w:spacing w:line="260" w:lineRule="exact"/>
        <w:rPr>
          <w:szCs w:val="24"/>
        </w:rPr>
      </w:pPr>
      <w:r w:rsidRPr="000D42AE">
        <w:rPr>
          <w:szCs w:val="24"/>
        </w:rPr>
        <w:t xml:space="preserve">Schedule 1 </w:t>
      </w:r>
      <w:r w:rsidR="002965B8" w:rsidRPr="000D42AE">
        <w:rPr>
          <w:szCs w:val="24"/>
        </w:rPr>
        <w:t>repeals</w:t>
      </w:r>
      <w:r w:rsidR="00C45F92" w:rsidRPr="000D42AE">
        <w:rPr>
          <w:szCs w:val="24"/>
        </w:rPr>
        <w:t xml:space="preserve"> subsection</w:t>
      </w:r>
      <w:r w:rsidR="00807DE0" w:rsidRPr="000D42AE">
        <w:rPr>
          <w:szCs w:val="24"/>
        </w:rPr>
        <w:t xml:space="preserve"> </w:t>
      </w:r>
      <w:r w:rsidR="00C45F92" w:rsidRPr="000D42AE">
        <w:t xml:space="preserve">6(1) </w:t>
      </w:r>
      <w:r w:rsidRPr="000D42AE">
        <w:rPr>
          <w:szCs w:val="24"/>
        </w:rPr>
        <w:t xml:space="preserve">of the </w:t>
      </w:r>
      <w:r w:rsidR="00104F7D" w:rsidRPr="000D42AE">
        <w:rPr>
          <w:i/>
          <w:szCs w:val="24"/>
        </w:rPr>
        <w:t>National Health Security (National</w:t>
      </w:r>
      <w:r w:rsidR="00155A04" w:rsidRPr="000D42AE">
        <w:rPr>
          <w:i/>
          <w:szCs w:val="24"/>
        </w:rPr>
        <w:t xml:space="preserve"> </w:t>
      </w:r>
      <w:r w:rsidR="00104F7D" w:rsidRPr="000D42AE">
        <w:rPr>
          <w:i/>
          <w:szCs w:val="24"/>
        </w:rPr>
        <w:t>Notifiable Disease List) I</w:t>
      </w:r>
      <w:r w:rsidRPr="000D42AE">
        <w:rPr>
          <w:i/>
          <w:szCs w:val="24"/>
        </w:rPr>
        <w:t>nstrument</w:t>
      </w:r>
      <w:r w:rsidR="00104F7D" w:rsidRPr="000D42AE">
        <w:rPr>
          <w:i/>
          <w:szCs w:val="24"/>
        </w:rPr>
        <w:t xml:space="preserve"> 20</w:t>
      </w:r>
      <w:r w:rsidR="00AA2130" w:rsidRPr="000D42AE">
        <w:rPr>
          <w:i/>
          <w:szCs w:val="24"/>
        </w:rPr>
        <w:t>1</w:t>
      </w:r>
      <w:r w:rsidR="00104F7D" w:rsidRPr="000D42AE">
        <w:rPr>
          <w:i/>
          <w:szCs w:val="24"/>
        </w:rPr>
        <w:t>8</w:t>
      </w:r>
      <w:r w:rsidRPr="000D42AE">
        <w:rPr>
          <w:szCs w:val="24"/>
        </w:rPr>
        <w:t xml:space="preserve"> </w:t>
      </w:r>
      <w:r w:rsidR="0069662B" w:rsidRPr="000D42AE">
        <w:rPr>
          <w:szCs w:val="24"/>
        </w:rPr>
        <w:t xml:space="preserve">and substitutes it </w:t>
      </w:r>
      <w:r w:rsidR="00807DE0" w:rsidRPr="000D42AE">
        <w:rPr>
          <w:szCs w:val="24"/>
        </w:rPr>
        <w:t xml:space="preserve">with the new </w:t>
      </w:r>
      <w:r w:rsidR="00C45F92" w:rsidRPr="000D42AE">
        <w:rPr>
          <w:szCs w:val="24"/>
        </w:rPr>
        <w:t xml:space="preserve">subsection </w:t>
      </w:r>
      <w:r w:rsidR="00C45F92" w:rsidRPr="000D42AE">
        <w:t xml:space="preserve">6(1) </w:t>
      </w:r>
      <w:r w:rsidR="00DB6D94" w:rsidRPr="000D42AE">
        <w:rPr>
          <w:szCs w:val="24"/>
        </w:rPr>
        <w:t>which includes the disease</w:t>
      </w:r>
      <w:r w:rsidR="00C45F92" w:rsidRPr="000D42AE">
        <w:rPr>
          <w:szCs w:val="24"/>
        </w:rPr>
        <w:t>s</w:t>
      </w:r>
      <w:r w:rsidR="00DB6D94" w:rsidRPr="000D42AE">
        <w:rPr>
          <w:szCs w:val="24"/>
        </w:rPr>
        <w:t xml:space="preserve"> </w:t>
      </w:r>
      <w:r w:rsidR="00200DB4" w:rsidRPr="000D42AE">
        <w:rPr>
          <w:szCs w:val="24"/>
        </w:rPr>
        <w:t>‘</w:t>
      </w:r>
      <w:r w:rsidR="00C45F92" w:rsidRPr="000D42AE">
        <w:rPr>
          <w:szCs w:val="24"/>
        </w:rPr>
        <w:t xml:space="preserve">Group </w:t>
      </w:r>
      <w:r w:rsidR="00694AAE" w:rsidRPr="000D42AE">
        <w:rPr>
          <w:szCs w:val="24"/>
        </w:rPr>
        <w:t>A streptococcal</w:t>
      </w:r>
      <w:r w:rsidR="00C45F92" w:rsidRPr="000D42AE">
        <w:rPr>
          <w:szCs w:val="24"/>
        </w:rPr>
        <w:t xml:space="preserve"> disease – invasive (</w:t>
      </w:r>
      <w:r w:rsidR="00694AAE" w:rsidRPr="000D42AE">
        <w:rPr>
          <w:szCs w:val="24"/>
        </w:rPr>
        <w:t>iGAS</w:t>
      </w:r>
      <w:r w:rsidR="00200DB4" w:rsidRPr="000D42AE">
        <w:rPr>
          <w:szCs w:val="24"/>
        </w:rPr>
        <w:t>)’</w:t>
      </w:r>
      <w:r w:rsidR="00C45F92" w:rsidRPr="000D42AE">
        <w:rPr>
          <w:szCs w:val="24"/>
        </w:rPr>
        <w:t xml:space="preserve"> and ‘Respiratory syncytial virus (RSV) infection’</w:t>
      </w:r>
      <w:r w:rsidR="00CB14E0" w:rsidRPr="000D42AE">
        <w:rPr>
          <w:szCs w:val="24"/>
        </w:rPr>
        <w:t>.</w:t>
      </w:r>
    </w:p>
    <w:p w14:paraId="5A141DAA" w14:textId="77777777" w:rsidR="00FA5216" w:rsidRPr="000D42AE" w:rsidRDefault="00FA5216" w:rsidP="005D4E3A">
      <w:pPr>
        <w:spacing w:line="260" w:lineRule="exact"/>
        <w:rPr>
          <w:szCs w:val="24"/>
        </w:rPr>
      </w:pPr>
    </w:p>
    <w:p w14:paraId="50C2E07E" w14:textId="77777777" w:rsidR="005D4E3A" w:rsidRPr="000D42AE" w:rsidRDefault="005D4E3A">
      <w:pPr>
        <w:spacing w:before="240" w:after="60"/>
      </w:pPr>
      <w:r w:rsidRPr="000D42AE">
        <w:br w:type="page"/>
      </w:r>
    </w:p>
    <w:p w14:paraId="5F2B2487" w14:textId="77777777" w:rsidR="006864AC" w:rsidRPr="000D42AE" w:rsidRDefault="006864AC" w:rsidP="00031F4B">
      <w:pPr>
        <w:spacing w:before="360" w:after="120"/>
        <w:jc w:val="center"/>
        <w:rPr>
          <w:b/>
          <w:sz w:val="28"/>
          <w:szCs w:val="28"/>
        </w:rPr>
      </w:pPr>
    </w:p>
    <w:p w14:paraId="15253852" w14:textId="77777777" w:rsidR="00031F4B" w:rsidRPr="000D42AE" w:rsidRDefault="00031F4B" w:rsidP="00031F4B">
      <w:pPr>
        <w:spacing w:before="360" w:after="120"/>
        <w:jc w:val="center"/>
        <w:rPr>
          <w:b/>
          <w:sz w:val="28"/>
          <w:szCs w:val="28"/>
        </w:rPr>
      </w:pPr>
      <w:r w:rsidRPr="000D42AE">
        <w:rPr>
          <w:b/>
          <w:sz w:val="28"/>
          <w:szCs w:val="28"/>
        </w:rPr>
        <w:t>Statement of Compatibility with Human Rights</w:t>
      </w:r>
    </w:p>
    <w:p w14:paraId="4FEE5D22" w14:textId="77777777" w:rsidR="00031F4B" w:rsidRPr="000D42AE" w:rsidRDefault="00031F4B" w:rsidP="00031F4B">
      <w:pPr>
        <w:spacing w:before="120" w:after="120"/>
        <w:jc w:val="center"/>
      </w:pPr>
      <w:r w:rsidRPr="000D42AE">
        <w:rPr>
          <w:i/>
        </w:rPr>
        <w:t>Prepared in accordance with Part 3 of the Human Rights (Parliamentary Scrutiny) Act 2011</w:t>
      </w:r>
    </w:p>
    <w:p w14:paraId="0677B5CD" w14:textId="04B72411" w:rsidR="005D4E3A" w:rsidRPr="000D42AE" w:rsidRDefault="005D4E3A" w:rsidP="005D4E3A">
      <w:pPr>
        <w:spacing w:after="120"/>
        <w:jc w:val="center"/>
        <w:rPr>
          <w:b/>
          <w:i/>
        </w:rPr>
      </w:pPr>
      <w:r w:rsidRPr="000D42AE">
        <w:rPr>
          <w:b/>
          <w:i/>
        </w:rPr>
        <w:t>National Health Security (National Notifiable Disease List) Amendment</w:t>
      </w:r>
      <w:r w:rsidR="007906D6" w:rsidRPr="000D42AE">
        <w:rPr>
          <w:b/>
          <w:i/>
        </w:rPr>
        <w:t xml:space="preserve"> (No. 1)</w:t>
      </w:r>
      <w:r w:rsidRPr="000D42AE">
        <w:rPr>
          <w:b/>
          <w:i/>
        </w:rPr>
        <w:t xml:space="preserve"> </w:t>
      </w:r>
      <w:r w:rsidR="00CB14E0" w:rsidRPr="000D42AE">
        <w:rPr>
          <w:b/>
          <w:i/>
        </w:rPr>
        <w:t>Instrument 2021</w:t>
      </w:r>
    </w:p>
    <w:p w14:paraId="398621C9" w14:textId="77777777" w:rsidR="005D4E3A" w:rsidRPr="000D42AE" w:rsidRDefault="005D4E3A" w:rsidP="00031F4B">
      <w:pPr>
        <w:spacing w:before="120" w:after="120"/>
        <w:jc w:val="center"/>
      </w:pPr>
    </w:p>
    <w:p w14:paraId="69CAEB37" w14:textId="6E2F98E5" w:rsidR="00031F4B" w:rsidRPr="000D42AE" w:rsidRDefault="00031F4B" w:rsidP="00031F4B">
      <w:pPr>
        <w:spacing w:before="120" w:after="120"/>
        <w:jc w:val="center"/>
      </w:pPr>
      <w:r w:rsidRPr="000D42AE">
        <w:t>Th</w:t>
      </w:r>
      <w:r w:rsidR="00BD13B6" w:rsidRPr="000D42AE">
        <w:t xml:space="preserve">e </w:t>
      </w:r>
      <w:r w:rsidR="00BD13B6" w:rsidRPr="000D42AE">
        <w:rPr>
          <w:i/>
        </w:rPr>
        <w:t>National Health Security (National Notifiable Diseas</w:t>
      </w:r>
      <w:r w:rsidR="00CB14E0" w:rsidRPr="000D42AE">
        <w:rPr>
          <w:i/>
        </w:rPr>
        <w:t>e List) Amendment</w:t>
      </w:r>
      <w:r w:rsidR="007906D6" w:rsidRPr="000D42AE">
        <w:rPr>
          <w:i/>
        </w:rPr>
        <w:t xml:space="preserve"> (No. 1)</w:t>
      </w:r>
      <w:r w:rsidR="00CB14E0" w:rsidRPr="000D42AE">
        <w:rPr>
          <w:i/>
        </w:rPr>
        <w:t xml:space="preserve"> Instrument 2021</w:t>
      </w:r>
      <w:r w:rsidR="00BD13B6" w:rsidRPr="000D42AE">
        <w:rPr>
          <w:i/>
        </w:rPr>
        <w:t xml:space="preserve"> </w:t>
      </w:r>
      <w:r w:rsidR="00BD13B6" w:rsidRPr="000D42AE">
        <w:t xml:space="preserve">(the </w:t>
      </w:r>
      <w:r w:rsidR="006E62E8" w:rsidRPr="000D42AE">
        <w:t>Amending</w:t>
      </w:r>
      <w:r w:rsidR="00BD13B6" w:rsidRPr="000D42AE">
        <w:t xml:space="preserve"> Inst</w:t>
      </w:r>
      <w:r w:rsidRPr="000D42AE">
        <w:t>rument</w:t>
      </w:r>
      <w:r w:rsidR="00BD13B6" w:rsidRPr="000D42AE">
        <w:t>)</w:t>
      </w:r>
      <w:r w:rsidRPr="000D42AE">
        <w:t xml:space="preserve"> is compatible with the human rights and freedoms recognised or declared in the international instruments listed in section 3 of the </w:t>
      </w:r>
      <w:r w:rsidRPr="000D42AE">
        <w:rPr>
          <w:i/>
        </w:rPr>
        <w:t>Human Rights (Parliamentary Scrutiny) Act 2011</w:t>
      </w:r>
      <w:r w:rsidRPr="000D42AE">
        <w:t>.</w:t>
      </w:r>
    </w:p>
    <w:p w14:paraId="28AE9CF6" w14:textId="77777777" w:rsidR="00B855F4" w:rsidRPr="000D42AE" w:rsidRDefault="00B855F4" w:rsidP="00031F4B">
      <w:pPr>
        <w:spacing w:before="120" w:after="120"/>
        <w:jc w:val="both"/>
        <w:rPr>
          <w:b/>
        </w:rPr>
      </w:pPr>
    </w:p>
    <w:p w14:paraId="4DC84622" w14:textId="77777777" w:rsidR="00031F4B" w:rsidRPr="000D42AE" w:rsidRDefault="00031F4B" w:rsidP="00031F4B">
      <w:pPr>
        <w:spacing w:before="120" w:after="120"/>
        <w:jc w:val="both"/>
        <w:rPr>
          <w:b/>
        </w:rPr>
      </w:pPr>
      <w:r w:rsidRPr="000D42AE">
        <w:rPr>
          <w:b/>
        </w:rPr>
        <w:t xml:space="preserve">Overview of the </w:t>
      </w:r>
      <w:r w:rsidR="006E62E8" w:rsidRPr="000D42AE">
        <w:rPr>
          <w:b/>
        </w:rPr>
        <w:t>Amending</w:t>
      </w:r>
      <w:r w:rsidRPr="000D42AE">
        <w:rPr>
          <w:b/>
        </w:rPr>
        <w:t xml:space="preserve"> Instrument</w:t>
      </w:r>
    </w:p>
    <w:p w14:paraId="17376C1B" w14:textId="77777777" w:rsidR="00C72ABF" w:rsidRPr="000D42AE" w:rsidRDefault="00C72ABF" w:rsidP="00031F4B">
      <w:pPr>
        <w:spacing w:before="120" w:after="120"/>
      </w:pPr>
      <w:r w:rsidRPr="000D42AE">
        <w:t>Th</w:t>
      </w:r>
      <w:r w:rsidR="00E148DF" w:rsidRPr="000D42AE">
        <w:t>e</w:t>
      </w:r>
      <w:r w:rsidRPr="000D42AE">
        <w:t xml:space="preserve"> </w:t>
      </w:r>
      <w:r w:rsidR="006E62E8" w:rsidRPr="000D42AE">
        <w:t>Amending</w:t>
      </w:r>
      <w:r w:rsidRPr="000D42AE">
        <w:t xml:space="preserve"> Instrument amends the </w:t>
      </w:r>
      <w:r w:rsidR="00BD13B6" w:rsidRPr="000D42AE">
        <w:rPr>
          <w:i/>
        </w:rPr>
        <w:t>National Health Security (National Notifia</w:t>
      </w:r>
      <w:r w:rsidR="00AA2130" w:rsidRPr="000D42AE">
        <w:rPr>
          <w:i/>
        </w:rPr>
        <w:t>ble Disease List) Instrument 201</w:t>
      </w:r>
      <w:r w:rsidR="00BD13B6" w:rsidRPr="000D42AE">
        <w:rPr>
          <w:i/>
        </w:rPr>
        <w:t xml:space="preserve">8 </w:t>
      </w:r>
      <w:r w:rsidR="00BD13B6" w:rsidRPr="000D42AE">
        <w:t xml:space="preserve">(the Principle Instrument) </w:t>
      </w:r>
      <w:r w:rsidRPr="000D42AE">
        <w:t>to improve the national surveillance of two diseases.</w:t>
      </w:r>
    </w:p>
    <w:p w14:paraId="443B14E9" w14:textId="7C7B6BB8" w:rsidR="00C72ABF" w:rsidRPr="000D42AE" w:rsidRDefault="00C72ABF" w:rsidP="0077085B">
      <w:pPr>
        <w:rPr>
          <w:rFonts w:cs="Tahoma"/>
          <w:bCs/>
        </w:rPr>
      </w:pPr>
      <w:r w:rsidRPr="000D42AE">
        <w:t xml:space="preserve">There are two amendments.  The first amendment adds the disease </w:t>
      </w:r>
      <w:r w:rsidR="00CC78ED" w:rsidRPr="000D42AE">
        <w:t>‘</w:t>
      </w:r>
      <w:r w:rsidR="008E6ADF" w:rsidRPr="000D42AE">
        <w:t xml:space="preserve">Group A </w:t>
      </w:r>
      <w:r w:rsidR="00736C45" w:rsidRPr="000D42AE">
        <w:t>s</w:t>
      </w:r>
      <w:r w:rsidR="008E6ADF" w:rsidRPr="000D42AE">
        <w:t>treptococcal</w:t>
      </w:r>
      <w:r w:rsidR="005F6528" w:rsidRPr="000D42AE">
        <w:t xml:space="preserve"> disease – invasive (</w:t>
      </w:r>
      <w:r w:rsidR="008E6ADF" w:rsidRPr="000D42AE">
        <w:t>iGAS</w:t>
      </w:r>
      <w:r w:rsidR="00CC78ED" w:rsidRPr="000D42AE">
        <w:t>)’ t</w:t>
      </w:r>
      <w:r w:rsidRPr="000D42AE">
        <w:t xml:space="preserve">o the </w:t>
      </w:r>
      <w:r w:rsidR="00BD13B6" w:rsidRPr="000D42AE">
        <w:t>Principle Instrument</w:t>
      </w:r>
      <w:r w:rsidRPr="000D42AE">
        <w:t xml:space="preserve">, making this disease nationally notifiable.  </w:t>
      </w:r>
      <w:r w:rsidR="0077085B" w:rsidRPr="000D42AE">
        <w:rPr>
          <w:rFonts w:cs="Tahoma"/>
          <w:bCs/>
        </w:rPr>
        <w:t>Notification of cases to public health authorities would enable surveillance of iGAS with the aim of better identifying, responding to and managing the public health risks associated with outbreaks and clusters.</w:t>
      </w:r>
    </w:p>
    <w:p w14:paraId="299E04F7" w14:textId="77777777" w:rsidR="0077085B" w:rsidRPr="000D42AE" w:rsidRDefault="0077085B" w:rsidP="0077085B">
      <w:pPr>
        <w:rPr>
          <w:rFonts w:eastAsia="Arial" w:cs="Arial"/>
        </w:rPr>
      </w:pPr>
    </w:p>
    <w:p w14:paraId="2E3134CC" w14:textId="170A029F" w:rsidR="0077085B" w:rsidRPr="000D42AE" w:rsidRDefault="00C72ABF" w:rsidP="0077085B">
      <w:pPr>
        <w:rPr>
          <w:rFonts w:cs="Tahoma"/>
          <w:bCs/>
        </w:rPr>
      </w:pPr>
      <w:r w:rsidRPr="000D42AE">
        <w:t xml:space="preserve">The second amendment </w:t>
      </w:r>
      <w:r w:rsidR="008E6ADF" w:rsidRPr="000D42AE">
        <w:t xml:space="preserve">adds the disease ‘Respiratory </w:t>
      </w:r>
      <w:r w:rsidR="005F6528" w:rsidRPr="000D42AE">
        <w:t>syncytial v</w:t>
      </w:r>
      <w:r w:rsidR="008E6ADF" w:rsidRPr="000D42AE">
        <w:t>irus</w:t>
      </w:r>
      <w:r w:rsidR="005F6528" w:rsidRPr="000D42AE">
        <w:t xml:space="preserve"> (</w:t>
      </w:r>
      <w:r w:rsidR="008E6ADF" w:rsidRPr="000D42AE">
        <w:t>RSV)</w:t>
      </w:r>
      <w:r w:rsidR="005F6528" w:rsidRPr="000D42AE">
        <w:t xml:space="preserve"> infection</w:t>
      </w:r>
      <w:r w:rsidR="008E6ADF" w:rsidRPr="000D42AE">
        <w:t xml:space="preserve">’ to the Principle Instrument, making this disease nationally notifiable.  </w:t>
      </w:r>
      <w:r w:rsidR="0077085B" w:rsidRPr="000D42AE">
        <w:rPr>
          <w:rFonts w:cs="Tahoma"/>
          <w:bCs/>
        </w:rPr>
        <w:t xml:space="preserve">Notification of cases to public health authorities would enable better understanding of the epidemiology and burden of RSV and inform public health response and control measures. </w:t>
      </w:r>
    </w:p>
    <w:p w14:paraId="30C35160" w14:textId="77777777" w:rsidR="00C63071" w:rsidRPr="000D42AE" w:rsidRDefault="00C63071" w:rsidP="00031F4B">
      <w:pPr>
        <w:spacing w:before="120" w:after="120"/>
      </w:pPr>
      <w:r w:rsidRPr="000D42AE">
        <w:t>These amendments do not make any substantive changes to the law.</w:t>
      </w:r>
    </w:p>
    <w:p w14:paraId="50158C7E" w14:textId="77777777" w:rsidR="00031F4B" w:rsidRPr="000D42AE" w:rsidRDefault="00031F4B" w:rsidP="00031F4B">
      <w:pPr>
        <w:spacing w:before="120" w:after="120"/>
        <w:rPr>
          <w:b/>
        </w:rPr>
      </w:pPr>
      <w:r w:rsidRPr="000D42AE">
        <w:rPr>
          <w:b/>
        </w:rPr>
        <w:t>Human rights implications</w:t>
      </w:r>
    </w:p>
    <w:p w14:paraId="65BB9596" w14:textId="77777777" w:rsidR="0077085B" w:rsidRPr="000D42AE" w:rsidRDefault="0077085B" w:rsidP="0077085B">
      <w:pPr>
        <w:shd w:val="clear" w:color="auto" w:fill="FFFFFF"/>
        <w:spacing w:before="120" w:after="120"/>
        <w:rPr>
          <w:color w:val="000000"/>
          <w:szCs w:val="24"/>
        </w:rPr>
      </w:pPr>
      <w:r w:rsidRPr="000D42AE">
        <w:rPr>
          <w:color w:val="000000"/>
          <w:szCs w:val="24"/>
        </w:rPr>
        <w:t>The Amending Instrument engages the human right of everyone to the enjoyment of the highest attainable standard of physical and mental health.</w:t>
      </w:r>
    </w:p>
    <w:p w14:paraId="68669732" w14:textId="77777777" w:rsidR="0077085B" w:rsidRPr="000D42AE" w:rsidRDefault="0077085B" w:rsidP="0077085B">
      <w:pPr>
        <w:shd w:val="clear" w:color="auto" w:fill="FFFFFF"/>
        <w:spacing w:before="120" w:after="120"/>
        <w:rPr>
          <w:color w:val="000000"/>
          <w:szCs w:val="24"/>
        </w:rPr>
      </w:pPr>
      <w:r w:rsidRPr="000D42AE">
        <w:rPr>
          <w:color w:val="000000"/>
          <w:szCs w:val="24"/>
        </w:rPr>
        <w:t>This instrument promotes the right to health as it deals with notifiable diseases, and support the rapid investigation and control of communicable disease outbreaks and other matters relating to public health</w:t>
      </w:r>
    </w:p>
    <w:p w14:paraId="42C35518" w14:textId="77777777" w:rsidR="00C63071" w:rsidRPr="000D42AE" w:rsidRDefault="00C63071" w:rsidP="00031F4B">
      <w:pPr>
        <w:tabs>
          <w:tab w:val="num" w:pos="2289"/>
        </w:tabs>
        <w:rPr>
          <w:b/>
          <w:szCs w:val="24"/>
        </w:rPr>
      </w:pPr>
    </w:p>
    <w:p w14:paraId="5AA46431" w14:textId="77777777" w:rsidR="00B855F4" w:rsidRPr="000D42AE" w:rsidRDefault="00B855F4" w:rsidP="00031F4B">
      <w:pPr>
        <w:tabs>
          <w:tab w:val="num" w:pos="2289"/>
        </w:tabs>
        <w:rPr>
          <w:b/>
          <w:szCs w:val="24"/>
        </w:rPr>
      </w:pPr>
      <w:r w:rsidRPr="000D42AE">
        <w:rPr>
          <w:b/>
          <w:szCs w:val="24"/>
        </w:rPr>
        <w:t>Conclusion</w:t>
      </w:r>
    </w:p>
    <w:p w14:paraId="6FA489E8" w14:textId="77777777" w:rsidR="00B855F4" w:rsidRPr="000D42AE" w:rsidRDefault="0077085B" w:rsidP="00031F4B">
      <w:pPr>
        <w:tabs>
          <w:tab w:val="num" w:pos="2289"/>
        </w:tabs>
        <w:rPr>
          <w:szCs w:val="24"/>
        </w:rPr>
      </w:pPr>
      <w:r w:rsidRPr="000D42AE">
        <w:rPr>
          <w:color w:val="000000"/>
          <w:shd w:val="clear" w:color="auto" w:fill="FFFFFF"/>
        </w:rPr>
        <w:t>The Amending Instrument is compatible with human rights because it promotes protection of the right to the enjoyment of the highest attainable standard of physical and mental health.</w:t>
      </w:r>
    </w:p>
    <w:p w14:paraId="164B8EE2" w14:textId="77777777" w:rsidR="00B855F4" w:rsidRPr="000D42AE" w:rsidRDefault="00B855F4" w:rsidP="00031F4B">
      <w:pPr>
        <w:tabs>
          <w:tab w:val="num" w:pos="2289"/>
        </w:tabs>
        <w:rPr>
          <w:szCs w:val="24"/>
        </w:rPr>
      </w:pPr>
    </w:p>
    <w:p w14:paraId="6BB5227B" w14:textId="77777777" w:rsidR="00031F4B" w:rsidRPr="000D42AE" w:rsidRDefault="00031F4B" w:rsidP="00031F4B">
      <w:pPr>
        <w:jc w:val="center"/>
        <w:rPr>
          <w:b/>
        </w:rPr>
      </w:pPr>
      <w:r w:rsidRPr="000D42AE">
        <w:rPr>
          <w:b/>
        </w:rPr>
        <w:t xml:space="preserve">The Hon </w:t>
      </w:r>
      <w:r w:rsidR="00807DE0" w:rsidRPr="000D42AE">
        <w:rPr>
          <w:b/>
        </w:rPr>
        <w:t>Greg Hunt</w:t>
      </w:r>
      <w:r w:rsidRPr="000D42AE">
        <w:rPr>
          <w:b/>
        </w:rPr>
        <w:t xml:space="preserve"> MP</w:t>
      </w:r>
    </w:p>
    <w:p w14:paraId="1EF8B33C" w14:textId="77777777" w:rsidR="00031F4B" w:rsidRPr="000D42AE" w:rsidRDefault="00031F4B" w:rsidP="00031F4B">
      <w:pPr>
        <w:jc w:val="center"/>
        <w:rPr>
          <w:b/>
        </w:rPr>
      </w:pPr>
    </w:p>
    <w:p w14:paraId="4600C3A9" w14:textId="77777777" w:rsidR="00B42851" w:rsidRPr="00807DE0" w:rsidRDefault="00B855F4" w:rsidP="00807DE0">
      <w:pPr>
        <w:jc w:val="center"/>
        <w:rPr>
          <w:b/>
        </w:rPr>
      </w:pPr>
      <w:r w:rsidRPr="000D42AE">
        <w:rPr>
          <w:b/>
        </w:rPr>
        <w:t>Minister for Health</w:t>
      </w:r>
      <w:bookmarkStart w:id="0" w:name="_GoBack"/>
      <w:bookmarkEnd w:id="0"/>
    </w:p>
    <w:sectPr w:rsidR="00B42851" w:rsidRPr="00807DE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7B40B" w14:textId="77777777" w:rsidR="007D1109" w:rsidRDefault="007D1109" w:rsidP="00EA49CD">
      <w:r>
        <w:separator/>
      </w:r>
    </w:p>
  </w:endnote>
  <w:endnote w:type="continuationSeparator" w:id="0">
    <w:p w14:paraId="33FCBABF" w14:textId="77777777" w:rsidR="007D1109" w:rsidRDefault="007D1109" w:rsidP="00EA49CD">
      <w:r>
        <w:continuationSeparator/>
      </w:r>
    </w:p>
  </w:endnote>
  <w:endnote w:type="continuationNotice" w:id="1">
    <w:p w14:paraId="0F391DBB" w14:textId="77777777" w:rsidR="00F52968" w:rsidRDefault="00F52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E5209" w14:textId="77777777" w:rsidR="007D1109" w:rsidRDefault="007D1109" w:rsidP="00EA49CD">
      <w:r>
        <w:separator/>
      </w:r>
    </w:p>
  </w:footnote>
  <w:footnote w:type="continuationSeparator" w:id="0">
    <w:p w14:paraId="5E45A872" w14:textId="77777777" w:rsidR="007D1109" w:rsidRDefault="007D1109" w:rsidP="00EA49CD">
      <w:r>
        <w:continuationSeparator/>
      </w:r>
    </w:p>
  </w:footnote>
  <w:footnote w:type="continuationNotice" w:id="1">
    <w:p w14:paraId="7E510D6F" w14:textId="77777777" w:rsidR="00F52968" w:rsidRDefault="00F5296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D0BE5"/>
    <w:multiLevelType w:val="hybridMultilevel"/>
    <w:tmpl w:val="198EA58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 w15:restartNumberingAfterBreak="0">
    <w:nsid w:val="3E730E62"/>
    <w:multiLevelType w:val="hybridMultilevel"/>
    <w:tmpl w:val="E20EA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1A7B40"/>
    <w:multiLevelType w:val="hybridMultilevel"/>
    <w:tmpl w:val="0DF8261C"/>
    <w:lvl w:ilvl="0" w:tplc="C6CAC3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4B"/>
    <w:rsid w:val="00007B7C"/>
    <w:rsid w:val="00021465"/>
    <w:rsid w:val="00031F4B"/>
    <w:rsid w:val="0003697E"/>
    <w:rsid w:val="000540E6"/>
    <w:rsid w:val="000577B1"/>
    <w:rsid w:val="0006569F"/>
    <w:rsid w:val="00065A8E"/>
    <w:rsid w:val="0007281B"/>
    <w:rsid w:val="00076A2D"/>
    <w:rsid w:val="0008089A"/>
    <w:rsid w:val="000A4581"/>
    <w:rsid w:val="000B7648"/>
    <w:rsid w:val="000C5D27"/>
    <w:rsid w:val="000D0680"/>
    <w:rsid w:val="000D42AE"/>
    <w:rsid w:val="000E0869"/>
    <w:rsid w:val="00104F7D"/>
    <w:rsid w:val="001142F5"/>
    <w:rsid w:val="001353A1"/>
    <w:rsid w:val="00155A04"/>
    <w:rsid w:val="00156DF2"/>
    <w:rsid w:val="0016477A"/>
    <w:rsid w:val="00165BFC"/>
    <w:rsid w:val="0016689A"/>
    <w:rsid w:val="001B3443"/>
    <w:rsid w:val="00200DB4"/>
    <w:rsid w:val="002015A6"/>
    <w:rsid w:val="00204628"/>
    <w:rsid w:val="00205028"/>
    <w:rsid w:val="002176BC"/>
    <w:rsid w:val="002965B8"/>
    <w:rsid w:val="002B6757"/>
    <w:rsid w:val="002F1F4E"/>
    <w:rsid w:val="002F31CC"/>
    <w:rsid w:val="0030786C"/>
    <w:rsid w:val="00382773"/>
    <w:rsid w:val="003B337F"/>
    <w:rsid w:val="003F72E1"/>
    <w:rsid w:val="003F72F7"/>
    <w:rsid w:val="004304C2"/>
    <w:rsid w:val="004323C6"/>
    <w:rsid w:val="00437F91"/>
    <w:rsid w:val="00441606"/>
    <w:rsid w:val="00451D80"/>
    <w:rsid w:val="00466C7E"/>
    <w:rsid w:val="00475955"/>
    <w:rsid w:val="004867E2"/>
    <w:rsid w:val="004D7C4F"/>
    <w:rsid w:val="00517104"/>
    <w:rsid w:val="0054600A"/>
    <w:rsid w:val="00546C6E"/>
    <w:rsid w:val="005557CF"/>
    <w:rsid w:val="00590F61"/>
    <w:rsid w:val="005A1E07"/>
    <w:rsid w:val="005C49E0"/>
    <w:rsid w:val="005D4A65"/>
    <w:rsid w:val="005D4E3A"/>
    <w:rsid w:val="005F6528"/>
    <w:rsid w:val="00604D8E"/>
    <w:rsid w:val="0060537A"/>
    <w:rsid w:val="006064CE"/>
    <w:rsid w:val="00623049"/>
    <w:rsid w:val="00667DFF"/>
    <w:rsid w:val="006722B1"/>
    <w:rsid w:val="006864AC"/>
    <w:rsid w:val="00694AAE"/>
    <w:rsid w:val="0069662B"/>
    <w:rsid w:val="006B288B"/>
    <w:rsid w:val="006B70D4"/>
    <w:rsid w:val="006E62E8"/>
    <w:rsid w:val="006F5470"/>
    <w:rsid w:val="0070011F"/>
    <w:rsid w:val="00736C45"/>
    <w:rsid w:val="00745173"/>
    <w:rsid w:val="0076412C"/>
    <w:rsid w:val="0077085B"/>
    <w:rsid w:val="007807A1"/>
    <w:rsid w:val="007906D6"/>
    <w:rsid w:val="007C796A"/>
    <w:rsid w:val="007D1109"/>
    <w:rsid w:val="00807DE0"/>
    <w:rsid w:val="00815C80"/>
    <w:rsid w:val="008264EB"/>
    <w:rsid w:val="00853FA9"/>
    <w:rsid w:val="00867616"/>
    <w:rsid w:val="00872751"/>
    <w:rsid w:val="008B3C82"/>
    <w:rsid w:val="008C3721"/>
    <w:rsid w:val="008D24F4"/>
    <w:rsid w:val="008D3D3F"/>
    <w:rsid w:val="008E6ADF"/>
    <w:rsid w:val="00906BBC"/>
    <w:rsid w:val="00913C6F"/>
    <w:rsid w:val="00931A05"/>
    <w:rsid w:val="00980875"/>
    <w:rsid w:val="00985F79"/>
    <w:rsid w:val="009C6C58"/>
    <w:rsid w:val="009F55CB"/>
    <w:rsid w:val="00A236B3"/>
    <w:rsid w:val="00A5304D"/>
    <w:rsid w:val="00A570E6"/>
    <w:rsid w:val="00A60555"/>
    <w:rsid w:val="00A65C7B"/>
    <w:rsid w:val="00A71930"/>
    <w:rsid w:val="00A82603"/>
    <w:rsid w:val="00AA2130"/>
    <w:rsid w:val="00AF5008"/>
    <w:rsid w:val="00B15590"/>
    <w:rsid w:val="00B42851"/>
    <w:rsid w:val="00B54413"/>
    <w:rsid w:val="00B568F2"/>
    <w:rsid w:val="00B56D3C"/>
    <w:rsid w:val="00B57A04"/>
    <w:rsid w:val="00B855F4"/>
    <w:rsid w:val="00B87748"/>
    <w:rsid w:val="00BA3CEA"/>
    <w:rsid w:val="00BA5ACA"/>
    <w:rsid w:val="00BC771F"/>
    <w:rsid w:val="00BD13B6"/>
    <w:rsid w:val="00BF0049"/>
    <w:rsid w:val="00BF0231"/>
    <w:rsid w:val="00C40F6C"/>
    <w:rsid w:val="00C45F92"/>
    <w:rsid w:val="00C63071"/>
    <w:rsid w:val="00C64348"/>
    <w:rsid w:val="00C67888"/>
    <w:rsid w:val="00C72ABF"/>
    <w:rsid w:val="00C95BC8"/>
    <w:rsid w:val="00CA2BB4"/>
    <w:rsid w:val="00CB14E0"/>
    <w:rsid w:val="00CB5B1A"/>
    <w:rsid w:val="00CC78ED"/>
    <w:rsid w:val="00D21E3D"/>
    <w:rsid w:val="00D904C9"/>
    <w:rsid w:val="00DB6D94"/>
    <w:rsid w:val="00E04264"/>
    <w:rsid w:val="00E148DF"/>
    <w:rsid w:val="00E60968"/>
    <w:rsid w:val="00E6717A"/>
    <w:rsid w:val="00E93A35"/>
    <w:rsid w:val="00EA49CD"/>
    <w:rsid w:val="00EA5B9F"/>
    <w:rsid w:val="00EC6536"/>
    <w:rsid w:val="00F2120F"/>
    <w:rsid w:val="00F22745"/>
    <w:rsid w:val="00F52968"/>
    <w:rsid w:val="00F60505"/>
    <w:rsid w:val="00F74D69"/>
    <w:rsid w:val="00FA5216"/>
    <w:rsid w:val="00FB2F55"/>
    <w:rsid w:val="00FD4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C312ABC"/>
  <w15:docId w15:val="{EB927FC1-DCDB-4413-9A2C-952E953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pPr>
        <w:spacing w:before="240" w:after="6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F4B"/>
    <w:pPr>
      <w:spacing w:before="0" w:after="0"/>
    </w:pPr>
    <w:rPr>
      <w:sz w:val="24"/>
    </w:rPr>
  </w:style>
  <w:style w:type="paragraph" w:styleId="Heading1">
    <w:name w:val="heading 1"/>
    <w:basedOn w:val="Normal"/>
    <w:next w:val="Normal"/>
    <w:qFormat/>
    <w:rsid w:val="008264EB"/>
    <w:pPr>
      <w:keepNext/>
      <w:outlineLvl w:val="0"/>
    </w:pPr>
    <w:rPr>
      <w:rFonts w:cs="Arial"/>
      <w:b/>
      <w:bCs/>
      <w:kern w:val="32"/>
      <w:sz w:val="32"/>
      <w:szCs w:val="32"/>
    </w:rPr>
  </w:style>
  <w:style w:type="paragraph" w:styleId="Heading2">
    <w:name w:val="heading 2"/>
    <w:basedOn w:val="Normal"/>
    <w:next w:val="Normal"/>
    <w:qFormat/>
    <w:rsid w:val="008264EB"/>
    <w:pPr>
      <w:keepNext/>
      <w:outlineLvl w:val="1"/>
    </w:pPr>
    <w:rPr>
      <w:rFonts w:cs="Arial"/>
      <w:b/>
      <w:bCs/>
      <w:i/>
      <w:iCs/>
      <w:sz w:val="28"/>
      <w:szCs w:val="28"/>
    </w:rPr>
  </w:style>
  <w:style w:type="paragraph" w:styleId="Heading3">
    <w:name w:val="heading 3"/>
    <w:basedOn w:val="Normal"/>
    <w:next w:val="Normal"/>
    <w:qFormat/>
    <w:rsid w:val="008264EB"/>
    <w:pPr>
      <w:keepNext/>
      <w:outlineLvl w:val="2"/>
    </w:pPr>
    <w:rPr>
      <w:rFonts w:cs="Arial"/>
      <w:b/>
      <w:bCs/>
      <w:sz w:val="26"/>
      <w:szCs w:val="26"/>
    </w:rPr>
  </w:style>
  <w:style w:type="paragraph" w:styleId="Heading4">
    <w:name w:val="heading 4"/>
    <w:basedOn w:val="Normal"/>
    <w:next w:val="Normal"/>
    <w:qFormat/>
    <w:rsid w:val="00CB5B1A"/>
    <w:pPr>
      <w:keepNext/>
      <w:outlineLvl w:val="3"/>
    </w:pPr>
    <w:rPr>
      <w:b/>
      <w:bCs/>
      <w:i/>
      <w:sz w:val="26"/>
      <w:szCs w:val="28"/>
    </w:rPr>
  </w:style>
  <w:style w:type="paragraph" w:styleId="Heading5">
    <w:name w:val="heading 5"/>
    <w:basedOn w:val="Normal"/>
    <w:next w:val="Normal"/>
    <w:qFormat/>
    <w:rsid w:val="00CB5B1A"/>
    <w:pPr>
      <w:outlineLvl w:val="4"/>
    </w:pPr>
    <w:rPr>
      <w:b/>
      <w:bCs/>
      <w:iCs/>
      <w:sz w:val="26"/>
      <w:szCs w:val="26"/>
    </w:rPr>
  </w:style>
  <w:style w:type="paragraph" w:styleId="Heading6">
    <w:name w:val="heading 6"/>
    <w:basedOn w:val="Normal"/>
    <w:next w:val="Normal"/>
    <w:qFormat/>
    <w:rsid w:val="00CB5B1A"/>
    <w:pPr>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031F4B"/>
    <w:pPr>
      <w:jc w:val="right"/>
    </w:pPr>
    <w:rPr>
      <w:b/>
    </w:rPr>
  </w:style>
  <w:style w:type="character" w:customStyle="1" w:styleId="AppendixCharChar">
    <w:name w:val="Appendix Char Char"/>
    <w:link w:val="Appendix"/>
    <w:rsid w:val="00031F4B"/>
    <w:rPr>
      <w:b/>
      <w:sz w:val="24"/>
    </w:rPr>
  </w:style>
  <w:style w:type="paragraph" w:styleId="BodyText">
    <w:name w:val="Body Text"/>
    <w:basedOn w:val="Normal"/>
    <w:link w:val="BodyTextChar"/>
    <w:rsid w:val="00031F4B"/>
    <w:rPr>
      <w:b/>
    </w:rPr>
  </w:style>
  <w:style w:type="character" w:customStyle="1" w:styleId="BodyTextChar">
    <w:name w:val="Body Text Char"/>
    <w:basedOn w:val="DefaultParagraphFont"/>
    <w:link w:val="BodyText"/>
    <w:rsid w:val="00031F4B"/>
    <w:rPr>
      <w:b/>
      <w:sz w:val="24"/>
    </w:rPr>
  </w:style>
  <w:style w:type="paragraph" w:customStyle="1" w:styleId="ShortT">
    <w:name w:val="ShortT"/>
    <w:basedOn w:val="Normal"/>
    <w:next w:val="Normal"/>
    <w:qFormat/>
    <w:rsid w:val="00031F4B"/>
    <w:rPr>
      <w:b/>
      <w:sz w:val="40"/>
    </w:rPr>
  </w:style>
  <w:style w:type="paragraph" w:styleId="ListParagraph">
    <w:name w:val="List Paragraph"/>
    <w:basedOn w:val="Normal"/>
    <w:uiPriority w:val="34"/>
    <w:qFormat/>
    <w:rsid w:val="00FB2F55"/>
    <w:pPr>
      <w:spacing w:after="200" w:line="276" w:lineRule="auto"/>
      <w:ind w:left="720"/>
      <w:contextualSpacing/>
    </w:pPr>
    <w:rPr>
      <w:rFonts w:eastAsiaTheme="minorHAnsi" w:cstheme="minorBidi"/>
      <w:szCs w:val="22"/>
      <w:lang w:eastAsia="en-US"/>
    </w:rPr>
  </w:style>
  <w:style w:type="character" w:styleId="CommentReference">
    <w:name w:val="annotation reference"/>
    <w:basedOn w:val="DefaultParagraphFont"/>
    <w:rsid w:val="00205028"/>
    <w:rPr>
      <w:sz w:val="16"/>
      <w:szCs w:val="16"/>
    </w:rPr>
  </w:style>
  <w:style w:type="paragraph" w:styleId="CommentText">
    <w:name w:val="annotation text"/>
    <w:basedOn w:val="Normal"/>
    <w:link w:val="CommentTextChar"/>
    <w:rsid w:val="00205028"/>
    <w:rPr>
      <w:sz w:val="20"/>
    </w:rPr>
  </w:style>
  <w:style w:type="character" w:customStyle="1" w:styleId="CommentTextChar">
    <w:name w:val="Comment Text Char"/>
    <w:basedOn w:val="DefaultParagraphFont"/>
    <w:link w:val="CommentText"/>
    <w:rsid w:val="00205028"/>
  </w:style>
  <w:style w:type="paragraph" w:styleId="CommentSubject">
    <w:name w:val="annotation subject"/>
    <w:basedOn w:val="CommentText"/>
    <w:next w:val="CommentText"/>
    <w:link w:val="CommentSubjectChar"/>
    <w:rsid w:val="00205028"/>
    <w:rPr>
      <w:b/>
      <w:bCs/>
    </w:rPr>
  </w:style>
  <w:style w:type="character" w:customStyle="1" w:styleId="CommentSubjectChar">
    <w:name w:val="Comment Subject Char"/>
    <w:basedOn w:val="CommentTextChar"/>
    <w:link w:val="CommentSubject"/>
    <w:rsid w:val="00205028"/>
    <w:rPr>
      <w:b/>
      <w:bCs/>
    </w:rPr>
  </w:style>
  <w:style w:type="paragraph" w:styleId="BalloonText">
    <w:name w:val="Balloon Text"/>
    <w:basedOn w:val="Normal"/>
    <w:link w:val="BalloonTextChar"/>
    <w:rsid w:val="00205028"/>
    <w:rPr>
      <w:rFonts w:ascii="Tahoma" w:hAnsi="Tahoma" w:cs="Tahoma"/>
      <w:sz w:val="16"/>
      <w:szCs w:val="16"/>
    </w:rPr>
  </w:style>
  <w:style w:type="character" w:customStyle="1" w:styleId="BalloonTextChar">
    <w:name w:val="Balloon Text Char"/>
    <w:basedOn w:val="DefaultParagraphFont"/>
    <w:link w:val="BalloonText"/>
    <w:rsid w:val="00205028"/>
    <w:rPr>
      <w:rFonts w:ascii="Tahoma" w:hAnsi="Tahoma" w:cs="Tahoma"/>
      <w:sz w:val="16"/>
      <w:szCs w:val="16"/>
    </w:rPr>
  </w:style>
  <w:style w:type="paragraph" w:styleId="Header">
    <w:name w:val="header"/>
    <w:basedOn w:val="Normal"/>
    <w:link w:val="HeaderChar"/>
    <w:rsid w:val="00EA49CD"/>
    <w:pPr>
      <w:tabs>
        <w:tab w:val="center" w:pos="4513"/>
        <w:tab w:val="right" w:pos="9026"/>
      </w:tabs>
    </w:pPr>
  </w:style>
  <w:style w:type="character" w:customStyle="1" w:styleId="HeaderChar">
    <w:name w:val="Header Char"/>
    <w:basedOn w:val="DefaultParagraphFont"/>
    <w:link w:val="Header"/>
    <w:rsid w:val="00EA49CD"/>
    <w:rPr>
      <w:sz w:val="24"/>
    </w:rPr>
  </w:style>
  <w:style w:type="paragraph" w:styleId="Footer">
    <w:name w:val="footer"/>
    <w:basedOn w:val="Normal"/>
    <w:link w:val="FooterChar"/>
    <w:rsid w:val="00EA49CD"/>
    <w:pPr>
      <w:tabs>
        <w:tab w:val="center" w:pos="4513"/>
        <w:tab w:val="right" w:pos="9026"/>
      </w:tabs>
    </w:pPr>
  </w:style>
  <w:style w:type="character" w:customStyle="1" w:styleId="FooterChar">
    <w:name w:val="Footer Char"/>
    <w:basedOn w:val="DefaultParagraphFont"/>
    <w:link w:val="Footer"/>
    <w:rsid w:val="00EA49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76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216">
          <w:marLeft w:val="0"/>
          <w:marRight w:val="0"/>
          <w:marTop w:val="0"/>
          <w:marBottom w:val="0"/>
          <w:divBdr>
            <w:top w:val="none" w:sz="0" w:space="0" w:color="auto"/>
            <w:left w:val="none" w:sz="0" w:space="0" w:color="auto"/>
            <w:bottom w:val="none" w:sz="0" w:space="0" w:color="auto"/>
            <w:right w:val="none" w:sz="0" w:space="0" w:color="auto"/>
          </w:divBdr>
          <w:divsChild>
            <w:div w:id="1327175053">
              <w:marLeft w:val="0"/>
              <w:marRight w:val="0"/>
              <w:marTop w:val="0"/>
              <w:marBottom w:val="0"/>
              <w:divBdr>
                <w:top w:val="none" w:sz="0" w:space="0" w:color="auto"/>
                <w:left w:val="none" w:sz="0" w:space="0" w:color="auto"/>
                <w:bottom w:val="none" w:sz="0" w:space="0" w:color="auto"/>
                <w:right w:val="none" w:sz="0" w:space="0" w:color="auto"/>
              </w:divBdr>
              <w:divsChild>
                <w:div w:id="834347533">
                  <w:marLeft w:val="0"/>
                  <w:marRight w:val="0"/>
                  <w:marTop w:val="0"/>
                  <w:marBottom w:val="0"/>
                  <w:divBdr>
                    <w:top w:val="none" w:sz="0" w:space="0" w:color="auto"/>
                    <w:left w:val="none" w:sz="0" w:space="0" w:color="auto"/>
                    <w:bottom w:val="none" w:sz="0" w:space="0" w:color="auto"/>
                    <w:right w:val="none" w:sz="0" w:space="0" w:color="auto"/>
                  </w:divBdr>
                  <w:divsChild>
                    <w:div w:id="1527865582">
                      <w:marLeft w:val="0"/>
                      <w:marRight w:val="0"/>
                      <w:marTop w:val="0"/>
                      <w:marBottom w:val="0"/>
                      <w:divBdr>
                        <w:top w:val="none" w:sz="0" w:space="0" w:color="auto"/>
                        <w:left w:val="none" w:sz="0" w:space="0" w:color="auto"/>
                        <w:bottom w:val="none" w:sz="0" w:space="0" w:color="auto"/>
                        <w:right w:val="none" w:sz="0" w:space="0" w:color="auto"/>
                      </w:divBdr>
                      <w:divsChild>
                        <w:div w:id="1830168681">
                          <w:marLeft w:val="0"/>
                          <w:marRight w:val="0"/>
                          <w:marTop w:val="0"/>
                          <w:marBottom w:val="0"/>
                          <w:divBdr>
                            <w:top w:val="single" w:sz="6" w:space="0" w:color="828282"/>
                            <w:left w:val="single" w:sz="6" w:space="0" w:color="828282"/>
                            <w:bottom w:val="single" w:sz="6" w:space="0" w:color="828282"/>
                            <w:right w:val="single" w:sz="6" w:space="0" w:color="828282"/>
                          </w:divBdr>
                          <w:divsChild>
                            <w:div w:id="884566486">
                              <w:marLeft w:val="0"/>
                              <w:marRight w:val="0"/>
                              <w:marTop w:val="0"/>
                              <w:marBottom w:val="0"/>
                              <w:divBdr>
                                <w:top w:val="none" w:sz="0" w:space="0" w:color="auto"/>
                                <w:left w:val="none" w:sz="0" w:space="0" w:color="auto"/>
                                <w:bottom w:val="none" w:sz="0" w:space="0" w:color="auto"/>
                                <w:right w:val="none" w:sz="0" w:space="0" w:color="auto"/>
                              </w:divBdr>
                              <w:divsChild>
                                <w:div w:id="229080291">
                                  <w:marLeft w:val="0"/>
                                  <w:marRight w:val="0"/>
                                  <w:marTop w:val="0"/>
                                  <w:marBottom w:val="0"/>
                                  <w:divBdr>
                                    <w:top w:val="none" w:sz="0" w:space="0" w:color="auto"/>
                                    <w:left w:val="none" w:sz="0" w:space="0" w:color="auto"/>
                                    <w:bottom w:val="none" w:sz="0" w:space="0" w:color="auto"/>
                                    <w:right w:val="none" w:sz="0" w:space="0" w:color="auto"/>
                                  </w:divBdr>
                                  <w:divsChild>
                                    <w:div w:id="991450678">
                                      <w:marLeft w:val="0"/>
                                      <w:marRight w:val="0"/>
                                      <w:marTop w:val="0"/>
                                      <w:marBottom w:val="0"/>
                                      <w:divBdr>
                                        <w:top w:val="none" w:sz="0" w:space="0" w:color="auto"/>
                                        <w:left w:val="none" w:sz="0" w:space="0" w:color="auto"/>
                                        <w:bottom w:val="none" w:sz="0" w:space="0" w:color="auto"/>
                                        <w:right w:val="none" w:sz="0" w:space="0" w:color="auto"/>
                                      </w:divBdr>
                                      <w:divsChild>
                                        <w:div w:id="981160780">
                                          <w:marLeft w:val="0"/>
                                          <w:marRight w:val="0"/>
                                          <w:marTop w:val="0"/>
                                          <w:marBottom w:val="0"/>
                                          <w:divBdr>
                                            <w:top w:val="none" w:sz="0" w:space="0" w:color="auto"/>
                                            <w:left w:val="none" w:sz="0" w:space="0" w:color="auto"/>
                                            <w:bottom w:val="none" w:sz="0" w:space="0" w:color="auto"/>
                                            <w:right w:val="none" w:sz="0" w:space="0" w:color="auto"/>
                                          </w:divBdr>
                                          <w:divsChild>
                                            <w:div w:id="1303270157">
                                              <w:marLeft w:val="0"/>
                                              <w:marRight w:val="0"/>
                                              <w:marTop w:val="0"/>
                                              <w:marBottom w:val="0"/>
                                              <w:divBdr>
                                                <w:top w:val="none" w:sz="0" w:space="0" w:color="auto"/>
                                                <w:left w:val="none" w:sz="0" w:space="0" w:color="auto"/>
                                                <w:bottom w:val="none" w:sz="0" w:space="0" w:color="auto"/>
                                                <w:right w:val="none" w:sz="0" w:space="0" w:color="auto"/>
                                              </w:divBdr>
                                              <w:divsChild>
                                                <w:div w:id="19601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5573">
      <w:bodyDiv w:val="1"/>
      <w:marLeft w:val="0"/>
      <w:marRight w:val="0"/>
      <w:marTop w:val="0"/>
      <w:marBottom w:val="0"/>
      <w:divBdr>
        <w:top w:val="none" w:sz="0" w:space="0" w:color="auto"/>
        <w:left w:val="none" w:sz="0" w:space="0" w:color="auto"/>
        <w:bottom w:val="none" w:sz="0" w:space="0" w:color="auto"/>
        <w:right w:val="none" w:sz="0" w:space="0" w:color="auto"/>
      </w:divBdr>
    </w:div>
    <w:div w:id="168991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567B4ED9C27374E8D5297D5BD211664" ma:contentTypeVersion="" ma:contentTypeDescription="PDMS Document Site Content Type" ma:contentTypeScope="" ma:versionID="0894697010dfe07823acf7b3955c830e">
  <xsd:schema xmlns:xsd="http://www.w3.org/2001/XMLSchema" xmlns:xs="http://www.w3.org/2001/XMLSchema" xmlns:p="http://schemas.microsoft.com/office/2006/metadata/properties" xmlns:ns2="2A397DE5-C32A-438F-B2A5-F6BBE9AB354B" targetNamespace="http://schemas.microsoft.com/office/2006/metadata/properties" ma:root="true" ma:fieldsID="efd40235689b61cb50208b3f1b486736" ns2:_="">
    <xsd:import namespace="2A397DE5-C32A-438F-B2A5-F6BBE9AB35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97DE5-C32A-438F-B2A5-F6BBE9AB35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A397DE5-C32A-438F-B2A5-F6BBE9AB354B" xsi:nil="true"/>
  </documentManagement>
</p:properties>
</file>

<file path=customXml/itemProps1.xml><?xml version="1.0" encoding="utf-8"?>
<ds:datastoreItem xmlns:ds="http://schemas.openxmlformats.org/officeDocument/2006/customXml" ds:itemID="{42C117E7-EA4F-4AEF-8709-A2ECF72A6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97DE5-C32A-438F-B2A5-F6BBE9AB3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8FC0A-9F35-49A3-92A2-952815072E4B}">
  <ds:schemaRefs>
    <ds:schemaRef ds:uri="http://schemas.microsoft.com/sharepoint/v3/contenttype/forms"/>
  </ds:schemaRefs>
</ds:datastoreItem>
</file>

<file path=customXml/itemProps3.xml><?xml version="1.0" encoding="utf-8"?>
<ds:datastoreItem xmlns:ds="http://schemas.openxmlformats.org/officeDocument/2006/customXml" ds:itemID="{4D9EF0E3-31B5-48D3-B0DD-DE24A0E4CC4F}">
  <ds:schemaRefs>
    <ds:schemaRef ds:uri="http://purl.org/dc/elements/1.1/"/>
    <ds:schemaRef ds:uri="http://schemas.microsoft.com/office/2006/metadata/properties"/>
    <ds:schemaRef ds:uri="2A397DE5-C32A-438F-B2A5-F6BBE9AB354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827</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Eleanor</dc:creator>
  <cp:lastModifiedBy>NG, Jason</cp:lastModifiedBy>
  <cp:revision>3</cp:revision>
  <cp:lastPrinted>2021-04-22T03:14:00Z</cp:lastPrinted>
  <dcterms:created xsi:type="dcterms:W3CDTF">2021-06-16T23:36:00Z</dcterms:created>
  <dcterms:modified xsi:type="dcterms:W3CDTF">2021-06-17T05:00:00Z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0x010100266966F133664895A6EE3632470D45F500E567B4ED9C27374E8D5297D5BD211664</vt:lpwstr>
  </property>
</Properties>
</file>